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3D1BF" w14:textId="7AA7CED4" w:rsidR="004B0CB8" w:rsidRPr="003D4B91" w:rsidRDefault="004B0CB8" w:rsidP="00D2593A">
      <w:pPr>
        <w:pStyle w:val="Default"/>
        <w:tabs>
          <w:tab w:val="left" w:pos="873"/>
          <w:tab w:val="left" w:pos="945"/>
        </w:tabs>
        <w:spacing w:after="40"/>
        <w:jc w:val="both"/>
        <w:rPr>
          <w:rFonts w:ascii="Arial Narrow" w:hAnsi="Arial Narrow"/>
          <w:b/>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rPr>
        <w:drawing>
          <wp:anchor distT="0" distB="0" distL="114300" distR="114300" simplePos="0" relativeHeight="251660288" behindDoc="0" locked="0" layoutInCell="1" allowOverlap="1" wp14:anchorId="47DA61ED" wp14:editId="1FEBA401">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941" w:rsidRPr="003D4B91">
        <w:rPr>
          <w:rFonts w:ascii="Arial Narrow" w:hAnsi="Arial Narrow"/>
          <w:sz w:val="32"/>
          <w:szCs w:val="32"/>
        </w:rPr>
        <w:tab/>
      </w:r>
      <w:r w:rsidR="006E6941" w:rsidRPr="003D4B91">
        <w:rPr>
          <w:rFonts w:ascii="Arial Narrow" w:hAnsi="Arial Narrow"/>
          <w:sz w:val="32"/>
          <w:szCs w:val="32"/>
        </w:rPr>
        <w:tab/>
      </w:r>
      <w:r w:rsidRPr="003D4B91">
        <w:rPr>
          <w:rFonts w:ascii="Arial Narrow" w:hAnsi="Arial Narrow"/>
          <w:b/>
          <w:sz w:val="32"/>
          <w:szCs w:val="32"/>
        </w:rPr>
        <w:t>National</w:t>
      </w:r>
      <w:r w:rsidR="00D57D44" w:rsidRPr="003D4B91">
        <w:rPr>
          <w:rFonts w:ascii="Arial Narrow" w:hAnsi="Arial Narrow"/>
          <w:b/>
          <w:sz w:val="32"/>
          <w:szCs w:val="32"/>
        </w:rPr>
        <w:t xml:space="preserve"> </w:t>
      </w:r>
      <w:r w:rsidRPr="003D4B91">
        <w:rPr>
          <w:rFonts w:ascii="Arial Narrow" w:hAnsi="Arial Narrow"/>
          <w:b/>
          <w:sz w:val="32"/>
          <w:szCs w:val="32"/>
        </w:rPr>
        <w:t>Council</w:t>
      </w:r>
      <w:r w:rsidR="00D57D44" w:rsidRPr="003D4B91">
        <w:rPr>
          <w:rFonts w:ascii="Arial Narrow" w:hAnsi="Arial Narrow"/>
          <w:b/>
          <w:sz w:val="32"/>
          <w:szCs w:val="32"/>
        </w:rPr>
        <w:t xml:space="preserve"> </w:t>
      </w:r>
      <w:r w:rsidRPr="003D4B91">
        <w:rPr>
          <w:rFonts w:ascii="Arial Narrow" w:hAnsi="Arial Narrow"/>
          <w:b/>
          <w:sz w:val="32"/>
          <w:szCs w:val="32"/>
        </w:rPr>
        <w:t>on</w:t>
      </w:r>
      <w:r w:rsidR="00D57D44" w:rsidRPr="003D4B91">
        <w:rPr>
          <w:rFonts w:ascii="Arial Narrow" w:hAnsi="Arial Narrow"/>
          <w:b/>
          <w:sz w:val="32"/>
          <w:szCs w:val="32"/>
        </w:rPr>
        <w:t xml:space="preserve"> </w:t>
      </w:r>
      <w:r w:rsidRPr="003D4B91">
        <w:rPr>
          <w:rFonts w:ascii="Arial Narrow" w:hAnsi="Arial Narrow"/>
          <w:b/>
          <w:sz w:val="32"/>
          <w:szCs w:val="32"/>
        </w:rPr>
        <w:t>Disability</w:t>
      </w:r>
    </w:p>
    <w:p w14:paraId="47F252F8" w14:textId="77777777" w:rsidR="004B0CB8" w:rsidRPr="003D4B91" w:rsidRDefault="004B0CB8" w:rsidP="004B0CB8">
      <w:pPr>
        <w:pStyle w:val="Default"/>
      </w:pPr>
      <w:r w:rsidRPr="003D4B91">
        <w:rPr>
          <w:noProof/>
        </w:rPr>
        <mc:AlternateContent>
          <mc:Choice Requires="wps">
            <w:drawing>
              <wp:anchor distT="0" distB="0" distL="114300" distR="114300" simplePos="0" relativeHeight="251659264" behindDoc="0" locked="0" layoutInCell="1" allowOverlap="1" wp14:anchorId="2DFF8B36" wp14:editId="3F8C7015">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3665D1FB" w14:textId="065AA372" w:rsidR="004B0CB8" w:rsidRPr="003D4B91" w:rsidRDefault="004B0CB8" w:rsidP="004B0CB8">
      <w:pPr>
        <w:pStyle w:val="NCDBodyText"/>
        <w:spacing w:line="240" w:lineRule="auto"/>
        <w:rPr>
          <w:sz w:val="22"/>
          <w:szCs w:val="22"/>
        </w:rPr>
      </w:pPr>
      <w:proofErr w:type="gramStart"/>
      <w:r w:rsidRPr="003D4B91">
        <w:rPr>
          <w:sz w:val="22"/>
          <w:szCs w:val="22"/>
        </w:rPr>
        <w:t>An</w:t>
      </w:r>
      <w:r w:rsidR="00D57D44" w:rsidRPr="003D4B91">
        <w:rPr>
          <w:sz w:val="22"/>
          <w:szCs w:val="22"/>
        </w:rPr>
        <w:t xml:space="preserve"> </w:t>
      </w:r>
      <w:r w:rsidRPr="003D4B91">
        <w:rPr>
          <w:sz w:val="22"/>
          <w:szCs w:val="22"/>
        </w:rPr>
        <w:t>independent</w:t>
      </w:r>
      <w:r w:rsidR="00D57D44" w:rsidRPr="003D4B91">
        <w:rPr>
          <w:sz w:val="22"/>
          <w:szCs w:val="22"/>
        </w:rPr>
        <w:t xml:space="preserve"> </w:t>
      </w:r>
      <w:r w:rsidRPr="003D4B91">
        <w:rPr>
          <w:sz w:val="22"/>
          <w:szCs w:val="22"/>
        </w:rPr>
        <w:t>federal</w:t>
      </w:r>
      <w:r w:rsidR="00D57D44" w:rsidRPr="003D4B91">
        <w:rPr>
          <w:sz w:val="22"/>
          <w:szCs w:val="22"/>
        </w:rPr>
        <w:t xml:space="preserve"> </w:t>
      </w:r>
      <w:r w:rsidRPr="003D4B91">
        <w:rPr>
          <w:sz w:val="22"/>
          <w:szCs w:val="22"/>
        </w:rPr>
        <w:t>agency</w:t>
      </w:r>
      <w:r w:rsidR="00D57D44" w:rsidRPr="003D4B91">
        <w:rPr>
          <w:sz w:val="22"/>
          <w:szCs w:val="22"/>
        </w:rPr>
        <w:t xml:space="preserve"> </w:t>
      </w:r>
      <w:r w:rsidRPr="003D4B91">
        <w:rPr>
          <w:sz w:val="22"/>
          <w:szCs w:val="22"/>
        </w:rPr>
        <w:t>making</w:t>
      </w:r>
      <w:r w:rsidR="00D57D44" w:rsidRPr="003D4B91">
        <w:rPr>
          <w:sz w:val="22"/>
          <w:szCs w:val="22"/>
        </w:rPr>
        <w:t xml:space="preserve"> </w:t>
      </w:r>
      <w:r w:rsidRPr="003D4B91">
        <w:rPr>
          <w:sz w:val="22"/>
          <w:szCs w:val="22"/>
        </w:rPr>
        <w:t>recommendations</w:t>
      </w:r>
      <w:r w:rsidR="00D57D44" w:rsidRPr="003D4B91">
        <w:rPr>
          <w:sz w:val="22"/>
          <w:szCs w:val="22"/>
        </w:rPr>
        <w:t xml:space="preserve"> </w:t>
      </w:r>
      <w:r w:rsidRPr="003D4B91">
        <w:rPr>
          <w:sz w:val="22"/>
          <w:szCs w:val="22"/>
        </w:rPr>
        <w:t>to</w:t>
      </w:r>
      <w:r w:rsidR="00D57D44" w:rsidRPr="003D4B91">
        <w:rPr>
          <w:sz w:val="22"/>
          <w:szCs w:val="22"/>
        </w:rPr>
        <w:t xml:space="preserve"> </w:t>
      </w:r>
      <w:r w:rsidRPr="003D4B91">
        <w:rPr>
          <w:sz w:val="22"/>
          <w:szCs w:val="22"/>
        </w:rPr>
        <w:t>the</w:t>
      </w:r>
      <w:r w:rsidR="00D57D44" w:rsidRPr="003D4B91">
        <w:rPr>
          <w:sz w:val="22"/>
          <w:szCs w:val="22"/>
        </w:rPr>
        <w:t xml:space="preserve"> </w:t>
      </w:r>
      <w:r w:rsidRPr="003D4B91">
        <w:rPr>
          <w:sz w:val="22"/>
          <w:szCs w:val="22"/>
        </w:rPr>
        <w:t>President</w:t>
      </w:r>
      <w:r w:rsidR="00D57D44" w:rsidRPr="003D4B91">
        <w:rPr>
          <w:sz w:val="22"/>
          <w:szCs w:val="22"/>
        </w:rPr>
        <w:t xml:space="preserve"> </w:t>
      </w:r>
      <w:r w:rsidRPr="003D4B91">
        <w:rPr>
          <w:sz w:val="22"/>
          <w:szCs w:val="22"/>
        </w:rPr>
        <w:t>and</w:t>
      </w:r>
      <w:r w:rsidR="00D57D44" w:rsidRPr="003D4B91">
        <w:rPr>
          <w:sz w:val="22"/>
          <w:szCs w:val="22"/>
        </w:rPr>
        <w:t xml:space="preserve"> </w:t>
      </w:r>
      <w:r w:rsidRPr="003D4B91">
        <w:rPr>
          <w:sz w:val="22"/>
          <w:szCs w:val="22"/>
        </w:rPr>
        <w:t>Congress</w:t>
      </w:r>
      <w:r w:rsidR="00D57D44" w:rsidRPr="003D4B91">
        <w:rPr>
          <w:sz w:val="22"/>
          <w:szCs w:val="22"/>
        </w:rPr>
        <w:t xml:space="preserve"> </w:t>
      </w:r>
      <w:r w:rsidRPr="003D4B91">
        <w:rPr>
          <w:sz w:val="22"/>
          <w:szCs w:val="22"/>
        </w:rPr>
        <w:t>to</w:t>
      </w:r>
      <w:r w:rsidR="00D57D44" w:rsidRPr="003D4B91">
        <w:rPr>
          <w:sz w:val="22"/>
          <w:szCs w:val="22"/>
        </w:rPr>
        <w:t xml:space="preserve"> </w:t>
      </w:r>
      <w:r w:rsidRPr="003D4B91">
        <w:rPr>
          <w:sz w:val="22"/>
          <w:szCs w:val="22"/>
        </w:rPr>
        <w:t>enhance</w:t>
      </w:r>
      <w:r w:rsidR="00D57D44" w:rsidRPr="003D4B91">
        <w:rPr>
          <w:sz w:val="22"/>
          <w:szCs w:val="22"/>
        </w:rPr>
        <w:t xml:space="preserve"> </w:t>
      </w:r>
      <w:r w:rsidRPr="003D4B91">
        <w:rPr>
          <w:sz w:val="22"/>
          <w:szCs w:val="22"/>
        </w:rPr>
        <w:t>the</w:t>
      </w:r>
      <w:r w:rsidR="00D57D44" w:rsidRPr="003D4B91">
        <w:rPr>
          <w:sz w:val="22"/>
          <w:szCs w:val="22"/>
        </w:rPr>
        <w:t xml:space="preserve"> </w:t>
      </w:r>
      <w:r w:rsidRPr="003D4B91">
        <w:rPr>
          <w:sz w:val="22"/>
          <w:szCs w:val="22"/>
        </w:rPr>
        <w:t>quality</w:t>
      </w:r>
      <w:r w:rsidR="00D57D44" w:rsidRPr="003D4B91">
        <w:rPr>
          <w:sz w:val="22"/>
          <w:szCs w:val="22"/>
        </w:rPr>
        <w:t xml:space="preserve"> </w:t>
      </w:r>
      <w:r w:rsidRPr="003D4B91">
        <w:rPr>
          <w:sz w:val="22"/>
          <w:szCs w:val="22"/>
        </w:rPr>
        <w:t>of</w:t>
      </w:r>
      <w:r w:rsidR="00D57D44" w:rsidRPr="003D4B91">
        <w:rPr>
          <w:sz w:val="22"/>
          <w:szCs w:val="22"/>
        </w:rPr>
        <w:t xml:space="preserve"> </w:t>
      </w:r>
      <w:r w:rsidRPr="003D4B91">
        <w:rPr>
          <w:sz w:val="22"/>
          <w:szCs w:val="22"/>
        </w:rPr>
        <w:t>life</w:t>
      </w:r>
      <w:r w:rsidR="00D57D44" w:rsidRPr="003D4B91">
        <w:rPr>
          <w:sz w:val="22"/>
          <w:szCs w:val="22"/>
        </w:rPr>
        <w:t xml:space="preserve"> </w:t>
      </w:r>
      <w:r w:rsidRPr="003D4B91">
        <w:rPr>
          <w:sz w:val="22"/>
          <w:szCs w:val="22"/>
        </w:rPr>
        <w:t>for</w:t>
      </w:r>
      <w:r w:rsidR="00D57D44" w:rsidRPr="003D4B91">
        <w:rPr>
          <w:sz w:val="22"/>
          <w:szCs w:val="22"/>
        </w:rPr>
        <w:t xml:space="preserve"> </w:t>
      </w:r>
      <w:r w:rsidRPr="003D4B91">
        <w:rPr>
          <w:sz w:val="22"/>
          <w:szCs w:val="22"/>
        </w:rPr>
        <w:t>all</w:t>
      </w:r>
      <w:r w:rsidR="00D57D44" w:rsidRPr="003D4B91">
        <w:rPr>
          <w:sz w:val="22"/>
          <w:szCs w:val="22"/>
        </w:rPr>
        <w:t xml:space="preserve"> </w:t>
      </w:r>
      <w:r w:rsidRPr="003D4B91">
        <w:rPr>
          <w:sz w:val="22"/>
          <w:szCs w:val="22"/>
        </w:rPr>
        <w:t>Americans</w:t>
      </w:r>
      <w:r w:rsidR="00D57D44" w:rsidRPr="003D4B91">
        <w:rPr>
          <w:sz w:val="22"/>
          <w:szCs w:val="22"/>
        </w:rPr>
        <w:t xml:space="preserve"> </w:t>
      </w:r>
      <w:r w:rsidRPr="003D4B91">
        <w:rPr>
          <w:sz w:val="22"/>
          <w:szCs w:val="22"/>
        </w:rPr>
        <w:t>with</w:t>
      </w:r>
      <w:r w:rsidR="00D57D44" w:rsidRPr="003D4B91">
        <w:rPr>
          <w:sz w:val="22"/>
          <w:szCs w:val="22"/>
        </w:rPr>
        <w:t xml:space="preserve"> </w:t>
      </w:r>
      <w:r w:rsidRPr="003D4B91">
        <w:rPr>
          <w:sz w:val="22"/>
          <w:szCs w:val="22"/>
        </w:rPr>
        <w:t>disabilities</w:t>
      </w:r>
      <w:r w:rsidR="00D57D44" w:rsidRPr="003D4B91">
        <w:rPr>
          <w:sz w:val="22"/>
          <w:szCs w:val="22"/>
        </w:rPr>
        <w:t xml:space="preserve"> </w:t>
      </w:r>
      <w:r w:rsidRPr="003D4B91">
        <w:rPr>
          <w:sz w:val="22"/>
          <w:szCs w:val="22"/>
        </w:rPr>
        <w:t>and</w:t>
      </w:r>
      <w:r w:rsidR="00D57D44" w:rsidRPr="003D4B91">
        <w:rPr>
          <w:sz w:val="22"/>
          <w:szCs w:val="22"/>
        </w:rPr>
        <w:t xml:space="preserve"> </w:t>
      </w:r>
      <w:r w:rsidRPr="003D4B91">
        <w:rPr>
          <w:sz w:val="22"/>
          <w:szCs w:val="22"/>
        </w:rPr>
        <w:t>their</w:t>
      </w:r>
      <w:r w:rsidR="00D57D44" w:rsidRPr="003D4B91">
        <w:rPr>
          <w:sz w:val="22"/>
          <w:szCs w:val="22"/>
        </w:rPr>
        <w:t xml:space="preserve"> </w:t>
      </w:r>
      <w:r w:rsidRPr="003D4B91">
        <w:rPr>
          <w:sz w:val="22"/>
          <w:szCs w:val="22"/>
        </w:rPr>
        <w:t>families.</w:t>
      </w:r>
      <w:proofErr w:type="gramEnd"/>
    </w:p>
    <w:p w14:paraId="7B355482" w14:textId="5E823A9C" w:rsidR="004B0CB8" w:rsidRPr="003D4B91" w:rsidRDefault="004B0CB8" w:rsidP="004534FE">
      <w:pPr>
        <w:pStyle w:val="Heading1"/>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bookmarkStart w:id="38" w:name="_Toc68697862"/>
      <w:bookmarkStart w:id="39" w:name="_Toc68699075"/>
      <w:bookmarkStart w:id="40" w:name="_Toc69374198"/>
      <w:r w:rsidRPr="003D4B91">
        <w:t>Letter</w:t>
      </w:r>
      <w:r w:rsidR="00D57D44" w:rsidRPr="003D4B91">
        <w:t xml:space="preserve"> </w:t>
      </w:r>
      <w:r w:rsidRPr="003D4B91">
        <w:t>of</w:t>
      </w:r>
      <w:r w:rsidR="00D57D44" w:rsidRPr="003D4B91">
        <w:t xml:space="preserve"> </w:t>
      </w:r>
      <w:r w:rsidRPr="003D4B91">
        <w:t>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5EF17AA7" w14:textId="6FC29980" w:rsidR="00BF2A3A" w:rsidRPr="00AE1AE0" w:rsidRDefault="00BF2A3A" w:rsidP="00BF2A3A">
      <w:pPr>
        <w:spacing w:after="0" w:line="240" w:lineRule="auto"/>
        <w:rPr>
          <w:rFonts w:ascii="Arial" w:hAnsi="Arial" w:cs="Arial"/>
        </w:rPr>
      </w:pPr>
      <w:r w:rsidRPr="00AE1AE0">
        <w:rPr>
          <w:rFonts w:ascii="Arial" w:hAnsi="Arial" w:cs="Arial"/>
        </w:rPr>
        <w:t>M</w:t>
      </w:r>
      <w:r w:rsidR="00531F6E" w:rsidRPr="00AE1AE0">
        <w:rPr>
          <w:rFonts w:ascii="Arial" w:hAnsi="Arial" w:cs="Arial"/>
        </w:rPr>
        <w:t>ay</w:t>
      </w:r>
      <w:r w:rsidRPr="00AE1AE0">
        <w:rPr>
          <w:rFonts w:ascii="Arial" w:hAnsi="Arial" w:cs="Arial"/>
        </w:rPr>
        <w:t xml:space="preserve"> </w:t>
      </w:r>
      <w:r w:rsidR="00531F6E" w:rsidRPr="00AE1AE0">
        <w:rPr>
          <w:rFonts w:ascii="Arial" w:hAnsi="Arial" w:cs="Arial"/>
        </w:rPr>
        <w:t>20</w:t>
      </w:r>
      <w:r w:rsidRPr="00AE1AE0">
        <w:rPr>
          <w:rFonts w:ascii="Arial" w:hAnsi="Arial" w:cs="Arial"/>
        </w:rPr>
        <w:t>, 20</w:t>
      </w:r>
      <w:r w:rsidR="00531F6E" w:rsidRPr="00AE1AE0">
        <w:rPr>
          <w:rFonts w:ascii="Arial" w:hAnsi="Arial" w:cs="Arial"/>
        </w:rPr>
        <w:t>21</w:t>
      </w:r>
    </w:p>
    <w:p w14:paraId="67229F31" w14:textId="77777777" w:rsidR="008B3CE0" w:rsidRPr="00AE1AE0" w:rsidRDefault="008B3CE0" w:rsidP="00BF2A3A">
      <w:pPr>
        <w:spacing w:after="0" w:line="240" w:lineRule="auto"/>
        <w:rPr>
          <w:rFonts w:ascii="Arial" w:hAnsi="Arial" w:cs="Arial"/>
        </w:rPr>
      </w:pPr>
    </w:p>
    <w:p w14:paraId="79101C40" w14:textId="77777777" w:rsidR="00F806B5" w:rsidRPr="00BA76A2" w:rsidRDefault="00F806B5" w:rsidP="00F806B5">
      <w:pPr>
        <w:spacing w:after="0" w:line="240" w:lineRule="auto"/>
        <w:rPr>
          <w:rFonts w:ascii="Arial" w:hAnsi="Arial" w:cs="Arial"/>
        </w:rPr>
      </w:pPr>
      <w:r w:rsidRPr="00BA76A2">
        <w:rPr>
          <w:rFonts w:ascii="Arial" w:hAnsi="Arial" w:cs="Arial"/>
        </w:rPr>
        <w:t>President Joseph R. Biden Jr.</w:t>
      </w:r>
    </w:p>
    <w:p w14:paraId="7A18C639" w14:textId="77777777" w:rsidR="00F806B5" w:rsidRPr="00F806B5" w:rsidRDefault="00F806B5" w:rsidP="00F806B5">
      <w:pPr>
        <w:spacing w:after="0" w:line="240" w:lineRule="auto"/>
        <w:rPr>
          <w:rFonts w:ascii="Arial" w:hAnsi="Arial" w:cs="Arial"/>
        </w:rPr>
      </w:pPr>
      <w:r w:rsidRPr="00F806B5">
        <w:rPr>
          <w:rFonts w:ascii="Arial" w:hAnsi="Arial" w:cs="Arial"/>
        </w:rPr>
        <w:t>The White House</w:t>
      </w:r>
    </w:p>
    <w:p w14:paraId="23796608" w14:textId="77777777" w:rsidR="00F806B5" w:rsidRPr="00F806B5" w:rsidRDefault="00F806B5" w:rsidP="00F806B5">
      <w:pPr>
        <w:spacing w:after="0" w:line="240" w:lineRule="auto"/>
        <w:rPr>
          <w:rFonts w:ascii="Arial" w:hAnsi="Arial" w:cs="Arial"/>
        </w:rPr>
      </w:pPr>
      <w:r w:rsidRPr="00F806B5">
        <w:rPr>
          <w:rFonts w:ascii="Arial" w:hAnsi="Arial" w:cs="Arial"/>
        </w:rPr>
        <w:t>1600 Pennsylvania Avenue NW</w:t>
      </w:r>
    </w:p>
    <w:p w14:paraId="21C9A45E" w14:textId="034BF4FC" w:rsidR="006C2654" w:rsidRPr="00AE1AE0" w:rsidRDefault="00F806B5" w:rsidP="00F806B5">
      <w:pPr>
        <w:spacing w:after="0" w:line="240" w:lineRule="auto"/>
        <w:rPr>
          <w:rFonts w:ascii="Arial" w:hAnsi="Arial" w:cs="Arial"/>
        </w:rPr>
      </w:pPr>
      <w:r w:rsidRPr="00F806B5">
        <w:rPr>
          <w:rFonts w:ascii="Arial" w:hAnsi="Arial" w:cs="Arial"/>
        </w:rPr>
        <w:t>Washington, DC 20500</w:t>
      </w:r>
    </w:p>
    <w:p w14:paraId="4FB35E99" w14:textId="77777777" w:rsidR="006C2654" w:rsidRPr="00AE1AE0" w:rsidRDefault="006C2654" w:rsidP="006C2654">
      <w:pPr>
        <w:spacing w:after="0" w:line="240" w:lineRule="auto"/>
        <w:rPr>
          <w:rFonts w:ascii="Arial" w:hAnsi="Arial" w:cs="Arial"/>
        </w:rPr>
      </w:pPr>
    </w:p>
    <w:p w14:paraId="2F40F31E" w14:textId="77777777" w:rsidR="006C2654" w:rsidRPr="00AE1AE0" w:rsidRDefault="006C2654" w:rsidP="006C2654">
      <w:pPr>
        <w:spacing w:after="0" w:line="240" w:lineRule="auto"/>
        <w:rPr>
          <w:rFonts w:ascii="Arial" w:hAnsi="Arial" w:cs="Arial"/>
        </w:rPr>
      </w:pPr>
      <w:r w:rsidRPr="00AE1AE0">
        <w:rPr>
          <w:rFonts w:ascii="Arial" w:hAnsi="Arial" w:cs="Arial"/>
        </w:rPr>
        <w:t>Dear Mr. President:</w:t>
      </w:r>
    </w:p>
    <w:p w14:paraId="69BB9013" w14:textId="77777777" w:rsidR="006C2654" w:rsidRPr="006C2654" w:rsidRDefault="006C2654" w:rsidP="006C2654">
      <w:pPr>
        <w:spacing w:after="0" w:line="240" w:lineRule="auto"/>
        <w:rPr>
          <w:rFonts w:ascii="Arial" w:hAnsi="Arial" w:cs="Arial"/>
        </w:rPr>
      </w:pPr>
    </w:p>
    <w:p w14:paraId="5B93225C" w14:textId="009D90B9" w:rsidR="006C2654" w:rsidRPr="006C2654" w:rsidRDefault="006C2654" w:rsidP="006C2654">
      <w:pPr>
        <w:spacing w:after="0" w:line="240" w:lineRule="auto"/>
        <w:rPr>
          <w:rFonts w:ascii="Arial" w:hAnsi="Arial" w:cs="Arial"/>
        </w:rPr>
      </w:pPr>
      <w:r w:rsidRPr="006C2654">
        <w:rPr>
          <w:rFonts w:ascii="Arial" w:hAnsi="Arial" w:cs="Arial"/>
        </w:rPr>
        <w:t>Decades of studies have found that people with disabilities experience a much higher prevalence of preventable disease and poorer health outcomes than the general population. And although it is well known that disability status is a high-risk factor for diabetes, cardiovascular disease, stroke, arthritis and asthma, as well as obesity, high blood pressure and high cholesterol levels, adults with physical disabilities continue to face significant physical barriers that impede their access to health</w:t>
      </w:r>
      <w:r w:rsidR="00BD0663">
        <w:rPr>
          <w:rFonts w:ascii="Arial" w:hAnsi="Arial" w:cs="Arial"/>
        </w:rPr>
        <w:t xml:space="preserve"> </w:t>
      </w:r>
      <w:r w:rsidRPr="006C2654">
        <w:rPr>
          <w:rFonts w:ascii="Arial" w:hAnsi="Arial" w:cs="Arial"/>
        </w:rPr>
        <w:t>care, resulting in unmet health</w:t>
      </w:r>
      <w:r w:rsidR="00BD0663">
        <w:rPr>
          <w:rFonts w:ascii="Arial" w:hAnsi="Arial" w:cs="Arial"/>
        </w:rPr>
        <w:t xml:space="preserve"> </w:t>
      </w:r>
      <w:r w:rsidRPr="006C2654">
        <w:rPr>
          <w:rFonts w:ascii="Arial" w:hAnsi="Arial" w:cs="Arial"/>
        </w:rPr>
        <w:t>care needs. Among the most significant barriers is the absence of accessible medical diagnostic equipment.</w:t>
      </w:r>
    </w:p>
    <w:p w14:paraId="1B06EF6C" w14:textId="77777777" w:rsidR="006C2654" w:rsidRDefault="006C2654" w:rsidP="006C2654">
      <w:pPr>
        <w:spacing w:after="0" w:line="240" w:lineRule="auto"/>
        <w:rPr>
          <w:rFonts w:ascii="Arial" w:hAnsi="Arial" w:cs="Arial"/>
        </w:rPr>
      </w:pPr>
    </w:p>
    <w:p w14:paraId="369A0E1F" w14:textId="29C55299" w:rsidR="006C2654" w:rsidRPr="006C2654" w:rsidRDefault="006C2654" w:rsidP="006C2654">
      <w:pPr>
        <w:spacing w:after="0" w:line="240" w:lineRule="auto"/>
        <w:rPr>
          <w:rFonts w:ascii="Arial" w:hAnsi="Arial" w:cs="Arial"/>
        </w:rPr>
      </w:pPr>
      <w:r w:rsidRPr="006C2654">
        <w:rPr>
          <w:rFonts w:ascii="Arial" w:hAnsi="Arial" w:cs="Arial"/>
        </w:rPr>
        <w:t>On behalf of the National Council on Disability (NCD), I submit this report titled</w:t>
      </w:r>
      <w:r w:rsidRPr="006C2654">
        <w:rPr>
          <w:rFonts w:ascii="Arial" w:hAnsi="Arial" w:cs="Arial"/>
          <w:i/>
          <w:iCs/>
        </w:rPr>
        <w:t xml:space="preserve"> Enforceable Accessible Medical Equipment Standards</w:t>
      </w:r>
      <w:r w:rsidR="00BD0663">
        <w:rPr>
          <w:rFonts w:ascii="Arial" w:hAnsi="Arial" w:cs="Arial"/>
          <w:i/>
          <w:iCs/>
        </w:rPr>
        <w:t>—</w:t>
      </w:r>
      <w:r w:rsidRPr="006C2654">
        <w:rPr>
          <w:rFonts w:ascii="Arial" w:hAnsi="Arial" w:cs="Arial"/>
          <w:i/>
          <w:iCs/>
        </w:rPr>
        <w:t>A Necessary Means to Address the Health</w:t>
      </w:r>
      <w:r w:rsidR="00BD0663">
        <w:rPr>
          <w:rFonts w:ascii="Arial" w:hAnsi="Arial" w:cs="Arial"/>
          <w:i/>
          <w:iCs/>
        </w:rPr>
        <w:t xml:space="preserve"> </w:t>
      </w:r>
      <w:r w:rsidR="00BA76A2">
        <w:rPr>
          <w:rFonts w:ascii="Arial" w:hAnsi="Arial" w:cs="Arial"/>
          <w:i/>
          <w:iCs/>
        </w:rPr>
        <w:t>C</w:t>
      </w:r>
      <w:bookmarkStart w:id="41" w:name="_GoBack"/>
      <w:bookmarkEnd w:id="41"/>
      <w:r w:rsidRPr="006C2654">
        <w:rPr>
          <w:rFonts w:ascii="Arial" w:hAnsi="Arial" w:cs="Arial"/>
          <w:i/>
          <w:iCs/>
        </w:rPr>
        <w:t>are Needs of People with Mobility Disabilities.</w:t>
      </w:r>
      <w:r w:rsidRPr="006C2654">
        <w:rPr>
          <w:rFonts w:ascii="Arial" w:hAnsi="Arial" w:cs="Arial"/>
        </w:rPr>
        <w:t xml:space="preserve"> For all of the reasons set forth in this report, we recommend that both the U.S. Department of Justice (DOJ) and the U.S. Department of Health and Human Services Office of Civil Rights (HHS OCR) move forward with the regulatory process to adopt the January 9, 2017 accessible medical diagnostic equipment standards (MDE Standards) developed by the U.S. Access Board (Access Board). Adoption of the MDE Standards is necessary to eliminate this one barrier that adversely affects quality of care for adults with physical disabilities leading to delayed and incomplete care, misdiagnosis, the exacerbation of the original disability, along with the increased likelihood of developing secondary conditions. </w:t>
      </w:r>
    </w:p>
    <w:p w14:paraId="4F1C87EA" w14:textId="77777777" w:rsidR="006C2654" w:rsidRPr="006C2654" w:rsidRDefault="006C2654" w:rsidP="006C2654">
      <w:pPr>
        <w:spacing w:after="0" w:line="240" w:lineRule="auto"/>
        <w:rPr>
          <w:rFonts w:ascii="Arial" w:hAnsi="Arial" w:cs="Arial"/>
        </w:rPr>
      </w:pPr>
    </w:p>
    <w:p w14:paraId="75E0C130" w14:textId="527BC096" w:rsidR="00591EF1" w:rsidRDefault="006C2654" w:rsidP="006C2654">
      <w:pPr>
        <w:spacing w:after="0" w:line="240" w:lineRule="auto"/>
        <w:rPr>
          <w:rFonts w:ascii="Arial" w:hAnsi="Arial" w:cs="Arial"/>
        </w:rPr>
      </w:pPr>
      <w:r w:rsidRPr="006C2654">
        <w:rPr>
          <w:rFonts w:ascii="Arial" w:hAnsi="Arial" w:cs="Arial"/>
        </w:rPr>
        <w:t xml:space="preserve">In 2009, NCD issued a research report, </w:t>
      </w:r>
      <w:r w:rsidRPr="006C2654">
        <w:rPr>
          <w:rFonts w:ascii="Arial" w:hAnsi="Arial" w:cs="Arial"/>
          <w:i/>
          <w:iCs/>
        </w:rPr>
        <w:t xml:space="preserve">The Current State of Health Care for People with </w:t>
      </w:r>
      <w:proofErr w:type="gramStart"/>
      <w:r w:rsidRPr="006C2654">
        <w:rPr>
          <w:rFonts w:ascii="Arial" w:hAnsi="Arial" w:cs="Arial"/>
          <w:i/>
          <w:iCs/>
        </w:rPr>
        <w:t>Disabilities</w:t>
      </w:r>
      <w:r w:rsidRPr="006C2654">
        <w:rPr>
          <w:rFonts w:ascii="Arial" w:hAnsi="Arial" w:cs="Arial"/>
        </w:rPr>
        <w:t>, that</w:t>
      </w:r>
      <w:proofErr w:type="gramEnd"/>
      <w:r w:rsidRPr="006C2654">
        <w:rPr>
          <w:rFonts w:ascii="Arial" w:hAnsi="Arial" w:cs="Arial"/>
        </w:rPr>
        <w:t xml:space="preserve"> concluded that the then 54 million Americans with disabilities experienced health disparities and problems accessing health</w:t>
      </w:r>
      <w:r w:rsidR="00BD0663">
        <w:rPr>
          <w:rFonts w:ascii="Arial" w:hAnsi="Arial" w:cs="Arial"/>
        </w:rPr>
        <w:t xml:space="preserve"> </w:t>
      </w:r>
      <w:r w:rsidRPr="006C2654">
        <w:rPr>
          <w:rFonts w:ascii="Arial" w:hAnsi="Arial" w:cs="Arial"/>
        </w:rPr>
        <w:t>care. The report documented a serious issue, often overlooked in research on health disparities</w:t>
      </w:r>
      <w:r w:rsidR="00BD0663">
        <w:rPr>
          <w:rFonts w:ascii="Arial" w:hAnsi="Arial" w:cs="Arial"/>
        </w:rPr>
        <w:t>—</w:t>
      </w:r>
      <w:r w:rsidRPr="006C2654">
        <w:rPr>
          <w:rFonts w:ascii="Arial" w:hAnsi="Arial" w:cs="Arial"/>
        </w:rPr>
        <w:t xml:space="preserve">the inability of people with mobility disabilities to access medical care due to exam tables and other medical diagnostic equipment that were not height-adjustable. Soon </w:t>
      </w:r>
    </w:p>
    <w:p w14:paraId="6A9C07FF" w14:textId="77777777" w:rsidR="00591EF1" w:rsidRDefault="00591EF1">
      <w:pPr>
        <w:spacing w:after="200"/>
        <w:rPr>
          <w:rFonts w:ascii="Arial" w:hAnsi="Arial" w:cs="Arial"/>
        </w:rPr>
      </w:pPr>
      <w:r>
        <w:rPr>
          <w:rFonts w:ascii="Arial" w:hAnsi="Arial" w:cs="Arial"/>
        </w:rPr>
        <w:br w:type="page"/>
      </w:r>
    </w:p>
    <w:p w14:paraId="1496EEE2" w14:textId="7098098A" w:rsidR="006C2654" w:rsidRPr="006C2654" w:rsidRDefault="006C2654" w:rsidP="006C2654">
      <w:pPr>
        <w:spacing w:after="0" w:line="240" w:lineRule="auto"/>
        <w:rPr>
          <w:rFonts w:ascii="Arial" w:hAnsi="Arial" w:cs="Arial"/>
        </w:rPr>
      </w:pPr>
      <w:proofErr w:type="gramStart"/>
      <w:r w:rsidRPr="006C2654">
        <w:rPr>
          <w:rFonts w:ascii="Arial" w:hAnsi="Arial" w:cs="Arial"/>
        </w:rPr>
        <w:lastRenderedPageBreak/>
        <w:t>thereafter</w:t>
      </w:r>
      <w:proofErr w:type="gramEnd"/>
      <w:r w:rsidRPr="006C2654">
        <w:rPr>
          <w:rFonts w:ascii="Arial" w:hAnsi="Arial" w:cs="Arial"/>
        </w:rPr>
        <w:t xml:space="preserve">, in 2010, the U.S. Department of Health and Human Services report, </w:t>
      </w:r>
      <w:r w:rsidRPr="006C2654">
        <w:rPr>
          <w:rFonts w:ascii="Arial" w:hAnsi="Arial" w:cs="Arial"/>
          <w:i/>
          <w:iCs/>
        </w:rPr>
        <w:t>Healthy People 2020</w:t>
      </w:r>
      <w:r w:rsidRPr="006C2654">
        <w:rPr>
          <w:rFonts w:ascii="Arial" w:hAnsi="Arial" w:cs="Arial"/>
        </w:rPr>
        <w:t>, documented that people with disabilities were more likely than those without disabilities to experience difficulties in getting the health</w:t>
      </w:r>
      <w:r w:rsidR="00BD0663">
        <w:rPr>
          <w:rFonts w:ascii="Arial" w:hAnsi="Arial" w:cs="Arial"/>
        </w:rPr>
        <w:t xml:space="preserve"> </w:t>
      </w:r>
      <w:r w:rsidRPr="006C2654">
        <w:rPr>
          <w:rFonts w:ascii="Arial" w:hAnsi="Arial" w:cs="Arial"/>
        </w:rPr>
        <w:t>care they needed, and made decreasing barriers within health</w:t>
      </w:r>
      <w:r w:rsidR="00BD0663">
        <w:rPr>
          <w:rFonts w:ascii="Arial" w:hAnsi="Arial" w:cs="Arial"/>
        </w:rPr>
        <w:t xml:space="preserve"> </w:t>
      </w:r>
      <w:r w:rsidRPr="006C2654">
        <w:rPr>
          <w:rFonts w:ascii="Arial" w:hAnsi="Arial" w:cs="Arial"/>
        </w:rPr>
        <w:t>care facilities one of its objectives for U.S. health</w:t>
      </w:r>
      <w:r w:rsidR="00BD0663">
        <w:rPr>
          <w:rFonts w:ascii="Arial" w:hAnsi="Arial" w:cs="Arial"/>
        </w:rPr>
        <w:t xml:space="preserve"> </w:t>
      </w:r>
      <w:r w:rsidRPr="006C2654">
        <w:rPr>
          <w:rFonts w:ascii="Arial" w:hAnsi="Arial" w:cs="Arial"/>
        </w:rPr>
        <w:t xml:space="preserve">care by 2020. </w:t>
      </w:r>
    </w:p>
    <w:p w14:paraId="741BC644" w14:textId="77777777" w:rsidR="006C2654" w:rsidRDefault="006C2654" w:rsidP="006C2654">
      <w:pPr>
        <w:spacing w:after="0" w:line="240" w:lineRule="auto"/>
        <w:rPr>
          <w:rFonts w:ascii="Arial" w:hAnsi="Arial" w:cs="Arial"/>
        </w:rPr>
      </w:pPr>
    </w:p>
    <w:p w14:paraId="7D570387" w14:textId="13B2E52D" w:rsidR="006C2654" w:rsidRPr="006C2654" w:rsidRDefault="006C2654" w:rsidP="006C2654">
      <w:pPr>
        <w:spacing w:after="0" w:line="240" w:lineRule="auto"/>
        <w:rPr>
          <w:rFonts w:ascii="Arial" w:hAnsi="Arial" w:cs="Arial"/>
        </w:rPr>
      </w:pPr>
      <w:r w:rsidRPr="006C2654">
        <w:rPr>
          <w:rFonts w:ascii="Arial" w:hAnsi="Arial" w:cs="Arial"/>
        </w:rPr>
        <w:t>Provisions of Section 4203 of the Patient Protection and Affordable Care Act of 2010 (Public Law 111-148, 124 Stat. L. 119), required the U.S. Access Board (Access Board), in consultation with the Food and Drug Administration, to issue MDE Standards to accommodate adults with disabilities. In 2013, the Access Board issued a report that identified inaccessible medical equipment among the reasons for the susceptibility of people with disabilities to experience substandard health</w:t>
      </w:r>
      <w:r w:rsidR="00BD0663">
        <w:rPr>
          <w:rFonts w:ascii="Arial" w:hAnsi="Arial" w:cs="Arial"/>
        </w:rPr>
        <w:t xml:space="preserve"> </w:t>
      </w:r>
      <w:r w:rsidRPr="006C2654">
        <w:rPr>
          <w:rFonts w:ascii="Arial" w:hAnsi="Arial" w:cs="Arial"/>
        </w:rPr>
        <w:t>care, citing numerous studies documenting access barriers involving medical equipment and the health disparities experienced by millions of people with disabilities. The MDE Standards were published on January 9, 2017, providing technical criteria for medical diagnostic equipment to ensure it is usable by patients with disabilities.</w:t>
      </w:r>
    </w:p>
    <w:p w14:paraId="68921C35" w14:textId="77777777" w:rsidR="006C2654" w:rsidRDefault="006C2654" w:rsidP="006C2654">
      <w:pPr>
        <w:spacing w:after="0" w:line="240" w:lineRule="auto"/>
        <w:rPr>
          <w:rFonts w:ascii="Arial" w:hAnsi="Arial" w:cs="Arial"/>
        </w:rPr>
      </w:pPr>
    </w:p>
    <w:p w14:paraId="0E2F516D" w14:textId="3725E2DE" w:rsidR="006C2654" w:rsidRPr="006C2654" w:rsidRDefault="006C2654" w:rsidP="006C2654">
      <w:pPr>
        <w:spacing w:after="0" w:line="240" w:lineRule="auto"/>
        <w:rPr>
          <w:rFonts w:ascii="Arial" w:hAnsi="Arial" w:cs="Arial"/>
        </w:rPr>
      </w:pPr>
      <w:r w:rsidRPr="006C2654">
        <w:rPr>
          <w:rFonts w:ascii="Arial" w:hAnsi="Arial" w:cs="Arial"/>
        </w:rPr>
        <w:t>The MDE Standards are a critical aspect to addressing health</w:t>
      </w:r>
      <w:r w:rsidR="00BD0663">
        <w:rPr>
          <w:rFonts w:ascii="Arial" w:hAnsi="Arial" w:cs="Arial"/>
        </w:rPr>
        <w:t xml:space="preserve"> </w:t>
      </w:r>
      <w:r w:rsidRPr="006C2654">
        <w:rPr>
          <w:rFonts w:ascii="Arial" w:hAnsi="Arial" w:cs="Arial"/>
        </w:rPr>
        <w:t xml:space="preserve">care disparities for people with physical </w:t>
      </w:r>
      <w:proofErr w:type="gramStart"/>
      <w:r w:rsidRPr="006C2654">
        <w:rPr>
          <w:rFonts w:ascii="Arial" w:hAnsi="Arial" w:cs="Arial"/>
        </w:rPr>
        <w:t>disabilities,</w:t>
      </w:r>
      <w:proofErr w:type="gramEnd"/>
      <w:r w:rsidRPr="006C2654">
        <w:rPr>
          <w:rFonts w:ascii="Arial" w:hAnsi="Arial" w:cs="Arial"/>
        </w:rPr>
        <w:t xml:space="preserve"> however, they do not have the force of law until they are adopted by regulation by an enforcing authority, such as the DOJ and the HHS OCR. These agencies may issue regulations establishing scoping requirements and requiring health</w:t>
      </w:r>
      <w:r w:rsidR="00BD0663">
        <w:rPr>
          <w:rFonts w:ascii="Arial" w:hAnsi="Arial" w:cs="Arial"/>
        </w:rPr>
        <w:t xml:space="preserve"> </w:t>
      </w:r>
      <w:r w:rsidRPr="006C2654">
        <w:rPr>
          <w:rFonts w:ascii="Arial" w:hAnsi="Arial" w:cs="Arial"/>
        </w:rPr>
        <w:t>care providers, subject to their jurisdiction under the ADA and other civil rights laws, to acquire accessible medical diagnostic equipment that complies with the MDE Standards. To that end, in 2013, DOJ issued an Advance Notice of Proposed Rulemaking (ANPRM) on accessible medical equipment under titles II and III of the ADA but withdrew it on December 26, 2017</w:t>
      </w:r>
      <w:r w:rsidR="00BD0663">
        <w:rPr>
          <w:rFonts w:ascii="Arial" w:hAnsi="Arial" w:cs="Arial"/>
        </w:rPr>
        <w:t>,</w:t>
      </w:r>
      <w:r w:rsidRPr="006C2654">
        <w:rPr>
          <w:rFonts w:ascii="Arial" w:hAnsi="Arial" w:cs="Arial"/>
        </w:rPr>
        <w:t xml:space="preserve"> to reevaluate whether regulation of the accessibility of non-fixed equipment and furniture was necessary and appropriate. Only recently, in January 2021, HHS OCR began the regulatory process for amending its Section 504 regulation by issuing a Request for Information that includes questions on the MDE Standards. </w:t>
      </w:r>
    </w:p>
    <w:p w14:paraId="485100AF" w14:textId="77777777" w:rsidR="006C2654" w:rsidRDefault="006C2654" w:rsidP="006C2654">
      <w:pPr>
        <w:spacing w:after="0" w:line="240" w:lineRule="auto"/>
        <w:rPr>
          <w:rFonts w:ascii="Arial" w:hAnsi="Arial" w:cs="Arial"/>
        </w:rPr>
      </w:pPr>
    </w:p>
    <w:p w14:paraId="48536DFB" w14:textId="08D2693F" w:rsidR="006C2654" w:rsidRPr="006C2654" w:rsidRDefault="006C2654" w:rsidP="006C2654">
      <w:pPr>
        <w:spacing w:after="0" w:line="240" w:lineRule="auto"/>
        <w:rPr>
          <w:rFonts w:ascii="Arial" w:hAnsi="Arial" w:cs="Arial"/>
        </w:rPr>
      </w:pPr>
      <w:r w:rsidRPr="006C2654">
        <w:rPr>
          <w:rFonts w:ascii="Arial" w:hAnsi="Arial" w:cs="Arial"/>
        </w:rPr>
        <w:t>Federal regulations requiring availability of accessible medical and diagnostic equipment in health</w:t>
      </w:r>
      <w:r w:rsidR="00BD0663">
        <w:rPr>
          <w:rFonts w:ascii="Arial" w:hAnsi="Arial" w:cs="Arial"/>
        </w:rPr>
        <w:t xml:space="preserve"> </w:t>
      </w:r>
      <w:r w:rsidRPr="006C2654">
        <w:rPr>
          <w:rFonts w:ascii="Arial" w:hAnsi="Arial" w:cs="Arial"/>
        </w:rPr>
        <w:t>care facilities are necessary to the provision of nondiscriminatory health</w:t>
      </w:r>
      <w:r w:rsidR="00BD0663">
        <w:rPr>
          <w:rFonts w:ascii="Arial" w:hAnsi="Arial" w:cs="Arial"/>
        </w:rPr>
        <w:t xml:space="preserve"> </w:t>
      </w:r>
      <w:r w:rsidRPr="006C2654">
        <w:rPr>
          <w:rFonts w:ascii="Arial" w:hAnsi="Arial" w:cs="Arial"/>
        </w:rPr>
        <w:t>care for people with mobility disabilities and to help reduce the economic costs of treating chronic illnesses resulting from preventable illnesses. Without widespread availability of height adjustable examination tables, accessible mammography equipment, accessible weight scales and lift equipment to facilitate transfers, among other accessible medical and diagnostic equipment, people with mobility disabilities will remain less likely to receive recommended preventive health</w:t>
      </w:r>
      <w:r w:rsidR="00BD0663">
        <w:rPr>
          <w:rFonts w:ascii="Arial" w:hAnsi="Arial" w:cs="Arial"/>
        </w:rPr>
        <w:t xml:space="preserve"> </w:t>
      </w:r>
      <w:r w:rsidRPr="006C2654">
        <w:rPr>
          <w:rFonts w:ascii="Arial" w:hAnsi="Arial" w:cs="Arial"/>
        </w:rPr>
        <w:t>care services</w:t>
      </w:r>
      <w:r w:rsidR="00BD0663">
        <w:rPr>
          <w:rFonts w:ascii="Arial" w:hAnsi="Arial" w:cs="Arial"/>
        </w:rPr>
        <w:t>—</w:t>
      </w:r>
      <w:r w:rsidRPr="006C2654">
        <w:rPr>
          <w:rFonts w:ascii="Arial" w:hAnsi="Arial" w:cs="Arial"/>
        </w:rPr>
        <w:t>like cervical cancer screening; colorectal cancer screening; obesity screening; and breast cancer screening. Moreover, the absence of such equipment will continue to perpetuate health</w:t>
      </w:r>
      <w:r w:rsidR="00BD0663">
        <w:rPr>
          <w:rFonts w:ascii="Arial" w:hAnsi="Arial" w:cs="Arial"/>
        </w:rPr>
        <w:t xml:space="preserve"> </w:t>
      </w:r>
      <w:r w:rsidRPr="006C2654">
        <w:rPr>
          <w:rFonts w:ascii="Arial" w:hAnsi="Arial" w:cs="Arial"/>
        </w:rPr>
        <w:t xml:space="preserve">care disparities between people with physical disabilities and their nondisabled counterparts.  </w:t>
      </w:r>
    </w:p>
    <w:p w14:paraId="669414D6" w14:textId="77777777" w:rsidR="006C2654" w:rsidRDefault="006C2654" w:rsidP="006C2654">
      <w:pPr>
        <w:spacing w:after="0" w:line="240" w:lineRule="auto"/>
        <w:rPr>
          <w:rFonts w:ascii="Arial" w:hAnsi="Arial" w:cs="Arial"/>
        </w:rPr>
      </w:pPr>
    </w:p>
    <w:p w14:paraId="505EC7EA" w14:textId="77777777" w:rsidR="00591EF1" w:rsidRDefault="00591EF1">
      <w:pPr>
        <w:spacing w:after="200"/>
        <w:rPr>
          <w:rFonts w:ascii="Arial" w:hAnsi="Arial" w:cs="Arial"/>
        </w:rPr>
      </w:pPr>
      <w:r>
        <w:rPr>
          <w:rFonts w:ascii="Arial" w:hAnsi="Arial" w:cs="Arial"/>
        </w:rPr>
        <w:br w:type="page"/>
      </w:r>
    </w:p>
    <w:p w14:paraId="43AF168B" w14:textId="56FAE92C" w:rsidR="006C2654" w:rsidRPr="006C2654" w:rsidRDefault="006C2654" w:rsidP="006C2654">
      <w:pPr>
        <w:spacing w:after="0" w:line="240" w:lineRule="auto"/>
        <w:rPr>
          <w:rFonts w:ascii="Arial" w:hAnsi="Arial" w:cs="Arial"/>
        </w:rPr>
      </w:pPr>
      <w:r w:rsidRPr="006C2654">
        <w:rPr>
          <w:rFonts w:ascii="Arial" w:hAnsi="Arial" w:cs="Arial"/>
        </w:rPr>
        <w:lastRenderedPageBreak/>
        <w:t>Adopting MDE Standards is consistent with your commitment to addressing health</w:t>
      </w:r>
      <w:r w:rsidR="00BD0663">
        <w:rPr>
          <w:rFonts w:ascii="Arial" w:hAnsi="Arial" w:cs="Arial"/>
        </w:rPr>
        <w:t xml:space="preserve"> </w:t>
      </w:r>
      <w:r w:rsidRPr="006C2654">
        <w:rPr>
          <w:rFonts w:ascii="Arial" w:hAnsi="Arial" w:cs="Arial"/>
        </w:rPr>
        <w:t>care disparities and ensuring equity in health</w:t>
      </w:r>
      <w:r w:rsidR="00BD0663">
        <w:rPr>
          <w:rFonts w:ascii="Arial" w:hAnsi="Arial" w:cs="Arial"/>
        </w:rPr>
        <w:t xml:space="preserve"> </w:t>
      </w:r>
      <w:r w:rsidRPr="006C2654">
        <w:rPr>
          <w:rFonts w:ascii="Arial" w:hAnsi="Arial" w:cs="Arial"/>
        </w:rPr>
        <w:t>care for people with disabilities.</w:t>
      </w:r>
    </w:p>
    <w:p w14:paraId="55820BD1" w14:textId="59F001E9" w:rsidR="00BF2A3A" w:rsidRPr="00BF2A3A" w:rsidRDefault="00BF2A3A" w:rsidP="00BF2A3A">
      <w:pPr>
        <w:spacing w:after="0" w:line="240" w:lineRule="auto"/>
        <w:rPr>
          <w:rFonts w:ascii="Arial" w:hAnsi="Arial" w:cs="Arial"/>
        </w:rPr>
      </w:pPr>
    </w:p>
    <w:p w14:paraId="56BC0171" w14:textId="77777777" w:rsidR="00C23E4E" w:rsidRDefault="00C23E4E" w:rsidP="00BF2A3A">
      <w:pPr>
        <w:tabs>
          <w:tab w:val="left" w:pos="3510"/>
        </w:tabs>
        <w:spacing w:after="0" w:line="240" w:lineRule="auto"/>
        <w:rPr>
          <w:rFonts w:ascii="Arial" w:hAnsi="Arial" w:cs="Arial"/>
        </w:rPr>
      </w:pPr>
    </w:p>
    <w:p w14:paraId="790C44B0" w14:textId="0590254B" w:rsidR="00BF2A3A" w:rsidRPr="00BF2A3A" w:rsidRDefault="00BF2A3A" w:rsidP="00BF2A3A">
      <w:pPr>
        <w:tabs>
          <w:tab w:val="left" w:pos="3510"/>
        </w:tabs>
        <w:spacing w:after="0" w:line="240" w:lineRule="auto"/>
        <w:rPr>
          <w:rFonts w:ascii="Arial" w:hAnsi="Arial" w:cs="Arial"/>
        </w:rPr>
      </w:pPr>
      <w:r w:rsidRPr="00BF2A3A">
        <w:rPr>
          <w:rFonts w:ascii="Arial" w:hAnsi="Arial" w:cs="Arial"/>
        </w:rPr>
        <w:t>Most respectfully,</w:t>
      </w:r>
    </w:p>
    <w:p w14:paraId="66B40620" w14:textId="77777777" w:rsidR="00BF2A3A" w:rsidRPr="00BF2A3A" w:rsidRDefault="00BF2A3A" w:rsidP="00BF2A3A">
      <w:pPr>
        <w:tabs>
          <w:tab w:val="left" w:pos="3510"/>
        </w:tabs>
        <w:spacing w:after="0" w:line="240" w:lineRule="auto"/>
        <w:rPr>
          <w:rFonts w:ascii="Arial" w:hAnsi="Arial" w:cs="Arial"/>
        </w:rPr>
      </w:pPr>
    </w:p>
    <w:p w14:paraId="2972B23C" w14:textId="302C81B6" w:rsidR="00A7579C" w:rsidRDefault="00A7579C" w:rsidP="00A7579C">
      <w:pPr>
        <w:tabs>
          <w:tab w:val="left" w:pos="3510"/>
        </w:tabs>
        <w:spacing w:line="240" w:lineRule="auto"/>
        <w:rPr>
          <w:rFonts w:ascii="Arial" w:hAnsi="Arial" w:cs="Arial"/>
        </w:rPr>
      </w:pPr>
      <w:r>
        <w:rPr>
          <w:noProof/>
        </w:rPr>
        <w:drawing>
          <wp:inline distT="0" distB="0" distL="0" distR="0" wp14:anchorId="3678FBC2" wp14:editId="6DF3EFD0">
            <wp:extent cx="1378021" cy="457223"/>
            <wp:effectExtent l="0" t="0" r="0" b="0"/>
            <wp:docPr id="1" name="Picture 1" descr="Andrés J. Gall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8021" cy="457223"/>
                    </a:xfrm>
                    <a:prstGeom prst="rect">
                      <a:avLst/>
                    </a:prstGeom>
                  </pic:spPr>
                </pic:pic>
              </a:graphicData>
            </a:graphic>
          </wp:inline>
        </w:drawing>
      </w:r>
    </w:p>
    <w:p w14:paraId="235BF2F0" w14:textId="77777777" w:rsidR="00BF2A3A" w:rsidRPr="00BF2A3A" w:rsidRDefault="00BF2A3A" w:rsidP="00BF2A3A">
      <w:pPr>
        <w:tabs>
          <w:tab w:val="left" w:pos="3510"/>
        </w:tabs>
        <w:spacing w:after="0" w:line="240" w:lineRule="auto"/>
        <w:rPr>
          <w:rFonts w:ascii="Arial" w:hAnsi="Arial" w:cs="Arial"/>
        </w:rPr>
      </w:pPr>
      <w:r w:rsidRPr="00BF2A3A">
        <w:rPr>
          <w:rFonts w:ascii="Arial" w:hAnsi="Arial" w:cs="Arial"/>
        </w:rPr>
        <w:t>Andrés J. Gallegos</w:t>
      </w:r>
    </w:p>
    <w:p w14:paraId="19839797" w14:textId="455C7B7E" w:rsidR="00BF2A3A" w:rsidRPr="00BF2A3A" w:rsidRDefault="00AE1AE0" w:rsidP="00BF2A3A">
      <w:pPr>
        <w:tabs>
          <w:tab w:val="left" w:pos="3510"/>
        </w:tabs>
        <w:spacing w:after="0" w:line="240" w:lineRule="auto"/>
        <w:rPr>
          <w:rFonts w:ascii="Arial" w:hAnsi="Arial" w:cs="Arial"/>
        </w:rPr>
      </w:pPr>
      <w:r w:rsidRPr="00AE1AE0">
        <w:rPr>
          <w:rFonts w:ascii="Arial" w:hAnsi="Arial" w:cs="Arial"/>
        </w:rPr>
        <w:t>Chair</w:t>
      </w:r>
      <w:r w:rsidR="00BD0663">
        <w:rPr>
          <w:rFonts w:ascii="Arial" w:hAnsi="Arial" w:cs="Arial"/>
        </w:rPr>
        <w:t>man</w:t>
      </w:r>
    </w:p>
    <w:p w14:paraId="5050C605" w14:textId="76ED0239" w:rsidR="00AF7EA5" w:rsidRDefault="00FE0A71" w:rsidP="00AF7EA5">
      <w:pPr>
        <w:pStyle w:val="NCDBodyText"/>
        <w:rPr>
          <w:rFonts w:eastAsiaTheme="majorEastAsia" w:cs="Arial"/>
          <w:sz w:val="36"/>
          <w:szCs w:val="28"/>
        </w:rPr>
      </w:pPr>
      <w:r w:rsidRPr="003D4B91">
        <w:br w:type="page"/>
      </w:r>
      <w:bookmarkStart w:id="42" w:name="_Toc536538195"/>
      <w:bookmarkStart w:id="43" w:name="_Toc536539650"/>
      <w:bookmarkStart w:id="44" w:name="_Toc536540993"/>
      <w:bookmarkStart w:id="45" w:name="_Toc536541253"/>
      <w:bookmarkStart w:id="46" w:name="_Toc536797953"/>
      <w:bookmarkStart w:id="47" w:name="_Toc16341414"/>
      <w:bookmarkStart w:id="48" w:name="_Toc17541824"/>
      <w:bookmarkStart w:id="49" w:name="_Toc17823799"/>
      <w:bookmarkStart w:id="50" w:name="_Toc17824015"/>
      <w:bookmarkStart w:id="51" w:name="_Toc17826324"/>
      <w:bookmarkStart w:id="52" w:name="_Toc18918238"/>
      <w:bookmarkStart w:id="53" w:name="_Toc19546938"/>
      <w:bookmarkStart w:id="54" w:name="_Toc19805860"/>
    </w:p>
    <w:p w14:paraId="7D497398" w14:textId="77777777" w:rsidR="008B0313" w:rsidRDefault="008B0313">
      <w:pPr>
        <w:spacing w:after="200"/>
        <w:rPr>
          <w:rFonts w:ascii="Arial" w:eastAsiaTheme="majorEastAsia" w:hAnsi="Arial" w:cs="Arial"/>
          <w:b/>
          <w:bCs/>
          <w:sz w:val="36"/>
          <w:szCs w:val="28"/>
        </w:rPr>
      </w:pPr>
      <w:bookmarkStart w:id="55" w:name="_Toc43793863"/>
      <w:bookmarkStart w:id="56" w:name="_Toc44234262"/>
      <w:bookmarkStart w:id="57" w:name="_Toc44336113"/>
      <w:r>
        <w:lastRenderedPageBreak/>
        <w:br w:type="page"/>
      </w:r>
    </w:p>
    <w:p w14:paraId="70D27E41" w14:textId="181874E7" w:rsidR="000757BC" w:rsidRPr="003D4B91" w:rsidRDefault="000757BC" w:rsidP="000757BC">
      <w:pPr>
        <w:pStyle w:val="NCDNationalCouncilStaff"/>
        <w:spacing w:before="0"/>
      </w:pPr>
      <w:bookmarkStart w:id="58" w:name="_Toc68697863"/>
      <w:bookmarkStart w:id="59" w:name="_Toc68699076"/>
      <w:bookmarkStart w:id="60" w:name="_Toc69374199"/>
      <w:r w:rsidRPr="003D4B91">
        <w:lastRenderedPageBreak/>
        <w:t>National Council on Disability Members and Staff</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56428670" w14:textId="77777777" w:rsidR="000757BC" w:rsidRDefault="000757BC" w:rsidP="000757BC">
      <w:pPr>
        <w:pStyle w:val="NCDBodyText"/>
      </w:pPr>
    </w:p>
    <w:p w14:paraId="06A7EA51" w14:textId="33FD8870" w:rsidR="008B0313" w:rsidRPr="00E00E30" w:rsidRDefault="008B0313" w:rsidP="00E00E30">
      <w:pPr>
        <w:pStyle w:val="NCDBodyText"/>
        <w:spacing w:line="240" w:lineRule="auto"/>
        <w:jc w:val="center"/>
        <w:rPr>
          <w:b/>
        </w:rPr>
      </w:pPr>
      <w:r w:rsidRPr="00E00E30">
        <w:rPr>
          <w:b/>
        </w:rPr>
        <w:t>Members</w:t>
      </w:r>
    </w:p>
    <w:p w14:paraId="72D4E184" w14:textId="77777777" w:rsidR="008B0313" w:rsidRDefault="008B0313" w:rsidP="00E00E30">
      <w:pPr>
        <w:pStyle w:val="NCDBodyText"/>
        <w:spacing w:after="0" w:line="240" w:lineRule="auto"/>
        <w:jc w:val="center"/>
        <w:rPr>
          <w:sz w:val="23"/>
          <w:szCs w:val="23"/>
        </w:rPr>
      </w:pPr>
      <w:r w:rsidRPr="006A18A3">
        <w:rPr>
          <w:sz w:val="23"/>
          <w:szCs w:val="23"/>
        </w:rPr>
        <w:t>Andrés</w:t>
      </w:r>
      <w:r>
        <w:rPr>
          <w:sz w:val="23"/>
          <w:szCs w:val="23"/>
        </w:rPr>
        <w:t xml:space="preserve"> J. Gallegos, </w:t>
      </w:r>
      <w:r w:rsidRPr="006A18A3">
        <w:rPr>
          <w:i/>
          <w:iCs/>
          <w:sz w:val="23"/>
          <w:szCs w:val="23"/>
        </w:rPr>
        <w:t>Chairman</w:t>
      </w:r>
    </w:p>
    <w:p w14:paraId="6BDC78B7" w14:textId="77777777" w:rsidR="008B0313" w:rsidRPr="001E1B29" w:rsidRDefault="008B0313" w:rsidP="00E00E30">
      <w:pPr>
        <w:pStyle w:val="NCDBodyText"/>
        <w:spacing w:after="0" w:line="240" w:lineRule="auto"/>
        <w:jc w:val="center"/>
        <w:rPr>
          <w:sz w:val="23"/>
          <w:szCs w:val="23"/>
        </w:rPr>
      </w:pPr>
      <w:r>
        <w:rPr>
          <w:sz w:val="23"/>
          <w:szCs w:val="23"/>
        </w:rPr>
        <w:t xml:space="preserve">Jim Brett, </w:t>
      </w:r>
      <w:r>
        <w:rPr>
          <w:i/>
          <w:sz w:val="23"/>
          <w:szCs w:val="23"/>
        </w:rPr>
        <w:t>Vice Chair</w:t>
      </w:r>
    </w:p>
    <w:p w14:paraId="040FF6C0" w14:textId="77777777" w:rsidR="008B0313" w:rsidRDefault="008B0313" w:rsidP="00E00E30">
      <w:pPr>
        <w:pStyle w:val="NCDBodyText"/>
        <w:spacing w:after="0" w:line="240" w:lineRule="auto"/>
        <w:jc w:val="center"/>
        <w:rPr>
          <w:sz w:val="23"/>
          <w:szCs w:val="23"/>
        </w:rPr>
      </w:pPr>
      <w:r>
        <w:rPr>
          <w:sz w:val="23"/>
          <w:szCs w:val="23"/>
        </w:rPr>
        <w:t>Jim Baldwin</w:t>
      </w:r>
    </w:p>
    <w:p w14:paraId="7379D75F" w14:textId="77777777" w:rsidR="008B0313" w:rsidRDefault="008B0313" w:rsidP="00E00E30">
      <w:pPr>
        <w:pStyle w:val="NCDBodyText"/>
        <w:spacing w:after="0" w:line="240" w:lineRule="auto"/>
        <w:jc w:val="center"/>
        <w:rPr>
          <w:sz w:val="23"/>
          <w:szCs w:val="23"/>
        </w:rPr>
      </w:pPr>
      <w:r>
        <w:rPr>
          <w:sz w:val="23"/>
          <w:szCs w:val="23"/>
        </w:rPr>
        <w:t>David D’Arcangelo</w:t>
      </w:r>
    </w:p>
    <w:p w14:paraId="24485D7C" w14:textId="77777777" w:rsidR="008B0313" w:rsidRDefault="008B0313" w:rsidP="00E00E30">
      <w:pPr>
        <w:pStyle w:val="NCDBodyText"/>
        <w:spacing w:after="0" w:line="240" w:lineRule="auto"/>
        <w:jc w:val="center"/>
        <w:rPr>
          <w:sz w:val="23"/>
          <w:szCs w:val="23"/>
        </w:rPr>
      </w:pPr>
      <w:proofErr w:type="spellStart"/>
      <w:r>
        <w:rPr>
          <w:sz w:val="23"/>
          <w:szCs w:val="23"/>
        </w:rPr>
        <w:t>Munr</w:t>
      </w:r>
      <w:proofErr w:type="spellEnd"/>
      <w:r>
        <w:rPr>
          <w:sz w:val="23"/>
          <w:szCs w:val="23"/>
        </w:rPr>
        <w:t xml:space="preserve"> </w:t>
      </w:r>
      <w:proofErr w:type="spellStart"/>
      <w:r>
        <w:rPr>
          <w:sz w:val="23"/>
          <w:szCs w:val="23"/>
        </w:rPr>
        <w:t>Kazmir</w:t>
      </w:r>
      <w:proofErr w:type="spellEnd"/>
      <w:r>
        <w:rPr>
          <w:sz w:val="23"/>
          <w:szCs w:val="23"/>
        </w:rPr>
        <w:t>, M.D.</w:t>
      </w:r>
    </w:p>
    <w:p w14:paraId="07372F33" w14:textId="77777777" w:rsidR="008B0313" w:rsidRPr="008B0313" w:rsidRDefault="008B0313" w:rsidP="00E00E30">
      <w:pPr>
        <w:pStyle w:val="NCDBodyText"/>
        <w:spacing w:after="0" w:line="240" w:lineRule="auto"/>
        <w:jc w:val="center"/>
        <w:rPr>
          <w:sz w:val="23"/>
          <w:szCs w:val="23"/>
          <w:lang w:val="sv-SE"/>
        </w:rPr>
      </w:pPr>
      <w:r w:rsidRPr="008B0313">
        <w:rPr>
          <w:sz w:val="23"/>
          <w:szCs w:val="23"/>
          <w:lang w:val="sv-SE"/>
        </w:rPr>
        <w:t>Rick Radar, M.D.</w:t>
      </w:r>
    </w:p>
    <w:p w14:paraId="6B1A6023" w14:textId="77777777" w:rsidR="008B0313" w:rsidRPr="008B0313" w:rsidRDefault="008B0313" w:rsidP="00E00E30">
      <w:pPr>
        <w:pStyle w:val="NCDBodyText"/>
        <w:spacing w:after="0" w:line="240" w:lineRule="auto"/>
        <w:jc w:val="center"/>
        <w:rPr>
          <w:sz w:val="23"/>
          <w:szCs w:val="23"/>
          <w:lang w:val="sv-SE"/>
        </w:rPr>
      </w:pPr>
      <w:r w:rsidRPr="008B0313">
        <w:rPr>
          <w:sz w:val="23"/>
          <w:szCs w:val="23"/>
          <w:lang w:val="sv-SE"/>
        </w:rPr>
        <w:t>Neil Romano</w:t>
      </w:r>
    </w:p>
    <w:p w14:paraId="6DE709C9" w14:textId="77777777" w:rsidR="008B0313" w:rsidRPr="0093721F" w:rsidRDefault="008B0313" w:rsidP="00E00E30">
      <w:pPr>
        <w:pStyle w:val="NCDBodyText"/>
        <w:spacing w:after="0" w:line="240" w:lineRule="auto"/>
        <w:jc w:val="center"/>
        <w:rPr>
          <w:sz w:val="23"/>
          <w:szCs w:val="23"/>
        </w:rPr>
      </w:pPr>
      <w:r w:rsidRPr="0093721F">
        <w:rPr>
          <w:sz w:val="23"/>
          <w:szCs w:val="23"/>
        </w:rPr>
        <w:t xml:space="preserve">Daniel C. </w:t>
      </w:r>
      <w:proofErr w:type="spellStart"/>
      <w:r w:rsidRPr="0093721F">
        <w:rPr>
          <w:sz w:val="23"/>
          <w:szCs w:val="23"/>
        </w:rPr>
        <w:t>Schreck</w:t>
      </w:r>
      <w:proofErr w:type="spellEnd"/>
    </w:p>
    <w:p w14:paraId="536F5396" w14:textId="77777777" w:rsidR="008B0313" w:rsidRPr="007B383B" w:rsidRDefault="008B0313" w:rsidP="00E00E30">
      <w:pPr>
        <w:pStyle w:val="NCDBodyText"/>
        <w:spacing w:after="0" w:line="240" w:lineRule="auto"/>
        <w:jc w:val="center"/>
        <w:rPr>
          <w:sz w:val="23"/>
          <w:szCs w:val="23"/>
        </w:rPr>
      </w:pPr>
      <w:r w:rsidRPr="007B383B">
        <w:rPr>
          <w:sz w:val="23"/>
          <w:szCs w:val="23"/>
        </w:rPr>
        <w:t>Mary G. Vought</w:t>
      </w:r>
    </w:p>
    <w:p w14:paraId="72C82465" w14:textId="77777777" w:rsidR="00E00E30" w:rsidRPr="004F7F26" w:rsidRDefault="00E00E30" w:rsidP="00E00E30">
      <w:pPr>
        <w:spacing w:after="0" w:line="240" w:lineRule="auto"/>
        <w:jc w:val="center"/>
      </w:pPr>
    </w:p>
    <w:p w14:paraId="03292703" w14:textId="77777777" w:rsidR="00E00E30" w:rsidRPr="003D4B91" w:rsidRDefault="00E00E30" w:rsidP="00E00E30">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Staff</w:t>
      </w:r>
    </w:p>
    <w:p w14:paraId="57C25EC5" w14:textId="52F2A882" w:rsidR="008B0313" w:rsidRDefault="008B0313" w:rsidP="00E00E30">
      <w:pPr>
        <w:pStyle w:val="NCDBodyText"/>
        <w:spacing w:after="0" w:line="240" w:lineRule="auto"/>
        <w:jc w:val="center"/>
        <w:rPr>
          <w:sz w:val="23"/>
          <w:szCs w:val="23"/>
        </w:rPr>
      </w:pPr>
      <w:r>
        <w:rPr>
          <w:sz w:val="23"/>
          <w:szCs w:val="23"/>
        </w:rPr>
        <w:t>Anne C. Sommers McIntosh</w:t>
      </w:r>
      <w:r w:rsidRPr="001E1B29">
        <w:rPr>
          <w:sz w:val="23"/>
          <w:szCs w:val="23"/>
        </w:rPr>
        <w:t>, Executive Director</w:t>
      </w:r>
    </w:p>
    <w:p w14:paraId="56BA9597" w14:textId="77777777" w:rsidR="008B0313" w:rsidRDefault="008B0313" w:rsidP="00E00E30">
      <w:pPr>
        <w:pStyle w:val="NCDBodyText"/>
        <w:spacing w:after="0" w:line="240" w:lineRule="auto"/>
        <w:jc w:val="center"/>
        <w:rPr>
          <w:sz w:val="23"/>
          <w:szCs w:val="23"/>
        </w:rPr>
      </w:pPr>
      <w:r>
        <w:rPr>
          <w:sz w:val="23"/>
          <w:szCs w:val="23"/>
        </w:rPr>
        <w:t>Joan M. Durocher, General Counsel &amp; Director of Policy</w:t>
      </w:r>
    </w:p>
    <w:p w14:paraId="4F099C85" w14:textId="5E934A5D" w:rsidR="008B0313" w:rsidRDefault="008B0313" w:rsidP="00E00E30">
      <w:pPr>
        <w:pStyle w:val="NCDBodyText"/>
        <w:spacing w:after="0" w:line="240" w:lineRule="auto"/>
        <w:jc w:val="center"/>
        <w:rPr>
          <w:sz w:val="23"/>
          <w:szCs w:val="23"/>
        </w:rPr>
      </w:pPr>
      <w:r>
        <w:rPr>
          <w:sz w:val="23"/>
          <w:szCs w:val="23"/>
        </w:rPr>
        <w:t xml:space="preserve">Lisa Grubb, </w:t>
      </w:r>
      <w:r w:rsidR="00176C01" w:rsidRPr="00176C01">
        <w:rPr>
          <w:sz w:val="23"/>
          <w:szCs w:val="23"/>
        </w:rPr>
        <w:t>Director of Administration, Finance, and Operations</w:t>
      </w:r>
    </w:p>
    <w:p w14:paraId="5D26C26D" w14:textId="77777777" w:rsidR="008B0313" w:rsidRDefault="008B0313" w:rsidP="00E00E30">
      <w:pPr>
        <w:pStyle w:val="NCDBodyText"/>
        <w:spacing w:after="0" w:line="240" w:lineRule="auto"/>
        <w:jc w:val="center"/>
        <w:rPr>
          <w:sz w:val="23"/>
          <w:szCs w:val="23"/>
        </w:rPr>
      </w:pPr>
      <w:r>
        <w:rPr>
          <w:sz w:val="23"/>
          <w:szCs w:val="23"/>
        </w:rPr>
        <w:t>Stacey S. Brown, Staff Assistant</w:t>
      </w:r>
    </w:p>
    <w:p w14:paraId="32FDC84F" w14:textId="77777777" w:rsidR="008B0313" w:rsidRDefault="008B0313" w:rsidP="00E00E30">
      <w:pPr>
        <w:pStyle w:val="NCDBodyText"/>
        <w:spacing w:after="0" w:line="240" w:lineRule="auto"/>
        <w:jc w:val="center"/>
        <w:rPr>
          <w:sz w:val="23"/>
          <w:szCs w:val="23"/>
        </w:rPr>
      </w:pPr>
      <w:r>
        <w:rPr>
          <w:sz w:val="23"/>
          <w:szCs w:val="23"/>
        </w:rPr>
        <w:t xml:space="preserve">Kimie </w:t>
      </w:r>
      <w:proofErr w:type="spellStart"/>
      <w:r>
        <w:rPr>
          <w:sz w:val="23"/>
          <w:szCs w:val="23"/>
        </w:rPr>
        <w:t>Eacobacci</w:t>
      </w:r>
      <w:proofErr w:type="spellEnd"/>
      <w:r>
        <w:rPr>
          <w:sz w:val="23"/>
          <w:szCs w:val="23"/>
        </w:rPr>
        <w:t>, Legislative Affairs Specialist</w:t>
      </w:r>
    </w:p>
    <w:p w14:paraId="4CFA4A14" w14:textId="77777777" w:rsidR="008B0313" w:rsidRDefault="008B0313" w:rsidP="00E00E30">
      <w:pPr>
        <w:pStyle w:val="NCDBodyText"/>
        <w:spacing w:after="0" w:line="240" w:lineRule="auto"/>
        <w:jc w:val="center"/>
        <w:rPr>
          <w:sz w:val="23"/>
          <w:szCs w:val="23"/>
        </w:rPr>
      </w:pPr>
      <w:proofErr w:type="spellStart"/>
      <w:r>
        <w:rPr>
          <w:sz w:val="23"/>
          <w:szCs w:val="23"/>
        </w:rPr>
        <w:t>Netterie</w:t>
      </w:r>
      <w:proofErr w:type="spellEnd"/>
      <w:r>
        <w:rPr>
          <w:sz w:val="23"/>
          <w:szCs w:val="23"/>
        </w:rPr>
        <w:t xml:space="preserve"> Lewis, Administrative Support Specialist</w:t>
      </w:r>
    </w:p>
    <w:p w14:paraId="38F8B0C4" w14:textId="77777777" w:rsidR="008B0313" w:rsidRDefault="008B0313" w:rsidP="00E00E30">
      <w:pPr>
        <w:pStyle w:val="NCDBodyText"/>
        <w:spacing w:after="0" w:line="240" w:lineRule="auto"/>
        <w:jc w:val="center"/>
        <w:rPr>
          <w:sz w:val="23"/>
          <w:szCs w:val="23"/>
        </w:rPr>
      </w:pPr>
      <w:r>
        <w:rPr>
          <w:sz w:val="23"/>
          <w:szCs w:val="23"/>
        </w:rPr>
        <w:t>Amy Nicholas, Senior Attorney Advisor</w:t>
      </w:r>
    </w:p>
    <w:p w14:paraId="37A21E54" w14:textId="77777777" w:rsidR="008B0313" w:rsidRDefault="008B0313" w:rsidP="00E00E30">
      <w:pPr>
        <w:pStyle w:val="NCDBodyText"/>
        <w:spacing w:after="0" w:line="240" w:lineRule="auto"/>
        <w:jc w:val="center"/>
        <w:rPr>
          <w:sz w:val="23"/>
          <w:szCs w:val="23"/>
        </w:rPr>
      </w:pPr>
      <w:r>
        <w:rPr>
          <w:sz w:val="23"/>
          <w:szCs w:val="23"/>
        </w:rPr>
        <w:t>Nick Sabula, Public Affairs Specialist</w:t>
      </w:r>
    </w:p>
    <w:p w14:paraId="61724F29" w14:textId="77777777" w:rsidR="008B0313" w:rsidRDefault="008B0313" w:rsidP="00E00E30">
      <w:pPr>
        <w:pStyle w:val="NCDBodyText"/>
        <w:spacing w:after="0" w:line="240" w:lineRule="auto"/>
        <w:jc w:val="center"/>
        <w:rPr>
          <w:sz w:val="23"/>
          <w:szCs w:val="23"/>
        </w:rPr>
      </w:pPr>
      <w:proofErr w:type="spellStart"/>
      <w:r>
        <w:rPr>
          <w:sz w:val="23"/>
          <w:szCs w:val="23"/>
        </w:rPr>
        <w:t>Amged</w:t>
      </w:r>
      <w:proofErr w:type="spellEnd"/>
      <w:r>
        <w:rPr>
          <w:sz w:val="23"/>
          <w:szCs w:val="23"/>
        </w:rPr>
        <w:t xml:space="preserve"> </w:t>
      </w:r>
      <w:proofErr w:type="spellStart"/>
      <w:r>
        <w:rPr>
          <w:sz w:val="23"/>
          <w:szCs w:val="23"/>
        </w:rPr>
        <w:t>Soliman</w:t>
      </w:r>
      <w:proofErr w:type="spellEnd"/>
      <w:r>
        <w:rPr>
          <w:sz w:val="23"/>
          <w:szCs w:val="23"/>
        </w:rPr>
        <w:t>, Attorney Advisor</w:t>
      </w:r>
    </w:p>
    <w:p w14:paraId="7953BF24" w14:textId="77777777" w:rsidR="008B0313" w:rsidRDefault="008B0313" w:rsidP="00E00E30">
      <w:pPr>
        <w:pStyle w:val="NCDBodyText"/>
        <w:spacing w:after="0" w:line="240" w:lineRule="auto"/>
        <w:jc w:val="center"/>
        <w:rPr>
          <w:sz w:val="23"/>
          <w:szCs w:val="23"/>
        </w:rPr>
      </w:pPr>
      <w:r>
        <w:rPr>
          <w:sz w:val="23"/>
          <w:szCs w:val="23"/>
        </w:rPr>
        <w:t>Ana Torres-Davis, Senior Attorney Advisor</w:t>
      </w:r>
    </w:p>
    <w:p w14:paraId="1CD8D3D2" w14:textId="77777777" w:rsidR="008B0313" w:rsidRDefault="008B0313" w:rsidP="00E00E30">
      <w:pPr>
        <w:pStyle w:val="NCDBodyText"/>
        <w:spacing w:after="0" w:line="240" w:lineRule="auto"/>
        <w:jc w:val="center"/>
        <w:rPr>
          <w:sz w:val="23"/>
          <w:szCs w:val="23"/>
        </w:rPr>
      </w:pPr>
      <w:r>
        <w:rPr>
          <w:sz w:val="23"/>
          <w:szCs w:val="23"/>
        </w:rPr>
        <w:t>Keith Woods, Financial Management Analyst</w:t>
      </w:r>
    </w:p>
    <w:p w14:paraId="4827C505" w14:textId="77777777" w:rsidR="00E00E30" w:rsidRDefault="00E00E30">
      <w:pPr>
        <w:spacing w:after="200"/>
        <w:rPr>
          <w:rFonts w:ascii="Arial" w:eastAsiaTheme="minorHAnsi" w:hAnsi="Arial" w:cs="Arial"/>
          <w:b/>
          <w:sz w:val="36"/>
          <w:szCs w:val="32"/>
        </w:rPr>
      </w:pPr>
      <w:bookmarkStart w:id="61" w:name="_Toc16341415"/>
      <w:bookmarkStart w:id="62" w:name="_Toc17541825"/>
      <w:bookmarkStart w:id="63" w:name="_Toc17823800"/>
      <w:bookmarkStart w:id="64" w:name="_Toc17824016"/>
      <w:bookmarkStart w:id="65" w:name="_Toc17826325"/>
      <w:bookmarkStart w:id="66" w:name="_Toc18918239"/>
      <w:bookmarkStart w:id="67" w:name="_Toc19546939"/>
      <w:bookmarkStart w:id="68" w:name="_Toc19805861"/>
      <w:bookmarkStart w:id="69" w:name="_Toc43793864"/>
      <w:bookmarkStart w:id="70" w:name="_Toc44234263"/>
      <w:bookmarkStart w:id="71" w:name="_Toc44336114"/>
      <w:bookmarkStart w:id="72" w:name="_Toc535996357"/>
      <w:r>
        <w:br w:type="page"/>
      </w:r>
    </w:p>
    <w:p w14:paraId="72A81E80" w14:textId="77777777" w:rsidR="00E00E30" w:rsidRDefault="00E00E30">
      <w:pPr>
        <w:spacing w:after="200"/>
        <w:rPr>
          <w:rFonts w:ascii="Arial" w:eastAsiaTheme="minorHAnsi" w:hAnsi="Arial" w:cs="Arial"/>
          <w:b/>
          <w:sz w:val="36"/>
          <w:szCs w:val="32"/>
        </w:rPr>
      </w:pPr>
      <w:r>
        <w:lastRenderedPageBreak/>
        <w:br w:type="page"/>
      </w:r>
    </w:p>
    <w:p w14:paraId="5E4EF6C0" w14:textId="38BE2BEE" w:rsidR="003E2C3E" w:rsidRPr="00CA6741" w:rsidRDefault="003E2C3E" w:rsidP="00CA6741">
      <w:pPr>
        <w:pStyle w:val="Heading1"/>
      </w:pPr>
      <w:bookmarkStart w:id="73" w:name="_Toc68697864"/>
      <w:bookmarkStart w:id="74" w:name="_Toc68699077"/>
      <w:bookmarkStart w:id="75" w:name="_Toc69374200"/>
      <w:r w:rsidRPr="00CA6741">
        <w:lastRenderedPageBreak/>
        <w:t>Contents</w:t>
      </w:r>
      <w:bookmarkEnd w:id="61"/>
      <w:bookmarkEnd w:id="62"/>
      <w:bookmarkEnd w:id="63"/>
      <w:bookmarkEnd w:id="64"/>
      <w:bookmarkEnd w:id="65"/>
      <w:bookmarkEnd w:id="66"/>
      <w:bookmarkEnd w:id="67"/>
      <w:bookmarkEnd w:id="68"/>
      <w:bookmarkEnd w:id="69"/>
      <w:bookmarkEnd w:id="70"/>
      <w:bookmarkEnd w:id="71"/>
      <w:bookmarkEnd w:id="73"/>
      <w:bookmarkEnd w:id="74"/>
      <w:bookmarkEnd w:id="75"/>
    </w:p>
    <w:sdt>
      <w:sdtPr>
        <w:rPr>
          <w:rFonts w:eastAsia="Arial" w:cs="Arial"/>
          <w:noProof w:val="0"/>
          <w:color w:val="000000"/>
          <w:sz w:val="22"/>
        </w:rPr>
        <w:id w:val="-1231920377"/>
        <w:docPartObj>
          <w:docPartGallery w:val="Table of Contents"/>
          <w:docPartUnique/>
        </w:docPartObj>
      </w:sdtPr>
      <w:sdtEndPr>
        <w:rPr>
          <w:rFonts w:eastAsia="Calibri"/>
          <w:noProof/>
          <w:color w:val="000000" w:themeColor="text1"/>
          <w:sz w:val="24"/>
          <w:szCs w:val="24"/>
        </w:rPr>
      </w:sdtEndPr>
      <w:sdtContent>
        <w:p w14:paraId="2FA51180" w14:textId="10C1C0BF" w:rsidR="003B5657" w:rsidRPr="003B5657" w:rsidRDefault="007D2481">
          <w:pPr>
            <w:pStyle w:val="TOC1"/>
            <w:rPr>
              <w:rFonts w:eastAsiaTheme="minorEastAsia" w:cs="Arial"/>
              <w:sz w:val="22"/>
            </w:rPr>
          </w:pPr>
          <w:r w:rsidRPr="002B7D27">
            <w:rPr>
              <w:rFonts w:eastAsiaTheme="minorHAnsi" w:cs="Arial"/>
              <w:szCs w:val="24"/>
            </w:rPr>
            <w:fldChar w:fldCharType="begin"/>
          </w:r>
          <w:r w:rsidRPr="002B7D27">
            <w:rPr>
              <w:rFonts w:cs="Arial"/>
              <w:szCs w:val="24"/>
            </w:rPr>
            <w:instrText xml:space="preserve"> TOC \h \u \z </w:instrText>
          </w:r>
          <w:r w:rsidRPr="002B7D27">
            <w:rPr>
              <w:rFonts w:eastAsiaTheme="minorHAnsi" w:cs="Arial"/>
              <w:szCs w:val="24"/>
            </w:rPr>
            <w:fldChar w:fldCharType="separate"/>
          </w:r>
          <w:hyperlink w:anchor="_Toc69374201" w:history="1">
            <w:r w:rsidR="003B5657" w:rsidRPr="003B5657">
              <w:rPr>
                <w:rStyle w:val="Hyperlink"/>
                <w:rFonts w:cs="Arial"/>
              </w:rPr>
              <w:t>Acknowledgments</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_Toc69374201 \h </w:instrText>
            </w:r>
            <w:r w:rsidR="003B5657" w:rsidRPr="003B5657">
              <w:rPr>
                <w:rFonts w:cs="Arial"/>
                <w:webHidden/>
              </w:rPr>
            </w:r>
            <w:r w:rsidR="003B5657" w:rsidRPr="003B5657">
              <w:rPr>
                <w:rFonts w:cs="Arial"/>
                <w:webHidden/>
              </w:rPr>
              <w:fldChar w:fldCharType="separate"/>
            </w:r>
            <w:r w:rsidR="00D64571">
              <w:rPr>
                <w:rFonts w:cs="Arial"/>
                <w:webHidden/>
              </w:rPr>
              <w:t>9</w:t>
            </w:r>
            <w:r w:rsidR="003B5657" w:rsidRPr="003B5657">
              <w:rPr>
                <w:rFonts w:cs="Arial"/>
                <w:webHidden/>
              </w:rPr>
              <w:fldChar w:fldCharType="end"/>
            </w:r>
          </w:hyperlink>
        </w:p>
        <w:p w14:paraId="6A9D24B4" w14:textId="77777777" w:rsidR="003B5657" w:rsidRPr="003B5657" w:rsidRDefault="00BA76A2">
          <w:pPr>
            <w:pStyle w:val="TOC1"/>
            <w:rPr>
              <w:rFonts w:eastAsiaTheme="minorEastAsia" w:cs="Arial"/>
              <w:sz w:val="22"/>
            </w:rPr>
          </w:pPr>
          <w:hyperlink w:anchor="_Toc69374202" w:history="1">
            <w:r w:rsidR="003B5657" w:rsidRPr="003B5657">
              <w:rPr>
                <w:rStyle w:val="Hyperlink"/>
                <w:rFonts w:cs="Arial"/>
              </w:rPr>
              <w:t>Executive Summary</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_Toc69374202 \h </w:instrText>
            </w:r>
            <w:r w:rsidR="003B5657" w:rsidRPr="003B5657">
              <w:rPr>
                <w:rFonts w:cs="Arial"/>
                <w:webHidden/>
              </w:rPr>
            </w:r>
            <w:r w:rsidR="003B5657" w:rsidRPr="003B5657">
              <w:rPr>
                <w:rFonts w:cs="Arial"/>
                <w:webHidden/>
              </w:rPr>
              <w:fldChar w:fldCharType="separate"/>
            </w:r>
            <w:r w:rsidR="00D64571">
              <w:rPr>
                <w:rFonts w:cs="Arial"/>
                <w:webHidden/>
              </w:rPr>
              <w:t>11</w:t>
            </w:r>
            <w:r w:rsidR="003B5657" w:rsidRPr="003B5657">
              <w:rPr>
                <w:rFonts w:cs="Arial"/>
                <w:webHidden/>
              </w:rPr>
              <w:fldChar w:fldCharType="end"/>
            </w:r>
          </w:hyperlink>
        </w:p>
        <w:p w14:paraId="2995F8FD" w14:textId="77777777" w:rsidR="003B5657" w:rsidRPr="003B5657" w:rsidRDefault="00BA76A2">
          <w:pPr>
            <w:pStyle w:val="TOC1"/>
            <w:rPr>
              <w:rFonts w:eastAsiaTheme="minorEastAsia" w:cs="Arial"/>
              <w:sz w:val="22"/>
            </w:rPr>
          </w:pPr>
          <w:hyperlink w:anchor="_Toc69374203" w:history="1">
            <w:r w:rsidR="003B5657" w:rsidRPr="003B5657">
              <w:rPr>
                <w:rStyle w:val="Hyperlink"/>
                <w:rFonts w:cs="Arial"/>
              </w:rPr>
              <w:t>Acronym Glossary</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_Toc69374203 \h </w:instrText>
            </w:r>
            <w:r w:rsidR="003B5657" w:rsidRPr="003B5657">
              <w:rPr>
                <w:rFonts w:cs="Arial"/>
                <w:webHidden/>
              </w:rPr>
            </w:r>
            <w:r w:rsidR="003B5657" w:rsidRPr="003B5657">
              <w:rPr>
                <w:rFonts w:cs="Arial"/>
                <w:webHidden/>
              </w:rPr>
              <w:fldChar w:fldCharType="separate"/>
            </w:r>
            <w:r w:rsidR="00D64571">
              <w:rPr>
                <w:rFonts w:cs="Arial"/>
                <w:webHidden/>
              </w:rPr>
              <w:t>15</w:t>
            </w:r>
            <w:r w:rsidR="003B5657" w:rsidRPr="003B5657">
              <w:rPr>
                <w:rFonts w:cs="Arial"/>
                <w:webHidden/>
              </w:rPr>
              <w:fldChar w:fldCharType="end"/>
            </w:r>
          </w:hyperlink>
        </w:p>
        <w:p w14:paraId="797DD574" w14:textId="77777777" w:rsidR="003B5657" w:rsidRPr="003B5657" w:rsidRDefault="00BA76A2">
          <w:pPr>
            <w:pStyle w:val="TOC1"/>
            <w:rPr>
              <w:rFonts w:eastAsiaTheme="minorEastAsia" w:cs="Arial"/>
              <w:sz w:val="22"/>
            </w:rPr>
          </w:pPr>
          <w:hyperlink w:anchor="_Toc69374204" w:history="1">
            <w:r w:rsidR="003B5657" w:rsidRPr="003B5657">
              <w:rPr>
                <w:rStyle w:val="Hyperlink"/>
                <w:rFonts w:cs="Arial"/>
              </w:rPr>
              <w:t>Introduction</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_Toc69374204 \h </w:instrText>
            </w:r>
            <w:r w:rsidR="003B5657" w:rsidRPr="003B5657">
              <w:rPr>
                <w:rFonts w:cs="Arial"/>
                <w:webHidden/>
              </w:rPr>
            </w:r>
            <w:r w:rsidR="003B5657" w:rsidRPr="003B5657">
              <w:rPr>
                <w:rFonts w:cs="Arial"/>
                <w:webHidden/>
              </w:rPr>
              <w:fldChar w:fldCharType="separate"/>
            </w:r>
            <w:r w:rsidR="00D64571">
              <w:rPr>
                <w:rFonts w:cs="Arial"/>
                <w:webHidden/>
              </w:rPr>
              <w:t>17</w:t>
            </w:r>
            <w:r w:rsidR="003B5657" w:rsidRPr="003B5657">
              <w:rPr>
                <w:rFonts w:cs="Arial"/>
                <w:webHidden/>
              </w:rPr>
              <w:fldChar w:fldCharType="end"/>
            </w:r>
          </w:hyperlink>
        </w:p>
        <w:p w14:paraId="6B72B148" w14:textId="77777777" w:rsidR="003B5657" w:rsidRPr="003B5657" w:rsidRDefault="00BA76A2">
          <w:pPr>
            <w:pStyle w:val="TOC2"/>
            <w:rPr>
              <w:rFonts w:eastAsiaTheme="minorEastAsia" w:cs="Arial"/>
              <w:noProof/>
              <w:sz w:val="22"/>
            </w:rPr>
          </w:pPr>
          <w:hyperlink w:anchor="_Toc69374205" w:history="1">
            <w:r w:rsidR="003B5657" w:rsidRPr="003B5657">
              <w:rPr>
                <w:rStyle w:val="Hyperlink"/>
                <w:rFonts w:cs="Arial"/>
                <w:noProof/>
              </w:rPr>
              <w:t>Health Care Access Issues for People with Disabilities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_Toc69374205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17</w:t>
            </w:r>
            <w:r w:rsidR="003B5657" w:rsidRPr="003B5657">
              <w:rPr>
                <w:rFonts w:cs="Arial"/>
                <w:noProof/>
                <w:webHidden/>
              </w:rPr>
              <w:fldChar w:fldCharType="end"/>
            </w:r>
          </w:hyperlink>
        </w:p>
        <w:p w14:paraId="2A0817CF" w14:textId="77777777" w:rsidR="003B5657" w:rsidRPr="003B5657" w:rsidRDefault="00BA76A2">
          <w:pPr>
            <w:pStyle w:val="TOC2"/>
            <w:rPr>
              <w:rFonts w:eastAsiaTheme="minorEastAsia" w:cs="Arial"/>
              <w:noProof/>
              <w:sz w:val="22"/>
            </w:rPr>
          </w:pPr>
          <w:hyperlink w:anchor="_Toc69374206" w:history="1">
            <w:r w:rsidR="003B5657" w:rsidRPr="003B5657">
              <w:rPr>
                <w:rStyle w:val="Hyperlink"/>
                <w:rFonts w:cs="Arial"/>
                <w:noProof/>
              </w:rPr>
              <w:t>Health Care Utilization</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_Toc69374206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18</w:t>
            </w:r>
            <w:r w:rsidR="003B5657" w:rsidRPr="003B5657">
              <w:rPr>
                <w:rFonts w:cs="Arial"/>
                <w:noProof/>
                <w:webHidden/>
              </w:rPr>
              <w:fldChar w:fldCharType="end"/>
            </w:r>
          </w:hyperlink>
        </w:p>
        <w:p w14:paraId="13863565" w14:textId="77777777" w:rsidR="003B5657" w:rsidRPr="003B5657" w:rsidRDefault="00BA76A2">
          <w:pPr>
            <w:pStyle w:val="TOC2"/>
            <w:rPr>
              <w:rFonts w:eastAsiaTheme="minorEastAsia" w:cs="Arial"/>
              <w:noProof/>
              <w:sz w:val="22"/>
            </w:rPr>
          </w:pPr>
          <w:hyperlink w:anchor="_Toc69374207" w:history="1">
            <w:r w:rsidR="003B5657" w:rsidRPr="003B5657">
              <w:rPr>
                <w:rStyle w:val="Hyperlink"/>
                <w:rFonts w:cs="Arial"/>
                <w:noProof/>
              </w:rPr>
              <w:t>Accessible Medical Diagnostic Equipment</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_Toc69374207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20</w:t>
            </w:r>
            <w:r w:rsidR="003B5657" w:rsidRPr="003B5657">
              <w:rPr>
                <w:rFonts w:cs="Arial"/>
                <w:noProof/>
                <w:webHidden/>
              </w:rPr>
              <w:fldChar w:fldCharType="end"/>
            </w:r>
          </w:hyperlink>
        </w:p>
        <w:p w14:paraId="1EBB2B53" w14:textId="77777777" w:rsidR="003B5657" w:rsidRPr="003B5657" w:rsidRDefault="00BA76A2">
          <w:pPr>
            <w:pStyle w:val="TOC2"/>
            <w:rPr>
              <w:rFonts w:eastAsiaTheme="minorEastAsia" w:cs="Arial"/>
              <w:noProof/>
              <w:sz w:val="22"/>
            </w:rPr>
          </w:pPr>
          <w:hyperlink w:anchor="_Toc69374208" w:history="1">
            <w:r w:rsidR="003B5657" w:rsidRPr="003B5657">
              <w:rPr>
                <w:rStyle w:val="Hyperlink"/>
                <w:rFonts w:eastAsia="MinionPro-Regular" w:cs="Arial"/>
                <w:noProof/>
              </w:rPr>
              <w:t>Provider Safety and Safe Patient Handling Initiatives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_Toc69374208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23</w:t>
            </w:r>
            <w:r w:rsidR="003B5657" w:rsidRPr="003B5657">
              <w:rPr>
                <w:rFonts w:cs="Arial"/>
                <w:noProof/>
                <w:webHidden/>
              </w:rPr>
              <w:fldChar w:fldCharType="end"/>
            </w:r>
          </w:hyperlink>
        </w:p>
        <w:p w14:paraId="0D79DB82" w14:textId="77777777" w:rsidR="003B5657" w:rsidRPr="003B5657" w:rsidRDefault="00BA76A2">
          <w:pPr>
            <w:pStyle w:val="TOC1"/>
            <w:rPr>
              <w:rFonts w:eastAsiaTheme="minorEastAsia" w:cs="Arial"/>
              <w:sz w:val="22"/>
            </w:rPr>
          </w:pPr>
          <w:hyperlink w:anchor="_Toc69374209" w:history="1">
            <w:r w:rsidR="003B5657" w:rsidRPr="003B5657">
              <w:rPr>
                <w:rStyle w:val="Hyperlink"/>
                <w:rFonts w:cs="Arial"/>
              </w:rPr>
              <w:t>Chapter 1: Policy Background</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_Toc69374209 \h </w:instrText>
            </w:r>
            <w:r w:rsidR="003B5657" w:rsidRPr="003B5657">
              <w:rPr>
                <w:rFonts w:cs="Arial"/>
                <w:webHidden/>
              </w:rPr>
            </w:r>
            <w:r w:rsidR="003B5657" w:rsidRPr="003B5657">
              <w:rPr>
                <w:rFonts w:cs="Arial"/>
                <w:webHidden/>
              </w:rPr>
              <w:fldChar w:fldCharType="separate"/>
            </w:r>
            <w:r w:rsidR="00D64571">
              <w:rPr>
                <w:rFonts w:cs="Arial"/>
                <w:webHidden/>
              </w:rPr>
              <w:t>25</w:t>
            </w:r>
            <w:r w:rsidR="003B5657" w:rsidRPr="003B5657">
              <w:rPr>
                <w:rFonts w:cs="Arial"/>
                <w:webHidden/>
              </w:rPr>
              <w:fldChar w:fldCharType="end"/>
            </w:r>
          </w:hyperlink>
        </w:p>
        <w:p w14:paraId="16E6C13A" w14:textId="740C1E79" w:rsidR="003B5657" w:rsidRPr="003B5657" w:rsidRDefault="00BA76A2">
          <w:pPr>
            <w:pStyle w:val="TOC2"/>
            <w:rPr>
              <w:rFonts w:eastAsiaTheme="minorEastAsia" w:cs="Arial"/>
              <w:noProof/>
              <w:sz w:val="22"/>
            </w:rPr>
          </w:pPr>
          <w:hyperlink w:anchor="_Toc69374210" w:history="1">
            <w:r w:rsidR="003B5657" w:rsidRPr="003B5657">
              <w:rPr>
                <w:rStyle w:val="Hyperlink"/>
                <w:rFonts w:cs="Arial"/>
                <w:noProof/>
              </w:rPr>
              <w:t xml:space="preserve">Discriminatory Barriers to Access to Health Care and Health Disparities </w:t>
            </w:r>
            <w:r w:rsidR="003B5657" w:rsidRPr="003B5657">
              <w:rPr>
                <w:rStyle w:val="Hyperlink"/>
                <w:rFonts w:cs="Arial"/>
                <w:noProof/>
              </w:rPr>
              <w:br/>
              <w:t>Persist as the Population of People with Disabilities Grows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_Toc69374210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28</w:t>
            </w:r>
            <w:r w:rsidR="003B5657" w:rsidRPr="003B5657">
              <w:rPr>
                <w:rFonts w:cs="Arial"/>
                <w:noProof/>
                <w:webHidden/>
              </w:rPr>
              <w:fldChar w:fldCharType="end"/>
            </w:r>
          </w:hyperlink>
        </w:p>
        <w:p w14:paraId="2D8F8DFC" w14:textId="77777777" w:rsidR="003B5657" w:rsidRPr="003B5657" w:rsidRDefault="00BA76A2">
          <w:pPr>
            <w:pStyle w:val="TOC2"/>
            <w:rPr>
              <w:rFonts w:eastAsiaTheme="minorEastAsia" w:cs="Arial"/>
              <w:noProof/>
              <w:sz w:val="22"/>
            </w:rPr>
          </w:pPr>
          <w:hyperlink w:anchor="_Toc69374211" w:history="1">
            <w:r w:rsidR="003B5657" w:rsidRPr="003B5657">
              <w:rPr>
                <w:rStyle w:val="Hyperlink"/>
                <w:rFonts w:cs="Arial"/>
                <w:noProof/>
              </w:rPr>
              <w:t>Existing Nondiscrimination Regulations Are Insufficient</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_Toc69374211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29</w:t>
            </w:r>
            <w:r w:rsidR="003B5657" w:rsidRPr="003B5657">
              <w:rPr>
                <w:rFonts w:cs="Arial"/>
                <w:noProof/>
                <w:webHidden/>
              </w:rPr>
              <w:fldChar w:fldCharType="end"/>
            </w:r>
          </w:hyperlink>
        </w:p>
        <w:p w14:paraId="7746D40F" w14:textId="77777777" w:rsidR="003B5657" w:rsidRPr="003B5657" w:rsidRDefault="00BA76A2">
          <w:pPr>
            <w:pStyle w:val="TOC1"/>
            <w:rPr>
              <w:rFonts w:eastAsiaTheme="minorEastAsia" w:cs="Arial"/>
              <w:sz w:val="22"/>
            </w:rPr>
          </w:pPr>
          <w:hyperlink w:anchor="_Toc69374212" w:history="1">
            <w:r w:rsidR="003B5657" w:rsidRPr="003B5657">
              <w:rPr>
                <w:rStyle w:val="Hyperlink"/>
                <w:rFonts w:cs="Arial"/>
              </w:rPr>
              <w:t>Chapter 2: Research Synthesis and Key Findings</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_Toc69374212 \h </w:instrText>
            </w:r>
            <w:r w:rsidR="003B5657" w:rsidRPr="003B5657">
              <w:rPr>
                <w:rFonts w:cs="Arial"/>
                <w:webHidden/>
              </w:rPr>
            </w:r>
            <w:r w:rsidR="003B5657" w:rsidRPr="003B5657">
              <w:rPr>
                <w:rFonts w:cs="Arial"/>
                <w:webHidden/>
              </w:rPr>
              <w:fldChar w:fldCharType="separate"/>
            </w:r>
            <w:r w:rsidR="00D64571">
              <w:rPr>
                <w:rFonts w:cs="Arial"/>
                <w:webHidden/>
              </w:rPr>
              <w:t>35</w:t>
            </w:r>
            <w:r w:rsidR="003B5657" w:rsidRPr="003B5657">
              <w:rPr>
                <w:rFonts w:cs="Arial"/>
                <w:webHidden/>
              </w:rPr>
              <w:fldChar w:fldCharType="end"/>
            </w:r>
          </w:hyperlink>
        </w:p>
        <w:p w14:paraId="734249A5" w14:textId="77777777" w:rsidR="003B5657" w:rsidRPr="003B5657" w:rsidRDefault="00BA76A2">
          <w:pPr>
            <w:pStyle w:val="TOC2"/>
            <w:rPr>
              <w:rFonts w:eastAsiaTheme="minorEastAsia" w:cs="Arial"/>
              <w:noProof/>
              <w:sz w:val="22"/>
            </w:rPr>
          </w:pPr>
          <w:hyperlink w:anchor="_Toc69374213" w:history="1">
            <w:r w:rsidR="003B5657" w:rsidRPr="003B5657">
              <w:rPr>
                <w:rStyle w:val="Hyperlink"/>
                <w:rFonts w:cs="Arial"/>
                <w:noProof/>
                <w:shd w:val="clear" w:color="auto" w:fill="FFFFFF"/>
              </w:rPr>
              <w:t>Qualitative Research Indicates Significant Barriers to Health Care Access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_Toc69374213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35</w:t>
            </w:r>
            <w:r w:rsidR="003B5657" w:rsidRPr="003B5657">
              <w:rPr>
                <w:rFonts w:cs="Arial"/>
                <w:noProof/>
                <w:webHidden/>
              </w:rPr>
              <w:fldChar w:fldCharType="end"/>
            </w:r>
          </w:hyperlink>
        </w:p>
        <w:p w14:paraId="51102511" w14:textId="77777777" w:rsidR="003B5657" w:rsidRPr="003B5657" w:rsidRDefault="00BA76A2">
          <w:pPr>
            <w:pStyle w:val="TOC2"/>
            <w:rPr>
              <w:rFonts w:eastAsiaTheme="minorEastAsia" w:cs="Arial"/>
              <w:noProof/>
              <w:sz w:val="22"/>
            </w:rPr>
          </w:pPr>
          <w:hyperlink w:anchor="_Toc69374214" w:history="1">
            <w:r w:rsidR="003B5657" w:rsidRPr="003B5657">
              <w:rPr>
                <w:rStyle w:val="Hyperlink"/>
                <w:rFonts w:cs="Arial"/>
                <w:noProof/>
              </w:rPr>
              <w:t>Survey-Based Data Provide Evidence for the Scope of the Problem</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_Toc69374214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36</w:t>
            </w:r>
            <w:r w:rsidR="003B5657" w:rsidRPr="003B5657">
              <w:rPr>
                <w:rFonts w:cs="Arial"/>
                <w:noProof/>
                <w:webHidden/>
              </w:rPr>
              <w:fldChar w:fldCharType="end"/>
            </w:r>
          </w:hyperlink>
        </w:p>
        <w:p w14:paraId="736AED31" w14:textId="77777777" w:rsidR="003B5657" w:rsidRPr="003B5657" w:rsidRDefault="00BA76A2">
          <w:pPr>
            <w:pStyle w:val="TOC2"/>
            <w:rPr>
              <w:rFonts w:eastAsiaTheme="minorEastAsia" w:cs="Arial"/>
              <w:noProof/>
              <w:sz w:val="22"/>
            </w:rPr>
          </w:pPr>
          <w:hyperlink w:anchor="_Toc69374215" w:history="1">
            <w:r w:rsidR="003B5657" w:rsidRPr="003B5657">
              <w:rPr>
                <w:rStyle w:val="Hyperlink"/>
                <w:rFonts w:cs="Arial"/>
                <w:noProof/>
              </w:rPr>
              <w:t>Audit-Based Accessibility Studies Reveal Greater Access Disparities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_Toc69374215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38</w:t>
            </w:r>
            <w:r w:rsidR="003B5657" w:rsidRPr="003B5657">
              <w:rPr>
                <w:rFonts w:cs="Arial"/>
                <w:noProof/>
                <w:webHidden/>
              </w:rPr>
              <w:fldChar w:fldCharType="end"/>
            </w:r>
          </w:hyperlink>
        </w:p>
        <w:p w14:paraId="681A5FD8" w14:textId="77777777" w:rsidR="003B5657" w:rsidRPr="003B5657" w:rsidRDefault="00BA76A2">
          <w:pPr>
            <w:pStyle w:val="TOC2"/>
            <w:rPr>
              <w:rFonts w:eastAsiaTheme="minorEastAsia" w:cs="Arial"/>
              <w:noProof/>
              <w:sz w:val="22"/>
            </w:rPr>
          </w:pPr>
          <w:hyperlink w:anchor="_Toc69374216" w:history="1">
            <w:r w:rsidR="003B5657" w:rsidRPr="003B5657">
              <w:rPr>
                <w:rStyle w:val="Hyperlink"/>
                <w:rFonts w:cs="Arial"/>
                <w:noProof/>
              </w:rPr>
              <w:t>Additional Challenges Identified by Stakeholder Experts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_Toc69374216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42</w:t>
            </w:r>
            <w:r w:rsidR="003B5657" w:rsidRPr="003B5657">
              <w:rPr>
                <w:rFonts w:cs="Arial"/>
                <w:noProof/>
                <w:webHidden/>
              </w:rPr>
              <w:fldChar w:fldCharType="end"/>
            </w:r>
          </w:hyperlink>
        </w:p>
        <w:p w14:paraId="56DBC2A6" w14:textId="77777777" w:rsidR="003B5657" w:rsidRPr="003B5657" w:rsidRDefault="00BA76A2">
          <w:pPr>
            <w:pStyle w:val="TOC3"/>
            <w:tabs>
              <w:tab w:val="right" w:leader="dot" w:pos="9350"/>
            </w:tabs>
            <w:rPr>
              <w:rFonts w:ascii="Arial" w:eastAsiaTheme="minorEastAsia" w:hAnsi="Arial" w:cs="Arial"/>
              <w:noProof/>
              <w:sz w:val="22"/>
            </w:rPr>
          </w:pPr>
          <w:hyperlink w:anchor="_Toc69374217" w:history="1">
            <w:r w:rsidR="003B5657" w:rsidRPr="003B5657">
              <w:rPr>
                <w:rStyle w:val="Hyperlink"/>
                <w:rFonts w:cs="Arial"/>
                <w:noProof/>
              </w:rPr>
              <w:t>Knowledge of Rights and the Role of DOJ Need to Be Increased</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_Toc69374217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42</w:t>
            </w:r>
            <w:r w:rsidR="003B5657" w:rsidRPr="003B5657">
              <w:rPr>
                <w:rFonts w:ascii="Arial" w:hAnsi="Arial" w:cs="Arial"/>
                <w:noProof/>
                <w:webHidden/>
              </w:rPr>
              <w:fldChar w:fldCharType="end"/>
            </w:r>
          </w:hyperlink>
        </w:p>
        <w:p w14:paraId="47C74AB2" w14:textId="77777777" w:rsidR="003B5657" w:rsidRPr="003B5657" w:rsidRDefault="00BA76A2">
          <w:pPr>
            <w:pStyle w:val="TOC3"/>
            <w:tabs>
              <w:tab w:val="right" w:leader="dot" w:pos="9350"/>
            </w:tabs>
            <w:rPr>
              <w:rFonts w:ascii="Arial" w:eastAsiaTheme="minorEastAsia" w:hAnsi="Arial" w:cs="Arial"/>
              <w:noProof/>
              <w:sz w:val="22"/>
            </w:rPr>
          </w:pPr>
          <w:hyperlink w:anchor="_Toc69374218" w:history="1">
            <w:r w:rsidR="003B5657" w:rsidRPr="003B5657">
              <w:rPr>
                <w:rStyle w:val="Hyperlink"/>
                <w:rFonts w:cs="Arial"/>
                <w:noProof/>
              </w:rPr>
              <w:t>Lack of Reliable Disability Data</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_Toc69374218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42</w:t>
            </w:r>
            <w:r w:rsidR="003B5657" w:rsidRPr="003B5657">
              <w:rPr>
                <w:rFonts w:ascii="Arial" w:hAnsi="Arial" w:cs="Arial"/>
                <w:noProof/>
                <w:webHidden/>
              </w:rPr>
              <w:fldChar w:fldCharType="end"/>
            </w:r>
          </w:hyperlink>
        </w:p>
        <w:p w14:paraId="43897A30" w14:textId="77777777" w:rsidR="003B5657" w:rsidRPr="003B5657" w:rsidRDefault="00BA76A2">
          <w:pPr>
            <w:pStyle w:val="TOC2"/>
            <w:rPr>
              <w:rFonts w:eastAsiaTheme="minorEastAsia" w:cs="Arial"/>
              <w:noProof/>
              <w:sz w:val="22"/>
            </w:rPr>
          </w:pPr>
          <w:hyperlink w:anchor="_Toc69374219" w:history="1">
            <w:r w:rsidR="003B5657" w:rsidRPr="003B5657">
              <w:rPr>
                <w:rStyle w:val="Hyperlink"/>
                <w:rFonts w:cs="Arial"/>
                <w:noProof/>
              </w:rPr>
              <w:t>A Need to Foster a Culture of Access and Inclusion for Everyone</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_Toc69374219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43</w:t>
            </w:r>
            <w:r w:rsidR="003B5657" w:rsidRPr="003B5657">
              <w:rPr>
                <w:rFonts w:cs="Arial"/>
                <w:noProof/>
                <w:webHidden/>
              </w:rPr>
              <w:fldChar w:fldCharType="end"/>
            </w:r>
          </w:hyperlink>
        </w:p>
        <w:p w14:paraId="0C215005" w14:textId="77777777" w:rsidR="003B5657" w:rsidRPr="003B5657" w:rsidRDefault="00BA76A2">
          <w:pPr>
            <w:pStyle w:val="TOC2"/>
            <w:rPr>
              <w:rFonts w:eastAsiaTheme="minorEastAsia" w:cs="Arial"/>
              <w:noProof/>
              <w:sz w:val="22"/>
            </w:rPr>
          </w:pPr>
          <w:hyperlink w:anchor="_Toc69374220" w:history="1">
            <w:r w:rsidR="003B5657" w:rsidRPr="003B5657">
              <w:rPr>
                <w:rStyle w:val="Hyperlink"/>
                <w:rFonts w:cs="Arial"/>
                <w:noProof/>
              </w:rPr>
              <w:t>Cost Considerations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_Toc69374220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44</w:t>
            </w:r>
            <w:r w:rsidR="003B5657" w:rsidRPr="003B5657">
              <w:rPr>
                <w:rFonts w:cs="Arial"/>
                <w:noProof/>
                <w:webHidden/>
              </w:rPr>
              <w:fldChar w:fldCharType="end"/>
            </w:r>
          </w:hyperlink>
        </w:p>
        <w:p w14:paraId="7507755A" w14:textId="77777777" w:rsidR="003B5657" w:rsidRPr="003B5657" w:rsidRDefault="00BA76A2">
          <w:pPr>
            <w:pStyle w:val="TOC2"/>
            <w:rPr>
              <w:rFonts w:eastAsiaTheme="minorEastAsia" w:cs="Arial"/>
              <w:noProof/>
              <w:sz w:val="22"/>
            </w:rPr>
          </w:pPr>
          <w:hyperlink w:anchor="_Toc69374221" w:history="1">
            <w:r w:rsidR="003B5657" w:rsidRPr="003B5657">
              <w:rPr>
                <w:rStyle w:val="Hyperlink"/>
                <w:rFonts w:cs="Arial"/>
                <w:noProof/>
              </w:rPr>
              <w:t>Conclusions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_Toc69374221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45</w:t>
            </w:r>
            <w:r w:rsidR="003B5657" w:rsidRPr="003B5657">
              <w:rPr>
                <w:rFonts w:cs="Arial"/>
                <w:noProof/>
                <w:webHidden/>
              </w:rPr>
              <w:fldChar w:fldCharType="end"/>
            </w:r>
          </w:hyperlink>
        </w:p>
        <w:p w14:paraId="3A2DFDF9" w14:textId="77777777" w:rsidR="003B5657" w:rsidRPr="003B5657" w:rsidRDefault="00BA76A2">
          <w:pPr>
            <w:pStyle w:val="TOC1"/>
            <w:rPr>
              <w:rFonts w:eastAsiaTheme="minorEastAsia" w:cs="Arial"/>
              <w:sz w:val="22"/>
            </w:rPr>
          </w:pPr>
          <w:hyperlink w:anchor="_Toc69374222" w:history="1">
            <w:r w:rsidR="003B5657" w:rsidRPr="003B5657">
              <w:rPr>
                <w:rStyle w:val="Hyperlink"/>
                <w:rFonts w:cs="Arial"/>
              </w:rPr>
              <w:t>Chapter 3: Three Arguments for Adopting Medical Diagnostic Equipment Standards</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_Toc69374222 \h </w:instrText>
            </w:r>
            <w:r w:rsidR="003B5657" w:rsidRPr="003B5657">
              <w:rPr>
                <w:rFonts w:cs="Arial"/>
                <w:webHidden/>
              </w:rPr>
            </w:r>
            <w:r w:rsidR="003B5657" w:rsidRPr="003B5657">
              <w:rPr>
                <w:rFonts w:cs="Arial"/>
                <w:webHidden/>
              </w:rPr>
              <w:fldChar w:fldCharType="separate"/>
            </w:r>
            <w:r w:rsidR="00D64571">
              <w:rPr>
                <w:rFonts w:cs="Arial"/>
                <w:webHidden/>
              </w:rPr>
              <w:t>47</w:t>
            </w:r>
            <w:r w:rsidR="003B5657" w:rsidRPr="003B5657">
              <w:rPr>
                <w:rFonts w:cs="Arial"/>
                <w:webHidden/>
              </w:rPr>
              <w:fldChar w:fldCharType="end"/>
            </w:r>
          </w:hyperlink>
        </w:p>
        <w:p w14:paraId="1175121A" w14:textId="77777777" w:rsidR="003B5657" w:rsidRPr="003B5657" w:rsidRDefault="00BA76A2">
          <w:pPr>
            <w:pStyle w:val="TOC2"/>
            <w:rPr>
              <w:rFonts w:eastAsiaTheme="minorEastAsia" w:cs="Arial"/>
              <w:noProof/>
              <w:sz w:val="22"/>
            </w:rPr>
          </w:pPr>
          <w:hyperlink w:anchor="_Toc69374223" w:history="1">
            <w:r w:rsidR="003B5657" w:rsidRPr="003B5657">
              <w:rPr>
                <w:rStyle w:val="Hyperlink"/>
                <w:rFonts w:cs="Arial"/>
                <w:noProof/>
              </w:rPr>
              <w:t>Ensuring Access and Equity Under Existing Federal Laws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_Toc69374223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47</w:t>
            </w:r>
            <w:r w:rsidR="003B5657" w:rsidRPr="003B5657">
              <w:rPr>
                <w:rFonts w:cs="Arial"/>
                <w:noProof/>
                <w:webHidden/>
              </w:rPr>
              <w:fldChar w:fldCharType="end"/>
            </w:r>
          </w:hyperlink>
        </w:p>
        <w:p w14:paraId="53441E59" w14:textId="77777777" w:rsidR="003B5657" w:rsidRPr="003B5657" w:rsidRDefault="00BA76A2">
          <w:pPr>
            <w:pStyle w:val="TOC2"/>
            <w:rPr>
              <w:rFonts w:eastAsiaTheme="minorEastAsia" w:cs="Arial"/>
              <w:noProof/>
              <w:sz w:val="22"/>
            </w:rPr>
          </w:pPr>
          <w:hyperlink w:anchor="_Toc69374224" w:history="1">
            <w:r w:rsidR="003B5657" w:rsidRPr="003B5657">
              <w:rPr>
                <w:rStyle w:val="Hyperlink"/>
                <w:rFonts w:cs="Arial"/>
                <w:noProof/>
              </w:rPr>
              <w:t>Linking to Existing Safety and Quality Initiatives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_Toc69374224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51</w:t>
            </w:r>
            <w:r w:rsidR="003B5657" w:rsidRPr="003B5657">
              <w:rPr>
                <w:rFonts w:cs="Arial"/>
                <w:noProof/>
                <w:webHidden/>
              </w:rPr>
              <w:fldChar w:fldCharType="end"/>
            </w:r>
          </w:hyperlink>
        </w:p>
        <w:p w14:paraId="774D314B" w14:textId="77777777" w:rsidR="003B5657" w:rsidRPr="003B5657" w:rsidRDefault="00BA76A2">
          <w:pPr>
            <w:pStyle w:val="TOC2"/>
            <w:rPr>
              <w:rFonts w:eastAsiaTheme="minorEastAsia" w:cs="Arial"/>
              <w:noProof/>
              <w:sz w:val="22"/>
            </w:rPr>
          </w:pPr>
          <w:hyperlink w:anchor="_Toc69374225" w:history="1">
            <w:r w:rsidR="003B5657" w:rsidRPr="003B5657">
              <w:rPr>
                <w:rStyle w:val="Hyperlink"/>
                <w:rFonts w:cs="Arial"/>
                <w:noProof/>
              </w:rPr>
              <w:t>The Business Argument</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_Toc69374225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53</w:t>
            </w:r>
            <w:r w:rsidR="003B5657" w:rsidRPr="003B5657">
              <w:rPr>
                <w:rFonts w:cs="Arial"/>
                <w:noProof/>
                <w:webHidden/>
              </w:rPr>
              <w:fldChar w:fldCharType="end"/>
            </w:r>
          </w:hyperlink>
        </w:p>
        <w:p w14:paraId="6768F8D7" w14:textId="77777777" w:rsidR="003B5657" w:rsidRPr="003B5657" w:rsidRDefault="00BA76A2">
          <w:pPr>
            <w:pStyle w:val="TOC3"/>
            <w:tabs>
              <w:tab w:val="right" w:leader="dot" w:pos="9350"/>
            </w:tabs>
            <w:rPr>
              <w:rFonts w:ascii="Arial" w:eastAsiaTheme="minorEastAsia" w:hAnsi="Arial" w:cs="Arial"/>
              <w:noProof/>
              <w:sz w:val="22"/>
            </w:rPr>
          </w:pPr>
          <w:hyperlink w:anchor="_Toc69374226" w:history="1">
            <w:r w:rsidR="003B5657" w:rsidRPr="003B5657">
              <w:rPr>
                <w:rStyle w:val="Hyperlink"/>
                <w:rFonts w:cs="Arial"/>
                <w:noProof/>
              </w:rPr>
              <w:t>Challenges to the business case</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_Toc69374226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56</w:t>
            </w:r>
            <w:r w:rsidR="003B5657" w:rsidRPr="003B5657">
              <w:rPr>
                <w:rFonts w:ascii="Arial" w:hAnsi="Arial" w:cs="Arial"/>
                <w:noProof/>
                <w:webHidden/>
              </w:rPr>
              <w:fldChar w:fldCharType="end"/>
            </w:r>
          </w:hyperlink>
        </w:p>
        <w:p w14:paraId="411F2DD7" w14:textId="77777777" w:rsidR="003B5657" w:rsidRPr="003B5657" w:rsidRDefault="00BA76A2">
          <w:pPr>
            <w:pStyle w:val="TOC1"/>
            <w:rPr>
              <w:rFonts w:eastAsiaTheme="minorEastAsia" w:cs="Arial"/>
              <w:sz w:val="22"/>
            </w:rPr>
          </w:pPr>
          <w:hyperlink w:anchor="_Toc69374227" w:history="1">
            <w:r w:rsidR="003B5657" w:rsidRPr="003B5657">
              <w:rPr>
                <w:rStyle w:val="Hyperlink"/>
                <w:rFonts w:cs="Arial"/>
              </w:rPr>
              <w:t>Chapter 4: Recommendations</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_Toc69374227 \h </w:instrText>
            </w:r>
            <w:r w:rsidR="003B5657" w:rsidRPr="003B5657">
              <w:rPr>
                <w:rFonts w:cs="Arial"/>
                <w:webHidden/>
              </w:rPr>
            </w:r>
            <w:r w:rsidR="003B5657" w:rsidRPr="003B5657">
              <w:rPr>
                <w:rFonts w:cs="Arial"/>
                <w:webHidden/>
              </w:rPr>
              <w:fldChar w:fldCharType="separate"/>
            </w:r>
            <w:r w:rsidR="00D64571">
              <w:rPr>
                <w:rFonts w:cs="Arial"/>
                <w:webHidden/>
              </w:rPr>
              <w:t>59</w:t>
            </w:r>
            <w:r w:rsidR="003B5657" w:rsidRPr="003B5657">
              <w:rPr>
                <w:rFonts w:cs="Arial"/>
                <w:webHidden/>
              </w:rPr>
              <w:fldChar w:fldCharType="end"/>
            </w:r>
          </w:hyperlink>
        </w:p>
        <w:p w14:paraId="642E73DC" w14:textId="77777777" w:rsidR="003B5657" w:rsidRPr="003B5657" w:rsidRDefault="00BA76A2">
          <w:pPr>
            <w:pStyle w:val="TOC2"/>
            <w:rPr>
              <w:rFonts w:eastAsiaTheme="minorEastAsia" w:cs="Arial"/>
              <w:noProof/>
              <w:sz w:val="22"/>
            </w:rPr>
          </w:pPr>
          <w:hyperlink w:anchor="_Toc69374228" w:history="1">
            <w:r w:rsidR="003B5657" w:rsidRPr="003B5657">
              <w:rPr>
                <w:rStyle w:val="Hyperlink"/>
                <w:rFonts w:cs="Arial"/>
                <w:noProof/>
              </w:rPr>
              <w:t>Federal Agencies</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_Toc69374228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59</w:t>
            </w:r>
            <w:r w:rsidR="003B5657" w:rsidRPr="003B5657">
              <w:rPr>
                <w:rFonts w:cs="Arial"/>
                <w:noProof/>
                <w:webHidden/>
              </w:rPr>
              <w:fldChar w:fldCharType="end"/>
            </w:r>
          </w:hyperlink>
        </w:p>
        <w:p w14:paraId="651FA832" w14:textId="77777777" w:rsidR="003B5657" w:rsidRPr="003B5657" w:rsidRDefault="00BA76A2">
          <w:pPr>
            <w:pStyle w:val="TOC3"/>
            <w:tabs>
              <w:tab w:val="right" w:leader="dot" w:pos="9350"/>
            </w:tabs>
            <w:rPr>
              <w:rFonts w:ascii="Arial" w:eastAsiaTheme="minorEastAsia" w:hAnsi="Arial" w:cs="Arial"/>
              <w:noProof/>
              <w:sz w:val="22"/>
            </w:rPr>
          </w:pPr>
          <w:hyperlink w:anchor="_Toc69374229" w:history="1">
            <w:r w:rsidR="003B5657" w:rsidRPr="003B5657">
              <w:rPr>
                <w:rStyle w:val="Hyperlink"/>
                <w:rFonts w:cs="Arial"/>
                <w:noProof/>
              </w:rPr>
              <w:t>Department of Health and Human Services (HHS)</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_Toc69374229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59</w:t>
            </w:r>
            <w:r w:rsidR="003B5657" w:rsidRPr="003B5657">
              <w:rPr>
                <w:rFonts w:ascii="Arial" w:hAnsi="Arial" w:cs="Arial"/>
                <w:noProof/>
                <w:webHidden/>
              </w:rPr>
              <w:fldChar w:fldCharType="end"/>
            </w:r>
          </w:hyperlink>
        </w:p>
        <w:p w14:paraId="0A8467E0" w14:textId="77777777" w:rsidR="003B5657" w:rsidRPr="003B5657" w:rsidRDefault="00BA76A2" w:rsidP="00832D8F">
          <w:pPr>
            <w:pStyle w:val="TOC4"/>
            <w:spacing w:before="0"/>
            <w:rPr>
              <w:rFonts w:ascii="Arial" w:eastAsiaTheme="minorEastAsia" w:hAnsi="Arial" w:cs="Arial"/>
              <w:noProof/>
              <w:sz w:val="22"/>
            </w:rPr>
          </w:pPr>
          <w:hyperlink w:anchor="_Toc69374230" w:history="1">
            <w:r w:rsidR="003B5657" w:rsidRPr="003B5657">
              <w:rPr>
                <w:rStyle w:val="Hyperlink"/>
                <w:rFonts w:cs="Arial"/>
                <w:noProof/>
              </w:rPr>
              <w:t>HHS Office for Civil Rights (OCR)</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_Toc69374230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59</w:t>
            </w:r>
            <w:r w:rsidR="003B5657" w:rsidRPr="003B5657">
              <w:rPr>
                <w:rFonts w:ascii="Arial" w:hAnsi="Arial" w:cs="Arial"/>
                <w:noProof/>
                <w:webHidden/>
              </w:rPr>
              <w:fldChar w:fldCharType="end"/>
            </w:r>
          </w:hyperlink>
        </w:p>
        <w:p w14:paraId="1491AA75" w14:textId="77777777" w:rsidR="003B5657" w:rsidRPr="003B5657" w:rsidRDefault="00BA76A2" w:rsidP="00832D8F">
          <w:pPr>
            <w:pStyle w:val="TOC4"/>
            <w:spacing w:before="0"/>
            <w:rPr>
              <w:rFonts w:ascii="Arial" w:eastAsiaTheme="minorEastAsia" w:hAnsi="Arial" w:cs="Arial"/>
              <w:noProof/>
              <w:sz w:val="22"/>
            </w:rPr>
          </w:pPr>
          <w:hyperlink w:anchor="_Toc69374231" w:history="1">
            <w:r w:rsidR="003B5657" w:rsidRPr="003B5657">
              <w:rPr>
                <w:rStyle w:val="Hyperlink"/>
                <w:rFonts w:cs="Arial"/>
                <w:noProof/>
              </w:rPr>
              <w:t>HHS Office of the National Coordinator for Health Information Technology</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_Toc69374231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59</w:t>
            </w:r>
            <w:r w:rsidR="003B5657" w:rsidRPr="003B5657">
              <w:rPr>
                <w:rFonts w:ascii="Arial" w:hAnsi="Arial" w:cs="Arial"/>
                <w:noProof/>
                <w:webHidden/>
              </w:rPr>
              <w:fldChar w:fldCharType="end"/>
            </w:r>
          </w:hyperlink>
        </w:p>
        <w:p w14:paraId="3345192E" w14:textId="77777777" w:rsidR="003B5657" w:rsidRPr="003B5657" w:rsidRDefault="00BA76A2" w:rsidP="00832D8F">
          <w:pPr>
            <w:pStyle w:val="TOC4"/>
            <w:spacing w:before="0"/>
            <w:rPr>
              <w:rFonts w:ascii="Arial" w:eastAsiaTheme="minorEastAsia" w:hAnsi="Arial" w:cs="Arial"/>
              <w:noProof/>
              <w:sz w:val="22"/>
            </w:rPr>
          </w:pPr>
          <w:hyperlink w:anchor="_Toc69374232" w:history="1">
            <w:r w:rsidR="003B5657" w:rsidRPr="003B5657">
              <w:rPr>
                <w:rStyle w:val="Hyperlink"/>
                <w:rFonts w:cs="Arial"/>
                <w:noProof/>
              </w:rPr>
              <w:t>HHS National Institutes of Health</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_Toc69374232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59</w:t>
            </w:r>
            <w:r w:rsidR="003B5657" w:rsidRPr="003B5657">
              <w:rPr>
                <w:rFonts w:ascii="Arial" w:hAnsi="Arial" w:cs="Arial"/>
                <w:noProof/>
                <w:webHidden/>
              </w:rPr>
              <w:fldChar w:fldCharType="end"/>
            </w:r>
          </w:hyperlink>
        </w:p>
        <w:p w14:paraId="7CE3C8E8" w14:textId="77777777" w:rsidR="003B5657" w:rsidRPr="003B5657" w:rsidRDefault="00BA76A2" w:rsidP="00832D8F">
          <w:pPr>
            <w:pStyle w:val="TOC4"/>
            <w:spacing w:before="0"/>
            <w:rPr>
              <w:rFonts w:ascii="Arial" w:eastAsiaTheme="minorEastAsia" w:hAnsi="Arial" w:cs="Arial"/>
              <w:noProof/>
              <w:sz w:val="22"/>
            </w:rPr>
          </w:pPr>
          <w:hyperlink w:anchor="_Toc69374233" w:history="1">
            <w:r w:rsidR="003B5657" w:rsidRPr="003B5657">
              <w:rPr>
                <w:rStyle w:val="Hyperlink"/>
                <w:rFonts w:cs="Arial"/>
                <w:noProof/>
              </w:rPr>
              <w:t>U.S. Department of Justice, Civil Rights Division</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_Toc69374233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60</w:t>
            </w:r>
            <w:r w:rsidR="003B5657" w:rsidRPr="003B5657">
              <w:rPr>
                <w:rFonts w:ascii="Arial" w:hAnsi="Arial" w:cs="Arial"/>
                <w:noProof/>
                <w:webHidden/>
              </w:rPr>
              <w:fldChar w:fldCharType="end"/>
            </w:r>
          </w:hyperlink>
        </w:p>
        <w:p w14:paraId="499F6C42" w14:textId="77777777" w:rsidR="003B5657" w:rsidRPr="003B5657" w:rsidRDefault="00BA76A2" w:rsidP="00832D8F">
          <w:pPr>
            <w:pStyle w:val="TOC4"/>
            <w:spacing w:before="0"/>
            <w:rPr>
              <w:rFonts w:ascii="Arial" w:eastAsiaTheme="minorEastAsia" w:hAnsi="Arial" w:cs="Arial"/>
              <w:noProof/>
              <w:sz w:val="22"/>
            </w:rPr>
          </w:pPr>
          <w:hyperlink w:anchor="_Toc69374234" w:history="1">
            <w:r w:rsidR="003B5657" w:rsidRPr="003B5657">
              <w:rPr>
                <w:rStyle w:val="Hyperlink"/>
                <w:rFonts w:cs="Arial"/>
                <w:noProof/>
              </w:rPr>
              <w:t>U.S. Department of Veterans Affairs, Veterans’ Health Administration</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_Toc69374234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60</w:t>
            </w:r>
            <w:r w:rsidR="003B5657" w:rsidRPr="003B5657">
              <w:rPr>
                <w:rFonts w:ascii="Arial" w:hAnsi="Arial" w:cs="Arial"/>
                <w:noProof/>
                <w:webHidden/>
              </w:rPr>
              <w:fldChar w:fldCharType="end"/>
            </w:r>
          </w:hyperlink>
        </w:p>
        <w:p w14:paraId="0409031C" w14:textId="77777777" w:rsidR="003B5657" w:rsidRPr="003B5657" w:rsidRDefault="00BA76A2" w:rsidP="00832D8F">
          <w:pPr>
            <w:pStyle w:val="TOC4"/>
            <w:spacing w:before="0"/>
            <w:rPr>
              <w:rFonts w:ascii="Arial" w:eastAsiaTheme="minorEastAsia" w:hAnsi="Arial" w:cs="Arial"/>
              <w:noProof/>
              <w:sz w:val="22"/>
            </w:rPr>
          </w:pPr>
          <w:hyperlink w:anchor="_Toc69374235" w:history="1">
            <w:r w:rsidR="003B5657" w:rsidRPr="003B5657">
              <w:rPr>
                <w:rStyle w:val="Hyperlink"/>
                <w:rFonts w:cs="Arial"/>
                <w:noProof/>
              </w:rPr>
              <w:t>Department of Labor, Occupational Safety and Health Administration</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_Toc69374235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61</w:t>
            </w:r>
            <w:r w:rsidR="003B5657" w:rsidRPr="003B5657">
              <w:rPr>
                <w:rFonts w:ascii="Arial" w:hAnsi="Arial" w:cs="Arial"/>
                <w:noProof/>
                <w:webHidden/>
              </w:rPr>
              <w:fldChar w:fldCharType="end"/>
            </w:r>
          </w:hyperlink>
        </w:p>
        <w:p w14:paraId="68C9088F" w14:textId="77777777" w:rsidR="003B5657" w:rsidRPr="003B5657" w:rsidRDefault="00BA76A2" w:rsidP="00832D8F">
          <w:pPr>
            <w:pStyle w:val="TOC4"/>
            <w:spacing w:before="0"/>
            <w:rPr>
              <w:rFonts w:ascii="Arial" w:eastAsiaTheme="minorEastAsia" w:hAnsi="Arial" w:cs="Arial"/>
              <w:noProof/>
              <w:sz w:val="22"/>
            </w:rPr>
          </w:pPr>
          <w:hyperlink w:anchor="_Toc69374236" w:history="1">
            <w:r w:rsidR="003B5657" w:rsidRPr="003B5657">
              <w:rPr>
                <w:rStyle w:val="Hyperlink"/>
                <w:rFonts w:cs="Arial"/>
                <w:noProof/>
              </w:rPr>
              <w:t>Department of Education, Liaison Committee on Medical Education</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_Toc69374236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61</w:t>
            </w:r>
            <w:r w:rsidR="003B5657" w:rsidRPr="003B5657">
              <w:rPr>
                <w:rFonts w:ascii="Arial" w:hAnsi="Arial" w:cs="Arial"/>
                <w:noProof/>
                <w:webHidden/>
              </w:rPr>
              <w:fldChar w:fldCharType="end"/>
            </w:r>
          </w:hyperlink>
        </w:p>
        <w:p w14:paraId="035A496B" w14:textId="77777777" w:rsidR="003B5657" w:rsidRPr="003B5657" w:rsidRDefault="00BA76A2" w:rsidP="00832D8F">
          <w:pPr>
            <w:pStyle w:val="TOC4"/>
            <w:spacing w:before="0"/>
            <w:rPr>
              <w:rFonts w:ascii="Arial" w:eastAsiaTheme="minorEastAsia" w:hAnsi="Arial" w:cs="Arial"/>
              <w:noProof/>
              <w:sz w:val="22"/>
            </w:rPr>
          </w:pPr>
          <w:hyperlink w:anchor="_Toc69374237" w:history="1">
            <w:r w:rsidR="003B5657" w:rsidRPr="003B5657">
              <w:rPr>
                <w:rStyle w:val="Hyperlink"/>
                <w:rFonts w:cs="Arial"/>
                <w:noProof/>
              </w:rPr>
              <w:t>The Accreditation Council on Graduate Medical Education (ACGME)</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_Toc69374237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61</w:t>
            </w:r>
            <w:r w:rsidR="003B5657" w:rsidRPr="003B5657">
              <w:rPr>
                <w:rFonts w:ascii="Arial" w:hAnsi="Arial" w:cs="Arial"/>
                <w:noProof/>
                <w:webHidden/>
              </w:rPr>
              <w:fldChar w:fldCharType="end"/>
            </w:r>
          </w:hyperlink>
        </w:p>
        <w:p w14:paraId="39BF3DD3" w14:textId="77777777" w:rsidR="003B5657" w:rsidRPr="003B5657" w:rsidRDefault="00BA76A2" w:rsidP="00832D8F">
          <w:pPr>
            <w:pStyle w:val="TOC4"/>
            <w:spacing w:before="0"/>
            <w:rPr>
              <w:rFonts w:ascii="Arial" w:eastAsiaTheme="minorEastAsia" w:hAnsi="Arial" w:cs="Arial"/>
              <w:noProof/>
              <w:sz w:val="22"/>
            </w:rPr>
          </w:pPr>
          <w:hyperlink w:anchor="_Toc69374238" w:history="1">
            <w:r w:rsidR="003B5657" w:rsidRPr="003B5657">
              <w:rPr>
                <w:rStyle w:val="Hyperlink"/>
                <w:rFonts w:cs="Arial"/>
                <w:noProof/>
              </w:rPr>
              <w:t>Professional Organizations</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_Toc69374238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61</w:t>
            </w:r>
            <w:r w:rsidR="003B5657" w:rsidRPr="003B5657">
              <w:rPr>
                <w:rFonts w:ascii="Arial" w:hAnsi="Arial" w:cs="Arial"/>
                <w:noProof/>
                <w:webHidden/>
              </w:rPr>
              <w:fldChar w:fldCharType="end"/>
            </w:r>
          </w:hyperlink>
        </w:p>
        <w:p w14:paraId="78B3AB14" w14:textId="77777777" w:rsidR="003B5657" w:rsidRPr="003B5657" w:rsidRDefault="00BA76A2" w:rsidP="00832D8F">
          <w:pPr>
            <w:pStyle w:val="TOC4"/>
            <w:spacing w:before="0"/>
            <w:rPr>
              <w:rFonts w:ascii="Arial" w:eastAsiaTheme="minorEastAsia" w:hAnsi="Arial" w:cs="Arial"/>
              <w:noProof/>
              <w:sz w:val="22"/>
            </w:rPr>
          </w:pPr>
          <w:hyperlink w:anchor="_Toc69374239" w:history="1">
            <w:r w:rsidR="003B5657" w:rsidRPr="003B5657">
              <w:rPr>
                <w:rStyle w:val="Hyperlink"/>
                <w:rFonts w:cs="Arial"/>
                <w:noProof/>
              </w:rPr>
              <w:t>Equipment Developers, Manufacturers, and Suppliers</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_Toc69374239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62</w:t>
            </w:r>
            <w:r w:rsidR="003B5657" w:rsidRPr="003B5657">
              <w:rPr>
                <w:rFonts w:ascii="Arial" w:hAnsi="Arial" w:cs="Arial"/>
                <w:noProof/>
                <w:webHidden/>
              </w:rPr>
              <w:fldChar w:fldCharType="end"/>
            </w:r>
          </w:hyperlink>
        </w:p>
        <w:p w14:paraId="1FB71FE5" w14:textId="77777777" w:rsidR="003B5657" w:rsidRPr="003B5657" w:rsidRDefault="00BA76A2" w:rsidP="00832D8F">
          <w:pPr>
            <w:pStyle w:val="TOC4"/>
            <w:spacing w:before="0"/>
            <w:rPr>
              <w:rFonts w:ascii="Arial" w:eastAsiaTheme="minorEastAsia" w:hAnsi="Arial" w:cs="Arial"/>
              <w:noProof/>
              <w:sz w:val="22"/>
            </w:rPr>
          </w:pPr>
          <w:hyperlink w:anchor="_Toc69374240" w:history="1">
            <w:r w:rsidR="003B5657" w:rsidRPr="003B5657">
              <w:rPr>
                <w:rStyle w:val="Hyperlink"/>
                <w:rFonts w:cs="Arial"/>
                <w:noProof/>
              </w:rPr>
              <w:t>Health Maintenance Organizations and Managed Care Organizations</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_Toc69374240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63</w:t>
            </w:r>
            <w:r w:rsidR="003B5657" w:rsidRPr="003B5657">
              <w:rPr>
                <w:rFonts w:ascii="Arial" w:hAnsi="Arial" w:cs="Arial"/>
                <w:noProof/>
                <w:webHidden/>
              </w:rPr>
              <w:fldChar w:fldCharType="end"/>
            </w:r>
          </w:hyperlink>
        </w:p>
        <w:p w14:paraId="4F4F50CF" w14:textId="77777777" w:rsidR="003B5657" w:rsidRPr="003B5657" w:rsidRDefault="00BA76A2" w:rsidP="00832D8F">
          <w:pPr>
            <w:pStyle w:val="TOC4"/>
            <w:spacing w:before="0"/>
            <w:rPr>
              <w:rFonts w:ascii="Arial" w:eastAsiaTheme="minorEastAsia" w:hAnsi="Arial" w:cs="Arial"/>
              <w:noProof/>
              <w:sz w:val="22"/>
            </w:rPr>
          </w:pPr>
          <w:hyperlink w:anchor="_Toc69374241" w:history="1">
            <w:r w:rsidR="003B5657" w:rsidRPr="003B5657">
              <w:rPr>
                <w:rStyle w:val="Hyperlink"/>
                <w:rFonts w:cs="Arial"/>
                <w:noProof/>
              </w:rPr>
              <w:t>Educators</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_Toc69374241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63</w:t>
            </w:r>
            <w:r w:rsidR="003B5657" w:rsidRPr="003B5657">
              <w:rPr>
                <w:rFonts w:ascii="Arial" w:hAnsi="Arial" w:cs="Arial"/>
                <w:noProof/>
                <w:webHidden/>
              </w:rPr>
              <w:fldChar w:fldCharType="end"/>
            </w:r>
          </w:hyperlink>
        </w:p>
        <w:p w14:paraId="30DBED04" w14:textId="77777777" w:rsidR="003B5657" w:rsidRPr="003B5657" w:rsidRDefault="00BA76A2" w:rsidP="00832D8F">
          <w:pPr>
            <w:pStyle w:val="TOC4"/>
            <w:spacing w:before="0"/>
            <w:rPr>
              <w:rFonts w:ascii="Arial" w:eastAsiaTheme="minorEastAsia" w:hAnsi="Arial" w:cs="Arial"/>
              <w:noProof/>
              <w:sz w:val="22"/>
            </w:rPr>
          </w:pPr>
          <w:hyperlink w:anchor="_Toc69374242" w:history="1">
            <w:r w:rsidR="003B5657" w:rsidRPr="003B5657">
              <w:rPr>
                <w:rStyle w:val="Hyperlink"/>
                <w:rFonts w:cs="Arial"/>
                <w:noProof/>
              </w:rPr>
              <w:t>Health Care Facilities</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_Toc69374242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63</w:t>
            </w:r>
            <w:r w:rsidR="003B5657" w:rsidRPr="003B5657">
              <w:rPr>
                <w:rFonts w:ascii="Arial" w:hAnsi="Arial" w:cs="Arial"/>
                <w:noProof/>
                <w:webHidden/>
              </w:rPr>
              <w:fldChar w:fldCharType="end"/>
            </w:r>
          </w:hyperlink>
        </w:p>
        <w:p w14:paraId="002087CD" w14:textId="77777777" w:rsidR="003B5657" w:rsidRPr="003B5657" w:rsidRDefault="00BA76A2">
          <w:pPr>
            <w:pStyle w:val="TOC1"/>
            <w:rPr>
              <w:rFonts w:eastAsiaTheme="minorEastAsia" w:cs="Arial"/>
              <w:sz w:val="22"/>
            </w:rPr>
          </w:pPr>
          <w:hyperlink w:anchor="_Toc69374243" w:history="1">
            <w:r w:rsidR="003B5657" w:rsidRPr="003B5657">
              <w:rPr>
                <w:rStyle w:val="Hyperlink"/>
                <w:rFonts w:cs="Arial"/>
              </w:rPr>
              <w:t>Appendix 1: Stakeholder Experts</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_Toc69374243 \h </w:instrText>
            </w:r>
            <w:r w:rsidR="003B5657" w:rsidRPr="003B5657">
              <w:rPr>
                <w:rFonts w:cs="Arial"/>
                <w:webHidden/>
              </w:rPr>
            </w:r>
            <w:r w:rsidR="003B5657" w:rsidRPr="003B5657">
              <w:rPr>
                <w:rFonts w:cs="Arial"/>
                <w:webHidden/>
              </w:rPr>
              <w:fldChar w:fldCharType="separate"/>
            </w:r>
            <w:r w:rsidR="00D64571">
              <w:rPr>
                <w:rFonts w:cs="Arial"/>
                <w:webHidden/>
              </w:rPr>
              <w:t>65</w:t>
            </w:r>
            <w:r w:rsidR="003B5657" w:rsidRPr="003B5657">
              <w:rPr>
                <w:rFonts w:cs="Arial"/>
                <w:webHidden/>
              </w:rPr>
              <w:fldChar w:fldCharType="end"/>
            </w:r>
          </w:hyperlink>
        </w:p>
        <w:p w14:paraId="7B0672AD" w14:textId="77777777" w:rsidR="003B5657" w:rsidRPr="003B5657" w:rsidRDefault="00BA76A2">
          <w:pPr>
            <w:pStyle w:val="TOC1"/>
            <w:rPr>
              <w:rFonts w:eastAsiaTheme="minorEastAsia" w:cs="Arial"/>
              <w:sz w:val="22"/>
            </w:rPr>
          </w:pPr>
          <w:hyperlink w:anchor="_Toc69374244" w:history="1">
            <w:r w:rsidR="003B5657" w:rsidRPr="003B5657">
              <w:rPr>
                <w:rStyle w:val="Hyperlink"/>
                <w:rFonts w:cs="Arial"/>
              </w:rPr>
              <w:t>Appendix 2: Research Methodology</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_Toc69374244 \h </w:instrText>
            </w:r>
            <w:r w:rsidR="003B5657" w:rsidRPr="003B5657">
              <w:rPr>
                <w:rFonts w:cs="Arial"/>
                <w:webHidden/>
              </w:rPr>
            </w:r>
            <w:r w:rsidR="003B5657" w:rsidRPr="003B5657">
              <w:rPr>
                <w:rFonts w:cs="Arial"/>
                <w:webHidden/>
              </w:rPr>
              <w:fldChar w:fldCharType="separate"/>
            </w:r>
            <w:r w:rsidR="00D64571">
              <w:rPr>
                <w:rFonts w:cs="Arial"/>
                <w:webHidden/>
              </w:rPr>
              <w:t>69</w:t>
            </w:r>
            <w:r w:rsidR="003B5657" w:rsidRPr="003B5657">
              <w:rPr>
                <w:rFonts w:cs="Arial"/>
                <w:webHidden/>
              </w:rPr>
              <w:fldChar w:fldCharType="end"/>
            </w:r>
          </w:hyperlink>
        </w:p>
        <w:p w14:paraId="416A4153" w14:textId="77777777" w:rsidR="003B5657" w:rsidRPr="003B5657" w:rsidRDefault="00BA76A2">
          <w:pPr>
            <w:pStyle w:val="TOC2"/>
            <w:rPr>
              <w:rFonts w:eastAsiaTheme="minorEastAsia" w:cs="Arial"/>
              <w:noProof/>
              <w:sz w:val="22"/>
            </w:rPr>
          </w:pPr>
          <w:hyperlink w:anchor="_Toc69374245" w:history="1">
            <w:r w:rsidR="003B5657" w:rsidRPr="003B5657">
              <w:rPr>
                <w:rStyle w:val="Hyperlink"/>
                <w:rFonts w:cs="Arial"/>
                <w:noProof/>
                <w:lang w:val="en"/>
              </w:rPr>
              <w:t>Approach: Modified Appreciative Inquiry</w:t>
            </w:r>
            <w:r w:rsidR="003B5657" w:rsidRPr="003B5657">
              <w:rPr>
                <w:rFonts w:cs="Arial"/>
                <w:noProof/>
                <w:webHidden/>
              </w:rPr>
              <w:tab/>
            </w:r>
            <w:r w:rsidR="003B5657" w:rsidRPr="003B5657">
              <w:rPr>
                <w:rFonts w:cs="Arial"/>
                <w:noProof/>
                <w:webHidden/>
              </w:rPr>
              <w:fldChar w:fldCharType="begin"/>
            </w:r>
            <w:r w:rsidR="003B5657" w:rsidRPr="003B5657">
              <w:rPr>
                <w:rFonts w:cs="Arial"/>
                <w:noProof/>
                <w:webHidden/>
              </w:rPr>
              <w:instrText xml:space="preserve"> PAGEREF _Toc69374245 \h </w:instrText>
            </w:r>
            <w:r w:rsidR="003B5657" w:rsidRPr="003B5657">
              <w:rPr>
                <w:rFonts w:cs="Arial"/>
                <w:noProof/>
                <w:webHidden/>
              </w:rPr>
            </w:r>
            <w:r w:rsidR="003B5657" w:rsidRPr="003B5657">
              <w:rPr>
                <w:rFonts w:cs="Arial"/>
                <w:noProof/>
                <w:webHidden/>
              </w:rPr>
              <w:fldChar w:fldCharType="separate"/>
            </w:r>
            <w:r w:rsidR="00D64571">
              <w:rPr>
                <w:rFonts w:cs="Arial"/>
                <w:noProof/>
                <w:webHidden/>
              </w:rPr>
              <w:t>69</w:t>
            </w:r>
            <w:r w:rsidR="003B5657" w:rsidRPr="003B5657">
              <w:rPr>
                <w:rFonts w:cs="Arial"/>
                <w:noProof/>
                <w:webHidden/>
              </w:rPr>
              <w:fldChar w:fldCharType="end"/>
            </w:r>
          </w:hyperlink>
        </w:p>
        <w:p w14:paraId="2458D336" w14:textId="77777777" w:rsidR="003B5657" w:rsidRPr="003B5657" w:rsidRDefault="00BA76A2">
          <w:pPr>
            <w:pStyle w:val="TOC3"/>
            <w:tabs>
              <w:tab w:val="right" w:leader="dot" w:pos="9350"/>
            </w:tabs>
            <w:rPr>
              <w:rFonts w:ascii="Arial" w:eastAsiaTheme="minorEastAsia" w:hAnsi="Arial" w:cs="Arial"/>
              <w:noProof/>
              <w:sz w:val="22"/>
            </w:rPr>
          </w:pPr>
          <w:hyperlink w:anchor="_Toc69374246" w:history="1">
            <w:r w:rsidR="003B5657" w:rsidRPr="003B5657">
              <w:rPr>
                <w:rStyle w:val="Hyperlink"/>
                <w:rFonts w:cs="Arial"/>
                <w:noProof/>
              </w:rPr>
              <w:t>Rapid Review of Literature</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_Toc69374246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69</w:t>
            </w:r>
            <w:r w:rsidR="003B5657" w:rsidRPr="003B5657">
              <w:rPr>
                <w:rFonts w:ascii="Arial" w:hAnsi="Arial" w:cs="Arial"/>
                <w:noProof/>
                <w:webHidden/>
              </w:rPr>
              <w:fldChar w:fldCharType="end"/>
            </w:r>
          </w:hyperlink>
        </w:p>
        <w:p w14:paraId="7EAB9215" w14:textId="77777777" w:rsidR="003B5657" w:rsidRPr="003B5657" w:rsidRDefault="00BA76A2">
          <w:pPr>
            <w:pStyle w:val="TOC3"/>
            <w:tabs>
              <w:tab w:val="right" w:leader="dot" w:pos="9350"/>
            </w:tabs>
            <w:rPr>
              <w:rFonts w:ascii="Arial" w:eastAsiaTheme="minorEastAsia" w:hAnsi="Arial" w:cs="Arial"/>
              <w:noProof/>
              <w:sz w:val="22"/>
            </w:rPr>
          </w:pPr>
          <w:hyperlink w:anchor="_Toc69374247" w:history="1">
            <w:r w:rsidR="003B5657" w:rsidRPr="003B5657">
              <w:rPr>
                <w:rStyle w:val="Hyperlink"/>
                <w:rFonts w:cs="Arial"/>
                <w:noProof/>
              </w:rPr>
              <w:t>Environmental Scan</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_Toc69374247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69</w:t>
            </w:r>
            <w:r w:rsidR="003B5657" w:rsidRPr="003B5657">
              <w:rPr>
                <w:rFonts w:ascii="Arial" w:hAnsi="Arial" w:cs="Arial"/>
                <w:noProof/>
                <w:webHidden/>
              </w:rPr>
              <w:fldChar w:fldCharType="end"/>
            </w:r>
          </w:hyperlink>
        </w:p>
        <w:p w14:paraId="17103D2C" w14:textId="77777777" w:rsidR="003B5657" w:rsidRPr="003B5657" w:rsidRDefault="00BA76A2">
          <w:pPr>
            <w:pStyle w:val="TOC3"/>
            <w:tabs>
              <w:tab w:val="right" w:leader="dot" w:pos="9350"/>
            </w:tabs>
            <w:rPr>
              <w:rFonts w:ascii="Arial" w:eastAsiaTheme="minorEastAsia" w:hAnsi="Arial" w:cs="Arial"/>
              <w:noProof/>
              <w:sz w:val="22"/>
            </w:rPr>
          </w:pPr>
          <w:hyperlink w:anchor="_Toc69374248" w:history="1">
            <w:r w:rsidR="003B5657" w:rsidRPr="003B5657">
              <w:rPr>
                <w:rStyle w:val="Hyperlink"/>
                <w:rFonts w:cs="Arial"/>
                <w:noProof/>
              </w:rPr>
              <w:t>Health Policy and Services Expert Interviews</w:t>
            </w:r>
            <w:r w:rsidR="003B5657" w:rsidRPr="003B5657">
              <w:rPr>
                <w:rFonts w:ascii="Arial" w:hAnsi="Arial" w:cs="Arial"/>
                <w:noProof/>
                <w:webHidden/>
              </w:rPr>
              <w:tab/>
            </w:r>
            <w:r w:rsidR="003B5657" w:rsidRPr="003B5657">
              <w:rPr>
                <w:rFonts w:ascii="Arial" w:hAnsi="Arial" w:cs="Arial"/>
                <w:noProof/>
                <w:webHidden/>
              </w:rPr>
              <w:fldChar w:fldCharType="begin"/>
            </w:r>
            <w:r w:rsidR="003B5657" w:rsidRPr="003B5657">
              <w:rPr>
                <w:rFonts w:ascii="Arial" w:hAnsi="Arial" w:cs="Arial"/>
                <w:noProof/>
                <w:webHidden/>
              </w:rPr>
              <w:instrText xml:space="preserve"> PAGEREF _Toc69374248 \h </w:instrText>
            </w:r>
            <w:r w:rsidR="003B5657" w:rsidRPr="003B5657">
              <w:rPr>
                <w:rFonts w:ascii="Arial" w:hAnsi="Arial" w:cs="Arial"/>
                <w:noProof/>
                <w:webHidden/>
              </w:rPr>
            </w:r>
            <w:r w:rsidR="003B5657" w:rsidRPr="003B5657">
              <w:rPr>
                <w:rFonts w:ascii="Arial" w:hAnsi="Arial" w:cs="Arial"/>
                <w:noProof/>
                <w:webHidden/>
              </w:rPr>
              <w:fldChar w:fldCharType="separate"/>
            </w:r>
            <w:r w:rsidR="00D64571">
              <w:rPr>
                <w:rFonts w:ascii="Arial" w:hAnsi="Arial" w:cs="Arial"/>
                <w:noProof/>
                <w:webHidden/>
              </w:rPr>
              <w:t>69</w:t>
            </w:r>
            <w:r w:rsidR="003B5657" w:rsidRPr="003B5657">
              <w:rPr>
                <w:rFonts w:ascii="Arial" w:hAnsi="Arial" w:cs="Arial"/>
                <w:noProof/>
                <w:webHidden/>
              </w:rPr>
              <w:fldChar w:fldCharType="end"/>
            </w:r>
          </w:hyperlink>
        </w:p>
        <w:p w14:paraId="6507791B" w14:textId="77777777" w:rsidR="003B5657" w:rsidRDefault="00BA76A2">
          <w:pPr>
            <w:pStyle w:val="TOC1"/>
            <w:rPr>
              <w:rFonts w:asciiTheme="minorHAnsi" w:eastAsiaTheme="minorEastAsia" w:hAnsiTheme="minorHAnsi" w:cstheme="minorBidi"/>
              <w:sz w:val="22"/>
            </w:rPr>
          </w:pPr>
          <w:hyperlink w:anchor="_Toc69374249" w:history="1">
            <w:r w:rsidR="003B5657" w:rsidRPr="003B5657">
              <w:rPr>
                <w:rStyle w:val="Hyperlink"/>
                <w:rFonts w:eastAsia="Times New Roman" w:cs="Arial"/>
              </w:rPr>
              <w:t>Endnotes</w:t>
            </w:r>
            <w:r w:rsidR="003B5657" w:rsidRPr="003B5657">
              <w:rPr>
                <w:rFonts w:cs="Arial"/>
                <w:webHidden/>
              </w:rPr>
              <w:tab/>
            </w:r>
            <w:r w:rsidR="003B5657" w:rsidRPr="003B5657">
              <w:rPr>
                <w:rFonts w:cs="Arial"/>
                <w:webHidden/>
              </w:rPr>
              <w:fldChar w:fldCharType="begin"/>
            </w:r>
            <w:r w:rsidR="003B5657" w:rsidRPr="003B5657">
              <w:rPr>
                <w:rFonts w:cs="Arial"/>
                <w:webHidden/>
              </w:rPr>
              <w:instrText xml:space="preserve"> PAGEREF _Toc69374249 \h </w:instrText>
            </w:r>
            <w:r w:rsidR="003B5657" w:rsidRPr="003B5657">
              <w:rPr>
                <w:rFonts w:cs="Arial"/>
                <w:webHidden/>
              </w:rPr>
            </w:r>
            <w:r w:rsidR="003B5657" w:rsidRPr="003B5657">
              <w:rPr>
                <w:rFonts w:cs="Arial"/>
                <w:webHidden/>
              </w:rPr>
              <w:fldChar w:fldCharType="separate"/>
            </w:r>
            <w:r w:rsidR="00D64571">
              <w:rPr>
                <w:rFonts w:cs="Arial"/>
                <w:webHidden/>
              </w:rPr>
              <w:t>71</w:t>
            </w:r>
            <w:r w:rsidR="003B5657" w:rsidRPr="003B5657">
              <w:rPr>
                <w:rFonts w:cs="Arial"/>
                <w:webHidden/>
              </w:rPr>
              <w:fldChar w:fldCharType="end"/>
            </w:r>
          </w:hyperlink>
        </w:p>
        <w:p w14:paraId="1286CA9A" w14:textId="4E9169FA" w:rsidR="007F1601" w:rsidRPr="00217A34" w:rsidRDefault="007D2481" w:rsidP="00C17CD2">
          <w:pPr>
            <w:pStyle w:val="TOC1"/>
            <w:rPr>
              <w:rFonts w:cs="Arial"/>
              <w:color w:val="000000" w:themeColor="text1"/>
              <w:szCs w:val="24"/>
            </w:rPr>
          </w:pPr>
          <w:r w:rsidRPr="002B7D27">
            <w:rPr>
              <w:rFonts w:cs="Arial"/>
              <w:color w:val="000000" w:themeColor="text1"/>
              <w:szCs w:val="24"/>
            </w:rPr>
            <w:fldChar w:fldCharType="end"/>
          </w:r>
        </w:p>
      </w:sdtContent>
    </w:sdt>
    <w:p w14:paraId="701BB5AA" w14:textId="77777777" w:rsidR="00FC6AD9" w:rsidRPr="00C64F3D" w:rsidRDefault="004F3471" w:rsidP="00FC6AD9">
      <w:pPr>
        <w:pStyle w:val="Heading1"/>
      </w:pPr>
      <w:bookmarkStart w:id="76" w:name="_Toc804813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72"/>
      <w:r>
        <w:br w:type="page"/>
      </w:r>
      <w:bookmarkStart w:id="77" w:name="_Toc65342163"/>
      <w:bookmarkStart w:id="78" w:name="_Toc69374201"/>
      <w:bookmarkStart w:id="79" w:name="_Toc13484603"/>
      <w:bookmarkStart w:id="80" w:name="_Toc416884922"/>
      <w:r w:rsidR="00FC6AD9" w:rsidRPr="00C64F3D">
        <w:t>Acknowledgments</w:t>
      </w:r>
      <w:bookmarkEnd w:id="77"/>
      <w:bookmarkEnd w:id="78"/>
    </w:p>
    <w:p w14:paraId="4A2D5C61" w14:textId="77777777" w:rsidR="00FC6AD9" w:rsidRDefault="00FC6AD9" w:rsidP="0046522E">
      <w:pPr>
        <w:pStyle w:val="NCDBodyText"/>
      </w:pPr>
      <w:r w:rsidRPr="00C64F3D">
        <w:t>The National Council on Disability (NCD)</w:t>
      </w:r>
      <w:r>
        <w:t xml:space="preserve"> </w:t>
      </w:r>
      <w:r w:rsidRPr="00C64F3D">
        <w:t xml:space="preserve">thanks Susan </w:t>
      </w:r>
      <w:proofErr w:type="spellStart"/>
      <w:r w:rsidRPr="00C64F3D">
        <w:t>Magasi</w:t>
      </w:r>
      <w:proofErr w:type="spellEnd"/>
      <w:r w:rsidRPr="00C64F3D">
        <w:t>, Ph</w:t>
      </w:r>
      <w:r>
        <w:t>.</w:t>
      </w:r>
      <w:r w:rsidRPr="00C64F3D">
        <w:t>D</w:t>
      </w:r>
      <w:r>
        <w:t>.,</w:t>
      </w:r>
      <w:r w:rsidRPr="00C64F3D">
        <w:t xml:space="preserve"> Hilary Marshall,</w:t>
      </w:r>
      <w:r>
        <w:t xml:space="preserve"> </w:t>
      </w:r>
      <w:r w:rsidRPr="00C64F3D">
        <w:t>Ricardo Ramirez, OTD, OTR/L</w:t>
      </w:r>
      <w:r>
        <w:t>,</w:t>
      </w:r>
      <w:r w:rsidRPr="00C64F3D">
        <w:t xml:space="preserve"> Rachael </w:t>
      </w:r>
      <w:proofErr w:type="spellStart"/>
      <w:r w:rsidRPr="00C64F3D">
        <w:t>Wanjagua</w:t>
      </w:r>
      <w:proofErr w:type="spellEnd"/>
      <w:r>
        <w:t>,</w:t>
      </w:r>
      <w:r w:rsidRPr="00C64F3D">
        <w:t xml:space="preserve"> </w:t>
      </w:r>
      <w:proofErr w:type="spellStart"/>
      <w:r w:rsidRPr="00C64F3D">
        <w:t>Sina</w:t>
      </w:r>
      <w:proofErr w:type="spellEnd"/>
      <w:r w:rsidRPr="00C64F3D">
        <w:t xml:space="preserve"> Webster</w:t>
      </w:r>
      <w:r>
        <w:t>,</w:t>
      </w:r>
      <w:r w:rsidRPr="00C64F3D">
        <w:t xml:space="preserve"> and Ashley Vincent of the Program for Healthcare Justice for People with Disabilities at the University of Illinois, Chicago</w:t>
      </w:r>
      <w:r>
        <w:t>;</w:t>
      </w:r>
      <w:r w:rsidRPr="00C64F3D">
        <w:t xml:space="preserve"> Robin Jones from the Great Lakes ADA Center</w:t>
      </w:r>
      <w:r>
        <w:t>;</w:t>
      </w:r>
      <w:r w:rsidRPr="00C64F3D">
        <w:t xml:space="preserve"> and Ana Torres-Davis, NCD Senior Attorney Advisor, for their work in the development and editing of this report.</w:t>
      </w:r>
    </w:p>
    <w:p w14:paraId="12C18A96" w14:textId="77777777" w:rsidR="002D163A" w:rsidRDefault="002D163A" w:rsidP="00B9405D">
      <w:pPr>
        <w:pStyle w:val="NCDBodyText"/>
        <w:rPr>
          <w:rFonts w:eastAsiaTheme="minorHAnsi" w:cs="Arial"/>
          <w:sz w:val="36"/>
          <w:szCs w:val="32"/>
        </w:rPr>
      </w:pPr>
      <w:bookmarkStart w:id="81" w:name="_Toc65342164"/>
      <w:r>
        <w:br w:type="page"/>
      </w:r>
    </w:p>
    <w:p w14:paraId="1265058F" w14:textId="77777777" w:rsidR="00B9405D" w:rsidRDefault="00B9405D" w:rsidP="00B9405D">
      <w:pPr>
        <w:pStyle w:val="NCDBodyText"/>
        <w:rPr>
          <w:rFonts w:eastAsiaTheme="minorHAnsi" w:cs="Arial"/>
          <w:sz w:val="36"/>
          <w:szCs w:val="32"/>
        </w:rPr>
      </w:pPr>
      <w:r>
        <w:br w:type="page"/>
      </w:r>
    </w:p>
    <w:p w14:paraId="727C284B" w14:textId="0AA90D04" w:rsidR="00FC6AD9" w:rsidRPr="00C64F3D" w:rsidRDefault="00FC6AD9" w:rsidP="00FC6AD9">
      <w:pPr>
        <w:pStyle w:val="Heading1"/>
      </w:pPr>
      <w:bookmarkStart w:id="82" w:name="_Toc69374202"/>
      <w:r w:rsidRPr="00C64F3D">
        <w:t>Executive Summary</w:t>
      </w:r>
      <w:bookmarkEnd w:id="81"/>
      <w:bookmarkEnd w:id="82"/>
      <w:r w:rsidRPr="00C64F3D">
        <w:t xml:space="preserve"> </w:t>
      </w:r>
    </w:p>
    <w:p w14:paraId="6E4BBD8F" w14:textId="77777777" w:rsidR="00FC6AD9" w:rsidRPr="00C64F3D" w:rsidRDefault="00FC6AD9" w:rsidP="002D163A">
      <w:pPr>
        <w:pStyle w:val="NCDBodyText"/>
      </w:pPr>
      <w:r w:rsidRPr="00C64F3D">
        <w:t>One in seven American adults has a disability that limits their functional mobility.</w:t>
      </w:r>
      <w:r w:rsidRPr="00C64F3D">
        <w:rPr>
          <w:rStyle w:val="EndnoteReference"/>
          <w:rFonts w:cs="Arial"/>
        </w:rPr>
        <w:endnoteReference w:id="2"/>
      </w:r>
      <w:r w:rsidRPr="00C64F3D">
        <w:rPr>
          <w:vertAlign w:val="superscript"/>
        </w:rPr>
        <w:t xml:space="preserve"> </w:t>
      </w:r>
      <w:r w:rsidRPr="00C64F3D">
        <w:t>This number is expected to grow given population health trends, such as increasing rates of chronic medical conditions, obesity</w:t>
      </w:r>
      <w:r>
        <w:t>,</w:t>
      </w:r>
      <w:r w:rsidRPr="00C64F3D">
        <w:t xml:space="preserve"> and the aging population.</w:t>
      </w:r>
      <w:r w:rsidRPr="00C64F3D">
        <w:rPr>
          <w:rStyle w:val="EndnoteReference"/>
          <w:rFonts w:cs="Arial"/>
        </w:rPr>
        <w:endnoteReference w:id="3"/>
      </w:r>
      <w:r w:rsidRPr="00C64F3D">
        <w:t xml:space="preserve"> People with disabilities tend to be higher</w:t>
      </w:r>
      <w:r>
        <w:t>-</w:t>
      </w:r>
      <w:r w:rsidRPr="00C64F3D">
        <w:t>frequency and higher</w:t>
      </w:r>
      <w:r>
        <w:t>-</w:t>
      </w:r>
      <w:r w:rsidRPr="00C64F3D">
        <w:t xml:space="preserve">cost users of </w:t>
      </w:r>
      <w:r>
        <w:t>health care</w:t>
      </w:r>
      <w:r w:rsidRPr="00C64F3D">
        <w:t xml:space="preserve"> services than their peers</w:t>
      </w:r>
      <w:r>
        <w:t xml:space="preserve"> without disabilities</w:t>
      </w:r>
      <w:r w:rsidRPr="00C64F3D">
        <w:t>. Under Section 1557 of the Affordable Care Act (</w:t>
      </w:r>
      <w:r>
        <w:t>ACA</w:t>
      </w:r>
      <w:r w:rsidRPr="00C64F3D">
        <w:t>),</w:t>
      </w:r>
      <w:r w:rsidRPr="00C64F3D">
        <w:rPr>
          <w:rStyle w:val="EndnoteReference"/>
          <w:rFonts w:cs="Arial"/>
        </w:rPr>
        <w:endnoteReference w:id="4"/>
      </w:r>
      <w:r w:rsidRPr="00C64F3D">
        <w:t xml:space="preserve"> the Americans with Disabilities Act (</w:t>
      </w:r>
      <w:proofErr w:type="gramStart"/>
      <w:r w:rsidRPr="00C64F3D">
        <w:t>ADA),</w:t>
      </w:r>
      <w:r w:rsidRPr="00C64F3D">
        <w:rPr>
          <w:rStyle w:val="EndnoteReference"/>
          <w:rFonts w:cs="Arial"/>
        </w:rPr>
        <w:endnoteReference w:id="5"/>
      </w:r>
      <w:r w:rsidRPr="00C64F3D">
        <w:t xml:space="preserve"> and Section 504 of the Rehabilitation Act (Section 504),</w:t>
      </w:r>
      <w:r w:rsidRPr="00C64F3D">
        <w:rPr>
          <w:rStyle w:val="EndnoteReference"/>
          <w:rFonts w:cs="Arial"/>
        </w:rPr>
        <w:endnoteReference w:id="6"/>
      </w:r>
      <w:proofErr w:type="gramEnd"/>
      <w:r w:rsidRPr="00C64F3D">
        <w:t xml:space="preserve"> </w:t>
      </w:r>
      <w:r>
        <w:t>health care</w:t>
      </w:r>
      <w:r w:rsidRPr="00C64F3D">
        <w:t xml:space="preserve"> providers must ensure full and equal access to their </w:t>
      </w:r>
      <w:r>
        <w:t>health care</w:t>
      </w:r>
      <w:r w:rsidRPr="00C64F3D">
        <w:t xml:space="preserve"> services and facilities.</w:t>
      </w:r>
      <w:r w:rsidRPr="00C64F3D">
        <w:rPr>
          <w:rStyle w:val="EndnoteReference"/>
          <w:rFonts w:cs="Arial"/>
        </w:rPr>
        <w:endnoteReference w:id="7"/>
      </w:r>
      <w:r w:rsidRPr="00C64F3D">
        <w:t xml:space="preserve"> </w:t>
      </w:r>
      <w:r w:rsidRPr="00AA02A7">
        <w:t>Yet, in 202</w:t>
      </w:r>
      <w:r>
        <w:t>1</w:t>
      </w:r>
      <w:r w:rsidRPr="00C64F3D">
        <w:t>, people with mobility impairments continue to encounter significant physical accessibility barriers in obtaining preventative, primary, and specialty medical care.</w:t>
      </w:r>
      <w:r w:rsidRPr="00C64F3D">
        <w:rPr>
          <w:rStyle w:val="EndnoteReference"/>
          <w:rFonts w:cs="Arial"/>
        </w:rPr>
        <w:endnoteReference w:id="8"/>
      </w:r>
      <w:r w:rsidRPr="00C64F3D">
        <w:t xml:space="preserve"> This lack of physical accessibility adversely affects quality of care</w:t>
      </w:r>
      <w:r>
        <w:t>,</w:t>
      </w:r>
      <w:r w:rsidRPr="00C64F3D">
        <w:t xml:space="preserve"> leading to delayed and incomplete care, missed diagnoses, exacerbation of the original disability</w:t>
      </w:r>
      <w:r>
        <w:t>,</w:t>
      </w:r>
      <w:r w:rsidRPr="00C64F3D">
        <w:t xml:space="preserve"> and increases </w:t>
      </w:r>
      <w:r>
        <w:t xml:space="preserve">in </w:t>
      </w:r>
      <w:r w:rsidRPr="00C64F3D">
        <w:t xml:space="preserve">the likelihood of </w:t>
      </w:r>
      <w:r>
        <w:t xml:space="preserve">the </w:t>
      </w:r>
      <w:r w:rsidRPr="00C64F3D">
        <w:t>develop</w:t>
      </w:r>
      <w:r>
        <w:t>ment</w:t>
      </w:r>
      <w:r w:rsidRPr="00C64F3D">
        <w:t xml:space="preserve"> of secondary conditions.</w:t>
      </w:r>
      <w:r w:rsidRPr="00C64F3D">
        <w:rPr>
          <w:rStyle w:val="EndnoteReference"/>
          <w:rFonts w:cs="Arial"/>
        </w:rPr>
        <w:endnoteReference w:id="9"/>
      </w:r>
      <w:r w:rsidRPr="00C64F3D">
        <w:t xml:space="preserve"> Examination tables, weight scales, exam</w:t>
      </w:r>
      <w:r>
        <w:t>ination</w:t>
      </w:r>
      <w:r w:rsidRPr="00C64F3D">
        <w:t xml:space="preserve"> chairs, and imaging equipment are vital medical diagnostic equipment </w:t>
      </w:r>
      <w:r>
        <w:t xml:space="preserve">(MDE) </w:t>
      </w:r>
      <w:r w:rsidRPr="00C64F3D">
        <w:t>and are usually inaccessible for people with physical disabilities.</w:t>
      </w:r>
      <w:r w:rsidRPr="00C64F3D">
        <w:rPr>
          <w:rStyle w:val="EndnoteReference"/>
          <w:rFonts w:cs="Arial"/>
        </w:rPr>
        <w:endnoteReference w:id="10"/>
      </w:r>
      <w:r w:rsidRPr="00C64F3D">
        <w:t xml:space="preserve"> Furthermore</w:t>
      </w:r>
      <w:r>
        <w:t>,</w:t>
      </w:r>
      <w:r w:rsidRPr="00C64F3D">
        <w:t xml:space="preserve"> </w:t>
      </w:r>
      <w:bookmarkStart w:id="83" w:name="_Hlk68009800"/>
      <w:r w:rsidRPr="00C64F3D">
        <w:t xml:space="preserve">when confronted with inaccessible </w:t>
      </w:r>
      <w:r>
        <w:t>MDE</w:t>
      </w:r>
      <w:r w:rsidRPr="00C64F3D">
        <w:t xml:space="preserve">, most </w:t>
      </w:r>
      <w:r>
        <w:t>health care</w:t>
      </w:r>
      <w:r w:rsidRPr="00C64F3D">
        <w:t xml:space="preserve"> facilities lack appropriate transfer equipment and trained staff to help people with disabilities transfer safely to the standard equipment</w:t>
      </w:r>
      <w:bookmarkEnd w:id="83"/>
      <w:r w:rsidRPr="00C64F3D">
        <w:t xml:space="preserve">, placing both patients and staff at risk for injury. </w:t>
      </w:r>
      <w:r>
        <w:t>L</w:t>
      </w:r>
      <w:r w:rsidRPr="00C64F3D">
        <w:t xml:space="preserve">ack of accessible MDE </w:t>
      </w:r>
      <w:r>
        <w:t xml:space="preserve">not only </w:t>
      </w:r>
      <w:r w:rsidRPr="00C64F3D">
        <w:t>compromise</w:t>
      </w:r>
      <w:r>
        <w:t>s</w:t>
      </w:r>
      <w:r w:rsidRPr="00C64F3D">
        <w:t xml:space="preserve"> the quality of care, </w:t>
      </w:r>
      <w:r>
        <w:t xml:space="preserve">but </w:t>
      </w:r>
      <w:r w:rsidRPr="00C64F3D">
        <w:t xml:space="preserve">it can </w:t>
      </w:r>
      <w:r>
        <w:t xml:space="preserve">also </w:t>
      </w:r>
      <w:r w:rsidRPr="00C64F3D">
        <w:t>negatively impact emotional and physical health</w:t>
      </w:r>
      <w:r w:rsidRPr="00C64F3D">
        <w:rPr>
          <w:rStyle w:val="EndnoteReference"/>
          <w:rFonts w:cs="Arial"/>
        </w:rPr>
        <w:endnoteReference w:id="11"/>
      </w:r>
      <w:r w:rsidRPr="00C64F3D">
        <w:rPr>
          <w:vertAlign w:val="superscript"/>
        </w:rPr>
        <w:t xml:space="preserve"> </w:t>
      </w:r>
      <w:r>
        <w:t xml:space="preserve">and </w:t>
      </w:r>
      <w:r w:rsidRPr="00C64F3D">
        <w:t>health</w:t>
      </w:r>
      <w:r>
        <w:t>-</w:t>
      </w:r>
      <w:r w:rsidRPr="00C64F3D">
        <w:t xml:space="preserve">related quality of life, and </w:t>
      </w:r>
      <w:r>
        <w:t xml:space="preserve">it can </w:t>
      </w:r>
      <w:r w:rsidRPr="00C64F3D">
        <w:t>cause people to forego needed preventative and primary care.</w:t>
      </w:r>
      <w:r w:rsidRPr="00C64F3D">
        <w:rPr>
          <w:rStyle w:val="EndnoteReference"/>
          <w:rFonts w:cs="Arial"/>
        </w:rPr>
        <w:endnoteReference w:id="12"/>
      </w:r>
      <w:r w:rsidRPr="00C64F3D">
        <w:t xml:space="preserve"> </w:t>
      </w:r>
    </w:p>
    <w:p w14:paraId="6AB41547" w14:textId="77777777" w:rsidR="00FC6AD9" w:rsidRPr="00C64F3D" w:rsidRDefault="00FC6AD9" w:rsidP="002D163A">
      <w:pPr>
        <w:pStyle w:val="NCDBodyText"/>
      </w:pPr>
      <w:bookmarkStart w:id="85" w:name="_Hlk68009966"/>
      <w:bookmarkStart w:id="86" w:name="_Hlk60994684"/>
      <w:r w:rsidRPr="00C64F3D">
        <w:t>On March 23, 2010, the ACA</w:t>
      </w:r>
      <w:r w:rsidRPr="00C64F3D" w:rsidDel="00E40DF2">
        <w:rPr>
          <w:rStyle w:val="EndnoteReference"/>
          <w:rFonts w:eastAsia="Times New Roman" w:cs="Arial"/>
        </w:rPr>
        <w:t xml:space="preserve"> </w:t>
      </w:r>
      <w:r w:rsidRPr="00C64F3D">
        <w:t xml:space="preserve">amended the Rehabilitation Act by adding Section 510, which required the Access Board, in consultation with the </w:t>
      </w:r>
      <w:r>
        <w:t xml:space="preserve">U.S. </w:t>
      </w:r>
      <w:r w:rsidRPr="00C64F3D">
        <w:t xml:space="preserve">Food and Drug Administration, to issue standards that set out minimum technical criteria for </w:t>
      </w:r>
      <w:r>
        <w:t>MDE</w:t>
      </w:r>
      <w:r w:rsidRPr="00C64F3D">
        <w:t xml:space="preserve"> used in (or in conjunction with) </w:t>
      </w:r>
      <w:r w:rsidRPr="00AA02A7">
        <w:t>physicians’</w:t>
      </w:r>
      <w:r w:rsidRPr="00C64F3D">
        <w:t xml:space="preserve"> offices, clinics, emergency rooms, hospitals, and other medical settings, to ensure that it is accessible to, and usable by, people with accessibility needs, and allows independent entry, use, and exit by such individuals to the maximum extent possible.</w:t>
      </w:r>
      <w:r w:rsidRPr="00C64F3D">
        <w:rPr>
          <w:rStyle w:val="EndnoteReference"/>
          <w:rFonts w:eastAsia="Times New Roman" w:cs="Arial"/>
        </w:rPr>
        <w:endnoteReference w:id="13"/>
      </w:r>
      <w:r>
        <w:rPr>
          <w:rStyle w:val="CommentReference"/>
          <w:rFonts w:cs="Arial"/>
        </w:rPr>
        <w:t xml:space="preserve"> </w:t>
      </w:r>
      <w:r w:rsidRPr="00C64F3D">
        <w:t>The “MDE Standards” were published on January 9, 2017.</w:t>
      </w:r>
      <w:r w:rsidRPr="00C64F3D">
        <w:rPr>
          <w:rStyle w:val="EndnoteReference"/>
          <w:rFonts w:eastAsia="Times New Roman" w:cs="Arial"/>
        </w:rPr>
        <w:endnoteReference w:id="14"/>
      </w:r>
      <w:r>
        <w:t xml:space="preserve"> </w:t>
      </w:r>
    </w:p>
    <w:p w14:paraId="19A12813" w14:textId="77777777" w:rsidR="00FC6AD9" w:rsidRPr="00C64F3D" w:rsidRDefault="00FC6AD9" w:rsidP="002D163A">
      <w:pPr>
        <w:pStyle w:val="NCDBodyText"/>
        <w:rPr>
          <w:rFonts w:eastAsia="Times New Roman"/>
        </w:rPr>
      </w:pPr>
      <w:r w:rsidRPr="00C64F3D">
        <w:t xml:space="preserve">In 2015, </w:t>
      </w:r>
      <w:r>
        <w:t xml:space="preserve">the </w:t>
      </w:r>
      <w:bookmarkStart w:id="87" w:name="_Hlk65095798"/>
      <w:r>
        <w:t xml:space="preserve">U.S. Department of Health and Human Services </w:t>
      </w:r>
      <w:bookmarkEnd w:id="87"/>
      <w:r>
        <w:t>(</w:t>
      </w:r>
      <w:r w:rsidRPr="00C64F3D">
        <w:t>HHS</w:t>
      </w:r>
      <w:r>
        <w:t>)</w:t>
      </w:r>
      <w:r w:rsidRPr="00C64F3D">
        <w:t xml:space="preserve"> said that it intended to issue regulations or policies requiring covered entities to abide by the MDE Standards after they were finalized by the Access Board</w:t>
      </w:r>
      <w:r w:rsidRPr="00C64F3D">
        <w:rPr>
          <w:rStyle w:val="EndnoteReference"/>
          <w:rFonts w:cs="Arial"/>
        </w:rPr>
        <w:endnoteReference w:id="15"/>
      </w:r>
      <w:r w:rsidRPr="00C64F3D">
        <w:t xml:space="preserve"> </w:t>
      </w:r>
      <w:r w:rsidRPr="00C64F3D">
        <w:rPr>
          <w:noProof/>
        </w:rPr>
        <w:t xml:space="preserve">but has not acted upon that intention. </w:t>
      </w:r>
      <w:r w:rsidRPr="00C64F3D">
        <w:rPr>
          <w:rFonts w:eastAsia="Times New Roman"/>
        </w:rPr>
        <w:t>On June 12, 2020, HHS issued its final rule on Section 1557.</w:t>
      </w:r>
      <w:r w:rsidRPr="00C64F3D">
        <w:rPr>
          <w:rStyle w:val="EndnoteReference"/>
          <w:rFonts w:eastAsia="Times New Roman" w:cs="Arial"/>
        </w:rPr>
        <w:endnoteReference w:id="16"/>
      </w:r>
      <w:r w:rsidRPr="00C64F3D">
        <w:rPr>
          <w:rFonts w:eastAsia="Times New Roman"/>
        </w:rPr>
        <w:t xml:space="preserve"> </w:t>
      </w:r>
      <w:r>
        <w:rPr>
          <w:rFonts w:eastAsia="Times New Roman"/>
        </w:rPr>
        <w:t>The Office for Civil Rights (</w:t>
      </w:r>
      <w:r w:rsidRPr="00C64F3D">
        <w:rPr>
          <w:rFonts w:eastAsia="Times New Roman"/>
        </w:rPr>
        <w:t>OCR</w:t>
      </w:r>
      <w:r>
        <w:rPr>
          <w:rFonts w:eastAsia="Times New Roman"/>
        </w:rPr>
        <w:t>)</w:t>
      </w:r>
      <w:r w:rsidRPr="00C64F3D">
        <w:rPr>
          <w:rFonts w:eastAsia="Times New Roman"/>
        </w:rPr>
        <w:t xml:space="preserve"> declined to incorporate the MDE Standards, stating that doing so was beyond the scope of the 1557 regulation, and adopting new standards, a significant regulatory change, required the benefit of notice and public comment.</w:t>
      </w:r>
      <w:r w:rsidRPr="00C64F3D">
        <w:rPr>
          <w:rStyle w:val="EndnoteReference"/>
          <w:rFonts w:eastAsia="Times New Roman" w:cs="Arial"/>
        </w:rPr>
        <w:endnoteReference w:id="17"/>
      </w:r>
      <w:r w:rsidRPr="00C64F3D">
        <w:rPr>
          <w:rFonts w:eastAsia="Times New Roman"/>
        </w:rPr>
        <w:t xml:space="preserve"> </w:t>
      </w:r>
    </w:p>
    <w:p w14:paraId="568B2E3A" w14:textId="77777777" w:rsidR="00FC6AD9" w:rsidRPr="00C64F3D" w:rsidRDefault="00FC6AD9" w:rsidP="002D163A">
      <w:pPr>
        <w:pStyle w:val="NCDBodyText"/>
        <w:rPr>
          <w:b/>
        </w:rPr>
      </w:pPr>
      <w:r w:rsidRPr="00C64F3D">
        <w:rPr>
          <w:noProof/>
        </w:rPr>
        <w:t xml:space="preserve">In 2017, </w:t>
      </w:r>
      <w:r>
        <w:rPr>
          <w:noProof/>
        </w:rPr>
        <w:t>the U.S. Department of Justice (</w:t>
      </w:r>
      <w:r w:rsidRPr="00C64F3D">
        <w:t>DOJ</w:t>
      </w:r>
      <w:r>
        <w:t>)</w:t>
      </w:r>
      <w:r w:rsidRPr="00C64F3D">
        <w:t xml:space="preserve"> withdrew its Advanced Notice of Proposed Rulemaking on revising its Title II and III ADA regulations to adopt the MDE Standards.</w:t>
      </w:r>
      <w:r w:rsidRPr="00C64F3D">
        <w:rPr>
          <w:rStyle w:val="EndnoteReference"/>
          <w:rFonts w:cs="Arial"/>
        </w:rPr>
        <w:endnoteReference w:id="18"/>
      </w:r>
      <w:r w:rsidRPr="00C64F3D">
        <w:t xml:space="preserve"> </w:t>
      </w:r>
      <w:r>
        <w:t xml:space="preserve">The </w:t>
      </w:r>
      <w:r w:rsidRPr="00C64F3D">
        <w:t xml:space="preserve">DOJ cited plans to reevaluate whether regulation of the accessibility of MDE “is necessary and appropriate.” </w:t>
      </w:r>
      <w:bookmarkStart w:id="88" w:name="_Hlk68010620"/>
      <w:r w:rsidRPr="00C64F3D">
        <w:t>In 2018, DOJ representatives relayed to the National Council on Disability</w:t>
      </w:r>
      <w:r>
        <w:t xml:space="preserve"> (NCD)</w:t>
      </w:r>
      <w:r w:rsidRPr="00C64F3D">
        <w:t xml:space="preserve"> that, based on Executive Order 13771,</w:t>
      </w:r>
      <w:r w:rsidRPr="00C64F3D">
        <w:rPr>
          <w:rStyle w:val="EndnoteReference"/>
          <w:rFonts w:cs="Arial"/>
        </w:rPr>
        <w:endnoteReference w:id="19"/>
      </w:r>
      <w:r w:rsidRPr="00C64F3D">
        <w:t xml:space="preserve"> the regulation could not be issued unless it could be shown that its total costs were no greater than $0.00.</w:t>
      </w:r>
      <w:bookmarkEnd w:id="88"/>
      <w:r w:rsidRPr="00C64F3D">
        <w:rPr>
          <w:rStyle w:val="EndnoteReference"/>
          <w:rFonts w:cs="Arial"/>
        </w:rPr>
        <w:endnoteReference w:id="20"/>
      </w:r>
    </w:p>
    <w:bookmarkEnd w:id="85"/>
    <w:p w14:paraId="3479524B" w14:textId="77777777" w:rsidR="00FC6AD9" w:rsidRPr="00C64F3D" w:rsidRDefault="00FC6AD9" w:rsidP="002D163A">
      <w:pPr>
        <w:pStyle w:val="NCDBodyText"/>
      </w:pPr>
      <w:r w:rsidRPr="00C64F3D">
        <w:t xml:space="preserve">The requirement to have accessible MDE is part of the </w:t>
      </w:r>
      <w:r>
        <w:t>f</w:t>
      </w:r>
      <w:r w:rsidRPr="00C64F3D">
        <w:t>ederal</w:t>
      </w:r>
      <w:r>
        <w:t xml:space="preserve"> </w:t>
      </w:r>
      <w:r w:rsidRPr="00C64F3D">
        <w:t>nondiscrimination protections for people with disabilities</w:t>
      </w:r>
      <w:r>
        <w:t>,</w:t>
      </w:r>
      <w:r w:rsidRPr="00C64F3D">
        <w:t xml:space="preserve"> an existing obligation under Section 504</w:t>
      </w:r>
      <w:r>
        <w:t>,</w:t>
      </w:r>
      <w:r w:rsidRPr="00C64F3D">
        <w:rPr>
          <w:rStyle w:val="EndnoteReference"/>
          <w:rFonts w:cs="Arial"/>
          <w:bCs/>
        </w:rPr>
        <w:endnoteReference w:id="21"/>
      </w:r>
      <w:r w:rsidRPr="00C64F3D">
        <w:t xml:space="preserve"> Titles II and III of the ADA</w:t>
      </w:r>
      <w:r>
        <w:t>,</w:t>
      </w:r>
      <w:r w:rsidRPr="00C64F3D">
        <w:rPr>
          <w:rStyle w:val="EndnoteReference"/>
          <w:rFonts w:cs="Arial"/>
          <w:bCs/>
        </w:rPr>
        <w:endnoteReference w:id="22"/>
      </w:r>
      <w:r w:rsidRPr="00C64F3D">
        <w:t xml:space="preserve"> and Section 1557 of the ACA</w:t>
      </w:r>
      <w:r>
        <w:t xml:space="preserve">. </w:t>
      </w:r>
      <w:bookmarkStart w:id="89" w:name="_Hlk68010649"/>
      <w:r w:rsidRPr="00C64F3D">
        <w:t xml:space="preserve">NCD </w:t>
      </w:r>
      <w:r w:rsidRPr="00AA02A7">
        <w:t>maintained</w:t>
      </w:r>
      <w:r w:rsidRPr="00C64F3D">
        <w:t xml:space="preserve"> that a regulation adopting the MDE Standards is not subject to a $0.00 limitation imposed by E.O. 13771.</w:t>
      </w:r>
      <w:bookmarkEnd w:id="89"/>
      <w:r w:rsidRPr="00C64F3D">
        <w:t xml:space="preserve"> The real cost lies in not issuing regulations adopting the standards because the U</w:t>
      </w:r>
      <w:r>
        <w:t xml:space="preserve">nited </w:t>
      </w:r>
      <w:r w:rsidRPr="00C64F3D">
        <w:t>S</w:t>
      </w:r>
      <w:r>
        <w:t>tates</w:t>
      </w:r>
      <w:r w:rsidRPr="00C64F3D">
        <w:t xml:space="preserve"> will continue paying billions of dollars treating serious illnesses that could have been prevented by allowing people with disabilities to better access preventive care. Without regulations, </w:t>
      </w:r>
      <w:r>
        <w:t>health care</w:t>
      </w:r>
      <w:r w:rsidRPr="00C64F3D">
        <w:t xml:space="preserve"> providers are unlikely to alter their practices and acquire accessible medical equipment</w:t>
      </w:r>
      <w:r>
        <w:t>,</w:t>
      </w:r>
      <w:r w:rsidRPr="00C64F3D">
        <w:t xml:space="preserve"> as they have yet to do so notwithstanding the existing federal nondiscrimination mandates. </w:t>
      </w:r>
    </w:p>
    <w:p w14:paraId="2D56DE50" w14:textId="77777777" w:rsidR="00FC6AD9" w:rsidRPr="00C64F3D" w:rsidRDefault="00FC6AD9" w:rsidP="002D163A">
      <w:pPr>
        <w:pStyle w:val="NCDBodyText"/>
      </w:pPr>
      <w:r w:rsidRPr="00C64F3D">
        <w:t xml:space="preserve">This report evaluates the need for regulatory adoption of the MDE Standards by federal enforcing agencies and for widespread use of the </w:t>
      </w:r>
      <w:r>
        <w:t>s</w:t>
      </w:r>
      <w:r w:rsidRPr="00C64F3D">
        <w:t xml:space="preserve">tandards by </w:t>
      </w:r>
      <w:r>
        <w:t>health care</w:t>
      </w:r>
      <w:r w:rsidRPr="00C64F3D">
        <w:t xml:space="preserve"> facilities to address the health disparities experienced by people with disabilities. </w:t>
      </w:r>
    </w:p>
    <w:bookmarkEnd w:id="86"/>
    <w:p w14:paraId="55FD7690" w14:textId="77777777" w:rsidR="002D163A" w:rsidRDefault="002D163A">
      <w:pPr>
        <w:spacing w:after="200"/>
        <w:rPr>
          <w:rFonts w:ascii="Arial" w:hAnsi="Arial" w:cs="Calibri"/>
          <w:color w:val="000000"/>
          <w:szCs w:val="24"/>
          <w:u w:color="000000"/>
          <w:bdr w:val="nil"/>
        </w:rPr>
      </w:pPr>
      <w:r>
        <w:br w:type="page"/>
      </w:r>
    </w:p>
    <w:p w14:paraId="789B7F72" w14:textId="42A884DA" w:rsidR="00FC6AD9" w:rsidRPr="00C64F3D" w:rsidRDefault="00FC6AD9" w:rsidP="002D163A">
      <w:pPr>
        <w:pStyle w:val="NCDBodyText"/>
      </w:pPr>
      <w:r w:rsidRPr="00AA02A7">
        <w:t>The</w:t>
      </w:r>
      <w:r>
        <w:t xml:space="preserve"> following are some </w:t>
      </w:r>
      <w:r w:rsidRPr="00C64F3D">
        <w:t>key findings in this report:</w:t>
      </w:r>
    </w:p>
    <w:p w14:paraId="00753732" w14:textId="77777777" w:rsidR="00FC6AD9" w:rsidRPr="00C64F3D" w:rsidRDefault="00FC6AD9" w:rsidP="002D163A">
      <w:pPr>
        <w:pStyle w:val="NCDBulletsLevel1"/>
      </w:pPr>
      <w:r w:rsidRPr="00C64F3D">
        <w:t xml:space="preserve">People with disabilities experience significant </w:t>
      </w:r>
      <w:r>
        <w:t>health care</w:t>
      </w:r>
      <w:r w:rsidRPr="00C64F3D">
        <w:t xml:space="preserve"> disparities due in part to lack of physical access</w:t>
      </w:r>
      <w:r>
        <w:t xml:space="preserve">, </w:t>
      </w:r>
      <w:r w:rsidRPr="00C64F3D">
        <w:t>lead</w:t>
      </w:r>
      <w:r>
        <w:t>ing</w:t>
      </w:r>
      <w:r w:rsidRPr="00C64F3D">
        <w:t xml:space="preserve"> to delayed care, high cost utilization, loss of dignity, and poorer health outcomes. </w:t>
      </w:r>
    </w:p>
    <w:p w14:paraId="2BD33987" w14:textId="77777777" w:rsidR="00FC6AD9" w:rsidRPr="00C64F3D" w:rsidRDefault="00FC6AD9" w:rsidP="002D163A">
      <w:pPr>
        <w:pStyle w:val="NCDBulletsLevel1"/>
      </w:pPr>
      <w:r w:rsidRPr="00C64F3D">
        <w:t>While accessible MDE is required under the ADA, Section</w:t>
      </w:r>
      <w:r>
        <w:t>s</w:t>
      </w:r>
      <w:r w:rsidRPr="00C64F3D">
        <w:t xml:space="preserve"> 504</w:t>
      </w:r>
      <w:r>
        <w:t xml:space="preserve"> </w:t>
      </w:r>
      <w:r w:rsidRPr="00C64F3D">
        <w:t>and 1557, the lack of enforceable MDE standards allow</w:t>
      </w:r>
      <w:r>
        <w:t>s</w:t>
      </w:r>
      <w:r w:rsidRPr="00C64F3D">
        <w:t xml:space="preserve"> for continued, widespread discrimination in </w:t>
      </w:r>
      <w:r>
        <w:t>health care</w:t>
      </w:r>
      <w:r w:rsidRPr="00C64F3D">
        <w:t xml:space="preserve"> for people with mobility disabilities. </w:t>
      </w:r>
    </w:p>
    <w:p w14:paraId="6152CB01" w14:textId="77777777" w:rsidR="00FC6AD9" w:rsidRPr="00C64F3D" w:rsidRDefault="00FC6AD9" w:rsidP="002D163A">
      <w:pPr>
        <w:pStyle w:val="NCDBulletsLevel1"/>
      </w:pPr>
      <w:r w:rsidRPr="00C64F3D">
        <w:t xml:space="preserve">Audit-based accessibility surveys reveal greater access disparities than facility self-report surveys, revealing a gap in </w:t>
      </w:r>
      <w:r>
        <w:t>health care</w:t>
      </w:r>
      <w:r w:rsidRPr="00C64F3D">
        <w:t xml:space="preserve"> providers’ understanding of what constitutes access and the need for federal audit surveys of covered entities to ensure civil rights compliance.</w:t>
      </w:r>
    </w:p>
    <w:p w14:paraId="4042DE56" w14:textId="77777777" w:rsidR="00FC6AD9" w:rsidRPr="00C64F3D" w:rsidRDefault="00FC6AD9" w:rsidP="002D163A">
      <w:pPr>
        <w:pStyle w:val="NCDBulletsLevel1"/>
      </w:pPr>
      <w:r w:rsidRPr="00C64F3D">
        <w:t>Physicians</w:t>
      </w:r>
      <w:r>
        <w:t>’</w:t>
      </w:r>
      <w:r w:rsidRPr="00C64F3D">
        <w:t xml:space="preserve"> (</w:t>
      </w:r>
      <w:proofErr w:type="spellStart"/>
      <w:r w:rsidRPr="00C64F3D">
        <w:t>mis</w:t>
      </w:r>
      <w:proofErr w:type="spellEnd"/>
      <w:r w:rsidRPr="00C64F3D">
        <w:t xml:space="preserve">)conceptions that accessible MDE is not required and that only a narrow group of patients benefit from its availability contribute to the lack of accessible MDE. </w:t>
      </w:r>
    </w:p>
    <w:p w14:paraId="605859DD" w14:textId="77777777" w:rsidR="00FC6AD9" w:rsidRPr="00C64F3D" w:rsidRDefault="00FC6AD9" w:rsidP="002D163A">
      <w:pPr>
        <w:pStyle w:val="NCDBulletsLevel1"/>
      </w:pPr>
      <w:r>
        <w:t>A l</w:t>
      </w:r>
      <w:r w:rsidRPr="00C64F3D">
        <w:t>ack of transparent complaint processes at the clinic, health system, state</w:t>
      </w:r>
      <w:r>
        <w:t>,</w:t>
      </w:r>
      <w:r w:rsidRPr="00C64F3D">
        <w:t xml:space="preserve"> and federal levels obscures barriers to </w:t>
      </w:r>
      <w:r>
        <w:t>health care</w:t>
      </w:r>
      <w:r w:rsidRPr="00C64F3D">
        <w:t xml:space="preserve"> access created by inaccessible MDE. </w:t>
      </w:r>
    </w:p>
    <w:p w14:paraId="387C5E35" w14:textId="77777777" w:rsidR="00FC6AD9" w:rsidRPr="00C64F3D" w:rsidRDefault="00FC6AD9" w:rsidP="002D163A">
      <w:pPr>
        <w:pStyle w:val="NCDBulletsLevel1"/>
      </w:pPr>
      <w:r w:rsidRPr="00C64F3D">
        <w:t>Even when accessible MDE is available in a facility, it is not consistently used, indicating a lack of medical staff knowledge of its existence and/or how to use it with patients.</w:t>
      </w:r>
      <w:r>
        <w:t xml:space="preserve"> </w:t>
      </w:r>
    </w:p>
    <w:p w14:paraId="1636F8D0" w14:textId="77777777" w:rsidR="00FC6AD9" w:rsidRPr="005F7511" w:rsidRDefault="00FC6AD9" w:rsidP="002D163A">
      <w:pPr>
        <w:pStyle w:val="NCDBodyText"/>
      </w:pPr>
      <w:r w:rsidRPr="005F7511">
        <w:t>The following are some NCD recommendations in this report:</w:t>
      </w:r>
    </w:p>
    <w:p w14:paraId="0E332B76" w14:textId="77777777" w:rsidR="00FC6AD9" w:rsidRPr="005F7511" w:rsidRDefault="00FC6AD9" w:rsidP="002D163A">
      <w:pPr>
        <w:pStyle w:val="NCDBulletsLevel1"/>
      </w:pPr>
      <w:r w:rsidRPr="005F7511">
        <w:t xml:space="preserve">HHS OCR should issue a regulation requiring health care providers subject to its jurisdiction to acquire accessible MDE that complies with the MDE Standards. </w:t>
      </w:r>
    </w:p>
    <w:p w14:paraId="5C16F5F4" w14:textId="77777777" w:rsidR="00FC6AD9" w:rsidRPr="00C64F3D" w:rsidRDefault="00FC6AD9" w:rsidP="002D163A">
      <w:pPr>
        <w:pStyle w:val="NCDBulletsLevel1"/>
      </w:pPr>
      <w:r w:rsidRPr="005F7511">
        <w:t>DOJ Civil Rights Division should revise its Title II and III ADA regulations</w:t>
      </w:r>
      <w:r w:rsidRPr="00C64F3D">
        <w:t xml:space="preserve"> requiring </w:t>
      </w:r>
      <w:r>
        <w:t>health care</w:t>
      </w:r>
      <w:r w:rsidRPr="00C64F3D">
        <w:t xml:space="preserve"> providers subject to its jurisdiction to acquire accessible </w:t>
      </w:r>
      <w:r>
        <w:t>MDE</w:t>
      </w:r>
      <w:r w:rsidRPr="00C64F3D">
        <w:t xml:space="preserve"> that complies with the MDE Standards. </w:t>
      </w:r>
    </w:p>
    <w:p w14:paraId="77E6724C" w14:textId="77777777" w:rsidR="00FC6AD9" w:rsidRPr="00C64F3D" w:rsidRDefault="00FC6AD9" w:rsidP="002D163A">
      <w:pPr>
        <w:pStyle w:val="NCDBulletsLevel1"/>
      </w:pPr>
      <w:r w:rsidRPr="00C64F3D">
        <w:t>D</w:t>
      </w:r>
      <w:r>
        <w:t>OJ</w:t>
      </w:r>
      <w:r w:rsidRPr="00C64F3D">
        <w:t xml:space="preserve"> and </w:t>
      </w:r>
      <w:r>
        <w:t>HHS</w:t>
      </w:r>
      <w:r w:rsidRPr="00C64F3D">
        <w:t xml:space="preserve"> should update the 2010 </w:t>
      </w:r>
      <w:r w:rsidRPr="00810A1D">
        <w:rPr>
          <w:i/>
          <w:iCs/>
        </w:rPr>
        <w:t>Access to Medical Care for Individuals with Mobility Disabilities</w:t>
      </w:r>
      <w:r w:rsidRPr="00C64F3D">
        <w:t xml:space="preserve"> to reflect the Access Board’s MDE Standards and include information about Internal Revenue Service tax benefits for medical equipment purchases.</w:t>
      </w:r>
    </w:p>
    <w:p w14:paraId="5EBBB396" w14:textId="77777777" w:rsidR="00FC6AD9" w:rsidRPr="00C64F3D" w:rsidRDefault="00FC6AD9" w:rsidP="002D163A">
      <w:pPr>
        <w:pStyle w:val="NCDBulletsLevel1"/>
      </w:pPr>
      <w:r w:rsidRPr="00C64F3D">
        <w:t xml:space="preserve">The </w:t>
      </w:r>
      <w:r>
        <w:t>HHS</w:t>
      </w:r>
      <w:r w:rsidRPr="00C64F3D">
        <w:t xml:space="preserve"> Office of the National Coordinator for Health Information Technology</w:t>
      </w:r>
      <w:r>
        <w:t xml:space="preserve"> </w:t>
      </w:r>
      <w:r w:rsidRPr="00C64F3D">
        <w:t>should add disability</w:t>
      </w:r>
      <w:r>
        <w:t>-</w:t>
      </w:r>
      <w:r w:rsidRPr="00C64F3D">
        <w:t xml:space="preserve">related items to the </w:t>
      </w:r>
      <w:r w:rsidRPr="00810A1D">
        <w:rPr>
          <w:i/>
          <w:iCs/>
        </w:rPr>
        <w:t>Meaningful Use Standards</w:t>
      </w:r>
      <w:r w:rsidRPr="00C64F3D">
        <w:t xml:space="preserve"> to promote data tracking across health systems and federal and state </w:t>
      </w:r>
      <w:r>
        <w:t>health care</w:t>
      </w:r>
      <w:r w:rsidRPr="00C64F3D">
        <w:t xml:space="preserve"> programs. </w:t>
      </w:r>
    </w:p>
    <w:p w14:paraId="3F4E0F9B" w14:textId="77777777" w:rsidR="00FC6AD9" w:rsidRDefault="00FC6AD9" w:rsidP="002D163A">
      <w:pPr>
        <w:pStyle w:val="NCDBulletsLevel1"/>
      </w:pPr>
      <w:r w:rsidRPr="00C64F3D">
        <w:t xml:space="preserve">The </w:t>
      </w:r>
      <w:r>
        <w:t xml:space="preserve">U.S. </w:t>
      </w:r>
      <w:r w:rsidRPr="00C64F3D">
        <w:t>Department of Education, Liaison Committee on Medical Education, should add disability competency requirements to section 7.2 of the Functions and Structure of a Medical School, including the importance and safe use of accessible MDE for the appropriate physical exam</w:t>
      </w:r>
      <w:r>
        <w:t>ination</w:t>
      </w:r>
      <w:r w:rsidRPr="00C64F3D">
        <w:t xml:space="preserve"> of people with mobility limitations, and to section 7.6 on cultural competence and </w:t>
      </w:r>
      <w:r>
        <w:t>health care</w:t>
      </w:r>
      <w:r w:rsidRPr="00C64F3D">
        <w:t xml:space="preserve"> disparities. Equivalent requirements should be added for accreditation of nursing and radiology technician programs.</w:t>
      </w:r>
      <w:r>
        <w:t xml:space="preserve"> </w:t>
      </w:r>
      <w:r w:rsidRPr="000775EA">
        <w:t>The Accreditation Council on Graduate Medical Education should require all federally funded medical residency programs to include disability competency training, which includes the importance of accessible medical diagnostic equipment to help ensure equitable access to health</w:t>
      </w:r>
      <w:r>
        <w:t xml:space="preserve"> </w:t>
      </w:r>
      <w:r w:rsidRPr="000775EA">
        <w:t>care and reduce health</w:t>
      </w:r>
      <w:r>
        <w:t xml:space="preserve"> </w:t>
      </w:r>
      <w:r w:rsidRPr="000775EA">
        <w:t>care disparities.</w:t>
      </w:r>
    </w:p>
    <w:p w14:paraId="676208FD" w14:textId="77777777" w:rsidR="002D163A" w:rsidRDefault="002D163A">
      <w:pPr>
        <w:spacing w:after="200"/>
        <w:rPr>
          <w:rFonts w:ascii="Arial" w:eastAsiaTheme="minorHAnsi" w:hAnsi="Arial" w:cs="Arial"/>
          <w:b/>
          <w:sz w:val="36"/>
          <w:szCs w:val="32"/>
        </w:rPr>
      </w:pPr>
      <w:bookmarkStart w:id="90" w:name="_Toc65342165"/>
      <w:r>
        <w:br w:type="page"/>
      </w:r>
    </w:p>
    <w:p w14:paraId="3829CF53" w14:textId="5FB7BF34" w:rsidR="00FC6AD9" w:rsidRPr="00C64F3D" w:rsidRDefault="009653DF" w:rsidP="002D163A">
      <w:pPr>
        <w:pStyle w:val="Heading1"/>
      </w:pPr>
      <w:bookmarkStart w:id="91" w:name="_Toc69374203"/>
      <w:bookmarkEnd w:id="90"/>
      <w:r w:rsidRPr="009653DF">
        <w:t>Acronym Glossary</w:t>
      </w:r>
      <w:bookmarkEnd w:id="91"/>
    </w:p>
    <w:p w14:paraId="1CDBE291" w14:textId="1BEC01CF" w:rsidR="00FC6AD9" w:rsidRPr="00C64F3D" w:rsidRDefault="00FC6AD9" w:rsidP="002D163A">
      <w:pPr>
        <w:pStyle w:val="NCDBodyText"/>
      </w:pPr>
      <w:r w:rsidRPr="00C64F3D">
        <w:t>ACA</w:t>
      </w:r>
      <w:r w:rsidRPr="00C64F3D">
        <w:tab/>
      </w:r>
      <w:r w:rsidR="002D163A">
        <w:tab/>
      </w:r>
      <w:r w:rsidRPr="00C64F3D">
        <w:t>Patient Protection and Affordab</w:t>
      </w:r>
      <w:r>
        <w:t>le</w:t>
      </w:r>
      <w:r w:rsidRPr="00C64F3D">
        <w:t xml:space="preserve"> Care Act</w:t>
      </w:r>
    </w:p>
    <w:p w14:paraId="3A8F9CAF" w14:textId="480E227D" w:rsidR="00FC6AD9" w:rsidRPr="00C64F3D" w:rsidRDefault="00FC6AD9" w:rsidP="002D163A">
      <w:pPr>
        <w:pStyle w:val="NCDBodyText"/>
      </w:pPr>
      <w:r w:rsidRPr="00C64F3D">
        <w:t>ACL</w:t>
      </w:r>
      <w:r w:rsidRPr="00C64F3D">
        <w:tab/>
      </w:r>
      <w:r w:rsidR="002D163A">
        <w:tab/>
      </w:r>
      <w:r w:rsidRPr="00C64F3D">
        <w:t>Administration for Community Living</w:t>
      </w:r>
    </w:p>
    <w:p w14:paraId="327AAE68" w14:textId="614DE967" w:rsidR="00FC6AD9" w:rsidRPr="00C64F3D" w:rsidRDefault="00FC6AD9" w:rsidP="002D163A">
      <w:pPr>
        <w:pStyle w:val="NCDBodyText"/>
      </w:pPr>
      <w:r w:rsidRPr="00C64F3D">
        <w:t>ADA</w:t>
      </w:r>
      <w:r w:rsidRPr="00C64F3D">
        <w:tab/>
      </w:r>
      <w:r w:rsidR="002D163A">
        <w:tab/>
      </w:r>
      <w:r w:rsidRPr="00C64F3D">
        <w:t>Americans with Disabilities Act</w:t>
      </w:r>
    </w:p>
    <w:p w14:paraId="2781948A" w14:textId="77777777" w:rsidR="00FC6AD9" w:rsidRPr="00C64F3D" w:rsidRDefault="00FC6AD9" w:rsidP="002D163A">
      <w:pPr>
        <w:pStyle w:val="NCDBodyText"/>
      </w:pPr>
      <w:r w:rsidRPr="00C64F3D">
        <w:t>ADAAG</w:t>
      </w:r>
      <w:r w:rsidRPr="00C64F3D">
        <w:tab/>
        <w:t>Americans with Disabilities Act Accessibility Guidelines</w:t>
      </w:r>
    </w:p>
    <w:p w14:paraId="312C33EC" w14:textId="05000603" w:rsidR="00FC6AD9" w:rsidRPr="00C64F3D" w:rsidRDefault="00FC6AD9" w:rsidP="002D163A">
      <w:pPr>
        <w:pStyle w:val="NCDBodyText"/>
      </w:pPr>
      <w:r w:rsidRPr="00C64F3D">
        <w:t>AHRQ</w:t>
      </w:r>
      <w:r w:rsidRPr="00C64F3D">
        <w:tab/>
      </w:r>
      <w:r w:rsidR="002D163A">
        <w:tab/>
      </w:r>
      <w:r w:rsidRPr="00C64F3D">
        <w:t>Agency for Healthcare Research and Quality</w:t>
      </w:r>
    </w:p>
    <w:p w14:paraId="07D0AAA5" w14:textId="77777777" w:rsidR="00FC6AD9" w:rsidRDefault="00FC6AD9" w:rsidP="002D163A">
      <w:pPr>
        <w:pStyle w:val="NCDBodyText"/>
      </w:pPr>
      <w:r>
        <w:t>ANPRM</w:t>
      </w:r>
      <w:r>
        <w:tab/>
      </w:r>
      <w:r w:rsidRPr="00C64F3D">
        <w:t xml:space="preserve">Advance Notice of Proposed Rulemaking </w:t>
      </w:r>
    </w:p>
    <w:p w14:paraId="6B2F4179" w14:textId="6CF362A6" w:rsidR="00FC6AD9" w:rsidRPr="00C64F3D" w:rsidRDefault="00FC6AD9" w:rsidP="002D163A">
      <w:pPr>
        <w:pStyle w:val="NCDBodyText"/>
      </w:pPr>
      <w:r w:rsidRPr="00C64F3D">
        <w:t>BRF</w:t>
      </w:r>
      <w:r w:rsidRPr="00C64F3D">
        <w:tab/>
      </w:r>
      <w:r w:rsidR="002D163A">
        <w:tab/>
      </w:r>
      <w:r w:rsidRPr="00C64F3D">
        <w:t>Barrier Removal Fund</w:t>
      </w:r>
    </w:p>
    <w:p w14:paraId="0EEFAE61" w14:textId="501C7809" w:rsidR="00FC6AD9" w:rsidRPr="00C64F3D" w:rsidRDefault="00FC6AD9" w:rsidP="002D163A">
      <w:pPr>
        <w:pStyle w:val="NCDBodyText"/>
      </w:pPr>
      <w:r w:rsidRPr="00C64F3D">
        <w:t>CMS</w:t>
      </w:r>
      <w:r w:rsidR="002D163A">
        <w:tab/>
      </w:r>
      <w:r w:rsidRPr="00C64F3D">
        <w:tab/>
        <w:t>Centers for Medicare and Medicaid</w:t>
      </w:r>
      <w:r>
        <w:t xml:space="preserve"> Services</w:t>
      </w:r>
    </w:p>
    <w:p w14:paraId="1C01769D" w14:textId="6F35C32A" w:rsidR="00FC6AD9" w:rsidRPr="00C64F3D" w:rsidRDefault="00FC6AD9" w:rsidP="002D163A">
      <w:pPr>
        <w:pStyle w:val="NCDBodyText"/>
      </w:pPr>
      <w:r w:rsidRPr="00C64F3D">
        <w:t>CPT</w:t>
      </w:r>
      <w:r w:rsidRPr="00C64F3D">
        <w:tab/>
      </w:r>
      <w:r w:rsidR="002D163A">
        <w:tab/>
      </w:r>
      <w:r w:rsidRPr="00C64F3D">
        <w:t>Current Procedural Terminology</w:t>
      </w:r>
    </w:p>
    <w:p w14:paraId="7F30216D" w14:textId="7C8D108D" w:rsidR="00FC6AD9" w:rsidRPr="00C64F3D" w:rsidRDefault="00FC6AD9" w:rsidP="002D163A">
      <w:pPr>
        <w:pStyle w:val="NCDBodyText"/>
      </w:pPr>
      <w:r w:rsidRPr="00C64F3D">
        <w:t>CRT</w:t>
      </w:r>
      <w:r w:rsidRPr="00C64F3D">
        <w:tab/>
      </w:r>
      <w:r w:rsidR="002D163A">
        <w:tab/>
      </w:r>
      <w:r w:rsidRPr="00C64F3D">
        <w:t>Civil Rights Division (Dep</w:t>
      </w:r>
      <w:r>
        <w:t>artmen</w:t>
      </w:r>
      <w:r w:rsidRPr="00C64F3D">
        <w:t>t of Justice)</w:t>
      </w:r>
    </w:p>
    <w:p w14:paraId="747F3BDE" w14:textId="4AC0D973" w:rsidR="00FC6AD9" w:rsidRPr="00C64F3D" w:rsidRDefault="00FC6AD9" w:rsidP="002D163A">
      <w:pPr>
        <w:pStyle w:val="NCDBodyText"/>
      </w:pPr>
      <w:r w:rsidRPr="00C64F3D">
        <w:t>DOJ</w:t>
      </w:r>
      <w:r w:rsidRPr="00C64F3D">
        <w:tab/>
      </w:r>
      <w:r w:rsidR="002D163A">
        <w:tab/>
      </w:r>
      <w:r>
        <w:t xml:space="preserve">U.S. </w:t>
      </w:r>
      <w:r w:rsidRPr="00C64F3D">
        <w:t>Department of Justice</w:t>
      </w:r>
    </w:p>
    <w:p w14:paraId="5028BBCB" w14:textId="6362DDBA" w:rsidR="00FC6AD9" w:rsidRPr="00C64F3D" w:rsidRDefault="00FC6AD9" w:rsidP="002D163A">
      <w:pPr>
        <w:pStyle w:val="NCDBodyText"/>
      </w:pPr>
      <w:r w:rsidRPr="00C64F3D">
        <w:t>HHS</w:t>
      </w:r>
      <w:r w:rsidRPr="00C64F3D">
        <w:tab/>
      </w:r>
      <w:r w:rsidR="002D163A">
        <w:tab/>
      </w:r>
      <w:r>
        <w:t xml:space="preserve">U.S. Department of </w:t>
      </w:r>
      <w:r w:rsidRPr="00C64F3D">
        <w:t>Health and Human Services</w:t>
      </w:r>
    </w:p>
    <w:p w14:paraId="45B9363C" w14:textId="62E11750" w:rsidR="00FC6AD9" w:rsidRPr="00C64F3D" w:rsidRDefault="00FC6AD9" w:rsidP="002D163A">
      <w:pPr>
        <w:pStyle w:val="NCDBodyText"/>
      </w:pPr>
      <w:r w:rsidRPr="00C64F3D">
        <w:t>IRS</w:t>
      </w:r>
      <w:r w:rsidRPr="00C64F3D">
        <w:tab/>
      </w:r>
      <w:r w:rsidR="002D163A">
        <w:tab/>
      </w:r>
      <w:r w:rsidRPr="00C64F3D">
        <w:t>Internal Revenue Service</w:t>
      </w:r>
    </w:p>
    <w:p w14:paraId="6D626D51" w14:textId="704843BB" w:rsidR="00FC6AD9" w:rsidRDefault="00FC6AD9" w:rsidP="002D163A">
      <w:pPr>
        <w:pStyle w:val="NCDBodyText"/>
      </w:pPr>
      <w:r>
        <w:t>MCO</w:t>
      </w:r>
      <w:r>
        <w:tab/>
      </w:r>
      <w:r w:rsidR="002D163A">
        <w:tab/>
      </w:r>
      <w:r>
        <w:t>Managed Care Organization</w:t>
      </w:r>
    </w:p>
    <w:p w14:paraId="7408AE3D" w14:textId="1F5B5DD0" w:rsidR="00FC6AD9" w:rsidRPr="00C64F3D" w:rsidRDefault="00FC6AD9" w:rsidP="002D163A">
      <w:pPr>
        <w:pStyle w:val="NCDBodyText"/>
      </w:pPr>
      <w:r w:rsidRPr="00C64F3D">
        <w:t>MDE</w:t>
      </w:r>
      <w:r w:rsidRPr="00C64F3D">
        <w:tab/>
      </w:r>
      <w:r w:rsidR="002D163A">
        <w:tab/>
      </w:r>
      <w:r w:rsidRPr="00C64F3D">
        <w:t xml:space="preserve">Medical Diagnostic Equipment </w:t>
      </w:r>
    </w:p>
    <w:p w14:paraId="0C115712" w14:textId="0F2AB83A" w:rsidR="00FC6AD9" w:rsidRPr="00C64F3D" w:rsidRDefault="00FC6AD9" w:rsidP="002D163A">
      <w:pPr>
        <w:pStyle w:val="NCDBodyText"/>
      </w:pPr>
      <w:r w:rsidRPr="00C64F3D">
        <w:t>NCD</w:t>
      </w:r>
      <w:r w:rsidRPr="00C64F3D">
        <w:tab/>
      </w:r>
      <w:r w:rsidR="002D163A">
        <w:tab/>
      </w:r>
      <w:r w:rsidRPr="00C64F3D">
        <w:t>National Council on Disability</w:t>
      </w:r>
    </w:p>
    <w:p w14:paraId="1045F93A" w14:textId="74EA3D5E" w:rsidR="00FC6AD9" w:rsidRDefault="00FC6AD9" w:rsidP="002D163A">
      <w:pPr>
        <w:pStyle w:val="NCDBodyText"/>
        <w:rPr>
          <w:rFonts w:eastAsia="Times New Roman"/>
        </w:rPr>
      </w:pPr>
      <w:r>
        <w:t>NCIL</w:t>
      </w:r>
      <w:r>
        <w:tab/>
      </w:r>
      <w:r w:rsidR="002D163A">
        <w:tab/>
      </w:r>
      <w:r w:rsidRPr="00C64F3D">
        <w:rPr>
          <w:rFonts w:eastAsia="Times New Roman"/>
        </w:rPr>
        <w:t>National C</w:t>
      </w:r>
      <w:r>
        <w:rPr>
          <w:rFonts w:eastAsia="Times New Roman"/>
        </w:rPr>
        <w:t xml:space="preserve">ouncil on </w:t>
      </w:r>
      <w:r w:rsidRPr="00C64F3D">
        <w:rPr>
          <w:rFonts w:eastAsia="Times New Roman"/>
        </w:rPr>
        <w:t xml:space="preserve">Independent Living </w:t>
      </w:r>
    </w:p>
    <w:p w14:paraId="6776D593" w14:textId="5941371B" w:rsidR="00FC6AD9" w:rsidRPr="00C64F3D" w:rsidRDefault="00FC6AD9" w:rsidP="002D163A">
      <w:pPr>
        <w:pStyle w:val="NCDBodyText"/>
      </w:pPr>
      <w:r w:rsidRPr="00C64F3D">
        <w:t>OCR</w:t>
      </w:r>
      <w:r w:rsidRPr="00C64F3D">
        <w:tab/>
      </w:r>
      <w:r w:rsidR="002D163A">
        <w:tab/>
      </w:r>
      <w:r w:rsidRPr="00C64F3D">
        <w:t>Office for Civil Rights (HHS)</w:t>
      </w:r>
    </w:p>
    <w:p w14:paraId="54EC4862" w14:textId="35EBFFAB" w:rsidR="00FC6AD9" w:rsidRPr="00C64F3D" w:rsidRDefault="00FC6AD9" w:rsidP="002D163A">
      <w:pPr>
        <w:pStyle w:val="NCDBodyText"/>
      </w:pPr>
      <w:r w:rsidRPr="00C64F3D">
        <w:t>PAI</w:t>
      </w:r>
      <w:r w:rsidRPr="00C64F3D">
        <w:tab/>
      </w:r>
      <w:r w:rsidR="002D163A">
        <w:tab/>
      </w:r>
      <w:r w:rsidRPr="00C64F3D">
        <w:t>Provider Accessibility Initiative</w:t>
      </w:r>
    </w:p>
    <w:p w14:paraId="69762273" w14:textId="77777777" w:rsidR="002D163A" w:rsidRDefault="002D163A">
      <w:pPr>
        <w:spacing w:after="200"/>
        <w:rPr>
          <w:rFonts w:ascii="Arial" w:eastAsia="Times New Roman" w:hAnsi="Arial" w:cs="Calibri"/>
          <w:color w:val="000000"/>
          <w:szCs w:val="24"/>
          <w:u w:color="000000"/>
          <w:bdr w:val="nil"/>
        </w:rPr>
      </w:pPr>
      <w:r>
        <w:rPr>
          <w:rFonts w:eastAsia="Times New Roman"/>
        </w:rPr>
        <w:br w:type="page"/>
      </w:r>
    </w:p>
    <w:p w14:paraId="07A1CB98" w14:textId="7E23F7F2" w:rsidR="00FC6AD9" w:rsidRDefault="00FC6AD9" w:rsidP="002D163A">
      <w:pPr>
        <w:pStyle w:val="NCDBodyText"/>
        <w:rPr>
          <w:rFonts w:eastAsia="Times New Roman"/>
        </w:rPr>
      </w:pPr>
      <w:r>
        <w:rPr>
          <w:rFonts w:eastAsia="Times New Roman"/>
        </w:rPr>
        <w:t>PCORI</w:t>
      </w:r>
      <w:r>
        <w:rPr>
          <w:rFonts w:eastAsia="Times New Roman"/>
        </w:rPr>
        <w:tab/>
      </w:r>
      <w:r w:rsidRPr="00C64F3D">
        <w:rPr>
          <w:rFonts w:eastAsia="Times New Roman"/>
        </w:rPr>
        <w:t>Patient</w:t>
      </w:r>
      <w:r>
        <w:rPr>
          <w:rFonts w:eastAsia="Times New Roman"/>
        </w:rPr>
        <w:t>-</w:t>
      </w:r>
      <w:r w:rsidRPr="00C64F3D">
        <w:rPr>
          <w:rFonts w:eastAsia="Times New Roman"/>
        </w:rPr>
        <w:t xml:space="preserve">Centered Outcomes Research Institute </w:t>
      </w:r>
    </w:p>
    <w:p w14:paraId="650C4096" w14:textId="4128EAEB" w:rsidR="00FC6AD9" w:rsidRPr="00C64F3D" w:rsidRDefault="00FC6AD9" w:rsidP="002D163A">
      <w:pPr>
        <w:pStyle w:val="NCDBodyText"/>
        <w:rPr>
          <w:rFonts w:eastAsia="Times New Roman"/>
        </w:rPr>
      </w:pPr>
      <w:r w:rsidRPr="00C64F3D">
        <w:rPr>
          <w:rFonts w:eastAsia="Times New Roman"/>
        </w:rPr>
        <w:t>RERC-AMI</w:t>
      </w:r>
      <w:r w:rsidRPr="00C64F3D">
        <w:rPr>
          <w:rFonts w:eastAsia="Times New Roman"/>
        </w:rPr>
        <w:tab/>
        <w:t>Rehabilitation Engineering Research Center on Accessible Medical</w:t>
      </w:r>
      <w:r w:rsidR="002D163A">
        <w:rPr>
          <w:rFonts w:eastAsia="Times New Roman"/>
        </w:rPr>
        <w:tab/>
      </w:r>
      <w:r w:rsidR="002D163A">
        <w:rPr>
          <w:rFonts w:eastAsia="Times New Roman"/>
        </w:rPr>
        <w:tab/>
      </w:r>
      <w:r w:rsidR="002D163A">
        <w:rPr>
          <w:rFonts w:eastAsia="Times New Roman"/>
        </w:rPr>
        <w:tab/>
      </w:r>
      <w:r w:rsidR="002D163A">
        <w:rPr>
          <w:rFonts w:eastAsia="Times New Roman"/>
        </w:rPr>
        <w:tab/>
      </w:r>
      <w:r w:rsidRPr="00C64F3D">
        <w:rPr>
          <w:rFonts w:eastAsia="Times New Roman"/>
        </w:rPr>
        <w:t>Instrumentation</w:t>
      </w:r>
    </w:p>
    <w:p w14:paraId="2216A771" w14:textId="2C22B999" w:rsidR="00FC6AD9" w:rsidRPr="00C64F3D" w:rsidRDefault="00FC6AD9" w:rsidP="002D163A">
      <w:pPr>
        <w:pStyle w:val="NCDBodyText"/>
      </w:pPr>
      <w:r w:rsidRPr="00C64F3D">
        <w:t>SP</w:t>
      </w:r>
      <w:r>
        <w:t>H</w:t>
      </w:r>
      <w:r w:rsidRPr="00C64F3D">
        <w:t>M</w:t>
      </w:r>
      <w:r w:rsidRPr="00C64F3D">
        <w:tab/>
      </w:r>
      <w:r w:rsidR="002D163A">
        <w:tab/>
      </w:r>
      <w:r w:rsidRPr="00C64F3D">
        <w:t>Safe Patient Handling and Mobility</w:t>
      </w:r>
    </w:p>
    <w:p w14:paraId="5A225192" w14:textId="4B36DA54" w:rsidR="00FC6AD9" w:rsidRPr="00C64F3D" w:rsidRDefault="00FC6AD9" w:rsidP="002D163A">
      <w:pPr>
        <w:pStyle w:val="NCDBodyText"/>
      </w:pPr>
      <w:r w:rsidRPr="00C64F3D">
        <w:t>VA</w:t>
      </w:r>
      <w:r w:rsidRPr="00C64F3D">
        <w:tab/>
      </w:r>
      <w:r w:rsidR="002D163A">
        <w:tab/>
      </w:r>
      <w:r w:rsidRPr="00C64F3D">
        <w:t>Veterans’ Affairs</w:t>
      </w:r>
    </w:p>
    <w:p w14:paraId="71A03EBA" w14:textId="1262A7C1" w:rsidR="00FC6AD9" w:rsidRPr="00C64F3D" w:rsidRDefault="00FC6AD9" w:rsidP="002D163A">
      <w:pPr>
        <w:pStyle w:val="NCDBodyText"/>
      </w:pPr>
      <w:r w:rsidRPr="00C64F3D">
        <w:t>VHA</w:t>
      </w:r>
      <w:r w:rsidRPr="00C64F3D">
        <w:tab/>
      </w:r>
      <w:r w:rsidR="002D163A">
        <w:tab/>
      </w:r>
      <w:r w:rsidRPr="00C64F3D">
        <w:t>Veterans’ Health Administration</w:t>
      </w:r>
    </w:p>
    <w:p w14:paraId="31D3D10F" w14:textId="77777777" w:rsidR="002D163A" w:rsidRDefault="002D163A">
      <w:pPr>
        <w:spacing w:after="200"/>
        <w:rPr>
          <w:rFonts w:ascii="Arial" w:eastAsiaTheme="minorHAnsi" w:hAnsi="Arial" w:cs="Arial"/>
          <w:b/>
          <w:sz w:val="36"/>
          <w:szCs w:val="32"/>
        </w:rPr>
      </w:pPr>
      <w:bookmarkStart w:id="92" w:name="_Toc65342166"/>
      <w:r>
        <w:br w:type="page"/>
      </w:r>
    </w:p>
    <w:p w14:paraId="2CFA22F9" w14:textId="2E75167C" w:rsidR="00FC6AD9" w:rsidRPr="00C64F3D" w:rsidRDefault="00FC6AD9" w:rsidP="002D163A">
      <w:pPr>
        <w:pStyle w:val="Heading1"/>
      </w:pPr>
      <w:bookmarkStart w:id="93" w:name="_Toc69374204"/>
      <w:r w:rsidRPr="00C64F3D">
        <w:t>Introduction</w:t>
      </w:r>
      <w:bookmarkEnd w:id="92"/>
      <w:bookmarkEnd w:id="93"/>
    </w:p>
    <w:p w14:paraId="47F52A51" w14:textId="77777777" w:rsidR="00FC6AD9" w:rsidRPr="00D731D6" w:rsidRDefault="00FC6AD9" w:rsidP="00D731D6">
      <w:pPr>
        <w:pStyle w:val="Heading2"/>
      </w:pPr>
      <w:bookmarkStart w:id="94" w:name="_Toc31373446"/>
      <w:bookmarkStart w:id="95" w:name="_Toc69374205"/>
      <w:r w:rsidRPr="00D731D6">
        <w:t>Health Care Access Issues for People with Disabilities</w:t>
      </w:r>
      <w:bookmarkEnd w:id="94"/>
      <w:bookmarkEnd w:id="95"/>
      <w:r w:rsidRPr="00D731D6">
        <w:t xml:space="preserve"> </w:t>
      </w:r>
    </w:p>
    <w:p w14:paraId="2365396C" w14:textId="77777777" w:rsidR="00FC6AD9" w:rsidRPr="00C64F3D" w:rsidRDefault="00FC6AD9" w:rsidP="00D731D6">
      <w:pPr>
        <w:pStyle w:val="NCDBodyText"/>
      </w:pPr>
      <w:r w:rsidRPr="00C64F3D">
        <w:t xml:space="preserve">In the United States, </w:t>
      </w:r>
      <w:r>
        <w:t>one</w:t>
      </w:r>
      <w:r w:rsidRPr="00C64F3D">
        <w:t xml:space="preserve"> in </w:t>
      </w:r>
      <w:r>
        <w:t>four</w:t>
      </w:r>
      <w:r w:rsidRPr="00C64F3D">
        <w:t xml:space="preserve"> adults </w:t>
      </w:r>
      <w:proofErr w:type="gramStart"/>
      <w:r w:rsidRPr="00C64F3D">
        <w:t>live</w:t>
      </w:r>
      <w:proofErr w:type="gramEnd"/>
      <w:r w:rsidRPr="00C64F3D">
        <w:t xml:space="preserve"> with a disability.</w:t>
      </w:r>
      <w:r w:rsidRPr="00C64F3D">
        <w:rPr>
          <w:rStyle w:val="EndnoteReference"/>
          <w:rFonts w:eastAsia="Times New Roman" w:cs="Arial"/>
        </w:rPr>
        <w:endnoteReference w:id="23"/>
      </w:r>
      <w:r w:rsidRPr="00C64F3D">
        <w:t xml:space="preserve"> People with disabilities have the right to the “highest attainable standard of health without discrimination on the basis of disability”</w:t>
      </w:r>
      <w:r>
        <w:t>;</w:t>
      </w:r>
      <w:r w:rsidRPr="00C64F3D">
        <w:rPr>
          <w:rStyle w:val="EndnoteReference"/>
          <w:rFonts w:eastAsia="Times New Roman" w:cs="Arial"/>
        </w:rPr>
        <w:endnoteReference w:id="24"/>
      </w:r>
      <w:bookmarkStart w:id="96" w:name="_Hlk30668294"/>
      <w:r>
        <w:rPr>
          <w:color w:val="FF0000"/>
          <w:vertAlign w:val="superscript"/>
        </w:rPr>
        <w:t xml:space="preserve"> </w:t>
      </w:r>
      <w:r w:rsidRPr="00C64F3D">
        <w:t>however, they experience structural,</w:t>
      </w:r>
      <w:r w:rsidRPr="00C64F3D">
        <w:rPr>
          <w:rStyle w:val="EndnoteReference"/>
          <w:rFonts w:eastAsia="Times New Roman" w:cs="Arial"/>
        </w:rPr>
        <w:endnoteReference w:id="25"/>
      </w:r>
      <w:r w:rsidRPr="00C64F3D">
        <w:t xml:space="preserve"> financial,</w:t>
      </w:r>
      <w:r w:rsidRPr="00C64F3D">
        <w:rPr>
          <w:rStyle w:val="EndnoteReference"/>
          <w:rFonts w:eastAsia="Times New Roman" w:cs="Arial"/>
        </w:rPr>
        <w:endnoteReference w:id="26"/>
      </w:r>
      <w:r w:rsidRPr="00C64F3D">
        <w:t xml:space="preserve"> </w:t>
      </w:r>
      <w:proofErr w:type="gramStart"/>
      <w:r w:rsidRPr="00C64F3D">
        <w:t>cognitive</w:t>
      </w:r>
      <w:proofErr w:type="gramEnd"/>
      <w:r w:rsidRPr="00C64F3D">
        <w:t>/knowledge,</w:t>
      </w:r>
      <w:r w:rsidRPr="00C64F3D">
        <w:rPr>
          <w:rStyle w:val="EndnoteReference"/>
          <w:rFonts w:eastAsia="Times New Roman" w:cs="Arial"/>
        </w:rPr>
        <w:endnoteReference w:id="27"/>
      </w:r>
      <w:r w:rsidRPr="00C64F3D">
        <w:t xml:space="preserve"> attitudinal</w:t>
      </w:r>
      <w:r>
        <w:t>,</w:t>
      </w:r>
      <w:r w:rsidRPr="00C64F3D">
        <w:rPr>
          <w:rStyle w:val="EndnoteReference"/>
          <w:rFonts w:eastAsia="Times New Roman" w:cs="Arial"/>
        </w:rPr>
        <w:endnoteReference w:id="28"/>
      </w:r>
      <w:r>
        <w:t xml:space="preserve"> </w:t>
      </w:r>
      <w:r w:rsidRPr="00C64F3D">
        <w:t>and physical barriers</w:t>
      </w:r>
      <w:r w:rsidRPr="00C64F3D">
        <w:rPr>
          <w:rStyle w:val="EndnoteReference"/>
          <w:rFonts w:eastAsia="Times New Roman" w:cs="Arial"/>
        </w:rPr>
        <w:endnoteReference w:id="29"/>
      </w:r>
      <w:r w:rsidRPr="00C64F3D">
        <w:t xml:space="preserve"> to preventive,</w:t>
      </w:r>
      <w:r w:rsidRPr="00C64F3D">
        <w:rPr>
          <w:rStyle w:val="EndnoteReference"/>
          <w:rFonts w:eastAsia="Times New Roman" w:cs="Arial"/>
        </w:rPr>
        <w:endnoteReference w:id="30"/>
      </w:r>
      <w:r w:rsidRPr="00C64F3D">
        <w:t xml:space="preserve"> primary,</w:t>
      </w:r>
      <w:r w:rsidRPr="00C64F3D">
        <w:rPr>
          <w:rStyle w:val="EndnoteReference"/>
          <w:rFonts w:eastAsia="Times New Roman" w:cs="Arial"/>
        </w:rPr>
        <w:endnoteReference w:id="31"/>
      </w:r>
      <w:r w:rsidRPr="00C64F3D">
        <w:t xml:space="preserve"> and specialty care</w:t>
      </w:r>
      <w:bookmarkEnd w:id="96"/>
      <w:r w:rsidRPr="00C64F3D">
        <w:t>.</w:t>
      </w:r>
      <w:r w:rsidRPr="00C64F3D">
        <w:rPr>
          <w:rStyle w:val="EndnoteReference"/>
          <w:rFonts w:eastAsia="Times New Roman" w:cs="Arial"/>
        </w:rPr>
        <w:endnoteReference w:id="32"/>
      </w:r>
      <w:r w:rsidRPr="00C64F3D">
        <w:t xml:space="preserve"> </w:t>
      </w:r>
      <w:bookmarkStart w:id="97" w:name="_Hlk68011122"/>
      <w:r w:rsidRPr="00C64F3D">
        <w:t>Adults with physical disabilities are at higher risk of foregoing or delaying necessary care</w:t>
      </w:r>
      <w:r w:rsidRPr="00C64F3D">
        <w:rPr>
          <w:rStyle w:val="EndnoteReference"/>
          <w:rFonts w:eastAsia="Times New Roman" w:cs="Arial"/>
        </w:rPr>
        <w:endnoteReference w:id="33"/>
      </w:r>
      <w:r w:rsidRPr="00C64F3D">
        <w:t xml:space="preserve"> and having unmet medical, dental</w:t>
      </w:r>
      <w:r>
        <w:t>,</w:t>
      </w:r>
      <w:r w:rsidRPr="00C64F3D">
        <w:t xml:space="preserve"> and prescription needs compared to adults without disabilities.</w:t>
      </w:r>
      <w:bookmarkEnd w:id="97"/>
      <w:r w:rsidRPr="00C64F3D">
        <w:rPr>
          <w:rStyle w:val="EndnoteReference"/>
          <w:rFonts w:eastAsia="Times New Roman" w:cs="Arial"/>
        </w:rPr>
        <w:endnoteReference w:id="34"/>
      </w:r>
      <w:r w:rsidRPr="00C64F3D">
        <w:t xml:space="preserve"> Lack of timely access to primary and preventive care can result in the development of chronic and secondary conditions as well as the exacerbation of the original disabling condition itself,</w:t>
      </w:r>
      <w:r w:rsidRPr="00C64F3D">
        <w:rPr>
          <w:rStyle w:val="EndnoteReference"/>
          <w:rFonts w:eastAsia="Times New Roman" w:cs="Arial"/>
        </w:rPr>
        <w:endnoteReference w:id="35"/>
      </w:r>
      <w:r w:rsidRPr="00C64F3D">
        <w:rPr>
          <w:vertAlign w:val="superscript"/>
        </w:rPr>
        <w:t xml:space="preserve"> </w:t>
      </w:r>
      <w:r w:rsidRPr="00C64F3D">
        <w:t>resulting in poorer health outcomes.</w:t>
      </w:r>
      <w:r w:rsidRPr="00C64F3D">
        <w:rPr>
          <w:rStyle w:val="EndnoteReference"/>
          <w:rFonts w:eastAsia="Times New Roman" w:cs="Arial"/>
        </w:rPr>
        <w:endnoteReference w:id="36"/>
      </w:r>
      <w:r w:rsidRPr="00C64F3D">
        <w:t xml:space="preserve"> </w:t>
      </w:r>
    </w:p>
    <w:p w14:paraId="7D58AF75" w14:textId="77777777" w:rsidR="00FC6AD9" w:rsidRPr="00C64F3D" w:rsidRDefault="00FC6AD9" w:rsidP="00D731D6">
      <w:pPr>
        <w:pStyle w:val="NCDBodyText"/>
      </w:pPr>
      <w:bookmarkStart w:id="98" w:name="_Hlk68011188"/>
      <w:r w:rsidRPr="00C64F3D">
        <w:t>Of the 61 million people with disabilities in the U</w:t>
      </w:r>
      <w:r>
        <w:t xml:space="preserve">nited </w:t>
      </w:r>
      <w:r w:rsidRPr="00C64F3D">
        <w:t>S</w:t>
      </w:r>
      <w:r>
        <w:t>tates</w:t>
      </w:r>
      <w:r w:rsidRPr="00C64F3D">
        <w:t>, more than 20 million people over the age of 18 years have a disability that limits their functional mobility</w:t>
      </w:r>
      <w:r>
        <w:t>; this</w:t>
      </w:r>
      <w:r w:rsidRPr="00C64F3D">
        <w:t xml:space="preserve"> can pose challenges to accessing standard medical diagnostic equipment</w:t>
      </w:r>
      <w:r>
        <w:t xml:space="preserve"> (MDE)</w:t>
      </w:r>
      <w:r w:rsidRPr="00C64F3D">
        <w:t>.</w:t>
      </w:r>
      <w:bookmarkEnd w:id="98"/>
      <w:r w:rsidRPr="00C64F3D">
        <w:rPr>
          <w:rStyle w:val="EndnoteReference"/>
          <w:rFonts w:cs="Arial"/>
        </w:rPr>
        <w:endnoteReference w:id="37"/>
      </w:r>
      <w:r>
        <w:t xml:space="preserve"> </w:t>
      </w:r>
      <w:bookmarkStart w:id="99" w:name="_Hlk68011216"/>
      <w:r w:rsidRPr="00C64F3D">
        <w:t>With population health trends</w:t>
      </w:r>
      <w:r>
        <w:t>—</w:t>
      </w:r>
      <w:r w:rsidRPr="00C64F3D">
        <w:t>including increasing rates of chronic medical conditions, obesity</w:t>
      </w:r>
      <w:r>
        <w:t>,</w:t>
      </w:r>
      <w:r w:rsidRPr="00C64F3D">
        <w:t xml:space="preserve"> and the aging population</w:t>
      </w:r>
      <w:r>
        <w:t>—</w:t>
      </w:r>
      <w:r w:rsidRPr="00C64F3D">
        <w:t>the number of people with mobility-related disabilities will continue to rise.</w:t>
      </w:r>
      <w:bookmarkEnd w:id="99"/>
      <w:r w:rsidRPr="00C64F3D">
        <w:rPr>
          <w:rStyle w:val="EndnoteReference"/>
          <w:rFonts w:cs="Arial"/>
        </w:rPr>
        <w:endnoteReference w:id="38"/>
      </w:r>
      <w:r w:rsidRPr="00C64F3D">
        <w:t xml:space="preserve"> To appreciate the scope of the issue</w:t>
      </w:r>
      <w:r>
        <w:t>,</w:t>
      </w:r>
      <w:r w:rsidRPr="00C64F3D">
        <w:t xml:space="preserve"> it is important to take a broad view of who belongs to the category of people with mobility limitations. Far from an isolated group, people with mobility disabilities include people with a wide range of congenital and acquired conditions that limit their functional mobility due to pain, muscle weakness or paralysis, deconditioning, poor balance, spasticity and lack of coordination, as well as limb loss and fractures. Given the prevalence of mobility disability in the adult population, all </w:t>
      </w:r>
      <w:r>
        <w:t>health care</w:t>
      </w:r>
      <w:r w:rsidRPr="00C64F3D">
        <w:t xml:space="preserve"> facilities</w:t>
      </w:r>
      <w:r>
        <w:t xml:space="preserve">, </w:t>
      </w:r>
      <w:r w:rsidRPr="00C64F3D">
        <w:t>regardless of practice setting, geographic location</w:t>
      </w:r>
      <w:r>
        <w:t>,</w:t>
      </w:r>
      <w:r w:rsidRPr="00C64F3D">
        <w:t xml:space="preserve"> or clinical specialty area</w:t>
      </w:r>
      <w:r>
        <w:t>,</w:t>
      </w:r>
      <w:r w:rsidRPr="00C64F3D">
        <w:t xml:space="preserve"> can expect to see people with mobility disabilities among th</w:t>
      </w:r>
      <w:r>
        <w:t>os</w:t>
      </w:r>
      <w:r w:rsidRPr="00C64F3D">
        <w:t xml:space="preserve">e they serve. Ensuring physical access to care through accessible </w:t>
      </w:r>
      <w:r>
        <w:t>MDE</w:t>
      </w:r>
      <w:r w:rsidRPr="00C64F3D">
        <w:t xml:space="preserve"> is necessary to equitably provide medical care for all people</w:t>
      </w:r>
      <w:r>
        <w:t>,</w:t>
      </w:r>
      <w:r w:rsidRPr="00C64F3D">
        <w:t xml:space="preserve"> and the need continues to grow.</w:t>
      </w:r>
    </w:p>
    <w:p w14:paraId="4E5029CB" w14:textId="77777777" w:rsidR="00FC6AD9" w:rsidRPr="00C64F3D" w:rsidRDefault="00FC6AD9" w:rsidP="00D731D6">
      <w:pPr>
        <w:pStyle w:val="Heading2"/>
      </w:pPr>
      <w:bookmarkStart w:id="100" w:name="_Toc69374206"/>
      <w:bookmarkStart w:id="101" w:name="_Toc31373447"/>
      <w:r>
        <w:t>Health Care</w:t>
      </w:r>
      <w:r w:rsidRPr="00C64F3D">
        <w:t xml:space="preserve"> Utilization</w:t>
      </w:r>
      <w:bookmarkEnd w:id="100"/>
      <w:r w:rsidRPr="00C64F3D">
        <w:t xml:space="preserve"> </w:t>
      </w:r>
      <w:bookmarkEnd w:id="101"/>
    </w:p>
    <w:p w14:paraId="7460282F" w14:textId="77777777" w:rsidR="00FC6AD9" w:rsidRPr="00C64F3D" w:rsidRDefault="00FC6AD9" w:rsidP="00D731D6">
      <w:pPr>
        <w:pStyle w:val="NCDBodyText"/>
        <w:rPr>
          <w:rFonts w:eastAsia="Times New Roman"/>
        </w:rPr>
      </w:pPr>
      <w:r w:rsidRPr="00C64F3D">
        <w:t xml:space="preserve">People with disabilities often have more compromised health and tend to be </w:t>
      </w:r>
      <w:r>
        <w:t>more frequent</w:t>
      </w:r>
      <w:r w:rsidRPr="00C64F3D">
        <w:t xml:space="preserve"> users of </w:t>
      </w:r>
      <w:r>
        <w:t>health care</w:t>
      </w:r>
      <w:r w:rsidRPr="00C64F3D">
        <w:t xml:space="preserve"> services than their nondisabled peers. One study comparing </w:t>
      </w:r>
      <w:r>
        <w:t>health care</w:t>
      </w:r>
      <w:r w:rsidRPr="00C64F3D">
        <w:t xml:space="preserve"> utilization among working-age people with disabilities and their nondisabled peers found </w:t>
      </w:r>
      <w:bookmarkStart w:id="102" w:name="_Hlk68011287"/>
      <w:r w:rsidRPr="00C64F3D">
        <w:t xml:space="preserve">people with disabilities were more likely to report intensive utilization: six times more likely to see a physician </w:t>
      </w:r>
      <w:r>
        <w:t>10</w:t>
      </w:r>
      <w:r w:rsidRPr="00C64F3D">
        <w:t xml:space="preserve"> or more times in the last year and five times more likely to be admitted to </w:t>
      </w:r>
      <w:r>
        <w:t xml:space="preserve">the </w:t>
      </w:r>
      <w:r w:rsidRPr="00C64F3D">
        <w:t>hospital</w:t>
      </w:r>
      <w:bookmarkEnd w:id="102"/>
      <w:r w:rsidRPr="00C64F3D">
        <w:t>.</w:t>
      </w:r>
      <w:r w:rsidRPr="00C64F3D">
        <w:rPr>
          <w:rStyle w:val="EndnoteReference"/>
          <w:rFonts w:cs="Arial"/>
        </w:rPr>
        <w:endnoteReference w:id="39"/>
      </w:r>
      <w:r w:rsidRPr="00C64F3D">
        <w:t xml:space="preserve"> It is thus particularly important that people with disabilities have timely and appropriate access to primary and preventative </w:t>
      </w:r>
      <w:r>
        <w:t>health care</w:t>
      </w:r>
      <w:r w:rsidRPr="00C64F3D">
        <w:t xml:space="preserve"> services to address problems early and prevent and manage health conditions. Moreover, </w:t>
      </w:r>
      <w:bookmarkStart w:id="103" w:name="_Hlk68011367"/>
      <w:r w:rsidRPr="00C64F3D">
        <w:t xml:space="preserve">in </w:t>
      </w:r>
      <w:r w:rsidRPr="00810A1D">
        <w:rPr>
          <w:rFonts w:eastAsia="Times New Roman"/>
          <w:i/>
          <w:iCs/>
        </w:rPr>
        <w:t>Healthy People 2020</w:t>
      </w:r>
      <w:r w:rsidRPr="00C64F3D">
        <w:rPr>
          <w:rFonts w:eastAsia="Times New Roman"/>
        </w:rPr>
        <w:t>, which set decennial national health priorities for 2010</w:t>
      </w:r>
      <w:r>
        <w:rPr>
          <w:rFonts w:eastAsia="Times New Roman"/>
        </w:rPr>
        <w:t>–</w:t>
      </w:r>
      <w:r w:rsidRPr="00C64F3D">
        <w:rPr>
          <w:rFonts w:eastAsia="Times New Roman"/>
        </w:rPr>
        <w:t>2020, the U.S. Department of Health and Human Services (HHS), Office of Disease Prevention and Health Promotion, documented that people with disabilities were more likely than those without disabilities to</w:t>
      </w:r>
    </w:p>
    <w:p w14:paraId="27F2924E" w14:textId="77777777" w:rsidR="00FC6AD9" w:rsidRPr="002C0E49" w:rsidRDefault="00FC6AD9" w:rsidP="00D731D6">
      <w:pPr>
        <w:pStyle w:val="NCDBulletsLevel1"/>
      </w:pPr>
      <w:r w:rsidRPr="002C0E49">
        <w:t xml:space="preserve">experience difficulties or delays in getting health care they need, </w:t>
      </w:r>
    </w:p>
    <w:p w14:paraId="1FE37E26" w14:textId="77777777" w:rsidR="00FC6AD9" w:rsidRPr="002C0E49" w:rsidRDefault="00FC6AD9" w:rsidP="00D731D6">
      <w:pPr>
        <w:pStyle w:val="NCDBulletsLevel1"/>
      </w:pPr>
      <w:r w:rsidRPr="002C0E49">
        <w:t xml:space="preserve">not have had a mammogram in the past two years, </w:t>
      </w:r>
    </w:p>
    <w:p w14:paraId="756B3A0A" w14:textId="77777777" w:rsidR="00FC6AD9" w:rsidRPr="002C0E49" w:rsidRDefault="00FC6AD9" w:rsidP="00D731D6">
      <w:pPr>
        <w:pStyle w:val="NCDBulletsLevel1"/>
      </w:pPr>
      <w:r w:rsidRPr="002C0E49">
        <w:t xml:space="preserve">not have had a Pap test within the past three years, </w:t>
      </w:r>
    </w:p>
    <w:p w14:paraId="2D9E815A" w14:textId="77777777" w:rsidR="00FC6AD9" w:rsidRPr="002C0E49" w:rsidRDefault="00FC6AD9" w:rsidP="00D731D6">
      <w:pPr>
        <w:pStyle w:val="NCDBulletsLevel1"/>
      </w:pPr>
      <w:r w:rsidRPr="002C0E49">
        <w:t xml:space="preserve">not have had an annual dental visit, </w:t>
      </w:r>
    </w:p>
    <w:p w14:paraId="34D52CF1" w14:textId="77777777" w:rsidR="00FC6AD9" w:rsidRPr="002C0E49" w:rsidRDefault="00FC6AD9" w:rsidP="00D731D6">
      <w:pPr>
        <w:pStyle w:val="NCDBulletsLevel1"/>
      </w:pPr>
      <w:r w:rsidRPr="002C0E49">
        <w:t xml:space="preserve">not engage in fitness activities, and </w:t>
      </w:r>
    </w:p>
    <w:p w14:paraId="7129EBD2" w14:textId="77777777" w:rsidR="00FC6AD9" w:rsidRPr="002C0E49" w:rsidRDefault="00FC6AD9" w:rsidP="00D731D6">
      <w:pPr>
        <w:pStyle w:val="NCDBulletsLevel1"/>
        <w:rPr>
          <w:color w:val="444444"/>
        </w:rPr>
      </w:pPr>
      <w:proofErr w:type="gramStart"/>
      <w:r w:rsidRPr="002C0E49">
        <w:t>use</w:t>
      </w:r>
      <w:proofErr w:type="gramEnd"/>
      <w:r w:rsidRPr="002C0E49">
        <w:t xml:space="preserve"> tobacco, be overweight or obese, have high blood pressure, and experience symptoms of psychological distress.</w:t>
      </w:r>
      <w:r w:rsidRPr="00C64F3D">
        <w:rPr>
          <w:rStyle w:val="EndnoteReference"/>
          <w:rFonts w:eastAsia="Times New Roman"/>
        </w:rPr>
        <w:endnoteReference w:id="40"/>
      </w:r>
      <w:r w:rsidRPr="002C0E49" w:rsidDel="00D6622A">
        <w:t xml:space="preserve"> </w:t>
      </w:r>
    </w:p>
    <w:bookmarkEnd w:id="103"/>
    <w:p w14:paraId="7048C20F" w14:textId="2C668D49" w:rsidR="00FC6AD9" w:rsidRPr="00C64F3D" w:rsidRDefault="00FC6AD9" w:rsidP="00D731D6">
      <w:pPr>
        <w:pStyle w:val="NCDBodyText"/>
      </w:pPr>
      <w:r w:rsidRPr="00C64F3D">
        <w:t xml:space="preserve">The </w:t>
      </w:r>
      <w:r w:rsidRPr="00810A1D">
        <w:rPr>
          <w:i/>
          <w:iCs/>
        </w:rPr>
        <w:t>Disability and Health Journal</w:t>
      </w:r>
      <w:r w:rsidRPr="00C64F3D">
        <w:t xml:space="preserve"> has consistently published studies quantifying lack of access to </w:t>
      </w:r>
      <w:r>
        <w:t>health care</w:t>
      </w:r>
      <w:r w:rsidRPr="00C64F3D">
        <w:t xml:space="preserve"> for people with disabilities. </w:t>
      </w:r>
      <w:bookmarkStart w:id="104" w:name="_Hlk68011602"/>
      <w:r w:rsidRPr="00C64F3D">
        <w:t>A study that examined the effect</w:t>
      </w:r>
      <w:r w:rsidR="007C57C3">
        <w:br/>
      </w:r>
      <w:r w:rsidRPr="00C64F3D">
        <w:t xml:space="preserve">of physical disability on access to </w:t>
      </w:r>
      <w:r>
        <w:t>health care</w:t>
      </w:r>
      <w:r w:rsidRPr="00C64F3D">
        <w:t xml:space="preserve"> in working-age adults with and without physical disabilities in the U</w:t>
      </w:r>
      <w:r>
        <w:t xml:space="preserve">nited </w:t>
      </w:r>
      <w:r w:rsidRPr="00C64F3D">
        <w:t>S</w:t>
      </w:r>
      <w:r>
        <w:t>tates</w:t>
      </w:r>
      <w:r w:rsidRPr="00C64F3D">
        <w:t xml:space="preserve"> between 2002 and 2011 found that people with physical disabilities had 75, 57, and 85</w:t>
      </w:r>
      <w:r>
        <w:t xml:space="preserve"> percent</w:t>
      </w:r>
      <w:r w:rsidRPr="00C64F3D">
        <w:t xml:space="preserve"> higher odds of having unmet medical, dental, and prescription medication needs, respectively.</w:t>
      </w:r>
      <w:bookmarkEnd w:id="104"/>
      <w:r w:rsidRPr="00C64F3D">
        <w:rPr>
          <w:rStyle w:val="EndnoteReference"/>
          <w:rFonts w:eastAsia="Times New Roman" w:cs="Arial"/>
        </w:rPr>
        <w:endnoteReference w:id="41"/>
      </w:r>
    </w:p>
    <w:p w14:paraId="3249B382" w14:textId="77777777" w:rsidR="00FC6AD9" w:rsidRPr="00C64F3D" w:rsidRDefault="00FC6AD9" w:rsidP="00D731D6">
      <w:pPr>
        <w:pStyle w:val="NCDBodyText"/>
      </w:pPr>
      <w:r w:rsidRPr="00C64F3D">
        <w:t xml:space="preserve">Similarly, a 2017 survey-based study of 432 wheelchair users described </w:t>
      </w:r>
      <w:r>
        <w:t>health care</w:t>
      </w:r>
      <w:r w:rsidRPr="00C64F3D">
        <w:t xml:space="preserve"> utilization and characterized barriers encountered when attempting to obtain access to </w:t>
      </w:r>
      <w:r>
        <w:t>health care</w:t>
      </w:r>
      <w:r w:rsidRPr="00C64F3D">
        <w:t>.</w:t>
      </w:r>
      <w:r w:rsidRPr="00C64F3D">
        <w:rPr>
          <w:rStyle w:val="EndnoteReference"/>
          <w:rFonts w:eastAsia="Times New Roman" w:cs="Arial"/>
        </w:rPr>
        <w:endnoteReference w:id="42"/>
      </w:r>
      <w:r>
        <w:t xml:space="preserve"> </w:t>
      </w:r>
      <w:bookmarkStart w:id="105" w:name="_Hlk68011703"/>
      <w:r w:rsidRPr="00C64F3D">
        <w:t>While nearly all respondents (97.2</w:t>
      </w:r>
      <w:r>
        <w:t xml:space="preserve"> percent</w:t>
      </w:r>
      <w:r w:rsidRPr="00C64F3D">
        <w:t>) had a primary care appointment within the past year, most encountered physical barriers when accessing care (73.8</w:t>
      </w:r>
      <w:r>
        <w:t xml:space="preserve"> percent</w:t>
      </w:r>
      <w:r w:rsidRPr="00C64F3D">
        <w:t xml:space="preserve"> primary, 68.5</w:t>
      </w:r>
      <w:r>
        <w:t xml:space="preserve"> percent</w:t>
      </w:r>
      <w:r w:rsidRPr="00C64F3D">
        <w:t xml:space="preserve"> specialty)</w:t>
      </w:r>
      <w:bookmarkEnd w:id="105"/>
      <w:r w:rsidRPr="00C64F3D">
        <w:t xml:space="preserve">. The </w:t>
      </w:r>
      <w:proofErr w:type="gramStart"/>
      <w:r w:rsidRPr="00C64F3D">
        <w:t>majority of participants remained clothed for their primary care evaluation (76.1</w:t>
      </w:r>
      <w:r>
        <w:t xml:space="preserve"> percent</w:t>
      </w:r>
      <w:r w:rsidRPr="00C64F3D">
        <w:t>) and were</w:t>
      </w:r>
      <w:proofErr w:type="gramEnd"/>
      <w:r w:rsidRPr="00C64F3D">
        <w:t xml:space="preserve"> examined seated in their wheelchair (69.7</w:t>
      </w:r>
      <w:r>
        <w:t xml:space="preserve"> percent</w:t>
      </w:r>
      <w:r w:rsidRPr="00C64F3D">
        <w:t>). We obtained a first-person narrative that highlights the personal experience behind these data</w:t>
      </w:r>
      <w:r>
        <w:t>:</w:t>
      </w:r>
    </w:p>
    <w:p w14:paraId="50785805" w14:textId="77777777" w:rsidR="00FC6AD9" w:rsidRPr="00C64F3D" w:rsidRDefault="00FC6AD9" w:rsidP="00D731D6">
      <w:pPr>
        <w:pStyle w:val="NCDExtract"/>
      </w:pPr>
      <w:r w:rsidRPr="00810A1D">
        <w:rPr>
          <w:i/>
        </w:rPr>
        <w:t xml:space="preserve">My longtime internal medicine doctor was on vacation and I had scheduled an annual physical with one of his partners, whom I’ve met on occasion. He didn’t require that I transition from my wheelchair onto an examination table (which was not height adjustable, and there was no lift or transfer equipment available). In fact, he said I could remain in my wheelchair for the physical exam. After the nurse drew blood for analysis, he listened to my heart and lungs underneath my clothing, looked inside my ears and throat, and then stepped back and stated, “I assume everything below the waist is fine.” That was the extent of the physical examination. </w:t>
      </w:r>
      <w:r>
        <w:t>(</w:t>
      </w:r>
      <w:r w:rsidRPr="00557113">
        <w:t>Man</w:t>
      </w:r>
      <w:r w:rsidRPr="00C64F3D">
        <w:t xml:space="preserve"> with a physical disability</w:t>
      </w:r>
      <w:r>
        <w:t>)</w:t>
      </w:r>
    </w:p>
    <w:p w14:paraId="33D590D5" w14:textId="77777777" w:rsidR="00FC6AD9" w:rsidRPr="00C64F3D" w:rsidRDefault="00FC6AD9" w:rsidP="00D731D6">
      <w:pPr>
        <w:pStyle w:val="NCDBodyText"/>
      </w:pPr>
      <w:r w:rsidRPr="00C64F3D">
        <w:t xml:space="preserve">A 2015 study published in the </w:t>
      </w:r>
      <w:r w:rsidRPr="00810A1D">
        <w:rPr>
          <w:i/>
          <w:iCs/>
        </w:rPr>
        <w:t>Disability and Health Journal</w:t>
      </w:r>
      <w:r w:rsidRPr="00C64F3D">
        <w:t xml:space="preserve"> concluded that significant disparities in health were found for adults with disabilities relative to adults without disabilities. </w:t>
      </w:r>
      <w:bookmarkStart w:id="106" w:name="_Hlk68028358"/>
      <w:r w:rsidRPr="00C64F3D">
        <w:t>Adults with disabilities are 12.7 times more likely to report poor overall health status compared to adults without disabilities.</w:t>
      </w:r>
      <w:bookmarkEnd w:id="106"/>
      <w:r w:rsidRPr="00C64F3D">
        <w:rPr>
          <w:rStyle w:val="EndnoteReference"/>
          <w:rFonts w:eastAsia="Times New Roman" w:cs="Arial"/>
        </w:rPr>
        <w:endnoteReference w:id="43"/>
      </w:r>
      <w:r w:rsidRPr="00C64F3D">
        <w:t xml:space="preserve"> Similarly, a 2018 paper published by the National Academies of Sciences, Engineering, Medicine, </w:t>
      </w:r>
      <w:proofErr w:type="gramStart"/>
      <w:r w:rsidRPr="00810A1D">
        <w:rPr>
          <w:i/>
          <w:iCs/>
        </w:rPr>
        <w:t>Compounded</w:t>
      </w:r>
      <w:proofErr w:type="gramEnd"/>
      <w:r w:rsidRPr="00810A1D">
        <w:rPr>
          <w:i/>
          <w:iCs/>
        </w:rPr>
        <w:t xml:space="preserve"> Disparities: Health Equity at the Intersection of Disability, Race, and Ethnicit</w:t>
      </w:r>
      <w:r w:rsidRPr="00F024FC">
        <w:rPr>
          <w:i/>
        </w:rPr>
        <w:t>y</w:t>
      </w:r>
      <w:r w:rsidRPr="00C64F3D">
        <w:t>,</w:t>
      </w:r>
      <w:r w:rsidRPr="00C64F3D">
        <w:rPr>
          <w:rStyle w:val="EndnoteReference"/>
          <w:rFonts w:eastAsia="Times New Roman" w:cs="Arial"/>
        </w:rPr>
        <w:endnoteReference w:id="44"/>
      </w:r>
      <w:r w:rsidRPr="00C64F3D" w:rsidDel="000D64C0">
        <w:t xml:space="preserve"> </w:t>
      </w:r>
      <w:r w:rsidRPr="00C64F3D">
        <w:t>highlights that people with disabilities have much poorer preventable health outcomes.</w:t>
      </w:r>
      <w:r>
        <w:t xml:space="preserve"> </w:t>
      </w:r>
      <w:r w:rsidRPr="00C64F3D">
        <w:t xml:space="preserve">Specifically, </w:t>
      </w:r>
      <w:bookmarkStart w:id="107" w:name="_Hlk68028521"/>
      <w:r w:rsidRPr="00C64F3D">
        <w:t xml:space="preserve">obesity rates </w:t>
      </w:r>
      <w:r>
        <w:t>for</w:t>
      </w:r>
      <w:r w:rsidRPr="00C64F3D">
        <w:t xml:space="preserve"> adults and youth with disabilities are 58</w:t>
      </w:r>
      <w:r>
        <w:t xml:space="preserve"> </w:t>
      </w:r>
      <w:r w:rsidRPr="00C64F3D">
        <w:t>and 38</w:t>
      </w:r>
      <w:r>
        <w:t xml:space="preserve"> percent, respectively,</w:t>
      </w:r>
      <w:r w:rsidRPr="00C64F3D">
        <w:t xml:space="preserve"> higher</w:t>
      </w:r>
      <w:r>
        <w:t xml:space="preserve"> </w:t>
      </w:r>
      <w:r w:rsidRPr="00C64F3D">
        <w:t xml:space="preserve">than </w:t>
      </w:r>
      <w:r>
        <w:t xml:space="preserve">those of </w:t>
      </w:r>
      <w:r w:rsidRPr="00C64F3D">
        <w:t>their nondisabled peers</w:t>
      </w:r>
      <w:bookmarkEnd w:id="107"/>
      <w:r w:rsidRPr="00C64F3D">
        <w:t xml:space="preserve">; the </w:t>
      </w:r>
      <w:bookmarkStart w:id="108" w:name="_Hlk68028542"/>
      <w:r w:rsidRPr="00C64F3D">
        <w:t xml:space="preserve">annual number of new cases of diabetes is almost three times as high among adults with disabilities relative to adults without disabilities </w:t>
      </w:r>
      <w:bookmarkEnd w:id="108"/>
      <w:r w:rsidRPr="00C64F3D">
        <w:t>(19.1 per 1,000 v</w:t>
      </w:r>
      <w:r>
        <w:t>ersu</w:t>
      </w:r>
      <w:r w:rsidRPr="00C64F3D">
        <w:t>s 6.8 per 1,000); disability status is a high risk factor for early onset cardiovascular disease (rates of 12</w:t>
      </w:r>
      <w:r>
        <w:t xml:space="preserve"> </w:t>
      </w:r>
      <w:r w:rsidRPr="00C64F3D">
        <w:t>v</w:t>
      </w:r>
      <w:r>
        <w:t>ersu</w:t>
      </w:r>
      <w:r w:rsidRPr="00C64F3D">
        <w:t>s 3.4</w:t>
      </w:r>
      <w:r>
        <w:t xml:space="preserve"> percent</w:t>
      </w:r>
      <w:r w:rsidRPr="00C64F3D">
        <w:t> among 18</w:t>
      </w:r>
      <w:r>
        <w:t>-</w:t>
      </w:r>
      <w:r w:rsidRPr="00C64F3D">
        <w:t xml:space="preserve"> to 44</w:t>
      </w:r>
      <w:r>
        <w:t>-</w:t>
      </w:r>
      <w:r w:rsidRPr="00C64F3D">
        <w:t>year</w:t>
      </w:r>
      <w:r>
        <w:t>-</w:t>
      </w:r>
      <w:r w:rsidRPr="00C64F3D">
        <w:t xml:space="preserve">olds with and without disabilities); </w:t>
      </w:r>
      <w:r>
        <w:t xml:space="preserve">and </w:t>
      </w:r>
      <w:r w:rsidRPr="00C64F3D">
        <w:t xml:space="preserve">adults with disabilities are much more likely to experience cardiovascular disease during young adulthood as well as </w:t>
      </w:r>
      <w:r>
        <w:t xml:space="preserve">in their </w:t>
      </w:r>
      <w:r w:rsidRPr="00C64F3D">
        <w:t>older years. According to the </w:t>
      </w:r>
      <w:r w:rsidRPr="00810A1D">
        <w:rPr>
          <w:i/>
          <w:iCs/>
        </w:rPr>
        <w:t>2013 National Healthcare Disparities Report</w:t>
      </w:r>
      <w:r w:rsidRPr="00C64F3D">
        <w:t> from the Agency for Healthcare Research and Quality</w:t>
      </w:r>
      <w:r>
        <w:t xml:space="preserve"> (AHRQ)</w:t>
      </w:r>
      <w:r w:rsidRPr="00C64F3D">
        <w:t>, while more than 60</w:t>
      </w:r>
      <w:r>
        <w:t xml:space="preserve"> percent</w:t>
      </w:r>
      <w:r w:rsidRPr="00C64F3D">
        <w:t xml:space="preserve"> of quality indicators, such as measures of patient-centered care and access to care, had improved for people without any activity limitations (one measure of disability), only 20</w:t>
      </w:r>
      <w:r>
        <w:t>–</w:t>
      </w:r>
      <w:r w:rsidRPr="00C64F3D">
        <w:t>35</w:t>
      </w:r>
      <w:r>
        <w:t xml:space="preserve"> percent</w:t>
      </w:r>
      <w:r w:rsidRPr="00C64F3D">
        <w:t xml:space="preserve"> had improved for people with such limitations.</w:t>
      </w:r>
      <w:r w:rsidRPr="00C64F3D">
        <w:rPr>
          <w:rStyle w:val="EndnoteReference"/>
          <w:rFonts w:eastAsia="Times New Roman" w:cs="Arial"/>
        </w:rPr>
        <w:endnoteReference w:id="45"/>
      </w:r>
      <w:r w:rsidRPr="00C64F3D">
        <w:t xml:space="preserve"> Furthermore, a 2017 study published in </w:t>
      </w:r>
      <w:r w:rsidRPr="00810A1D">
        <w:rPr>
          <w:i/>
          <w:iCs/>
        </w:rPr>
        <w:t>Health Services Research</w:t>
      </w:r>
      <w:r w:rsidRPr="00C64F3D">
        <w:t xml:space="preserve"> found that people with disabilities are particularly vulnerable to being hospitalized for conditions that are typically manageable in ambulatory care settings.</w:t>
      </w:r>
      <w:r w:rsidRPr="00C64F3D">
        <w:rPr>
          <w:rStyle w:val="EndnoteReference"/>
          <w:rFonts w:eastAsia="Times New Roman" w:cs="Arial"/>
        </w:rPr>
        <w:endnoteReference w:id="46"/>
      </w:r>
      <w:r w:rsidRPr="00C64F3D" w:rsidDel="00D6622A">
        <w:rPr>
          <w:vertAlign w:val="superscript"/>
        </w:rPr>
        <w:t xml:space="preserve"> </w:t>
      </w:r>
    </w:p>
    <w:p w14:paraId="6C5E64FB" w14:textId="77777777" w:rsidR="00FC6AD9" w:rsidRPr="00C64F3D" w:rsidRDefault="00FC6AD9" w:rsidP="00D731D6">
      <w:pPr>
        <w:pStyle w:val="Heading2"/>
      </w:pPr>
      <w:bookmarkStart w:id="109" w:name="_Toc31373448"/>
      <w:bookmarkStart w:id="110" w:name="_Toc69374207"/>
      <w:r w:rsidRPr="00C64F3D">
        <w:t>Accessible Medical Diagnostic Equipment</w:t>
      </w:r>
      <w:bookmarkEnd w:id="109"/>
      <w:bookmarkEnd w:id="110"/>
      <w:r w:rsidRPr="00C64F3D">
        <w:t xml:space="preserve"> </w:t>
      </w:r>
    </w:p>
    <w:p w14:paraId="7C54E1A6" w14:textId="77777777" w:rsidR="00FC6AD9" w:rsidRPr="00C64F3D" w:rsidRDefault="00FC6AD9" w:rsidP="00D731D6">
      <w:pPr>
        <w:pStyle w:val="NCDBodyText"/>
      </w:pPr>
      <w:r>
        <w:t>Health care</w:t>
      </w:r>
      <w:r w:rsidRPr="00C64F3D">
        <w:t xml:space="preserve"> providers are required by law to ensure full and equal access to their </w:t>
      </w:r>
      <w:r>
        <w:t>health care</w:t>
      </w:r>
      <w:r w:rsidRPr="00C64F3D">
        <w:t xml:space="preserve"> services and facilities.</w:t>
      </w:r>
      <w:r w:rsidRPr="00C64F3D">
        <w:rPr>
          <w:rStyle w:val="EndnoteReference"/>
          <w:rFonts w:cs="Arial"/>
        </w:rPr>
        <w:endnoteReference w:id="47"/>
      </w:r>
      <w:r w:rsidRPr="00C64F3D">
        <w:t xml:space="preserve"> Yet, in 2020, 30 years after the passage of the </w:t>
      </w:r>
      <w:r>
        <w:t>Americans with Disabilities Act (</w:t>
      </w:r>
      <w:r w:rsidRPr="00C64F3D">
        <w:t>ADA</w:t>
      </w:r>
      <w:r>
        <w:t>)</w:t>
      </w:r>
      <w:r w:rsidRPr="00C64F3D">
        <w:t>, and 45 years after passage of the Rehabilitation Act, people with mobility impairments continue to encounter significant physical accessibility barriers to preventative, primary, and specialty care.</w:t>
      </w:r>
      <w:r w:rsidRPr="00C64F3D">
        <w:rPr>
          <w:rStyle w:val="EndnoteReference"/>
          <w:rFonts w:cs="Arial"/>
        </w:rPr>
        <w:endnoteReference w:id="48"/>
      </w:r>
      <w:r w:rsidRPr="00C64F3D">
        <w:t xml:space="preserve"> This lack of physical accessibility compromises quality of care and can lead to delayed and incomplete care, missed diagnoses, and exacerbation of the original disability.</w:t>
      </w:r>
      <w:r w:rsidRPr="00C64F3D">
        <w:rPr>
          <w:rStyle w:val="EndnoteReference"/>
          <w:rFonts w:cs="Arial"/>
        </w:rPr>
        <w:endnoteReference w:id="49"/>
      </w:r>
      <w:r w:rsidRPr="00C64F3D">
        <w:t xml:space="preserve"> </w:t>
      </w:r>
      <w:bookmarkStart w:id="111" w:name="_Hlk68028746"/>
      <w:r w:rsidRPr="00C64F3D">
        <w:t>Examination tables, weight scales, exam</w:t>
      </w:r>
      <w:r>
        <w:t>ination</w:t>
      </w:r>
      <w:r w:rsidRPr="00C64F3D">
        <w:t xml:space="preserve"> chairs, and imaging equipment are vital MDE and are often inaccessible for people with mobility disabilities.</w:t>
      </w:r>
      <w:bookmarkEnd w:id="111"/>
      <w:r w:rsidRPr="00C64F3D">
        <w:rPr>
          <w:rStyle w:val="EndnoteReference"/>
          <w:rFonts w:cs="Arial"/>
        </w:rPr>
        <w:endnoteReference w:id="50"/>
      </w:r>
      <w:r w:rsidRPr="00C64F3D">
        <w:rPr>
          <w:vertAlign w:val="superscript"/>
        </w:rPr>
        <w:t xml:space="preserve"> </w:t>
      </w:r>
      <w:bookmarkStart w:id="112" w:name="_Hlk68029400"/>
      <w:r w:rsidRPr="00C64F3D">
        <w:t>On</w:t>
      </w:r>
      <w:r>
        <w:t>-</w:t>
      </w:r>
      <w:r w:rsidRPr="00C64F3D">
        <w:t xml:space="preserve">site evaluation of 2,389 </w:t>
      </w:r>
      <w:r>
        <w:t>health care</w:t>
      </w:r>
      <w:r w:rsidRPr="00C64F3D">
        <w:t xml:space="preserve"> facilities in California found that only 3.6</w:t>
      </w:r>
      <w:r>
        <w:t xml:space="preserve"> percent</w:t>
      </w:r>
      <w:r w:rsidRPr="00C64F3D">
        <w:t xml:space="preserve"> had an accessible weight scale</w:t>
      </w:r>
      <w:r>
        <w:t>,</w:t>
      </w:r>
      <w:r w:rsidRPr="00C64F3D">
        <w:t xml:space="preserve"> and only 8.4</w:t>
      </w:r>
      <w:r>
        <w:t xml:space="preserve"> percent</w:t>
      </w:r>
      <w:r w:rsidRPr="00C64F3D">
        <w:t xml:space="preserve"> had height</w:t>
      </w:r>
      <w:r>
        <w:t>-</w:t>
      </w:r>
      <w:r w:rsidRPr="00C64F3D">
        <w:t>adjustable examination tables.</w:t>
      </w:r>
      <w:bookmarkEnd w:id="112"/>
      <w:r w:rsidRPr="00C64F3D">
        <w:rPr>
          <w:rStyle w:val="EndnoteReference"/>
          <w:rFonts w:cs="Arial"/>
        </w:rPr>
        <w:endnoteReference w:id="51"/>
      </w:r>
      <w:r w:rsidRPr="00C64F3D">
        <w:t xml:space="preserve"> Even when physicians have accessible equipment, they do not always use it to examine their patients with disabilities.</w:t>
      </w:r>
      <w:r w:rsidRPr="00C64F3D">
        <w:rPr>
          <w:rStyle w:val="EndnoteReference"/>
          <w:rFonts w:cs="Arial"/>
        </w:rPr>
        <w:endnoteReference w:id="52"/>
      </w:r>
      <w:r w:rsidRPr="00C64F3D">
        <w:rPr>
          <w:vertAlign w:val="superscript"/>
        </w:rPr>
        <w:t xml:space="preserve"> </w:t>
      </w:r>
      <w:r w:rsidRPr="00C64F3D">
        <w:t>One wheelchair user informed us that her doctor’s office had an accessible exam</w:t>
      </w:r>
      <w:r>
        <w:t>ination</w:t>
      </w:r>
      <w:r w:rsidRPr="00C64F3D">
        <w:t xml:space="preserve"> table, but the </w:t>
      </w:r>
      <w:proofErr w:type="gramStart"/>
      <w:r w:rsidRPr="00C64F3D">
        <w:t>staff were</w:t>
      </w:r>
      <w:proofErr w:type="gramEnd"/>
      <w:r w:rsidRPr="00C64F3D">
        <w:t xml:space="preserve"> not aware of it. As a result, for several years, she was examined in her chair because the exam</w:t>
      </w:r>
      <w:r>
        <w:t>ination</w:t>
      </w:r>
      <w:r w:rsidRPr="00C64F3D">
        <w:t xml:space="preserve"> tables were too high for her to transfer onto. After lamenting the fact that the exam</w:t>
      </w:r>
      <w:r>
        <w:t>ination</w:t>
      </w:r>
      <w:r w:rsidRPr="00C64F3D">
        <w:t xml:space="preserve"> tables were too high, her doctor recalled that they “might have an adjustable height table,” and, in fact, the office did have one that they rarely used.</w:t>
      </w:r>
    </w:p>
    <w:p w14:paraId="5F618FDE" w14:textId="77777777" w:rsidR="00FC6AD9" w:rsidRPr="00C64F3D" w:rsidRDefault="00FC6AD9" w:rsidP="00D731D6">
      <w:pPr>
        <w:pStyle w:val="NCDBodyText"/>
      </w:pPr>
      <w:r w:rsidRPr="00C64F3D">
        <w:t xml:space="preserve">Furthermore, many </w:t>
      </w:r>
      <w:r>
        <w:t>health care</w:t>
      </w:r>
      <w:r w:rsidRPr="00C64F3D">
        <w:t xml:space="preserve"> facilities lack appropriate lift equipment and staff training to help people with disabilities transfer safely to the standard, inaccessible equipment, placing both patients and staff at risk for injury.</w:t>
      </w:r>
      <w:r w:rsidRPr="00C64F3D">
        <w:rPr>
          <w:rStyle w:val="EndnoteReference"/>
          <w:rFonts w:cs="Arial"/>
        </w:rPr>
        <w:endnoteReference w:id="53"/>
      </w:r>
      <w:r w:rsidRPr="00C64F3D">
        <w:t xml:space="preserve"> The lack of accessible MDE is also stressful for individual patients and can negatively impact emotional and physical health</w:t>
      </w:r>
      <w:r w:rsidRPr="00C64F3D">
        <w:rPr>
          <w:rStyle w:val="EndnoteReference"/>
          <w:rFonts w:cs="Arial"/>
        </w:rPr>
        <w:endnoteReference w:id="54"/>
      </w:r>
      <w:r w:rsidRPr="00C64F3D">
        <w:t xml:space="preserve"> and health-related quality of life and may cause people to forego needed preventive and primary care.</w:t>
      </w:r>
      <w:r w:rsidRPr="00C64F3D">
        <w:rPr>
          <w:rStyle w:val="EndnoteReference"/>
          <w:rFonts w:cs="Arial"/>
        </w:rPr>
        <w:endnoteReference w:id="55"/>
      </w:r>
      <w:r w:rsidRPr="00C64F3D">
        <w:rPr>
          <w:vertAlign w:val="superscript"/>
        </w:rPr>
        <w:t xml:space="preserve"> </w:t>
      </w:r>
      <w:r w:rsidRPr="00C64F3D">
        <w:t>First</w:t>
      </w:r>
      <w:r>
        <w:t>-</w:t>
      </w:r>
      <w:r w:rsidRPr="00C64F3D">
        <w:t>person accounts reinforce these data</w:t>
      </w:r>
      <w:r>
        <w:t>:</w:t>
      </w:r>
    </w:p>
    <w:p w14:paraId="3CD92D83" w14:textId="77777777" w:rsidR="00FC6AD9" w:rsidRPr="00C64F3D" w:rsidRDefault="00FC6AD9" w:rsidP="00D731D6">
      <w:pPr>
        <w:pStyle w:val="NCDExtract"/>
      </w:pPr>
      <w:r w:rsidRPr="00810A1D">
        <w:rPr>
          <w:i/>
        </w:rPr>
        <w:t xml:space="preserve">Even if the medical staff could get me on a standard exam table, I needed extra staff in the room to keep me from falling off the table while being examined because the tables are high and narrow, without side rails. Each experience was frightening and embarrassing for me. After several years of frightening experiences on standard tables, or exams in my wheelchair, I just avoided going to the doctor altogether unless I was very ill. </w:t>
      </w:r>
      <w:r>
        <w:t>(</w:t>
      </w:r>
      <w:r w:rsidRPr="0020460F">
        <w:t>Woman</w:t>
      </w:r>
      <w:r w:rsidRPr="00C64F3D">
        <w:t xml:space="preserve"> with a physical disability</w:t>
      </w:r>
      <w:r>
        <w:t>)</w:t>
      </w:r>
    </w:p>
    <w:p w14:paraId="72B3C9B6" w14:textId="77777777" w:rsidR="00FC6AD9" w:rsidRPr="00C64F3D" w:rsidRDefault="00FC6AD9" w:rsidP="00D731D6">
      <w:pPr>
        <w:pStyle w:val="NCDBodyText"/>
      </w:pPr>
      <w:r w:rsidRPr="00C64F3D">
        <w:t xml:space="preserve">It is important to recognize that the </w:t>
      </w:r>
      <w:bookmarkStart w:id="113" w:name="_Hlk68029517"/>
      <w:r w:rsidRPr="00C64F3D">
        <w:t>safe and effective use of accessible MDE is central to the provision of comprehensive medical care to people with disabilities.</w:t>
      </w:r>
      <w:bookmarkEnd w:id="113"/>
      <w:r w:rsidRPr="00C64F3D">
        <w:t xml:space="preserve"> </w:t>
      </w:r>
      <w:r w:rsidRPr="00C64F3D">
        <w:rPr>
          <w:shd w:val="clear" w:color="auto" w:fill="FFFFFF"/>
        </w:rPr>
        <w:t xml:space="preserve">Despite substantial advancements in medical instrumentation, physical examination remains a valuable diagnostic tool. It is through the physical examination, typically conducted on an examination table, that </w:t>
      </w:r>
      <w:r>
        <w:rPr>
          <w:shd w:val="clear" w:color="auto" w:fill="FFFFFF"/>
        </w:rPr>
        <w:t>health care</w:t>
      </w:r>
      <w:r w:rsidRPr="00C64F3D">
        <w:rPr>
          <w:shd w:val="clear" w:color="auto" w:fill="FFFFFF"/>
        </w:rPr>
        <w:t xml:space="preserve"> providers rapidly assess body structures and functions to develop hypotheses about the nature of </w:t>
      </w:r>
      <w:r>
        <w:rPr>
          <w:shd w:val="clear" w:color="auto" w:fill="FFFFFF"/>
        </w:rPr>
        <w:t xml:space="preserve">the </w:t>
      </w:r>
      <w:r w:rsidRPr="00C64F3D">
        <w:rPr>
          <w:shd w:val="clear" w:color="auto" w:fill="FFFFFF"/>
        </w:rPr>
        <w:t xml:space="preserve">presenting condition, which promotes a more judicious approach to ordering tests leading to diagnosis and treatment recommendations. This, in turn, has the potential to reduce patient risk and </w:t>
      </w:r>
      <w:r>
        <w:rPr>
          <w:shd w:val="clear" w:color="auto" w:fill="FFFFFF"/>
        </w:rPr>
        <w:t>health care</w:t>
      </w:r>
      <w:r w:rsidRPr="00C64F3D">
        <w:rPr>
          <w:shd w:val="clear" w:color="auto" w:fill="FFFFFF"/>
        </w:rPr>
        <w:t xml:space="preserve"> costs. If patients are not transferred to an examination table, when it is clinically appropriate, it may be difficult if not impossible to conduct a comprehensive exam</w:t>
      </w:r>
      <w:r>
        <w:rPr>
          <w:shd w:val="clear" w:color="auto" w:fill="FFFFFF"/>
        </w:rPr>
        <w:t>ination</w:t>
      </w:r>
      <w:r w:rsidRPr="00C64F3D">
        <w:rPr>
          <w:shd w:val="clear" w:color="auto" w:fill="FFFFFF"/>
        </w:rPr>
        <w:t xml:space="preserve">, which may lead to missed or delayed diagnosis. For example, </w:t>
      </w:r>
      <w:r>
        <w:rPr>
          <w:shd w:val="clear" w:color="auto" w:fill="FFFFFF"/>
        </w:rPr>
        <w:t xml:space="preserve">for wheelchair users, </w:t>
      </w:r>
      <w:r w:rsidRPr="00C64F3D">
        <w:rPr>
          <w:shd w:val="clear" w:color="auto" w:fill="FFFFFF"/>
        </w:rPr>
        <w:t xml:space="preserve">development of pressure sores is a major risk that can lead to </w:t>
      </w:r>
      <w:r>
        <w:rPr>
          <w:shd w:val="clear" w:color="auto" w:fill="FFFFFF"/>
        </w:rPr>
        <w:t xml:space="preserve">a </w:t>
      </w:r>
      <w:r w:rsidRPr="00C64F3D">
        <w:rPr>
          <w:shd w:val="clear" w:color="auto" w:fill="FFFFFF"/>
        </w:rPr>
        <w:t>cascade of serious medical complications. When patients are examined in their wheelchairs instead of on an exam</w:t>
      </w:r>
      <w:r>
        <w:rPr>
          <w:shd w:val="clear" w:color="auto" w:fill="FFFFFF"/>
        </w:rPr>
        <w:t>ination</w:t>
      </w:r>
      <w:r w:rsidRPr="00C64F3D">
        <w:rPr>
          <w:shd w:val="clear" w:color="auto" w:fill="FFFFFF"/>
        </w:rPr>
        <w:t xml:space="preserve"> table when clinically appropriate, it limits providers’ ability to visually inspect the skin and identify pressure sores. Similarly, women with disabilities have reported that the inability to transfer to fixed height examination tables limits their access to preventative cancer screenings, like Pap tests</w:t>
      </w:r>
      <w:r>
        <w:rPr>
          <w:shd w:val="clear" w:color="auto" w:fill="FFFFFF"/>
        </w:rPr>
        <w:t>:</w:t>
      </w:r>
    </w:p>
    <w:p w14:paraId="764E4420" w14:textId="77777777" w:rsidR="00FC6AD9" w:rsidRPr="00115588" w:rsidRDefault="00FC6AD9" w:rsidP="00D731D6">
      <w:pPr>
        <w:pStyle w:val="NCDExtract"/>
      </w:pPr>
      <w:r w:rsidRPr="00810A1D">
        <w:rPr>
          <w:i/>
        </w:rPr>
        <w:t xml:space="preserve">Tables are so high. So, I couldn’t do it [transfer to a fixed height exam table]. I told my doctor I couldn’t do it, and he was like okay and that was that. And so I went like 5 years without a Pap smear or a mammogram … He tried to do it sitting in my wheelchair, but I said no.” </w:t>
      </w:r>
      <w:r>
        <w:t>(</w:t>
      </w:r>
      <w:r w:rsidRPr="00115588">
        <w:t>Woman</w:t>
      </w:r>
      <w:r w:rsidRPr="00810A1D">
        <w:rPr>
          <w:i/>
        </w:rPr>
        <w:t xml:space="preserve"> </w:t>
      </w:r>
      <w:r w:rsidRPr="00115588">
        <w:t>with a physical disability</w:t>
      </w:r>
      <w:r>
        <w:t>)</w:t>
      </w:r>
    </w:p>
    <w:p w14:paraId="339866F4" w14:textId="77777777" w:rsidR="00FC6AD9" w:rsidRPr="00C64F3D" w:rsidRDefault="00FC6AD9" w:rsidP="00D731D6">
      <w:pPr>
        <w:pStyle w:val="NCDBodyText"/>
      </w:pPr>
      <w:r w:rsidRPr="00C64F3D">
        <w:t xml:space="preserve">Body weight measurement is </w:t>
      </w:r>
      <w:r>
        <w:t xml:space="preserve">an </w:t>
      </w:r>
      <w:r w:rsidRPr="00C64F3D">
        <w:t>important clinical indicator that is used to track nutritional status and prescribe appropriate dosage of a large number of medications. Rapid changes in weight (both weight gain and weight loss) can be indications of serious medical conditions</w:t>
      </w:r>
      <w:r>
        <w:t>,</w:t>
      </w:r>
      <w:r w:rsidRPr="00C64F3D">
        <w:t xml:space="preserve"> such as cancer, heart failure, depression</w:t>
      </w:r>
      <w:r>
        <w:t>,</w:t>
      </w:r>
      <w:r w:rsidRPr="00C64F3D">
        <w:t xml:space="preserve"> and dementia. While statistics vary by study design, </w:t>
      </w:r>
      <w:bookmarkStart w:id="114" w:name="_Hlk68029625"/>
      <w:r w:rsidRPr="00C64F3D">
        <w:t>research clearly indicates that people with disabilities are significantly less likely to be weighed as part of routine care than their nondisabled peers</w:t>
      </w:r>
      <w:bookmarkEnd w:id="114"/>
      <w:r w:rsidRPr="00C64F3D">
        <w:t>. In the absence of accessible weight</w:t>
      </w:r>
      <w:r>
        <w:t xml:space="preserve"> </w:t>
      </w:r>
      <w:r w:rsidRPr="00C64F3D">
        <w:t xml:space="preserve">scales, people with disabilities are not weighed, </w:t>
      </w:r>
      <w:r>
        <w:t xml:space="preserve">are </w:t>
      </w:r>
      <w:r w:rsidRPr="00C64F3D">
        <w:t xml:space="preserve">asked to self-report their weight, and in some cases </w:t>
      </w:r>
      <w:r>
        <w:t>are asked to go</w:t>
      </w:r>
      <w:r w:rsidRPr="00C64F3D">
        <w:t xml:space="preserve"> to other locations within a </w:t>
      </w:r>
      <w:r>
        <w:t>health care</w:t>
      </w:r>
      <w:r w:rsidRPr="00C64F3D">
        <w:t xml:space="preserve"> facility or community to be weighed. A representative of a major managed care organization described scenarios from across the country </w:t>
      </w:r>
      <w:r>
        <w:t>in which</w:t>
      </w:r>
      <w:r w:rsidRPr="00C64F3D">
        <w:t xml:space="preserve"> people with disabilities were weighed on scales designed for freight and even livestock</w:t>
      </w:r>
      <w:r>
        <w:t>:</w:t>
      </w:r>
    </w:p>
    <w:p w14:paraId="78B264B2" w14:textId="77777777" w:rsidR="00FC6AD9" w:rsidRPr="004E1594" w:rsidRDefault="00FC6AD9" w:rsidP="004E1594">
      <w:pPr>
        <w:pStyle w:val="NCDExtract"/>
      </w:pPr>
      <w:r w:rsidRPr="00810A1D">
        <w:rPr>
          <w:i/>
        </w:rPr>
        <w:t xml:space="preserve">In New Mexico, we heard a story of a doctor’s office that had made a member go down to the zoo to get weighed because they didn’t have an accessible weight scale, and [the] same thing in Ohio, except they made them go down to the local loading dock. </w:t>
      </w:r>
      <w:r w:rsidRPr="004E1594">
        <w:t>(Representative from managed care organization)</w:t>
      </w:r>
    </w:p>
    <w:p w14:paraId="6ECDFA7F" w14:textId="77777777" w:rsidR="00FC6AD9" w:rsidRPr="00C64F3D" w:rsidRDefault="00FC6AD9" w:rsidP="00D731D6">
      <w:pPr>
        <w:pStyle w:val="NCDBodyText"/>
        <w:rPr>
          <w:shd w:val="clear" w:color="auto" w:fill="FFFFFF"/>
        </w:rPr>
      </w:pPr>
      <w:r w:rsidRPr="00C64F3D">
        <w:rPr>
          <w:shd w:val="clear" w:color="auto" w:fill="FFFFFF"/>
        </w:rPr>
        <w:t xml:space="preserve">The </w:t>
      </w:r>
      <w:bookmarkStart w:id="115" w:name="_Hlk65187181"/>
      <w:r w:rsidRPr="00C64F3D">
        <w:rPr>
          <w:shd w:val="clear" w:color="auto" w:fill="FFFFFF"/>
        </w:rPr>
        <w:t xml:space="preserve">U.S. Preventive Services Task Force </w:t>
      </w:r>
      <w:bookmarkEnd w:id="115"/>
      <w:r w:rsidRPr="00C64F3D">
        <w:rPr>
          <w:shd w:val="clear" w:color="auto" w:fill="FFFFFF"/>
        </w:rPr>
        <w:t>recommends biennial screening mammography for women aged 50</w:t>
      </w:r>
      <w:r>
        <w:rPr>
          <w:shd w:val="clear" w:color="auto" w:fill="FFFFFF"/>
        </w:rPr>
        <w:t>–</w:t>
      </w:r>
      <w:r w:rsidRPr="00C64F3D">
        <w:rPr>
          <w:shd w:val="clear" w:color="auto" w:fill="FFFFFF"/>
        </w:rPr>
        <w:t>74 years.</w:t>
      </w:r>
      <w:r w:rsidRPr="00C64F3D">
        <w:rPr>
          <w:rStyle w:val="EndnoteReference"/>
          <w:rFonts w:cs="Arial"/>
          <w:shd w:val="clear" w:color="auto" w:fill="FFFFFF"/>
        </w:rPr>
        <w:endnoteReference w:id="56"/>
      </w:r>
      <w:r w:rsidRPr="00C64F3D">
        <w:rPr>
          <w:shd w:val="clear" w:color="auto" w:fill="FFFFFF"/>
        </w:rPr>
        <w:t xml:space="preserve"> Early detection of breast cancer through screening mammography is associated with a reduction in breast cancer deaths among women ages 40</w:t>
      </w:r>
      <w:r>
        <w:rPr>
          <w:shd w:val="clear" w:color="auto" w:fill="FFFFFF"/>
        </w:rPr>
        <w:t>–</w:t>
      </w:r>
      <w:r w:rsidRPr="00C64F3D">
        <w:rPr>
          <w:shd w:val="clear" w:color="auto" w:fill="FFFFFF"/>
        </w:rPr>
        <w:t>69 years</w:t>
      </w:r>
      <w:r>
        <w:rPr>
          <w:shd w:val="clear" w:color="auto" w:fill="FFFFFF"/>
        </w:rPr>
        <w:t>,</w:t>
      </w:r>
      <w:r w:rsidRPr="00C64F3D">
        <w:rPr>
          <w:shd w:val="clear" w:color="auto" w:fill="FFFFFF"/>
        </w:rPr>
        <w:t xml:space="preserve"> yet women with disabilities have not accessed such tests on par with nondisabled women. Inaccessible mammography machines have been identified as an important contributor to low screening rates among women with disabilities</w:t>
      </w:r>
      <w:r>
        <w:rPr>
          <w:shd w:val="clear" w:color="auto" w:fill="FFFFFF"/>
        </w:rPr>
        <w:t>,</w:t>
      </w:r>
      <w:r w:rsidRPr="00C64F3D">
        <w:rPr>
          <w:shd w:val="clear" w:color="auto" w:fill="FFFFFF"/>
        </w:rPr>
        <w:t xml:space="preserve"> and women with more complex disabilities were even less likely to be screened. </w:t>
      </w:r>
    </w:p>
    <w:p w14:paraId="6F0FC14F" w14:textId="77777777" w:rsidR="00FC6AD9" w:rsidRPr="00C64F3D" w:rsidRDefault="00FC6AD9" w:rsidP="00D731D6">
      <w:pPr>
        <w:pStyle w:val="NCDExtract"/>
        <w:rPr>
          <w:rFonts w:eastAsia="MinionPro-Regular"/>
          <w:vertAlign w:val="superscript"/>
        </w:rPr>
      </w:pPr>
      <w:r w:rsidRPr="00810A1D">
        <w:rPr>
          <w:i/>
        </w:rPr>
        <w:t xml:space="preserve">It’s very difficult when you are sitting down to get an accurate reading.… It takes three people to position me … to be </w:t>
      </w:r>
      <w:proofErr w:type="gramStart"/>
      <w:r w:rsidRPr="00810A1D">
        <w:rPr>
          <w:i/>
        </w:rPr>
        <w:t>honest,</w:t>
      </w:r>
      <w:proofErr w:type="gramEnd"/>
      <w:r w:rsidRPr="00810A1D">
        <w:rPr>
          <w:i/>
        </w:rPr>
        <w:t xml:space="preserve"> it’s a bit degrading.… This past year I was diagnosed with breast cancer. I felt it myself. Actually, my last mammogram did not yield anything … [then] like three or so months after that mammogram … I was diagnosed with Stage II invasive ductal carcinoma—very rapid growing.… They never did know if the mammogram didn’t pick it up or what.… It’s just a very difficult process trying to manipulate and get an accurate reading. </w:t>
      </w:r>
      <w:r>
        <w:t>(</w:t>
      </w:r>
      <w:r w:rsidRPr="00C64F3D">
        <w:rPr>
          <w:rFonts w:eastAsia="MinionPro-Regular"/>
        </w:rPr>
        <w:t>Woman with a physical disability and breast cancer</w:t>
      </w:r>
      <w:r>
        <w:rPr>
          <w:rFonts w:eastAsia="MinionPro-Regular"/>
        </w:rPr>
        <w:t>)</w:t>
      </w:r>
      <w:r w:rsidRPr="00C64F3D">
        <w:rPr>
          <w:rStyle w:val="EndnoteReference"/>
          <w:rFonts w:eastAsia="MinionPro-Regular"/>
        </w:rPr>
        <w:endnoteReference w:id="57"/>
      </w:r>
    </w:p>
    <w:p w14:paraId="4A77F88C" w14:textId="77777777" w:rsidR="00FC6AD9" w:rsidRPr="00C64F3D" w:rsidRDefault="00FC6AD9" w:rsidP="00D731D6">
      <w:pPr>
        <w:pStyle w:val="NCDBodyText"/>
      </w:pPr>
      <w:r w:rsidRPr="00C64F3D">
        <w:t xml:space="preserve">These passages highlight the important role that access to appropriate accessible MDE has on </w:t>
      </w:r>
      <w:r>
        <w:t>health care</w:t>
      </w:r>
      <w:r w:rsidRPr="00C64F3D">
        <w:t xml:space="preserve"> access, quality</w:t>
      </w:r>
      <w:r>
        <w:t>,</w:t>
      </w:r>
      <w:r w:rsidRPr="00C64F3D">
        <w:t xml:space="preserve"> and outcomes. They represent a small subset of the qualitative data and first-person narratives that speak to the importance of accessible MDE.</w:t>
      </w:r>
    </w:p>
    <w:p w14:paraId="7786EEA5" w14:textId="77777777" w:rsidR="00FC6AD9" w:rsidRPr="00C64F3D" w:rsidRDefault="00FC6AD9" w:rsidP="00D731D6">
      <w:pPr>
        <w:pStyle w:val="Heading2"/>
        <w:rPr>
          <w:rFonts w:eastAsia="MinionPro-Regular"/>
        </w:rPr>
      </w:pPr>
      <w:bookmarkStart w:id="116" w:name="_Toc69374208"/>
      <w:r w:rsidRPr="00C64F3D">
        <w:rPr>
          <w:rFonts w:eastAsia="MinionPro-Regular"/>
        </w:rPr>
        <w:t>Provider Safety and Safe Patient Handling Initiatives</w:t>
      </w:r>
      <w:bookmarkEnd w:id="116"/>
    </w:p>
    <w:p w14:paraId="0E7E1D57" w14:textId="77777777" w:rsidR="00FC6AD9" w:rsidRPr="00C64F3D" w:rsidRDefault="00FC6AD9" w:rsidP="00D731D6">
      <w:pPr>
        <w:pStyle w:val="NCDBodyText"/>
        <w:rPr>
          <w:shd w:val="clear" w:color="auto" w:fill="FFFFFF"/>
        </w:rPr>
      </w:pPr>
      <w:r>
        <w:t>T</w:t>
      </w:r>
      <w:r w:rsidRPr="00C64F3D">
        <w:t xml:space="preserve">he availability and appropriate use of accessible MDE </w:t>
      </w:r>
      <w:r>
        <w:t xml:space="preserve">are not only </w:t>
      </w:r>
      <w:r w:rsidRPr="00C64F3D">
        <w:t xml:space="preserve">related to quality of care to patients with disabilities, </w:t>
      </w:r>
      <w:r>
        <w:t>they</w:t>
      </w:r>
      <w:r w:rsidRPr="00C64F3D">
        <w:t xml:space="preserve"> also impact the occupational health and safety of </w:t>
      </w:r>
      <w:r>
        <w:t>health care</w:t>
      </w:r>
      <w:r w:rsidRPr="00C64F3D">
        <w:t xml:space="preserve"> workers, especially nurses and nursing assistants. </w:t>
      </w:r>
      <w:bookmarkStart w:id="117" w:name="_Hlk68029749"/>
      <w:r w:rsidRPr="00C64F3D">
        <w:rPr>
          <w:shd w:val="clear" w:color="auto" w:fill="FFFFFF"/>
        </w:rPr>
        <w:t>A</w:t>
      </w:r>
      <w:r w:rsidRPr="00C64F3D">
        <w:t xml:space="preserve"> growing body of research has demonstrated a relationship between musculoskeletal injuries, worker compensation claims, and safe patient handling, due in part to the overreliance on manual transfers to inaccessible equipment. </w:t>
      </w:r>
      <w:bookmarkEnd w:id="117"/>
      <w:r w:rsidRPr="00C64F3D">
        <w:t xml:space="preserve">Inaccessible equipment leads </w:t>
      </w:r>
      <w:r>
        <w:t>health care</w:t>
      </w:r>
      <w:r w:rsidRPr="00C64F3D">
        <w:t xml:space="preserve"> workers to use awkward body postures and poor ergonomics</w:t>
      </w:r>
      <w:r>
        <w:t xml:space="preserve"> that</w:t>
      </w:r>
      <w:r w:rsidRPr="00C64F3D">
        <w:t xml:space="preserve"> heighten the risk of injury. Workforce issues like high patient</w:t>
      </w:r>
      <w:r>
        <w:t>-</w:t>
      </w:r>
      <w:r w:rsidRPr="00C64F3D">
        <w:t>to</w:t>
      </w:r>
      <w:r>
        <w:t>-</w:t>
      </w:r>
      <w:r w:rsidRPr="00C64F3D">
        <w:t>staff ratios and organizational cultures that prioritize efficiency and productivity over safety can further increase the injury risk.</w:t>
      </w:r>
      <w:r w:rsidRPr="00C64F3D">
        <w:rPr>
          <w:rStyle w:val="EndnoteReference"/>
          <w:rFonts w:cs="Arial"/>
        </w:rPr>
        <w:endnoteReference w:id="58"/>
      </w:r>
      <w:r w:rsidRPr="00C64F3D">
        <w:t xml:space="preserve"> In a vicious cycle, musculoskeletal injuries among </w:t>
      </w:r>
      <w:r>
        <w:t>health care</w:t>
      </w:r>
      <w:r w:rsidRPr="00C64F3D">
        <w:t xml:space="preserve"> workers can also create a greater risk of injury to patients, as </w:t>
      </w:r>
      <w:r>
        <w:t>health care</w:t>
      </w:r>
      <w:r w:rsidRPr="00C64F3D">
        <w:t xml:space="preserve"> providers who are experiencing pain and decreased mobility may use unsafe practices that result in patients being mishandled or injured. Nursing (including registered nurses, licensed practical nurses, and nursing assistants) has been identified as the </w:t>
      </w:r>
      <w:r w:rsidRPr="00C64F3D">
        <w:rPr>
          <w:shd w:val="clear" w:color="auto" w:fill="FFFFFF"/>
        </w:rPr>
        <w:t>most dangerous occupation for disabling back injury</w:t>
      </w:r>
      <w:r>
        <w:rPr>
          <w:shd w:val="clear" w:color="auto" w:fill="FFFFFF"/>
        </w:rPr>
        <w:t>,</w:t>
      </w:r>
      <w:r w:rsidRPr="00C64F3D">
        <w:rPr>
          <w:shd w:val="clear" w:color="auto" w:fill="FFFFFF"/>
        </w:rPr>
        <w:t xml:space="preserve"> and estimates suggest that up to 12</w:t>
      </w:r>
      <w:r>
        <w:rPr>
          <w:shd w:val="clear" w:color="auto" w:fill="FFFFFF"/>
        </w:rPr>
        <w:t xml:space="preserve"> percent</w:t>
      </w:r>
      <w:r w:rsidRPr="00C64F3D">
        <w:rPr>
          <w:shd w:val="clear" w:color="auto" w:fill="FFFFFF"/>
        </w:rPr>
        <w:t xml:space="preserve"> of nurses leave the profession due to back injuries.</w:t>
      </w:r>
      <w:r w:rsidRPr="00C64F3D">
        <w:rPr>
          <w:rStyle w:val="EndnoteReference"/>
          <w:rFonts w:cs="Arial"/>
          <w:shd w:val="clear" w:color="auto" w:fill="FFFFFF"/>
        </w:rPr>
        <w:endnoteReference w:id="59"/>
      </w:r>
      <w:r w:rsidRPr="00C64F3D">
        <w:rPr>
          <w:shd w:val="clear" w:color="auto" w:fill="FFFFFF"/>
        </w:rPr>
        <w:t xml:space="preserve"> </w:t>
      </w:r>
    </w:p>
    <w:p w14:paraId="17384D94" w14:textId="77777777" w:rsidR="00FC6AD9" w:rsidRPr="00C64F3D" w:rsidRDefault="00FC6AD9" w:rsidP="00D731D6">
      <w:pPr>
        <w:pStyle w:val="NCDBodyText"/>
        <w:rPr>
          <w:rFonts w:eastAsia="Times New Roman"/>
        </w:rPr>
      </w:pPr>
      <w:bookmarkStart w:id="118" w:name="_Hlk68030049"/>
      <w:r w:rsidRPr="00C64F3D">
        <w:rPr>
          <w:shd w:val="clear" w:color="auto" w:fill="FFFFFF"/>
        </w:rPr>
        <w:t>In 2005, in an effort to mitigate the risk of back injuries, Texas became the first state to enact Safe Patient Handling legislation. Subsequently</w:t>
      </w:r>
      <w:r>
        <w:rPr>
          <w:shd w:val="clear" w:color="auto" w:fill="FFFFFF"/>
        </w:rPr>
        <w:t>,</w:t>
      </w:r>
      <w:r w:rsidRPr="00C64F3D">
        <w:rPr>
          <w:shd w:val="clear" w:color="auto" w:fill="FFFFFF"/>
        </w:rPr>
        <w:t xml:space="preserve"> 1</w:t>
      </w:r>
      <w:r>
        <w:rPr>
          <w:shd w:val="clear" w:color="auto" w:fill="FFFFFF"/>
        </w:rPr>
        <w:t>0</w:t>
      </w:r>
      <w:r w:rsidRPr="00C64F3D">
        <w:rPr>
          <w:shd w:val="clear" w:color="auto" w:fill="FFFFFF"/>
        </w:rPr>
        <w:t xml:space="preserve"> states—including</w:t>
      </w:r>
      <w:r>
        <w:rPr>
          <w:shd w:val="clear" w:color="auto" w:fill="FFFFFF"/>
        </w:rPr>
        <w:t xml:space="preserve"> </w:t>
      </w:r>
      <w:r w:rsidRPr="00C64F3D">
        <w:rPr>
          <w:shd w:val="clear" w:color="auto" w:fill="FFFFFF"/>
        </w:rPr>
        <w:t>New York, Ohio, Washington, Rhode Island, Hawaii, Minnesota, Maryland, New Jersey, Illinois, and California—have passed safe patient handling laws.</w:t>
      </w:r>
      <w:r>
        <w:rPr>
          <w:shd w:val="clear" w:color="auto" w:fill="FFFFFF"/>
        </w:rPr>
        <w:t xml:space="preserve"> </w:t>
      </w:r>
      <w:r w:rsidRPr="00C64F3D">
        <w:rPr>
          <w:shd w:val="clear" w:color="auto" w:fill="FFFFFF"/>
        </w:rPr>
        <w:t>While the specifics of these laws vary by state, key features include written safe handling policies, accessible examination equipment, mechanical lifts, and trained transfer teams. Some states, such as Illinois, also include provisions to afford choice and control to patients to preserve their dignity and safety in all transfers.</w:t>
      </w:r>
      <w:r>
        <w:rPr>
          <w:shd w:val="clear" w:color="auto" w:fill="FFFFFF"/>
        </w:rPr>
        <w:t xml:space="preserve"> </w:t>
      </w:r>
      <w:r w:rsidRPr="00C64F3D">
        <w:rPr>
          <w:shd w:val="clear" w:color="auto" w:fill="FFFFFF"/>
        </w:rPr>
        <w:t xml:space="preserve">To date, no federal law mandates safe patient handling procedures. </w:t>
      </w:r>
      <w:bookmarkEnd w:id="118"/>
      <w:r w:rsidRPr="00C64F3D">
        <w:rPr>
          <w:shd w:val="clear" w:color="auto" w:fill="FFFFFF"/>
        </w:rPr>
        <w:t>The last attempt at federal legislation was in December 2015 when parallel bills called the Nurse and Health Care Worker Protection Act of 2015 were introduced in the House</w:t>
      </w:r>
      <w:r w:rsidRPr="00C64F3D">
        <w:rPr>
          <w:rStyle w:val="EndnoteReference"/>
          <w:rFonts w:cs="Arial"/>
          <w:shd w:val="clear" w:color="auto" w:fill="FFFFFF"/>
        </w:rPr>
        <w:endnoteReference w:id="60"/>
      </w:r>
      <w:r w:rsidRPr="00C64F3D">
        <w:rPr>
          <w:shd w:val="clear" w:color="auto" w:fill="FFFFFF"/>
        </w:rPr>
        <w:t xml:space="preserve"> and Senate.</w:t>
      </w:r>
      <w:r w:rsidRPr="00C64F3D">
        <w:rPr>
          <w:rStyle w:val="EndnoteReference"/>
          <w:rFonts w:cs="Arial"/>
          <w:shd w:val="clear" w:color="auto" w:fill="FFFFFF"/>
        </w:rPr>
        <w:endnoteReference w:id="61"/>
      </w:r>
      <w:r w:rsidRPr="00C64F3D">
        <w:rPr>
          <w:rFonts w:eastAsia="Times New Roman"/>
          <w:bdr w:val="none" w:sz="0" w:space="0" w:color="auto" w:frame="1"/>
        </w:rPr>
        <w:t xml:space="preserve"> As of November 2020, no Congressional Budget Office (CBO) </w:t>
      </w:r>
      <w:r>
        <w:rPr>
          <w:rFonts w:eastAsia="Times New Roman"/>
          <w:bdr w:val="none" w:sz="0" w:space="0" w:color="auto" w:frame="1"/>
        </w:rPr>
        <w:t>c</w:t>
      </w:r>
      <w:r w:rsidRPr="00C64F3D">
        <w:rPr>
          <w:rFonts w:eastAsia="Times New Roman"/>
          <w:bdr w:val="none" w:sz="0" w:space="0" w:color="auto" w:frame="1"/>
        </w:rPr>
        <w:t xml:space="preserve">ost </w:t>
      </w:r>
      <w:r>
        <w:rPr>
          <w:rFonts w:eastAsia="Times New Roman"/>
          <w:bdr w:val="none" w:sz="0" w:space="0" w:color="auto" w:frame="1"/>
        </w:rPr>
        <w:t>e</w:t>
      </w:r>
      <w:r w:rsidRPr="00C64F3D">
        <w:rPr>
          <w:rFonts w:eastAsia="Times New Roman"/>
          <w:bdr w:val="none" w:sz="0" w:space="0" w:color="auto" w:frame="1"/>
        </w:rPr>
        <w:t>stimate was received for these bills.</w:t>
      </w:r>
    </w:p>
    <w:p w14:paraId="6604D85E" w14:textId="77777777" w:rsidR="00FC6AD9" w:rsidRPr="00C64F3D" w:rsidRDefault="00FC6AD9" w:rsidP="00D731D6">
      <w:pPr>
        <w:pStyle w:val="NCDBodyText"/>
      </w:pPr>
      <w:r w:rsidRPr="00C64F3D">
        <w:rPr>
          <w:shd w:val="clear" w:color="auto" w:fill="FFFFFF"/>
        </w:rPr>
        <w:t>There is a growing body of research examining the impact of state safe patient handling initiatives on workplace injuries and worker compensation claims.</w:t>
      </w:r>
      <w:r w:rsidRPr="00C64F3D">
        <w:rPr>
          <w:rStyle w:val="EndnoteReference"/>
          <w:rFonts w:cs="Arial"/>
          <w:shd w:val="clear" w:color="auto" w:fill="FFFFFF"/>
        </w:rPr>
        <w:endnoteReference w:id="62"/>
      </w:r>
      <w:r w:rsidRPr="00C64F3D">
        <w:rPr>
          <w:shd w:val="clear" w:color="auto" w:fill="FFFFFF"/>
        </w:rPr>
        <w:t xml:space="preserve"> For example,</w:t>
      </w:r>
      <w:r w:rsidRPr="00C64F3D">
        <w:t xml:space="preserve"> an observational study of a </w:t>
      </w:r>
      <w:r>
        <w:t>s</w:t>
      </w:r>
      <w:r w:rsidRPr="00C64F3D">
        <w:t xml:space="preserve">afe </w:t>
      </w:r>
      <w:r>
        <w:t>p</w:t>
      </w:r>
      <w:r w:rsidRPr="00C64F3D">
        <w:t xml:space="preserve">atient </w:t>
      </w:r>
      <w:r>
        <w:t>h</w:t>
      </w:r>
      <w:r w:rsidRPr="00C64F3D">
        <w:t>andling program in the Veterans</w:t>
      </w:r>
      <w:r>
        <w:t>’</w:t>
      </w:r>
      <w:r w:rsidRPr="00C64F3D">
        <w:t xml:space="preserve"> Health Administration </w:t>
      </w:r>
      <w:r>
        <w:t xml:space="preserve">(VHA) </w:t>
      </w:r>
      <w:r w:rsidRPr="00C64F3D">
        <w:t>found that it decreased the incidence and severity of worker injuries and resulted in net benefits of $200,000 per year.</w:t>
      </w:r>
      <w:r w:rsidRPr="00C64F3D">
        <w:rPr>
          <w:rStyle w:val="EndnoteReference"/>
          <w:rFonts w:cs="Arial"/>
        </w:rPr>
        <w:endnoteReference w:id="63"/>
      </w:r>
      <w:r w:rsidRPr="00C64F3D">
        <w:t xml:space="preserve"> </w:t>
      </w:r>
      <w:bookmarkStart w:id="119" w:name="_Hlk68030179"/>
      <w:r w:rsidRPr="00C64F3D">
        <w:t>The payback period of the initial investment in patient handling equipment was 4.3 years.</w:t>
      </w:r>
      <w:bookmarkEnd w:id="119"/>
      <w:r w:rsidRPr="00C64F3D">
        <w:rPr>
          <w:rStyle w:val="EndnoteReference"/>
          <w:rFonts w:cs="Arial"/>
        </w:rPr>
        <w:endnoteReference w:id="64"/>
      </w:r>
      <w:r w:rsidRPr="00C64F3D">
        <w:t xml:space="preserve"> Similarly, a 2013 study in the </w:t>
      </w:r>
      <w:r w:rsidRPr="00810A1D">
        <w:rPr>
          <w:i/>
          <w:iCs/>
        </w:rPr>
        <w:t>American Journal of Industrial Medicine</w:t>
      </w:r>
      <w:r w:rsidRPr="00C64F3D">
        <w:t xml:space="preserve"> evaluated the economic impact of implementing a safe handling program in 110 skilled nursing facilities using program implementation costs, worker</w:t>
      </w:r>
      <w:r>
        <w:t>s’</w:t>
      </w:r>
      <w:r w:rsidRPr="00C64F3D">
        <w:t xml:space="preserve"> compensation claims, and turnover rates.</w:t>
      </w:r>
      <w:r w:rsidRPr="00C64F3D">
        <w:rPr>
          <w:rStyle w:val="EndnoteReference"/>
          <w:rFonts w:cs="Arial"/>
        </w:rPr>
        <w:endnoteReference w:id="65"/>
      </w:r>
      <w:r w:rsidRPr="00C64F3D">
        <w:rPr>
          <w:vertAlign w:val="superscript"/>
        </w:rPr>
        <w:t xml:space="preserve"> </w:t>
      </w:r>
      <w:r w:rsidRPr="00C64F3D">
        <w:t xml:space="preserve">These studies demonstrate that programs that emphasize a culture of safety and access can have widespread benefits for patients, providers, and health systems. As such, </w:t>
      </w:r>
      <w:bookmarkStart w:id="120" w:name="_Hlk68030204"/>
      <w:r w:rsidRPr="00C64F3D">
        <w:t>safe patient handling and mobility</w:t>
      </w:r>
      <w:r>
        <w:t xml:space="preserve"> (SPHM)</w:t>
      </w:r>
      <w:r w:rsidRPr="00C64F3D">
        <w:t xml:space="preserve"> initiatives can serve as an exemplar for the cultur</w:t>
      </w:r>
      <w:r>
        <w:t>al</w:t>
      </w:r>
      <w:r w:rsidRPr="00C64F3D">
        <w:t xml:space="preserve"> change necessary for the routine provision and appropriate use of accessible MDE across practice settings. </w:t>
      </w:r>
      <w:bookmarkEnd w:id="120"/>
    </w:p>
    <w:p w14:paraId="1FB3D27A" w14:textId="77777777" w:rsidR="00FC6AD9" w:rsidRDefault="00FC6AD9" w:rsidP="00D731D6">
      <w:pPr>
        <w:pStyle w:val="NCDBodyText"/>
      </w:pPr>
      <w:r w:rsidRPr="00C64F3D">
        <w:t xml:space="preserve">The time for action on the adoption of the Access Board’s MDE Standards is now. Existing civil rights laws provide federal enforcing authorities the power to adopt the MDE Standards and make their use mandatory for entities subject to their jurisdiction. Given the persistence of barriers to </w:t>
      </w:r>
      <w:r>
        <w:t>health care</w:t>
      </w:r>
      <w:r w:rsidRPr="00C64F3D">
        <w:t xml:space="preserve"> access, </w:t>
      </w:r>
      <w:proofErr w:type="gramStart"/>
      <w:r w:rsidRPr="00C64F3D">
        <w:t>quality, and outcomes experienced by millions of Americans with disabilities, enforcing agencies, like DOJ and HHS, have</w:t>
      </w:r>
      <w:proofErr w:type="gramEnd"/>
      <w:r w:rsidRPr="00C64F3D">
        <w:t xml:space="preserve"> the authority and obligation to ensure that the guarantee of equal access is realized across </w:t>
      </w:r>
      <w:r>
        <w:t>health care</w:t>
      </w:r>
      <w:r w:rsidRPr="00C64F3D">
        <w:t xml:space="preserve"> settings.</w:t>
      </w:r>
    </w:p>
    <w:p w14:paraId="4A255649" w14:textId="586E6F61" w:rsidR="00FC6AD9" w:rsidRPr="00D731D6" w:rsidRDefault="00FC6AD9" w:rsidP="00D731D6">
      <w:pPr>
        <w:pStyle w:val="Heading1"/>
      </w:pPr>
      <w:bookmarkStart w:id="121" w:name="_Toc53469357"/>
      <w:bookmarkStart w:id="122" w:name="_Toc65342167"/>
      <w:bookmarkStart w:id="123" w:name="_Toc69374209"/>
      <w:r w:rsidRPr="00D731D6">
        <w:t>Chapter 1: Policy Background</w:t>
      </w:r>
      <w:bookmarkEnd w:id="121"/>
      <w:bookmarkEnd w:id="122"/>
      <w:bookmarkEnd w:id="123"/>
      <w:r w:rsidRPr="00D731D6">
        <w:t xml:space="preserve"> </w:t>
      </w:r>
    </w:p>
    <w:p w14:paraId="156C19BF" w14:textId="77777777" w:rsidR="00FC6AD9" w:rsidRPr="00C64F3D" w:rsidRDefault="00FC6AD9" w:rsidP="00D731D6">
      <w:pPr>
        <w:pStyle w:val="NCDBodyText"/>
        <w:rPr>
          <w:rFonts w:eastAsia="Times New Roman"/>
        </w:rPr>
      </w:pPr>
      <w:r w:rsidRPr="00C64F3D">
        <w:t>A long history of research, advocacy</w:t>
      </w:r>
      <w:r>
        <w:t>,</w:t>
      </w:r>
      <w:r w:rsidRPr="00C64F3D">
        <w:t xml:space="preserve"> and policy lays the foundation for both the development of the accessible MDE Standards and a pathway to transition the accessible MDE Standards from guiding principles to mandatory enforceable regulations. In this chapter, we provide an overview of foundational studies, key initiatives, and legal developments that have advanced and stymied widespread adoption of accessible MDE across clinical practice settings. </w:t>
      </w:r>
    </w:p>
    <w:p w14:paraId="6F246516" w14:textId="77777777" w:rsidR="00FC6AD9" w:rsidRPr="00C64F3D" w:rsidRDefault="00FC6AD9" w:rsidP="00D731D6">
      <w:pPr>
        <w:pStyle w:val="NCDBodyText"/>
      </w:pPr>
      <w:r w:rsidRPr="00C64F3D">
        <w:t>In 2005, the Rehabilitation Engineering Research Center on Accessible Medical Instrumentation (RERC-AMI) released the results of a national study about the types of medical equipment that were most difficult for patients with disabilities to use and the causes for such difficulties.</w:t>
      </w:r>
      <w:r w:rsidRPr="00C64F3D">
        <w:rPr>
          <w:rStyle w:val="EndnoteReference"/>
          <w:rFonts w:eastAsia="Times New Roman" w:cs="Arial"/>
        </w:rPr>
        <w:endnoteReference w:id="66"/>
      </w:r>
      <w:r w:rsidRPr="00C64F3D">
        <w:t xml:space="preserve"> The survey results revealed that </w:t>
      </w:r>
      <w:bookmarkStart w:id="124" w:name="_Hlk68030314"/>
      <w:r w:rsidRPr="00C64F3D">
        <w:t>exam</w:t>
      </w:r>
      <w:r>
        <w:t>ination</w:t>
      </w:r>
      <w:r w:rsidRPr="00C64F3D">
        <w:t xml:space="preserve"> tables, </w:t>
      </w:r>
      <w:r>
        <w:t>x</w:t>
      </w:r>
      <w:r w:rsidRPr="00C64F3D">
        <w:t>-ray equipment, weight scales</w:t>
      </w:r>
      <w:r>
        <w:t>,</w:t>
      </w:r>
      <w:r w:rsidRPr="00C64F3D">
        <w:t xml:space="preserve"> and exam</w:t>
      </w:r>
      <w:r>
        <w:t>ination</w:t>
      </w:r>
      <w:r w:rsidRPr="00C64F3D">
        <w:t xml:space="preserve"> chairs were the four most reported categories of inaccessible medical equipment.</w:t>
      </w:r>
      <w:bookmarkEnd w:id="124"/>
    </w:p>
    <w:p w14:paraId="6246FFBE" w14:textId="77777777" w:rsidR="00FC6AD9" w:rsidRPr="00C64F3D" w:rsidRDefault="00FC6AD9" w:rsidP="00D731D6">
      <w:pPr>
        <w:pStyle w:val="NCDBodyText"/>
      </w:pPr>
      <w:r w:rsidRPr="00C64F3D">
        <w:t>Prompted by the RERC-AMI’s study results, in 2007 identical companion bills, S. 1050 and H.R. 3294, Promoting Wellness for Individuals with Disabilities Act,</w:t>
      </w:r>
      <w:r w:rsidRPr="00C64F3D">
        <w:rPr>
          <w:rStyle w:val="EndnoteReference"/>
          <w:rFonts w:eastAsia="Times New Roman" w:cs="Arial"/>
          <w:shd w:val="clear" w:color="auto" w:fill="FFFFFF"/>
        </w:rPr>
        <w:endnoteReference w:id="67"/>
      </w:r>
      <w:r w:rsidRPr="00C64F3D">
        <w:t> were introduced. The proposed legislation aimed to establish, among other things, that the U.S. Access Board issue and periodically review standards for MDE</w:t>
      </w:r>
      <w:r>
        <w:t xml:space="preserve">, ensuring </w:t>
      </w:r>
      <w:r w:rsidRPr="00C64F3D">
        <w:t>accessib</w:t>
      </w:r>
      <w:r>
        <w:t>ility</w:t>
      </w:r>
      <w:r w:rsidRPr="00C64F3D">
        <w:t xml:space="preserve"> and usab</w:t>
      </w:r>
      <w:r>
        <w:t>ility</w:t>
      </w:r>
      <w:r w:rsidRPr="00C64F3D">
        <w:t xml:space="preserve"> by people with disabilities and </w:t>
      </w:r>
      <w:r>
        <w:t>allowing</w:t>
      </w:r>
      <w:r w:rsidRPr="00C64F3D">
        <w:t xml:space="preserve"> independent entry to, use of, and exit from such equipment by people with disabilities. Equipment included exam</w:t>
      </w:r>
      <w:r>
        <w:t>ination</w:t>
      </w:r>
      <w:r w:rsidRPr="00C64F3D">
        <w:t xml:space="preserve"> tables and chairs, weight scales, mammography equipment, </w:t>
      </w:r>
      <w:r>
        <w:t>and x</w:t>
      </w:r>
      <w:r w:rsidRPr="00C64F3D">
        <w:t>-ray equipment.</w:t>
      </w:r>
    </w:p>
    <w:p w14:paraId="58CDF483" w14:textId="7EA50645" w:rsidR="00FC6AD9" w:rsidRPr="00C64F3D" w:rsidRDefault="00FC6AD9" w:rsidP="00D731D6">
      <w:pPr>
        <w:pStyle w:val="NCDBodyText"/>
      </w:pPr>
      <w:r w:rsidRPr="00C64F3D">
        <w:t>On March 23, 2010, ACA amended the Rehabilitation Act by adding Section 510.</w:t>
      </w:r>
      <w:r w:rsidRPr="00C64F3D">
        <w:rPr>
          <w:rStyle w:val="EndnoteReference"/>
          <w:rFonts w:eastAsia="Times New Roman" w:cs="Arial"/>
        </w:rPr>
        <w:endnoteReference w:id="68"/>
      </w:r>
      <w:r w:rsidRPr="00C64F3D">
        <w:t xml:space="preserve"> Section 510 required the Access Board, in consultation with the </w:t>
      </w:r>
      <w:r>
        <w:t xml:space="preserve">U.S. </w:t>
      </w:r>
      <w:r w:rsidRPr="00C64F3D">
        <w:t xml:space="preserve">Food and Drug Administration, to issue accessibility MDE Standards. </w:t>
      </w:r>
      <w:bookmarkStart w:id="125" w:name="_Hlk68030589"/>
      <w:r w:rsidRPr="00C64F3D">
        <w:t>In December 2013, the Access Board issued the final report of the Medical Diagnostic Equipment Accessibility Standards Advisory Committee,</w:t>
      </w:r>
      <w:r w:rsidRPr="00C64F3D">
        <w:rPr>
          <w:rStyle w:val="EndnoteReference"/>
          <w:rFonts w:eastAsia="Times New Roman" w:cs="Arial"/>
        </w:rPr>
        <w:endnoteReference w:id="69"/>
      </w:r>
      <w:r w:rsidRPr="00C64F3D">
        <w:t xml:space="preserve"> identifying inaccessible medical equipment among the reasons for pe</w:t>
      </w:r>
      <w:r>
        <w:t>ople</w:t>
      </w:r>
      <w:r w:rsidRPr="00C64F3D">
        <w:t xml:space="preserve"> with disabilities to </w:t>
      </w:r>
      <w:r>
        <w:t xml:space="preserve">be susceptible to </w:t>
      </w:r>
      <w:r w:rsidRPr="00C64F3D">
        <w:t>experiencing substandard care.</w:t>
      </w:r>
      <w:r w:rsidRPr="00C64F3D">
        <w:rPr>
          <w:rStyle w:val="EndnoteReference"/>
          <w:rFonts w:eastAsia="Times New Roman" w:cs="Arial"/>
        </w:rPr>
        <w:endnoteReference w:id="70"/>
      </w:r>
      <w:r w:rsidRPr="00C64F3D" w:rsidDel="005978E5">
        <w:t xml:space="preserve"> </w:t>
      </w:r>
      <w:bookmarkEnd w:id="125"/>
      <w:r w:rsidRPr="00C64F3D">
        <w:t xml:space="preserve">The report cited the growing number of studies documenting the access barriers involving </w:t>
      </w:r>
      <w:r>
        <w:t>MDE</w:t>
      </w:r>
      <w:r w:rsidRPr="00C64F3D">
        <w:t xml:space="preserve"> and health disparities experienced by the then approximately 57 million people with disabilities. The experiences of people with disabilities were important contextual considerations that shaped the committee’s view of the need for, and the potential nature of</w:t>
      </w:r>
      <w:r>
        <w:t>,</w:t>
      </w:r>
      <w:r w:rsidRPr="00C64F3D">
        <w:t xml:space="preserve"> the MDE </w:t>
      </w:r>
      <w:r>
        <w:t>S</w:t>
      </w:r>
      <w:r w:rsidRPr="00C64F3D">
        <w:t>tandards.</w:t>
      </w:r>
      <w:r w:rsidRPr="00C64F3D">
        <w:rPr>
          <w:rStyle w:val="EndnoteReference"/>
          <w:rFonts w:eastAsia="Times New Roman" w:cs="Arial"/>
        </w:rPr>
        <w:endnoteReference w:id="71"/>
      </w:r>
      <w:r w:rsidRPr="00C64F3D">
        <w:t> In the report, the committee cited</w:t>
      </w:r>
      <w:r>
        <w:t xml:space="preserve"> the following</w:t>
      </w:r>
      <w:r w:rsidRPr="00C64F3D">
        <w:t>:</w:t>
      </w:r>
    </w:p>
    <w:p w14:paraId="702A3348" w14:textId="77777777" w:rsidR="00FC6AD9" w:rsidRPr="00C64F3D" w:rsidRDefault="00FC6AD9" w:rsidP="00D731D6">
      <w:pPr>
        <w:pStyle w:val="NCDBulletsLevel1"/>
      </w:pPr>
      <w:r w:rsidRPr="00C64F3D">
        <w:t xml:space="preserve">NCD’s 2009 report, </w:t>
      </w:r>
      <w:r w:rsidRPr="00810A1D">
        <w:rPr>
          <w:i/>
          <w:iCs/>
        </w:rPr>
        <w:t>The Current State of Health Care for People with Disabilities</w:t>
      </w:r>
      <w:r w:rsidRPr="00C64F3D">
        <w:t>,</w:t>
      </w:r>
      <w:r w:rsidRPr="00C64F3D">
        <w:rPr>
          <w:rStyle w:val="EndnoteReference"/>
          <w:rFonts w:eastAsia="Times New Roman"/>
        </w:rPr>
        <w:endnoteReference w:id="72"/>
      </w:r>
      <w:r w:rsidRPr="00C64F3D">
        <w:t xml:space="preserve"> detailed the significant barriers people with disabilities had </w:t>
      </w:r>
      <w:r>
        <w:t xml:space="preserve">when </w:t>
      </w:r>
      <w:r w:rsidRPr="00C64F3D">
        <w:t xml:space="preserve">obtaining access to examination and diagnostic equipment; highlighted </w:t>
      </w:r>
      <w:r>
        <w:t>health care</w:t>
      </w:r>
      <w:r w:rsidRPr="00C64F3D">
        <w:t xml:space="preserve"> providers</w:t>
      </w:r>
      <w:r>
        <w:t>’</w:t>
      </w:r>
      <w:r w:rsidRPr="00C64F3D">
        <w:t xml:space="preserve"> frequent examination or testing of patients seated in their wheelchairs, which can generate inaccurate results or conceal physical evidence required for appropriate diagnosis and treatment; and underscored the need to gather better data about health disparities affecting people with disabilities.</w:t>
      </w:r>
    </w:p>
    <w:p w14:paraId="1DFE4E5D" w14:textId="77777777" w:rsidR="00FC6AD9" w:rsidRPr="00C64F3D" w:rsidRDefault="00FC6AD9" w:rsidP="00D731D6">
      <w:pPr>
        <w:pStyle w:val="NCDBulletsLevel1"/>
      </w:pPr>
      <w:r w:rsidRPr="00C64F3D">
        <w:t>HHS’ </w:t>
      </w:r>
      <w:r w:rsidRPr="00810A1D">
        <w:rPr>
          <w:i/>
          <w:iCs/>
        </w:rPr>
        <w:t>Healthy People 2010</w:t>
      </w:r>
      <w:r w:rsidRPr="00C64F3D">
        <w:rPr>
          <w:rStyle w:val="EndnoteReference"/>
          <w:rFonts w:eastAsia="Times New Roman"/>
        </w:rPr>
        <w:endnoteReference w:id="73"/>
      </w:r>
      <w:r w:rsidRPr="00C64F3D" w:rsidDel="00491139">
        <w:t xml:space="preserve"> </w:t>
      </w:r>
      <w:r w:rsidRPr="00C64F3D">
        <w:t xml:space="preserve">cautioned that </w:t>
      </w:r>
      <w:r>
        <w:t>“</w:t>
      </w:r>
      <w:r w:rsidRPr="00C64F3D">
        <w:t>as a potentially underserved group, people with disabilities would be expected to experience disadvantages in health and well-being compared with the general population.”</w:t>
      </w:r>
    </w:p>
    <w:p w14:paraId="40110D58" w14:textId="77777777" w:rsidR="00FC6AD9" w:rsidRPr="00C64F3D" w:rsidRDefault="00FC6AD9" w:rsidP="00D731D6">
      <w:pPr>
        <w:pStyle w:val="NCDBulletsLevel1"/>
      </w:pPr>
      <w:r w:rsidRPr="00C64F3D">
        <w:t>The U.S. Surgeon General’s 2005 </w:t>
      </w:r>
      <w:r w:rsidRPr="00810A1D">
        <w:rPr>
          <w:i/>
          <w:iCs/>
        </w:rPr>
        <w:t>Call to Action</w:t>
      </w:r>
      <w:r w:rsidRPr="00C64F3D">
        <w:rPr>
          <w:rStyle w:val="EndnoteReference"/>
          <w:rFonts w:eastAsia="Times New Roman"/>
        </w:rPr>
        <w:endnoteReference w:id="74"/>
      </w:r>
      <w:r w:rsidRPr="00C64F3D">
        <w:t xml:space="preserve"> pointed out that people with disabilities can lack equal access to </w:t>
      </w:r>
      <w:r>
        <w:t>health care</w:t>
      </w:r>
      <w:r w:rsidRPr="00C64F3D">
        <w:t xml:space="preserve"> and urg</w:t>
      </w:r>
      <w:r>
        <w:t>ed</w:t>
      </w:r>
      <w:r w:rsidRPr="00C64F3D">
        <w:t xml:space="preserve"> their inclusion in studies of </w:t>
      </w:r>
      <w:r>
        <w:t>health care</w:t>
      </w:r>
      <w:r w:rsidRPr="00C64F3D">
        <w:t xml:space="preserve"> disparities.</w:t>
      </w:r>
    </w:p>
    <w:p w14:paraId="6939AE5A" w14:textId="77777777" w:rsidR="00FC6AD9" w:rsidRPr="00C64F3D" w:rsidRDefault="00FC6AD9" w:rsidP="00D731D6">
      <w:pPr>
        <w:pStyle w:val="NCDBulletsLevel1"/>
      </w:pPr>
      <w:r w:rsidRPr="00C64F3D">
        <w:t>HHS’ 2008 </w:t>
      </w:r>
      <w:r w:rsidRPr="00810A1D">
        <w:rPr>
          <w:i/>
          <w:iCs/>
        </w:rPr>
        <w:t>National Health Interview Survey</w:t>
      </w:r>
      <w:r w:rsidRPr="00C64F3D">
        <w:rPr>
          <w:rStyle w:val="EndnoteReference"/>
          <w:rFonts w:eastAsia="Times New Roman"/>
        </w:rPr>
        <w:endnoteReference w:id="75"/>
      </w:r>
      <w:r w:rsidRPr="00C64F3D">
        <w:rPr>
          <w:vertAlign w:val="superscript"/>
        </w:rPr>
        <w:t> </w:t>
      </w:r>
      <w:r w:rsidRPr="00C64F3D">
        <w:t>highlighted that women with self-reported disabilities of different types are substantially less likely than other women to receive critical mammography screening and Pap screening tests, and among women who self-report mobility difficulties, screening rates fall linearly as the severity of mobility limitations increases.</w:t>
      </w:r>
    </w:p>
    <w:p w14:paraId="64E2942D" w14:textId="77777777" w:rsidR="00FC6AD9" w:rsidRPr="00C64F3D" w:rsidRDefault="00FC6AD9" w:rsidP="00D731D6">
      <w:pPr>
        <w:pStyle w:val="NCDBulletsLevel1"/>
      </w:pPr>
      <w:r>
        <w:t>AHRQ’s</w:t>
      </w:r>
      <w:r w:rsidRPr="00C64F3D">
        <w:t xml:space="preserve"> 2009 </w:t>
      </w:r>
      <w:r>
        <w:t>and</w:t>
      </w:r>
      <w:r w:rsidRPr="00C64F3D">
        <w:t xml:space="preserve"> 2010 </w:t>
      </w:r>
      <w:r w:rsidRPr="00810A1D">
        <w:rPr>
          <w:i/>
          <w:iCs/>
        </w:rPr>
        <w:t>National Healthcare Disparities Reports</w:t>
      </w:r>
      <w:r w:rsidRPr="00C64F3D">
        <w:rPr>
          <w:rStyle w:val="EndnoteReference"/>
          <w:rFonts w:eastAsia="Times New Roman"/>
        </w:rPr>
        <w:endnoteReference w:id="76"/>
      </w:r>
      <w:r w:rsidRPr="00C64F3D">
        <w:t> examined disparities in health and dental care for people with disabilities.</w:t>
      </w:r>
    </w:p>
    <w:p w14:paraId="635B6840" w14:textId="77777777" w:rsidR="00FC6AD9" w:rsidRPr="00C64F3D" w:rsidRDefault="00FC6AD9" w:rsidP="00D731D6">
      <w:pPr>
        <w:pStyle w:val="NCDBulletsLevel1"/>
      </w:pPr>
      <w:r w:rsidRPr="00C64F3D">
        <w:t>HHS’ </w:t>
      </w:r>
      <w:r w:rsidRPr="00810A1D">
        <w:rPr>
          <w:i/>
          <w:iCs/>
        </w:rPr>
        <w:t>Healthy People 2020</w:t>
      </w:r>
      <w:r w:rsidRPr="00C64F3D">
        <w:t>,</w:t>
      </w:r>
      <w:hyperlink r:id="rId15" w:anchor="_edn13" w:history="1">
        <w:r w:rsidRPr="00C64F3D">
          <w:rPr>
            <w:rStyle w:val="EndnoteReference"/>
            <w:rFonts w:eastAsia="Times New Roman"/>
          </w:rPr>
          <w:endnoteReference w:id="77"/>
        </w:r>
      </w:hyperlink>
      <w:r w:rsidRPr="00C64F3D">
        <w:t xml:space="preserve"> like the 2010 version, noted </w:t>
      </w:r>
      <w:r>
        <w:t>health care</w:t>
      </w:r>
      <w:r w:rsidRPr="00C64F3D">
        <w:t xml:space="preserve"> disparities for people with disabilities, and among its objectives for this population, included decreasing barriers within </w:t>
      </w:r>
      <w:r>
        <w:t>health care</w:t>
      </w:r>
      <w:r w:rsidRPr="00C64F3D">
        <w:t xml:space="preserve"> facilities.</w:t>
      </w:r>
    </w:p>
    <w:p w14:paraId="44BB3A4A" w14:textId="77777777" w:rsidR="00FC6AD9" w:rsidRPr="00C64F3D" w:rsidRDefault="00FC6AD9" w:rsidP="00D731D6">
      <w:pPr>
        <w:pStyle w:val="NCDBulletsLevel1"/>
      </w:pPr>
      <w:r w:rsidRPr="00C64F3D">
        <w:t>Other research publications document</w:t>
      </w:r>
      <w:r>
        <w:t>ed</w:t>
      </w:r>
      <w:r w:rsidRPr="00C64F3D">
        <w:t xml:space="preserve"> physical access barriers involving MDE, including reports concerning individual patients; findings from focus groups, in-depth individual interviews, or surveys of relatively small numbers of patients or practitioners; and several larger studies.</w:t>
      </w:r>
      <w:r w:rsidRPr="00C64F3D">
        <w:rPr>
          <w:rStyle w:val="EndnoteReference"/>
        </w:rPr>
        <w:endnoteReference w:id="78"/>
      </w:r>
    </w:p>
    <w:p w14:paraId="5DB7F6F5" w14:textId="77777777" w:rsidR="00FC6AD9" w:rsidRPr="00C64F3D" w:rsidRDefault="00FC6AD9" w:rsidP="00D731D6">
      <w:pPr>
        <w:pStyle w:val="NCDBodyText"/>
      </w:pPr>
      <w:r w:rsidRPr="00C64F3D">
        <w:t xml:space="preserve">The mountain of empirical evidence included in the committee’s report made </w:t>
      </w:r>
      <w:r>
        <w:t xml:space="preserve">it </w:t>
      </w:r>
      <w:r w:rsidRPr="00C64F3D">
        <w:t>absolutely clear that in the absence of accessible MDE, people with physical disabilit</w:t>
      </w:r>
      <w:r>
        <w:t>ies</w:t>
      </w:r>
      <w:r w:rsidRPr="00C64F3D">
        <w:t xml:space="preserve"> experience marked disparities in care compared to their nondisabled peers. </w:t>
      </w:r>
    </w:p>
    <w:p w14:paraId="7589F92E" w14:textId="77777777" w:rsidR="00FC6AD9" w:rsidRPr="00C64F3D" w:rsidRDefault="00FC6AD9" w:rsidP="00760F6D">
      <w:pPr>
        <w:pStyle w:val="NCDBodyText"/>
        <w:rPr>
          <w:rFonts w:eastAsia="Times New Roman"/>
        </w:rPr>
      </w:pPr>
      <w:r w:rsidRPr="00C64F3D">
        <w:rPr>
          <w:rFonts w:eastAsia="Times New Roman"/>
        </w:rPr>
        <w:t xml:space="preserve">In response, on July 26, 2010, DOJ published an </w:t>
      </w:r>
      <w:r w:rsidRPr="00C64F3D">
        <w:t>Advance Notice of Proposed Rulemaking (ANPRM) titled</w:t>
      </w:r>
      <w:r>
        <w:t>,</w:t>
      </w:r>
      <w:r w:rsidRPr="00C64F3D">
        <w:t xml:space="preserve"> </w:t>
      </w:r>
      <w:r w:rsidRPr="00760F6D">
        <w:t>“Nondiscrimination on the Basis of Disability by State and Local Governments and Places of Public Accommodation; Equipment and Furniture,”</w:t>
      </w:r>
      <w:r w:rsidRPr="00C64F3D">
        <w:rPr>
          <w:rStyle w:val="EndnoteReference"/>
          <w:rFonts w:cs="Arial"/>
        </w:rPr>
        <w:endnoteReference w:id="79"/>
      </w:r>
      <w:r w:rsidRPr="00760F6D">
        <w:t xml:space="preserve"> seeking public input on possible revisions of Titles II and III of the ADA regulations to ensure the accessibility of medical equipment and furniture provided by covered entities. DOJ received over 350 comments.</w:t>
      </w:r>
    </w:p>
    <w:p w14:paraId="4929544B" w14:textId="77777777" w:rsidR="00FC6AD9" w:rsidRPr="00C64F3D" w:rsidRDefault="00FC6AD9" w:rsidP="00D731D6">
      <w:pPr>
        <w:pStyle w:val="NCDBodyText"/>
      </w:pPr>
      <w:r w:rsidRPr="00C64F3D">
        <w:rPr>
          <w:rFonts w:eastAsia="Times New Roman"/>
        </w:rPr>
        <w:t xml:space="preserve">The Access Board published Standards for </w:t>
      </w:r>
      <w:r>
        <w:rPr>
          <w:rFonts w:eastAsia="Times New Roman"/>
        </w:rPr>
        <w:t xml:space="preserve">Accessible </w:t>
      </w:r>
      <w:r w:rsidRPr="00C64F3D">
        <w:rPr>
          <w:rFonts w:eastAsia="Times New Roman"/>
        </w:rPr>
        <w:t>Medical Diagnostic Equipment</w:t>
      </w:r>
      <w:r>
        <w:rPr>
          <w:rFonts w:eastAsia="Times New Roman"/>
        </w:rPr>
        <w:t xml:space="preserve"> </w:t>
      </w:r>
      <w:r w:rsidRPr="00C64F3D">
        <w:rPr>
          <w:rFonts w:eastAsia="Times New Roman"/>
        </w:rPr>
        <w:t>on January 9, 2017.</w:t>
      </w:r>
      <w:r w:rsidRPr="00C64F3D">
        <w:rPr>
          <w:rStyle w:val="EndnoteReference"/>
          <w:rFonts w:eastAsia="Times New Roman" w:cs="Arial"/>
        </w:rPr>
        <w:endnoteReference w:id="80"/>
      </w:r>
      <w:r>
        <w:rPr>
          <w:rFonts w:eastAsia="Times New Roman"/>
        </w:rPr>
        <w:t xml:space="preserve"> </w:t>
      </w:r>
      <w:r w:rsidRPr="00C64F3D">
        <w:t>The MDE Standards contain minim</w:t>
      </w:r>
      <w:r>
        <w:t>al</w:t>
      </w:r>
      <w:r w:rsidRPr="00C64F3D">
        <w:t xml:space="preserve"> technical criteria to ensure that </w:t>
      </w:r>
      <w:r>
        <w:t>MDE</w:t>
      </w:r>
      <w:r w:rsidRPr="00C64F3D">
        <w:t xml:space="preserve">, including but not limited to examination tables, examination chairs, weight scales, mammography equipment, and other imaging equipment used by </w:t>
      </w:r>
      <w:r>
        <w:t>health care</w:t>
      </w:r>
      <w:r w:rsidRPr="00C64F3D">
        <w:t xml:space="preserve"> providers for diagnostic purposes</w:t>
      </w:r>
      <w:r>
        <w:t>,</w:t>
      </w:r>
      <w:r w:rsidRPr="00C64F3D">
        <w:t xml:space="preserve"> are accessible to, and usable by, </w:t>
      </w:r>
      <w:r>
        <w:t>people</w:t>
      </w:r>
      <w:r w:rsidRPr="00C64F3D">
        <w:t xml:space="preserve"> with disabilities. They </w:t>
      </w:r>
      <w:bookmarkStart w:id="126" w:name="_Hlk68030673"/>
      <w:r w:rsidRPr="00C64F3D">
        <w:t xml:space="preserve">allow independent entry to, use of, and exit from the equipment by </w:t>
      </w:r>
      <w:r>
        <w:t>people</w:t>
      </w:r>
      <w:r w:rsidRPr="00C64F3D">
        <w:t xml:space="preserve"> with disabilities to the maximum extent possible.</w:t>
      </w:r>
      <w:bookmarkEnd w:id="126"/>
      <w:r w:rsidRPr="00C64F3D">
        <w:rPr>
          <w:rStyle w:val="EndnoteReference"/>
          <w:rFonts w:eastAsia="Times New Roman" w:cs="Arial"/>
        </w:rPr>
        <w:endnoteReference w:id="81"/>
      </w:r>
      <w:r w:rsidRPr="00C64F3D" w:rsidDel="00300FD9">
        <w:t xml:space="preserve"> </w:t>
      </w:r>
    </w:p>
    <w:p w14:paraId="5193A161" w14:textId="77777777" w:rsidR="00FC6AD9" w:rsidRPr="00C64F3D" w:rsidRDefault="00FC6AD9" w:rsidP="00D731D6">
      <w:pPr>
        <w:pStyle w:val="NCDBodyText"/>
      </w:pPr>
      <w:r w:rsidRPr="00C64F3D">
        <w:t xml:space="preserve">Although the Rehabilitation Act mandated that the Access Board promulgate technical standards regarding accessibility of MDE, it did not give it authority to enforce the standards. </w:t>
      </w:r>
      <w:bookmarkStart w:id="127" w:name="_Hlk68030709"/>
      <w:r w:rsidRPr="00C64F3D">
        <w:t xml:space="preserve">Compliance with the MDE Standards becomes mandatory only when an enforcing authority, like DOJ or HHS, adopts the </w:t>
      </w:r>
      <w:r>
        <w:t>s</w:t>
      </w:r>
      <w:r w:rsidRPr="00C64F3D">
        <w:t>tandards as mandatory for entities subject to its jurisdiction (covered entities).</w:t>
      </w:r>
      <w:bookmarkEnd w:id="127"/>
      <w:r w:rsidRPr="00C64F3D">
        <w:rPr>
          <w:rStyle w:val="EndnoteReference"/>
          <w:rFonts w:eastAsia="Times New Roman" w:cs="Arial"/>
        </w:rPr>
        <w:endnoteReference w:id="82"/>
      </w:r>
      <w:r w:rsidRPr="00C64F3D">
        <w:t xml:space="preserve"> In addition, enforcing authorities will determine the application and scope of these standards, such as who must comply and the extent to which MDE used by covered entities must comply.</w:t>
      </w:r>
      <w:r w:rsidRPr="00C64F3D">
        <w:rPr>
          <w:rStyle w:val="EndnoteReference"/>
          <w:rFonts w:eastAsia="Times New Roman" w:cs="Arial"/>
        </w:rPr>
        <w:endnoteReference w:id="83"/>
      </w:r>
      <w:r w:rsidRPr="00C64F3D">
        <w:t xml:space="preserve"> </w:t>
      </w:r>
    </w:p>
    <w:p w14:paraId="27A2E1CD" w14:textId="77777777" w:rsidR="00FC6AD9" w:rsidRPr="00C64F3D" w:rsidRDefault="00FC6AD9" w:rsidP="00D731D6">
      <w:pPr>
        <w:pStyle w:val="NCDBodyText"/>
        <w:rPr>
          <w:bCs/>
        </w:rPr>
      </w:pPr>
      <w:r w:rsidRPr="00C64F3D">
        <w:t xml:space="preserve">The MDE Standards point out that given the many barriers to </w:t>
      </w:r>
      <w:r>
        <w:t>health care</w:t>
      </w:r>
      <w:r w:rsidRPr="00C64F3D">
        <w:t xml:space="preserve"> that</w:t>
      </w:r>
      <w:r>
        <w:t xml:space="preserve"> people </w:t>
      </w:r>
      <w:r w:rsidRPr="00C64F3D">
        <w:t xml:space="preserve">with mobility disabilities encounter due to inaccessible MDE, adoption of the </w:t>
      </w:r>
      <w:r>
        <w:t>s</w:t>
      </w:r>
      <w:r w:rsidRPr="00C64F3D">
        <w:t>tandards by DOJ and HHS, will facilitate the ability of people with disabilities to “receive healthcare comparable to that received by their nondisabled counterparts.”</w:t>
      </w:r>
      <w:r w:rsidRPr="00C64F3D">
        <w:rPr>
          <w:rStyle w:val="EndnoteReference"/>
          <w:rFonts w:eastAsia="Times New Roman" w:cs="Arial"/>
        </w:rPr>
        <w:endnoteReference w:id="84"/>
      </w:r>
      <w:r w:rsidRPr="00C64F3D">
        <w:t xml:space="preserve"> </w:t>
      </w:r>
    </w:p>
    <w:p w14:paraId="2EBD4DF7" w14:textId="77777777" w:rsidR="00FC6AD9" w:rsidRPr="00C64F3D" w:rsidRDefault="00FC6AD9" w:rsidP="00D731D6">
      <w:pPr>
        <w:pStyle w:val="NCDBodyText"/>
        <w:rPr>
          <w:rFonts w:eastAsia="Times New Roman"/>
        </w:rPr>
      </w:pPr>
      <w:bookmarkStart w:id="128" w:name="_Hlk68031040"/>
      <w:r w:rsidRPr="00C64F3D">
        <w:t>The need for enforceable MDE standards is also economic.</w:t>
      </w:r>
      <w:r>
        <w:t xml:space="preserve"> </w:t>
      </w:r>
      <w:r w:rsidRPr="00C64F3D">
        <w:t>Enforceable standards</w:t>
      </w:r>
      <w:r>
        <w:t xml:space="preserve"> </w:t>
      </w:r>
      <w:r w:rsidRPr="00C64F3D">
        <w:t>will help people with disabilities get the preventive care they need</w:t>
      </w:r>
      <w:r>
        <w:t>,</w:t>
      </w:r>
      <w:r w:rsidRPr="00C64F3D">
        <w:t xml:space="preserve"> and in turn</w:t>
      </w:r>
      <w:r>
        <w:t xml:space="preserve">, </w:t>
      </w:r>
      <w:r w:rsidRPr="00C64F3D">
        <w:t>the United States will save billions of dollars that it currently spends addressing</w:t>
      </w:r>
      <w:r>
        <w:t xml:space="preserve"> </w:t>
      </w:r>
      <w:r w:rsidRPr="00C64F3D">
        <w:t xml:space="preserve">American’s serious health conditions and deadly diseases that could be prevented if caught earlier </w:t>
      </w:r>
      <w:bookmarkEnd w:id="128"/>
      <w:r w:rsidRPr="00C64F3D">
        <w:t xml:space="preserve">through preventive care. </w:t>
      </w:r>
      <w:bookmarkStart w:id="129" w:name="_Hlk68031072"/>
      <w:r w:rsidRPr="00C64F3D">
        <w:t>Preventive care is a far more cost-effective practice of medicine than acute or crisis care, and accessible MDE makes greater preventive care possible.</w:t>
      </w:r>
      <w:bookmarkEnd w:id="129"/>
      <w:r w:rsidRPr="00C64F3D">
        <w:t xml:space="preserve"> A 2014 study </w:t>
      </w:r>
      <w:r w:rsidRPr="00C64F3D">
        <w:rPr>
          <w:rFonts w:eastAsia="Times New Roman"/>
        </w:rPr>
        <w:t>showed,</w:t>
      </w:r>
      <w:r>
        <w:rPr>
          <w:rFonts w:eastAsia="Times New Roman"/>
        </w:rPr>
        <w:t xml:space="preserve"> </w:t>
      </w:r>
      <w:r w:rsidRPr="00C64F3D">
        <w:rPr>
          <w:rFonts w:eastAsia="Times New Roman"/>
        </w:rPr>
        <w:t>for example, that preventable illnesses corresponded to treatment costs and lost productivity of $1.3 trillion</w:t>
      </w:r>
      <w:r>
        <w:rPr>
          <w:rFonts w:eastAsia="Times New Roman"/>
        </w:rPr>
        <w:t>. It</w:t>
      </w:r>
      <w:r w:rsidRPr="00C64F3D">
        <w:rPr>
          <w:rFonts w:eastAsia="Times New Roman"/>
        </w:rPr>
        <w:t xml:space="preserve"> </w:t>
      </w:r>
      <w:r>
        <w:rPr>
          <w:rFonts w:eastAsia="Times New Roman"/>
        </w:rPr>
        <w:t xml:space="preserve">was </w:t>
      </w:r>
      <w:r w:rsidRPr="00C64F3D">
        <w:rPr>
          <w:rFonts w:eastAsia="Times New Roman"/>
        </w:rPr>
        <w:t>projected that the impact of improving prevention and treatment corresponded with a reduction in treatment costs of $220 billion and an increase in the gross domestic product of $900 billion.</w:t>
      </w:r>
      <w:r w:rsidRPr="00C64F3D">
        <w:rPr>
          <w:rStyle w:val="EndnoteReference"/>
          <w:rFonts w:eastAsia="Times New Roman" w:cs="Arial"/>
        </w:rPr>
        <w:endnoteReference w:id="85"/>
      </w:r>
      <w:r w:rsidRPr="00C64F3D" w:rsidDel="00C45482">
        <w:t xml:space="preserve"> </w:t>
      </w:r>
      <w:r>
        <w:t>This is a</w:t>
      </w:r>
      <w:r w:rsidRPr="00C64F3D">
        <w:t xml:space="preserve"> win for public health and the nation’s financial health.</w:t>
      </w:r>
    </w:p>
    <w:p w14:paraId="2F64C410" w14:textId="77777777" w:rsidR="00FC6AD9" w:rsidRPr="00810A1D" w:rsidRDefault="00FC6AD9" w:rsidP="00F866DD">
      <w:pPr>
        <w:pStyle w:val="Heading2"/>
      </w:pPr>
      <w:bookmarkStart w:id="130" w:name="_Toc69374210"/>
      <w:r w:rsidRPr="00810A1D">
        <w:t>Discriminatory Barriers to Access to Health Care and Health Disparities Persist as the Population of People with Disabilities Grows</w:t>
      </w:r>
      <w:bookmarkEnd w:id="130"/>
    </w:p>
    <w:p w14:paraId="47C270A7" w14:textId="77777777" w:rsidR="00FC6AD9" w:rsidRPr="00C64F3D" w:rsidRDefault="00FC6AD9" w:rsidP="00D731D6">
      <w:pPr>
        <w:pStyle w:val="NCDBodyText"/>
      </w:pPr>
      <w:r w:rsidRPr="00C64F3D">
        <w:t>We</w:t>
      </w:r>
      <w:r>
        <w:t xml:space="preserve"> ha</w:t>
      </w:r>
      <w:r w:rsidRPr="00C64F3D">
        <w:t xml:space="preserve">ve been talking about </w:t>
      </w:r>
      <w:r>
        <w:t>health care</w:t>
      </w:r>
      <w:r w:rsidRPr="00C64F3D">
        <w:t xml:space="preserve"> disparities for decades, but despite the clear need shown in study after study, the equipment used for basic </w:t>
      </w:r>
      <w:r>
        <w:t>health care</w:t>
      </w:r>
      <w:r w:rsidRPr="00C64F3D">
        <w:t xml:space="preserve"> services</w:t>
      </w:r>
      <w:r>
        <w:t>—</w:t>
      </w:r>
      <w:r w:rsidRPr="00C64F3D">
        <w:t>exam</w:t>
      </w:r>
      <w:r>
        <w:t>ination</w:t>
      </w:r>
      <w:r w:rsidRPr="00C64F3D">
        <w:t xml:space="preserve"> tables and chairs, weight scales, </w:t>
      </w:r>
      <w:r>
        <w:t>x</w:t>
      </w:r>
      <w:r w:rsidRPr="00C64F3D">
        <w:t>-ray equipment</w:t>
      </w:r>
      <w:r>
        <w:t>—</w:t>
      </w:r>
      <w:r w:rsidRPr="00C64F3D">
        <w:t xml:space="preserve">remains inaccessible to a large percentage of people with physical disabilities. Moreover, eight years after the Access Board’s Final Rule establishing the MDE Standards, </w:t>
      </w:r>
      <w:r>
        <w:t>health care</w:t>
      </w:r>
      <w:r w:rsidRPr="00C64F3D">
        <w:t xml:space="preserve"> accessibility discrimination against people with physical disabilities persists, evidenced, in part, by the significant and alarming health disparities that remain between pe</w:t>
      </w:r>
      <w:r>
        <w:t>ople</w:t>
      </w:r>
      <w:r w:rsidRPr="00C64F3D">
        <w:t xml:space="preserve"> with disabilities, particularly people with physical disabilities, and those without. These health disparities and access barriers are adversely affecting a greater number of people with disabilities as this demographic continues to grow.</w:t>
      </w:r>
      <w:r w:rsidRPr="00C64F3D">
        <w:rPr>
          <w:rStyle w:val="EndnoteReference"/>
          <w:rFonts w:eastAsia="Times New Roman" w:cs="Arial"/>
        </w:rPr>
        <w:endnoteReference w:id="86"/>
      </w:r>
    </w:p>
    <w:p w14:paraId="0968A484" w14:textId="77777777" w:rsidR="00FC6AD9" w:rsidRPr="00C64F3D" w:rsidRDefault="00FC6AD9" w:rsidP="00D731D6">
      <w:pPr>
        <w:pStyle w:val="NCDBodyText"/>
      </w:pPr>
      <w:bookmarkStart w:id="131" w:name="_Hlk65846319"/>
      <w:r w:rsidRPr="00C64F3D">
        <w:t xml:space="preserve">The lack of accessible medical </w:t>
      </w:r>
      <w:r>
        <w:t xml:space="preserve">equipment </w:t>
      </w:r>
      <w:r w:rsidRPr="00C64F3D">
        <w:t xml:space="preserve">contributes significantly to the fact that people with physical disabilities utilize the </w:t>
      </w:r>
      <w:r>
        <w:t>health care</w:t>
      </w:r>
      <w:r w:rsidRPr="00C64F3D">
        <w:t xml:space="preserve"> system for disease management versus disease prevention. Compared with their nondisabled peers, people with</w:t>
      </w:r>
      <w:r>
        <w:t xml:space="preserve"> </w:t>
      </w:r>
      <w:r w:rsidRPr="00C64F3D">
        <w:t xml:space="preserve">physical disabilities are less likely to receive recommended preventive </w:t>
      </w:r>
      <w:r>
        <w:t>health care</w:t>
      </w:r>
      <w:r w:rsidRPr="00C64F3D">
        <w:t xml:space="preserve"> services like those recommended by the U.S. Preventive</w:t>
      </w:r>
      <w:r>
        <w:t xml:space="preserve"> Services</w:t>
      </w:r>
      <w:r w:rsidRPr="00C64F3D">
        <w:t xml:space="preserve"> Task Force</w:t>
      </w:r>
      <w:r w:rsidRPr="005F7511">
        <w:t>.</w:t>
      </w:r>
      <w:r w:rsidRPr="005F7511">
        <w:rPr>
          <w:rStyle w:val="EndnoteReference"/>
          <w:rFonts w:eastAsia="Times New Roman" w:cs="Arial"/>
        </w:rPr>
        <w:endnoteReference w:id="87"/>
      </w:r>
      <w:r w:rsidRPr="005F7511">
        <w:t> </w:t>
      </w:r>
      <w:bookmarkEnd w:id="131"/>
      <w:r w:rsidRPr="005F7511">
        <w:t>The U.S. Preventive Services Task Force develops recommendations for clinical preventive services for all Americans (e.g., blood pressure screening, cervical cancer screening, colorectal cancer screening, obesity screening and counseling, breast cancer screening, among other tests and screenings).</w:t>
      </w:r>
      <w:r w:rsidRPr="00C64F3D">
        <w:rPr>
          <w:rStyle w:val="EndnoteReference"/>
          <w:rFonts w:eastAsia="Times New Roman" w:cs="Arial"/>
        </w:rPr>
        <w:endnoteReference w:id="88"/>
      </w:r>
      <w:r w:rsidRPr="00C64F3D">
        <w:t> </w:t>
      </w:r>
      <w:bookmarkStart w:id="132" w:name="_Hlk68031261"/>
      <w:r w:rsidRPr="00C64F3D">
        <w:t>Without the availability of height</w:t>
      </w:r>
      <w:r>
        <w:t>-</w:t>
      </w:r>
      <w:r w:rsidRPr="00C64F3D">
        <w:t>adjustable examination tables, accessible mammography equipment</w:t>
      </w:r>
      <w:r>
        <w:t>,</w:t>
      </w:r>
      <w:r w:rsidRPr="00C64F3D">
        <w:t xml:space="preserve"> lift equipment to facilitate transfers, </w:t>
      </w:r>
      <w:r>
        <w:t>and so on</w:t>
      </w:r>
      <w:r w:rsidRPr="00C64F3D">
        <w:t>, all of which are covered by the MDE Standards, most people with physical disabilities, if they receive those preventive services at all, will likely receive substandard care. </w:t>
      </w:r>
      <w:bookmarkEnd w:id="132"/>
      <w:r w:rsidRPr="00C64F3D">
        <w:t xml:space="preserve">The absence of that equipment places their health and well-being at risk and contributes greatly to their denial of the equal opportunity to benefit from a provider’s facilities and services. Changing this paradigm requires the issuance of enforceable </w:t>
      </w:r>
      <w:r>
        <w:t>f</w:t>
      </w:r>
      <w:r w:rsidRPr="00C64F3D">
        <w:t>ederal regulations on accessible MDE.</w:t>
      </w:r>
    </w:p>
    <w:p w14:paraId="0E7C1A5F" w14:textId="77777777" w:rsidR="00FC6AD9" w:rsidRPr="00C64F3D" w:rsidRDefault="00FC6AD9" w:rsidP="00F866DD">
      <w:pPr>
        <w:pStyle w:val="Heading2"/>
      </w:pPr>
      <w:bookmarkStart w:id="133" w:name="_Toc69374211"/>
      <w:r w:rsidRPr="00810A1D">
        <w:t>Existing Nondiscrimination Regulations Are Insufficient</w:t>
      </w:r>
      <w:bookmarkEnd w:id="133"/>
    </w:p>
    <w:p w14:paraId="4A0C6DC0" w14:textId="60B5CC79" w:rsidR="00FC6AD9" w:rsidRPr="00C64F3D" w:rsidRDefault="00FC6AD9" w:rsidP="00D731D6">
      <w:pPr>
        <w:pStyle w:val="NCDBodyText"/>
      </w:pPr>
      <w:r>
        <w:t>Although</w:t>
      </w:r>
      <w:r w:rsidRPr="00C64F3D">
        <w:t xml:space="preserve"> Section 504,</w:t>
      </w:r>
      <w:r w:rsidRPr="00C64F3D" w:rsidDel="005079D8">
        <w:t xml:space="preserve"> </w:t>
      </w:r>
      <w:r w:rsidRPr="00C64F3D">
        <w:t xml:space="preserve">Titles II and III of the ADA (Titles II </w:t>
      </w:r>
      <w:r>
        <w:t>and</w:t>
      </w:r>
      <w:r w:rsidRPr="00C64F3D">
        <w:t xml:space="preserve"> III),</w:t>
      </w:r>
      <w:r w:rsidR="004A4B47">
        <w:t xml:space="preserve"> </w:t>
      </w:r>
      <w:r w:rsidRPr="00C64F3D">
        <w:t>and most recently, Section 1557,</w:t>
      </w:r>
      <w:r w:rsidRPr="00C64F3D" w:rsidDel="005079D8">
        <w:t xml:space="preserve"> </w:t>
      </w:r>
      <w:r w:rsidRPr="00C64F3D">
        <w:t>prohibit disability</w:t>
      </w:r>
      <w:r>
        <w:t>-</w:t>
      </w:r>
      <w:r w:rsidRPr="00C64F3D">
        <w:t xml:space="preserve">based discrimination in </w:t>
      </w:r>
      <w:r>
        <w:t>health care</w:t>
      </w:r>
      <w:r w:rsidRPr="00C64F3D">
        <w:t xml:space="preserve"> by covered entities,</w:t>
      </w:r>
      <w:r w:rsidRPr="00C64F3D">
        <w:rPr>
          <w:rStyle w:val="EndnoteReference"/>
          <w:rFonts w:eastAsia="Times New Roman" w:cs="Arial"/>
        </w:rPr>
        <w:endnoteReference w:id="89"/>
      </w:r>
      <w:r w:rsidRPr="00C64F3D">
        <w:t xml:space="preserve"> systemic improvement </w:t>
      </w:r>
      <w:r>
        <w:t>in</w:t>
      </w:r>
      <w:r w:rsidRPr="00C64F3D">
        <w:t xml:space="preserve"> the availability of accessible MDE and resulting improved </w:t>
      </w:r>
      <w:r>
        <w:t>health care</w:t>
      </w:r>
      <w:r w:rsidRPr="00C64F3D">
        <w:t xml:space="preserve"> for people with mobility disabilities ha</w:t>
      </w:r>
      <w:r>
        <w:t>ve</w:t>
      </w:r>
      <w:r w:rsidRPr="00C64F3D">
        <w:t xml:space="preserve"> not materialized.</w:t>
      </w:r>
      <w:r w:rsidRPr="00C64F3D">
        <w:rPr>
          <w:rStyle w:val="EndnoteReference"/>
          <w:rFonts w:eastAsia="Times New Roman" w:cs="Arial"/>
        </w:rPr>
        <w:endnoteReference w:id="90"/>
      </w:r>
      <w:hyperlink r:id="rId16" w:anchor="_edn47" w:history="1">
        <w:r w:rsidRPr="00C64F3D" w:rsidDel="005079D8">
          <w:rPr>
            <w:color w:val="0066CC"/>
            <w:shd w:val="clear" w:color="auto" w:fill="FFFFFF"/>
            <w:vertAlign w:val="superscript"/>
          </w:rPr>
          <w:t xml:space="preserve"> </w:t>
        </w:r>
      </w:hyperlink>
    </w:p>
    <w:p w14:paraId="59DB4447" w14:textId="77777777" w:rsidR="00FC6AD9" w:rsidRPr="00C64F3D" w:rsidRDefault="00FC6AD9" w:rsidP="00D731D6">
      <w:pPr>
        <w:pStyle w:val="NCDBodyText"/>
      </w:pPr>
      <w:r w:rsidRPr="00C64F3D">
        <w:t xml:space="preserve">The </w:t>
      </w:r>
      <w:r>
        <w:t xml:space="preserve">statutes’ implementing </w:t>
      </w:r>
      <w:r w:rsidRPr="00C64F3D">
        <w:t xml:space="preserve">regulations </w:t>
      </w:r>
      <w:r>
        <w:t>do not</w:t>
      </w:r>
      <w:r w:rsidRPr="00C64F3D">
        <w:t xml:space="preserve"> require </w:t>
      </w:r>
      <w:r>
        <w:t>health care</w:t>
      </w:r>
      <w:r w:rsidRPr="00C64F3D">
        <w:t xml:space="preserve"> providers to have accessible MDE in their facilities. People with disabilities may file complaints with DOJ’s Disability Rights Section and HHS’s Office for Civil Rights </w:t>
      </w:r>
      <w:r>
        <w:t xml:space="preserve">(OCR) </w:t>
      </w:r>
      <w:r w:rsidRPr="00C64F3D">
        <w:t xml:space="preserve">against </w:t>
      </w:r>
      <w:r>
        <w:t>health care</w:t>
      </w:r>
      <w:r w:rsidRPr="00C64F3D">
        <w:t xml:space="preserve"> providers based on barriers to </w:t>
      </w:r>
      <w:r>
        <w:t>health care</w:t>
      </w:r>
      <w:r w:rsidRPr="00C64F3D">
        <w:t xml:space="preserve"> due to the lack of accessible MDE under Section 504, the ADA,</w:t>
      </w:r>
      <w:r>
        <w:t xml:space="preserve"> </w:t>
      </w:r>
      <w:r w:rsidRPr="00C64F3D">
        <w:t>and the Section 1557 regulations</w:t>
      </w:r>
      <w:r>
        <w:t>. A</w:t>
      </w:r>
      <w:r w:rsidRPr="00C64F3D">
        <w:t xml:space="preserve">mong their nondiscrimination requirements, </w:t>
      </w:r>
      <w:r>
        <w:t xml:space="preserve">these regulations require </w:t>
      </w:r>
      <w:r w:rsidRPr="00C64F3D">
        <w:t xml:space="preserve">that </w:t>
      </w:r>
      <w:r>
        <w:t>health care</w:t>
      </w:r>
      <w:r w:rsidRPr="00C64F3D">
        <w:t xml:space="preserve"> providers provide reasonable modifications of policies, practices, or procedures; program accessibility; and barrier removal.</w:t>
      </w:r>
      <w:r w:rsidRPr="00C64F3D">
        <w:rPr>
          <w:rStyle w:val="EndnoteReference"/>
          <w:rFonts w:eastAsia="Times New Roman" w:cs="Arial"/>
        </w:rPr>
        <w:endnoteReference w:id="91"/>
      </w:r>
      <w:r w:rsidRPr="00C64F3D">
        <w:t xml:space="preserve"> </w:t>
      </w:r>
    </w:p>
    <w:p w14:paraId="4BD7365A" w14:textId="77777777" w:rsidR="00FC6AD9" w:rsidRPr="00C64F3D" w:rsidRDefault="00FC6AD9" w:rsidP="00D731D6">
      <w:pPr>
        <w:pStyle w:val="NCDBodyText"/>
      </w:pPr>
      <w:r w:rsidRPr="00C64F3D">
        <w:t>DOJ established a Barrier-Free Health</w:t>
      </w:r>
      <w:r>
        <w:t xml:space="preserve"> C</w:t>
      </w:r>
      <w:r w:rsidRPr="00C64F3D">
        <w:t>are Initiative in 2012 to help ensure</w:t>
      </w:r>
      <w:r>
        <w:t xml:space="preserve"> </w:t>
      </w:r>
      <w:r w:rsidRPr="00C64F3D">
        <w:t>entities subject to their jurisdiction provide effective communication for</w:t>
      </w:r>
      <w:r>
        <w:t xml:space="preserve"> D</w:t>
      </w:r>
      <w:r w:rsidRPr="00C64F3D">
        <w:t xml:space="preserve">eaf </w:t>
      </w:r>
      <w:r>
        <w:t>and Hard of Hearing</w:t>
      </w:r>
      <w:r w:rsidRPr="00C64F3D">
        <w:t>, physical access to medical care for people with mobility disabilities, and equal access to treatment for people who have HIV/AIDS.</w:t>
      </w:r>
      <w:r w:rsidRPr="00C64F3D">
        <w:rPr>
          <w:rStyle w:val="EndnoteReference"/>
          <w:rFonts w:eastAsia="Times New Roman" w:cs="Arial"/>
        </w:rPr>
        <w:endnoteReference w:id="92"/>
      </w:r>
      <w:r w:rsidRPr="00C64F3D">
        <w:t xml:space="preserve"> This is an important initiative that has resulted in a few agreements to improve access to accessible medical equipment.</w:t>
      </w:r>
      <w:r w:rsidRPr="00C64F3D">
        <w:rPr>
          <w:rStyle w:val="EndnoteReference"/>
          <w:rFonts w:eastAsia="Times New Roman" w:cs="Arial"/>
        </w:rPr>
        <w:endnoteReference w:id="93"/>
      </w:r>
      <w:r w:rsidRPr="00C64F3D">
        <w:t xml:space="preserve"> Likewise, HHS’s OCR has taken corrective action in several complaints where</w:t>
      </w:r>
      <w:r>
        <w:t xml:space="preserve"> people</w:t>
      </w:r>
      <w:r w:rsidRPr="00C64F3D">
        <w:t xml:space="preserve"> with mobility disabilities alleged discrimination due to inaccessible medical equipment.</w:t>
      </w:r>
      <w:r w:rsidRPr="00C64F3D">
        <w:rPr>
          <w:rStyle w:val="EndnoteReference"/>
          <w:rFonts w:cs="Arial"/>
        </w:rPr>
        <w:endnoteReference w:id="94"/>
      </w:r>
      <w:r w:rsidRPr="00C64F3D">
        <w:t xml:space="preserve"> Each of these agreements has assisted in removing physical barriers to obtaining needed </w:t>
      </w:r>
      <w:r>
        <w:t>health care;</w:t>
      </w:r>
      <w:r w:rsidRPr="00C64F3D">
        <w:t xml:space="preserve"> however, </w:t>
      </w:r>
      <w:bookmarkStart w:id="134" w:name="_Hlk68031343"/>
      <w:r w:rsidRPr="00C64F3D">
        <w:t>the continued</w:t>
      </w:r>
      <w:r>
        <w:t>,</w:t>
      </w:r>
      <w:r w:rsidRPr="00C64F3D">
        <w:t xml:space="preserve"> widespread lack of accessible MDE in </w:t>
      </w:r>
      <w:r>
        <w:t>health care</w:t>
      </w:r>
      <w:r w:rsidRPr="00C64F3D">
        <w:t xml:space="preserve"> facilities proves that enforcement on a case-by-case approach has not made meaningful</w:t>
      </w:r>
      <w:r>
        <w:t>,</w:t>
      </w:r>
      <w:r w:rsidRPr="00C64F3D">
        <w:t xml:space="preserve"> systemic improvements in its availability. </w:t>
      </w:r>
      <w:bookmarkEnd w:id="134"/>
    </w:p>
    <w:p w14:paraId="1A4CFD61" w14:textId="77777777" w:rsidR="00FC6AD9" w:rsidRPr="00C64F3D" w:rsidRDefault="00FC6AD9" w:rsidP="00D731D6">
      <w:pPr>
        <w:pStyle w:val="NCDBodyText"/>
      </w:pPr>
      <w:r w:rsidRPr="00C64F3D">
        <w:t>As clearly described in DOJ’s ANPRM on Equipment and Furniture</w:t>
      </w:r>
      <w:r>
        <w:t>,</w:t>
      </w:r>
      <w:r w:rsidRPr="00C64F3D">
        <w:rPr>
          <w:rStyle w:val="EndnoteReference"/>
          <w:rFonts w:eastAsia="Times New Roman" w:cs="Arial"/>
        </w:rPr>
        <w:endnoteReference w:id="95"/>
      </w:r>
      <w:r w:rsidRPr="00C64F3D" w:rsidDel="00527F5F">
        <w:t xml:space="preserve"> </w:t>
      </w:r>
    </w:p>
    <w:p w14:paraId="16A12E2F" w14:textId="77777777" w:rsidR="00FC6AD9" w:rsidRPr="00C64F3D" w:rsidRDefault="00FC6AD9" w:rsidP="00D731D6">
      <w:pPr>
        <w:pStyle w:val="NCDExtract"/>
      </w:pPr>
      <w:r w:rsidRPr="00C64F3D">
        <w:t>[W]</w:t>
      </w:r>
      <w:proofErr w:type="spellStart"/>
      <w:r w:rsidRPr="00C64F3D">
        <w:t>ithout</w:t>
      </w:r>
      <w:proofErr w:type="spellEnd"/>
      <w:r w:rsidRPr="00C64F3D">
        <w:t xml:space="preserve"> accessible medical examination tables, dental chairs, radiological diagnostic equipment, scales, and rehabilitation equipment, individuals with disabilities do not have an equal opportunity to receive medical care. Individuals with disabilities may be less likely to get routine preventative medical care than people without disabilities because of barriers to accessing that care.</w:t>
      </w:r>
      <w:r w:rsidRPr="00C64F3D">
        <w:rPr>
          <w:rStyle w:val="EndnoteReference"/>
          <w:rFonts w:eastAsia="Times New Roman"/>
        </w:rPr>
        <w:endnoteReference w:id="96"/>
      </w:r>
      <w:r w:rsidRPr="00C64F3D" w:rsidDel="00666009">
        <w:t xml:space="preserve"> </w:t>
      </w:r>
    </w:p>
    <w:p w14:paraId="4075808A" w14:textId="77777777" w:rsidR="00FC6AD9" w:rsidRPr="00C64F3D" w:rsidRDefault="00FC6AD9" w:rsidP="00D731D6">
      <w:pPr>
        <w:pStyle w:val="NCDBodyText"/>
      </w:pPr>
      <w:r w:rsidRPr="00C64F3D">
        <w:t>That assessment rings as true in 202</w:t>
      </w:r>
      <w:r>
        <w:t>1</w:t>
      </w:r>
      <w:r w:rsidRPr="00C64F3D">
        <w:t xml:space="preserve"> as it did in 2010 given the significant </w:t>
      </w:r>
      <w:r>
        <w:t>number</w:t>
      </w:r>
      <w:r w:rsidRPr="00C64F3D">
        <w:t xml:space="preserve"> of studies and reports that give voice to the struggles that people with mobility disabilities have receiving quality </w:t>
      </w:r>
      <w:r>
        <w:t>health care</w:t>
      </w:r>
      <w:r w:rsidRPr="00C64F3D">
        <w:t>.</w:t>
      </w:r>
    </w:p>
    <w:p w14:paraId="76D10233" w14:textId="77777777" w:rsidR="00FC6AD9" w:rsidRPr="00C64F3D" w:rsidRDefault="00FC6AD9" w:rsidP="00D731D6">
      <w:pPr>
        <w:pStyle w:val="NCDBodyText"/>
        <w:rPr>
          <w:rFonts w:eastAsia="Times New Roman"/>
        </w:rPr>
      </w:pPr>
      <w:r w:rsidRPr="00C64F3D">
        <w:t xml:space="preserve">To date, </w:t>
      </w:r>
      <w:bookmarkStart w:id="135" w:name="_Hlk68031447"/>
      <w:r w:rsidRPr="00C64F3D">
        <w:t xml:space="preserve">the only </w:t>
      </w:r>
      <w:r>
        <w:t>f</w:t>
      </w:r>
      <w:r w:rsidRPr="00C64F3D">
        <w:t>ederal agency to act is the VHA</w:t>
      </w:r>
      <w:r>
        <w:t>,</w:t>
      </w:r>
      <w:r w:rsidRPr="00C64F3D">
        <w:t xml:space="preserve"> which initiated an acquisitions policy that requires all new equipment purchases across the </w:t>
      </w:r>
      <w:r>
        <w:t>Veterans’ Affairs (</w:t>
      </w:r>
      <w:r w:rsidRPr="00C64F3D">
        <w:t>VA</w:t>
      </w:r>
      <w:r>
        <w:t>)</w:t>
      </w:r>
      <w:r w:rsidRPr="00C64F3D">
        <w:t xml:space="preserve"> Health System meet the standards for </w:t>
      </w:r>
      <w:r>
        <w:t>MDE</w:t>
      </w:r>
      <w:r w:rsidRPr="00C64F3D">
        <w:t>.</w:t>
      </w:r>
      <w:bookmarkEnd w:id="135"/>
      <w:r w:rsidRPr="00C64F3D">
        <w:rPr>
          <w:rStyle w:val="EndnoteReference"/>
          <w:rFonts w:cs="Arial"/>
        </w:rPr>
        <w:endnoteReference w:id="97"/>
      </w:r>
      <w:r w:rsidRPr="00C64F3D">
        <w:t xml:space="preserve"> </w:t>
      </w:r>
      <w:r w:rsidRPr="00C64F3D">
        <w:rPr>
          <w:rFonts w:eastAsia="Times New Roman"/>
        </w:rPr>
        <w:t>In 2010</w:t>
      </w:r>
      <w:r>
        <w:rPr>
          <w:rFonts w:eastAsia="Times New Roman"/>
        </w:rPr>
        <w:t>,</w:t>
      </w:r>
      <w:r w:rsidRPr="00C64F3D">
        <w:rPr>
          <w:rFonts w:eastAsia="Times New Roman"/>
        </w:rPr>
        <w:t xml:space="preserve"> DOJ and HHS jointly issued a guidance document for </w:t>
      </w:r>
      <w:r>
        <w:rPr>
          <w:rFonts w:eastAsia="Times New Roman"/>
        </w:rPr>
        <w:t>health care</w:t>
      </w:r>
      <w:r w:rsidRPr="00C64F3D">
        <w:rPr>
          <w:rFonts w:eastAsia="Times New Roman"/>
        </w:rPr>
        <w:t xml:space="preserve"> providers titled, </w:t>
      </w:r>
      <w:r w:rsidRPr="00810A1D">
        <w:rPr>
          <w:rFonts w:eastAsia="Times New Roman"/>
          <w:i/>
          <w:iCs/>
        </w:rPr>
        <w:t>Access to Medical Care for Individuals with Mobility Disabilities</w:t>
      </w:r>
      <w:r w:rsidRPr="00C64F3D">
        <w:rPr>
          <w:rFonts w:eastAsia="Times New Roman"/>
        </w:rPr>
        <w:t>,</w:t>
      </w:r>
      <w:r w:rsidRPr="00C64F3D">
        <w:rPr>
          <w:rStyle w:val="EndnoteReference"/>
          <w:rFonts w:eastAsia="Times New Roman" w:cs="Arial"/>
        </w:rPr>
        <w:endnoteReference w:id="98"/>
      </w:r>
      <w:r w:rsidRPr="00C64F3D">
        <w:rPr>
          <w:rFonts w:eastAsia="Times New Roman"/>
        </w:rPr>
        <w:t xml:space="preserve"> on their responsibilities under Section 504 and the ADA to ensure their services and facilities are accessible to </w:t>
      </w:r>
      <w:r>
        <w:rPr>
          <w:rFonts w:eastAsia="Times New Roman"/>
        </w:rPr>
        <w:t>people</w:t>
      </w:r>
      <w:r w:rsidRPr="00C64F3D">
        <w:rPr>
          <w:rFonts w:eastAsia="Times New Roman"/>
        </w:rPr>
        <w:t xml:space="preserve"> with physical disabilities, by utilizing lift equipment, height</w:t>
      </w:r>
      <w:r>
        <w:rPr>
          <w:rFonts w:eastAsia="Times New Roman"/>
        </w:rPr>
        <w:t>-</w:t>
      </w:r>
      <w:r w:rsidRPr="00C64F3D">
        <w:rPr>
          <w:rFonts w:eastAsia="Times New Roman"/>
        </w:rPr>
        <w:t>adjustable exam</w:t>
      </w:r>
      <w:r>
        <w:rPr>
          <w:rFonts w:eastAsia="Times New Roman"/>
        </w:rPr>
        <w:t>ination</w:t>
      </w:r>
      <w:r w:rsidRPr="00C64F3D">
        <w:rPr>
          <w:rFonts w:eastAsia="Times New Roman"/>
        </w:rPr>
        <w:t xml:space="preserve"> tables, </w:t>
      </w:r>
      <w:r>
        <w:rPr>
          <w:rFonts w:eastAsia="Times New Roman"/>
        </w:rPr>
        <w:t>and so on</w:t>
      </w:r>
      <w:r w:rsidRPr="00C64F3D">
        <w:rPr>
          <w:rFonts w:eastAsia="Times New Roman"/>
        </w:rPr>
        <w:t>.</w:t>
      </w:r>
      <w:r>
        <w:rPr>
          <w:rFonts w:eastAsia="Times New Roman"/>
        </w:rPr>
        <w:t xml:space="preserve"> </w:t>
      </w:r>
      <w:r w:rsidRPr="00C64F3D">
        <w:rPr>
          <w:rFonts w:eastAsia="Times New Roman"/>
        </w:rPr>
        <w:t xml:space="preserve">This is an important document, but </w:t>
      </w:r>
      <w:bookmarkStart w:id="136" w:name="_Hlk68031434"/>
      <w:r w:rsidRPr="00C64F3D">
        <w:rPr>
          <w:rFonts w:eastAsia="Times New Roman"/>
        </w:rPr>
        <w:t xml:space="preserve">guidance without enforcement authority does not require compliance by </w:t>
      </w:r>
      <w:r>
        <w:rPr>
          <w:rFonts w:eastAsia="Times New Roman"/>
        </w:rPr>
        <w:t>health care</w:t>
      </w:r>
      <w:r w:rsidRPr="00C64F3D">
        <w:rPr>
          <w:rFonts w:eastAsia="Times New Roman"/>
        </w:rPr>
        <w:t xml:space="preserve"> providers.</w:t>
      </w:r>
      <w:bookmarkEnd w:id="136"/>
    </w:p>
    <w:p w14:paraId="4B4E5716" w14:textId="77777777" w:rsidR="00FC6AD9" w:rsidRPr="00C64F3D" w:rsidRDefault="00FC6AD9" w:rsidP="00D731D6">
      <w:pPr>
        <w:pStyle w:val="NCDBodyText"/>
      </w:pPr>
      <w:r w:rsidRPr="00C64F3D">
        <w:t>In addition to being a tool for remedying widespread, systemic disability discrimination, adoption of the MDE Standards would clarify legal obligations and remove ambiguity about required access for patients, providers, and health systems. By removing ambiguity from the process, enforceable MDE Standards would promote the delivery of safe, efficient</w:t>
      </w:r>
      <w:r>
        <w:t>,</w:t>
      </w:r>
      <w:r w:rsidRPr="00C64F3D">
        <w:t xml:space="preserve"> and appropriate care to millions of Americans. </w:t>
      </w:r>
    </w:p>
    <w:p w14:paraId="176FCAE0" w14:textId="77777777" w:rsidR="00FC6AD9" w:rsidRDefault="00FC6AD9" w:rsidP="00D731D6">
      <w:pPr>
        <w:pStyle w:val="NCDBodyText"/>
      </w:pPr>
      <w:bookmarkStart w:id="137" w:name="_Hlk68031520"/>
      <w:r w:rsidRPr="00C64F3D">
        <w:t xml:space="preserve">Disability is part of the human condition. All </w:t>
      </w:r>
      <w:r>
        <w:t>health care</w:t>
      </w:r>
      <w:r w:rsidRPr="00C64F3D">
        <w:t xml:space="preserve"> providers, regardless of practice setting, size, geographic location, and specialty</w:t>
      </w:r>
      <w:r>
        <w:t>,</w:t>
      </w:r>
      <w:r w:rsidRPr="00C64F3D">
        <w:t xml:space="preserve"> will have people with permanent and transient disabilities among the people they serve. The creation of a culture of access through the formal adoption of MDE Standards by enforcing authorities will help ensure that the U.S. </w:t>
      </w:r>
      <w:r>
        <w:t>health care</w:t>
      </w:r>
      <w:r w:rsidRPr="00C64F3D">
        <w:t xml:space="preserve"> system is meeting the needs of all Americans. This will also benefit those essential workers</w:t>
      </w:r>
      <w:r>
        <w:t>—</w:t>
      </w:r>
      <w:r w:rsidRPr="00C64F3D">
        <w:t>nurses, technicians, doctors, therapists, and aids</w:t>
      </w:r>
      <w:r>
        <w:t>—</w:t>
      </w:r>
      <w:r w:rsidRPr="00C64F3D">
        <w:t>dedicated to the provision of safe, effective, and timely preventive, primary, emergency</w:t>
      </w:r>
      <w:r>
        <w:t>,</w:t>
      </w:r>
      <w:r w:rsidRPr="00C64F3D">
        <w:t xml:space="preserve"> and specialty care. </w:t>
      </w:r>
    </w:p>
    <w:tbl>
      <w:tblPr>
        <w:tblStyle w:val="GridTable4Accent1"/>
        <w:tblW w:w="0" w:type="auto"/>
        <w:jc w:val="center"/>
        <w:tblLook w:val="04A0" w:firstRow="1" w:lastRow="0" w:firstColumn="1" w:lastColumn="0" w:noHBand="0" w:noVBand="1"/>
        <w:tblDescription w:val="Year History of Law and Policy Related to Accessible Medical Diagnostic Equipment&#10;"/>
      </w:tblPr>
      <w:tblGrid>
        <w:gridCol w:w="1457"/>
        <w:gridCol w:w="8119"/>
      </w:tblGrid>
      <w:tr w:rsidR="00FC6AD9" w:rsidRPr="00C64F3D" w14:paraId="3F8362EE" w14:textId="77777777" w:rsidTr="00D731D6">
        <w:trPr>
          <w:cnfStyle w:val="100000000000" w:firstRow="1" w:lastRow="0" w:firstColumn="0" w:lastColumn="0" w:oddVBand="0" w:evenVBand="0" w:oddHBand="0" w:evenHBand="0" w:firstRowFirstColumn="0" w:firstRowLastColumn="0" w:lastRowFirstColumn="0" w:lastRowLastColumn="0"/>
          <w:trHeight w:val="638"/>
          <w:tblHeader/>
          <w:jc w:val="center"/>
        </w:trPr>
        <w:tc>
          <w:tcPr>
            <w:cnfStyle w:val="001000000000" w:firstRow="0" w:lastRow="0" w:firstColumn="1" w:lastColumn="0" w:oddVBand="0" w:evenVBand="0" w:oddHBand="0" w:evenHBand="0" w:firstRowFirstColumn="0" w:firstRowLastColumn="0" w:lastRowFirstColumn="0" w:lastRowLastColumn="0"/>
            <w:tcW w:w="1457" w:type="dxa"/>
            <w:vAlign w:val="center"/>
          </w:tcPr>
          <w:bookmarkEnd w:id="137"/>
          <w:p w14:paraId="36C6ABB9" w14:textId="77777777" w:rsidR="00FC6AD9" w:rsidRPr="00D731D6" w:rsidRDefault="00FC6AD9" w:rsidP="00D731D6">
            <w:pPr>
              <w:pStyle w:val="NCDTableHeader"/>
              <w:rPr>
                <w:b/>
              </w:rPr>
            </w:pPr>
            <w:r w:rsidRPr="00D731D6">
              <w:rPr>
                <w:b/>
              </w:rPr>
              <w:t>Year</w:t>
            </w:r>
          </w:p>
        </w:tc>
        <w:tc>
          <w:tcPr>
            <w:tcW w:w="8119" w:type="dxa"/>
            <w:vAlign w:val="center"/>
          </w:tcPr>
          <w:p w14:paraId="7EB6A275" w14:textId="6BFA0DC8" w:rsidR="00FC6AD9" w:rsidRPr="00D731D6" w:rsidRDefault="00FC6AD9" w:rsidP="00D731D6">
            <w:pPr>
              <w:pStyle w:val="NCDTableHeader"/>
              <w:cnfStyle w:val="100000000000" w:firstRow="1" w:lastRow="0" w:firstColumn="0" w:lastColumn="0" w:oddVBand="0" w:evenVBand="0" w:oddHBand="0" w:evenHBand="0" w:firstRowFirstColumn="0" w:firstRowLastColumn="0" w:lastRowFirstColumn="0" w:lastRowLastColumn="0"/>
              <w:rPr>
                <w:b/>
              </w:rPr>
            </w:pPr>
            <w:r w:rsidRPr="00D731D6">
              <w:rPr>
                <w:b/>
              </w:rPr>
              <w:t xml:space="preserve">History of Law and Policy Related to </w:t>
            </w:r>
            <w:r w:rsidR="00D731D6" w:rsidRPr="00D731D6">
              <w:rPr>
                <w:b/>
              </w:rPr>
              <w:br/>
            </w:r>
            <w:r w:rsidRPr="00D731D6">
              <w:rPr>
                <w:b/>
              </w:rPr>
              <w:t>Accessible Medical Diagnostic Equipment</w:t>
            </w:r>
          </w:p>
        </w:tc>
      </w:tr>
      <w:tr w:rsidR="00FC6AD9" w:rsidRPr="00C64F3D" w14:paraId="0BB40B4B" w14:textId="77777777" w:rsidTr="00D731D6">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457" w:type="dxa"/>
          </w:tcPr>
          <w:p w14:paraId="2E772B0A" w14:textId="77777777" w:rsidR="00FC6AD9" w:rsidRPr="00C64F3D" w:rsidRDefault="00FC6AD9" w:rsidP="00D731D6">
            <w:pPr>
              <w:pStyle w:val="NCDTableText"/>
              <w:spacing w:before="120" w:after="120"/>
            </w:pPr>
            <w:r w:rsidRPr="00C64F3D">
              <w:t>9/26/1973</w:t>
            </w:r>
          </w:p>
          <w:p w14:paraId="2CBAEBA9" w14:textId="77777777" w:rsidR="00FC6AD9" w:rsidRPr="00C64F3D" w:rsidRDefault="00FC6AD9" w:rsidP="00D731D6">
            <w:pPr>
              <w:pStyle w:val="NCDTableText"/>
              <w:spacing w:before="120" w:after="120"/>
            </w:pPr>
          </w:p>
        </w:tc>
        <w:tc>
          <w:tcPr>
            <w:tcW w:w="8119" w:type="dxa"/>
          </w:tcPr>
          <w:p w14:paraId="14513D94" w14:textId="72EFA904" w:rsidR="00FC6AD9" w:rsidRPr="00C64F3D" w:rsidRDefault="00FC6AD9" w:rsidP="00D731D6">
            <w:pPr>
              <w:pStyle w:val="NCDTableText"/>
              <w:spacing w:before="120" w:after="120"/>
              <w:cnfStyle w:val="000000100000" w:firstRow="0" w:lastRow="0" w:firstColumn="0" w:lastColumn="0" w:oddVBand="0" w:evenVBand="0" w:oddHBand="1" w:evenHBand="0" w:firstRowFirstColumn="0" w:firstRowLastColumn="0" w:lastRowFirstColumn="0" w:lastRowLastColumn="0"/>
            </w:pPr>
            <w:r w:rsidRPr="00C64F3D">
              <w:t xml:space="preserve">Section 504 of the Rehabilitation Act is enacted, prohibiting discrimination on the basis of disability by any program or activity receiving </w:t>
            </w:r>
            <w:r>
              <w:t>f</w:t>
            </w:r>
            <w:r w:rsidRPr="00C64F3D">
              <w:t xml:space="preserve">ederal financial assistance or under any program or activity conducted by any </w:t>
            </w:r>
            <w:r>
              <w:t>e</w:t>
            </w:r>
            <w:r w:rsidRPr="00C64F3D">
              <w:t>xecutive agency or by the U</w:t>
            </w:r>
            <w:r>
              <w:t>.</w:t>
            </w:r>
            <w:r w:rsidRPr="00C64F3D">
              <w:t>S</w:t>
            </w:r>
            <w:r>
              <w:t>.</w:t>
            </w:r>
            <w:r w:rsidRPr="00C64F3D">
              <w:t xml:space="preserve"> Postal Service.</w:t>
            </w:r>
            <w:r>
              <w:t xml:space="preserve"> </w:t>
            </w:r>
          </w:p>
        </w:tc>
      </w:tr>
      <w:tr w:rsidR="00FC6AD9" w:rsidRPr="00C64F3D" w14:paraId="31FB647B" w14:textId="77777777" w:rsidTr="00D731D6">
        <w:trPr>
          <w:trHeight w:val="638"/>
          <w:jc w:val="center"/>
        </w:trPr>
        <w:tc>
          <w:tcPr>
            <w:cnfStyle w:val="001000000000" w:firstRow="0" w:lastRow="0" w:firstColumn="1" w:lastColumn="0" w:oddVBand="0" w:evenVBand="0" w:oddHBand="0" w:evenHBand="0" w:firstRowFirstColumn="0" w:firstRowLastColumn="0" w:lastRowFirstColumn="0" w:lastRowLastColumn="0"/>
            <w:tcW w:w="1457" w:type="dxa"/>
          </w:tcPr>
          <w:p w14:paraId="1521FC63" w14:textId="77777777" w:rsidR="00FC6AD9" w:rsidRPr="00C64F3D" w:rsidRDefault="00FC6AD9" w:rsidP="00D731D6">
            <w:pPr>
              <w:pStyle w:val="NCDTableText"/>
              <w:spacing w:before="120" w:after="120"/>
            </w:pPr>
            <w:r w:rsidRPr="00C64F3D">
              <w:t>7/26/1990</w:t>
            </w:r>
          </w:p>
        </w:tc>
        <w:tc>
          <w:tcPr>
            <w:tcW w:w="8119" w:type="dxa"/>
          </w:tcPr>
          <w:p w14:paraId="3FF841A6" w14:textId="6F33E5ED" w:rsidR="00FC6AD9" w:rsidRPr="00C64F3D" w:rsidRDefault="00FC6AD9" w:rsidP="00D731D6">
            <w:pPr>
              <w:pStyle w:val="NCDTableText"/>
              <w:spacing w:before="120" w:after="120"/>
              <w:cnfStyle w:val="000000000000" w:firstRow="0" w:lastRow="0" w:firstColumn="0" w:lastColumn="0" w:oddVBand="0" w:evenVBand="0" w:oddHBand="0" w:evenHBand="0" w:firstRowFirstColumn="0" w:firstRowLastColumn="0" w:lastRowFirstColumn="0" w:lastRowLastColumn="0"/>
            </w:pPr>
            <w:r w:rsidRPr="00C64F3D">
              <w:t>The ADA is enacted, prohibiting discrimination on the basis of disability in employment (Title I), local and state government programs and services (Title II), places of public accommodation (Title III), Telecommunications (Title IV)</w:t>
            </w:r>
            <w:r>
              <w:t>,</w:t>
            </w:r>
            <w:r w:rsidRPr="00C64F3D">
              <w:t xml:space="preserve"> and transportation. </w:t>
            </w:r>
          </w:p>
        </w:tc>
      </w:tr>
      <w:tr w:rsidR="00FC6AD9" w:rsidRPr="00C64F3D" w14:paraId="198C1697" w14:textId="77777777" w:rsidTr="00D731D6">
        <w:trPr>
          <w:cnfStyle w:val="000000100000" w:firstRow="0" w:lastRow="0" w:firstColumn="0" w:lastColumn="0" w:oddVBand="0" w:evenVBand="0" w:oddHBand="1"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1457" w:type="dxa"/>
          </w:tcPr>
          <w:p w14:paraId="144AA119" w14:textId="77777777" w:rsidR="00FC6AD9" w:rsidRPr="00C64F3D" w:rsidRDefault="00FC6AD9" w:rsidP="00D731D6">
            <w:pPr>
              <w:pStyle w:val="NCDTableText"/>
              <w:spacing w:before="120" w:after="120"/>
            </w:pPr>
            <w:r w:rsidRPr="00C64F3D">
              <w:t>7/26/1991</w:t>
            </w:r>
          </w:p>
        </w:tc>
        <w:tc>
          <w:tcPr>
            <w:tcW w:w="8119" w:type="dxa"/>
          </w:tcPr>
          <w:p w14:paraId="06B99B6B" w14:textId="3508AF75" w:rsidR="00FC6AD9" w:rsidRPr="00C64F3D" w:rsidRDefault="00FC6AD9" w:rsidP="00D731D6">
            <w:pPr>
              <w:pStyle w:val="NCDTableText"/>
              <w:spacing w:before="120" w:after="120"/>
              <w:cnfStyle w:val="000000100000" w:firstRow="0" w:lastRow="0" w:firstColumn="0" w:lastColumn="0" w:oddVBand="0" w:evenVBand="0" w:oddHBand="1" w:evenHBand="0" w:firstRowFirstColumn="0" w:firstRowLastColumn="0" w:lastRowFirstColumn="0" w:lastRowLastColumn="0"/>
            </w:pPr>
            <w:r w:rsidRPr="00C64F3D">
              <w:t>DOJ proposes regulations under Title</w:t>
            </w:r>
            <w:r>
              <w:t>s</w:t>
            </w:r>
            <w:r w:rsidRPr="00C64F3D">
              <w:t xml:space="preserve"> II and III of ADA addressing multiple requirements, including that all new equipment purchases must be accessible to the extent available. (This provision was not included in the final rulemaking due to the lack of consensus on equipment accessibility standards</w:t>
            </w:r>
            <w:r>
              <w:t>.</w:t>
            </w:r>
            <w:r w:rsidRPr="00C64F3D">
              <w:t>)</w:t>
            </w:r>
          </w:p>
        </w:tc>
      </w:tr>
      <w:tr w:rsidR="00FC6AD9" w:rsidRPr="00C64F3D" w14:paraId="17C1065E" w14:textId="77777777" w:rsidTr="00D731D6">
        <w:trPr>
          <w:trHeight w:val="638"/>
          <w:jc w:val="center"/>
        </w:trPr>
        <w:tc>
          <w:tcPr>
            <w:cnfStyle w:val="001000000000" w:firstRow="0" w:lastRow="0" w:firstColumn="1" w:lastColumn="0" w:oddVBand="0" w:evenVBand="0" w:oddHBand="0" w:evenHBand="0" w:firstRowFirstColumn="0" w:firstRowLastColumn="0" w:lastRowFirstColumn="0" w:lastRowLastColumn="0"/>
            <w:tcW w:w="1457" w:type="dxa"/>
          </w:tcPr>
          <w:p w14:paraId="2E4B539B" w14:textId="77777777" w:rsidR="00FC6AD9" w:rsidRPr="00C64F3D" w:rsidRDefault="00FC6AD9" w:rsidP="00D731D6">
            <w:pPr>
              <w:pStyle w:val="NCDTableText"/>
              <w:pageBreakBefore/>
              <w:spacing w:before="120" w:after="120"/>
            </w:pPr>
            <w:r w:rsidRPr="00C64F3D">
              <w:t>9/30/2004</w:t>
            </w:r>
          </w:p>
          <w:p w14:paraId="1AD3365B" w14:textId="77777777" w:rsidR="00FC6AD9" w:rsidRPr="00C64F3D" w:rsidRDefault="00FC6AD9" w:rsidP="00D731D6">
            <w:pPr>
              <w:pStyle w:val="NCDTableText"/>
              <w:spacing w:before="120" w:after="120"/>
            </w:pPr>
            <w:r w:rsidRPr="00C64F3D">
              <w:t>6/17/2008</w:t>
            </w:r>
          </w:p>
        </w:tc>
        <w:tc>
          <w:tcPr>
            <w:tcW w:w="8119" w:type="dxa"/>
          </w:tcPr>
          <w:p w14:paraId="261892B6" w14:textId="293FE6CF" w:rsidR="00FC6AD9" w:rsidRPr="00C64F3D" w:rsidRDefault="00FC6AD9" w:rsidP="00D731D6">
            <w:pPr>
              <w:pStyle w:val="NCDTableText"/>
              <w:spacing w:before="120" w:after="120"/>
              <w:cnfStyle w:val="000000000000" w:firstRow="0" w:lastRow="0" w:firstColumn="0" w:lastColumn="0" w:oddVBand="0" w:evenVBand="0" w:oddHBand="0" w:evenHBand="0" w:firstRowFirstColumn="0" w:firstRowLastColumn="0" w:lastRowFirstColumn="0" w:lastRowLastColumn="0"/>
            </w:pPr>
            <w:r w:rsidRPr="00C64F3D">
              <w:t>DOJ issues ANPRM</w:t>
            </w:r>
            <w:r>
              <w:t>s</w:t>
            </w:r>
            <w:r w:rsidRPr="00C64F3D">
              <w:t xml:space="preserve"> for revised regulations under Title</w:t>
            </w:r>
            <w:r>
              <w:t>s</w:t>
            </w:r>
            <w:r w:rsidRPr="00C64F3D">
              <w:t xml:space="preserve"> II and III of the ADA.</w:t>
            </w:r>
            <w:r>
              <w:t xml:space="preserve"> The </w:t>
            </w:r>
            <w:r w:rsidRPr="00C64F3D">
              <w:t xml:space="preserve">DOJ received numerous comments regarding the inclusion of </w:t>
            </w:r>
            <w:proofErr w:type="spellStart"/>
            <w:r w:rsidRPr="00C64F3D">
              <w:t>nonfixed</w:t>
            </w:r>
            <w:proofErr w:type="spellEnd"/>
            <w:r>
              <w:t>,</w:t>
            </w:r>
            <w:r w:rsidRPr="00C64F3D">
              <w:t xml:space="preserve"> accessible furniture and equipment.</w:t>
            </w:r>
            <w:r>
              <w:t xml:space="preserve"> </w:t>
            </w:r>
            <w:r w:rsidRPr="00C64F3D">
              <w:t>In the 2008 Notice of Proposed Rule</w:t>
            </w:r>
            <w:r>
              <w:t>m</w:t>
            </w:r>
            <w:r w:rsidRPr="00C64F3D">
              <w:t>aking, DOJ declined to include accessible furniture and equipment but stated that it would continue its approach of requiring accessible equipment and furniture on a case-by-case basis.</w:t>
            </w:r>
          </w:p>
        </w:tc>
      </w:tr>
      <w:tr w:rsidR="00FC6AD9" w:rsidRPr="00C64F3D" w14:paraId="21998672" w14:textId="77777777" w:rsidTr="00D731D6">
        <w:trPr>
          <w:cnfStyle w:val="000000100000" w:firstRow="0" w:lastRow="0" w:firstColumn="0" w:lastColumn="0" w:oddVBand="0" w:evenVBand="0" w:oddHBand="1"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1457" w:type="dxa"/>
          </w:tcPr>
          <w:p w14:paraId="631E0B1B" w14:textId="77777777" w:rsidR="00FC6AD9" w:rsidRPr="00C64F3D" w:rsidRDefault="00FC6AD9" w:rsidP="00D731D6">
            <w:pPr>
              <w:pStyle w:val="NCDTableText"/>
              <w:spacing w:before="120" w:after="120"/>
            </w:pPr>
            <w:r w:rsidRPr="00C64F3D">
              <w:t>7/10/2010</w:t>
            </w:r>
          </w:p>
        </w:tc>
        <w:tc>
          <w:tcPr>
            <w:tcW w:w="8119" w:type="dxa"/>
          </w:tcPr>
          <w:p w14:paraId="2810A513" w14:textId="13865BBC" w:rsidR="00FC6AD9" w:rsidRPr="00D731D6" w:rsidRDefault="00FC6AD9" w:rsidP="00D731D6">
            <w:pPr>
              <w:pStyle w:val="NCDTableText"/>
              <w:spacing w:before="120" w:after="120"/>
              <w:cnfStyle w:val="000000100000" w:firstRow="0" w:lastRow="0" w:firstColumn="0" w:lastColumn="0" w:oddVBand="0" w:evenVBand="0" w:oddHBand="1" w:evenHBand="0" w:firstRowFirstColumn="0" w:firstRowLastColumn="0" w:lastRowFirstColumn="0" w:lastRowLastColumn="0"/>
              <w:rPr>
                <w:spacing w:val="-4"/>
              </w:rPr>
            </w:pPr>
            <w:r w:rsidRPr="00D731D6">
              <w:rPr>
                <w:spacing w:val="-4"/>
              </w:rPr>
              <w:t>DOJ issues final Revised Regulations under Titles II and III, including revised ADA Standards for Accessible Design for buildings and facilities but not including “non-fixed furniture and equipment” such as accessible MDE.</w:t>
            </w:r>
          </w:p>
        </w:tc>
      </w:tr>
      <w:tr w:rsidR="00FC6AD9" w:rsidRPr="00C64F3D" w14:paraId="66BB7D89" w14:textId="77777777" w:rsidTr="00985B96">
        <w:trPr>
          <w:trHeight w:val="557"/>
          <w:jc w:val="center"/>
        </w:trPr>
        <w:tc>
          <w:tcPr>
            <w:cnfStyle w:val="001000000000" w:firstRow="0" w:lastRow="0" w:firstColumn="1" w:lastColumn="0" w:oddVBand="0" w:evenVBand="0" w:oddHBand="0" w:evenHBand="0" w:firstRowFirstColumn="0" w:firstRowLastColumn="0" w:lastRowFirstColumn="0" w:lastRowLastColumn="0"/>
            <w:tcW w:w="1457" w:type="dxa"/>
            <w:tcBorders>
              <w:bottom w:val="single" w:sz="4" w:space="0" w:color="95B3D7" w:themeColor="accent1" w:themeTint="99"/>
            </w:tcBorders>
          </w:tcPr>
          <w:p w14:paraId="19C79444" w14:textId="77777777" w:rsidR="00FC6AD9" w:rsidRPr="00C64F3D" w:rsidRDefault="00FC6AD9" w:rsidP="00D731D6">
            <w:pPr>
              <w:pStyle w:val="NCDTableText"/>
              <w:spacing w:before="120" w:after="120"/>
            </w:pPr>
            <w:r w:rsidRPr="00C64F3D">
              <w:t>7/29/2010</w:t>
            </w:r>
          </w:p>
        </w:tc>
        <w:tc>
          <w:tcPr>
            <w:tcW w:w="8119" w:type="dxa"/>
            <w:tcBorders>
              <w:bottom w:val="single" w:sz="4" w:space="0" w:color="95B3D7" w:themeColor="accent1" w:themeTint="99"/>
            </w:tcBorders>
          </w:tcPr>
          <w:p w14:paraId="5A255F07" w14:textId="2479E82E" w:rsidR="00FC6AD9" w:rsidRPr="00C64F3D" w:rsidRDefault="00FC6AD9" w:rsidP="00D731D6">
            <w:pPr>
              <w:pStyle w:val="NCDTableText"/>
              <w:spacing w:before="120" w:after="120"/>
              <w:cnfStyle w:val="000000000000" w:firstRow="0" w:lastRow="0" w:firstColumn="0" w:lastColumn="0" w:oddVBand="0" w:evenVBand="0" w:oddHBand="0" w:evenHBand="0" w:firstRowFirstColumn="0" w:firstRowLastColumn="0" w:lastRowFirstColumn="0" w:lastRowLastColumn="0"/>
            </w:pPr>
            <w:r w:rsidRPr="00C64F3D">
              <w:t xml:space="preserve">DOJ issues an </w:t>
            </w:r>
            <w:r>
              <w:t xml:space="preserve">ANPRM </w:t>
            </w:r>
            <w:r w:rsidRPr="00C64F3D">
              <w:t>that sought public comments on revising Titles II and III of the ADA to include requirements for accessible medical equipment. Public Comments were due in January 2011. Over 360 comments were submitted by the public.</w:t>
            </w:r>
          </w:p>
        </w:tc>
      </w:tr>
      <w:tr w:rsidR="00FC6AD9" w:rsidRPr="00C64F3D" w14:paraId="33C89C91" w14:textId="77777777" w:rsidTr="00985B96">
        <w:trPr>
          <w:cnfStyle w:val="000000100000" w:firstRow="0" w:lastRow="0" w:firstColumn="0" w:lastColumn="0" w:oddVBand="0" w:evenVBand="0" w:oddHBand="1" w:evenHBand="0" w:firstRowFirstColumn="0" w:firstRowLastColumn="0" w:lastRowFirstColumn="0" w:lastRowLastColumn="0"/>
          <w:trHeight w:val="2653"/>
          <w:jc w:val="center"/>
        </w:trPr>
        <w:tc>
          <w:tcPr>
            <w:cnfStyle w:val="001000000000" w:firstRow="0" w:lastRow="0" w:firstColumn="1" w:lastColumn="0" w:oddVBand="0" w:evenVBand="0" w:oddHBand="0" w:evenHBand="0" w:firstRowFirstColumn="0" w:firstRowLastColumn="0" w:lastRowFirstColumn="0" w:lastRowLastColumn="0"/>
            <w:tcW w:w="1457" w:type="dxa"/>
            <w:tcBorders>
              <w:bottom w:val="single" w:sz="4" w:space="0" w:color="95B3D7" w:themeColor="accent1" w:themeTint="99"/>
            </w:tcBorders>
          </w:tcPr>
          <w:p w14:paraId="41CBE37C" w14:textId="77777777" w:rsidR="00FC6AD9" w:rsidRPr="00C64F3D" w:rsidRDefault="00FC6AD9" w:rsidP="00D731D6">
            <w:pPr>
              <w:pStyle w:val="NCDTableText"/>
              <w:spacing w:before="120" w:after="120"/>
            </w:pPr>
            <w:r w:rsidRPr="00C64F3D">
              <w:t>3/3/2010</w:t>
            </w:r>
          </w:p>
        </w:tc>
        <w:tc>
          <w:tcPr>
            <w:tcW w:w="8119" w:type="dxa"/>
            <w:tcBorders>
              <w:bottom w:val="single" w:sz="4" w:space="0" w:color="95B3D7" w:themeColor="accent1" w:themeTint="99"/>
            </w:tcBorders>
          </w:tcPr>
          <w:p w14:paraId="2D21210F" w14:textId="73CCFEFB" w:rsidR="00FC6AD9" w:rsidRPr="00C64F3D" w:rsidRDefault="00FC6AD9" w:rsidP="00D731D6">
            <w:pPr>
              <w:pStyle w:val="NCDTableText"/>
              <w:spacing w:before="120" w:after="120"/>
              <w:cnfStyle w:val="000000100000" w:firstRow="0" w:lastRow="0" w:firstColumn="0" w:lastColumn="0" w:oddVBand="0" w:evenVBand="0" w:oddHBand="1" w:evenHBand="0" w:firstRowFirstColumn="0" w:firstRowLastColumn="0" w:lastRowFirstColumn="0" w:lastRowLastColumn="0"/>
            </w:pPr>
            <w:r w:rsidRPr="00C64F3D">
              <w:t>The Patient Protection and Affordabl</w:t>
            </w:r>
            <w:r>
              <w:t>e</w:t>
            </w:r>
            <w:r w:rsidRPr="00C64F3D">
              <w:t xml:space="preserve"> Care Act (ACA) </w:t>
            </w:r>
            <w:proofErr w:type="gramStart"/>
            <w:r w:rsidRPr="00C64F3D">
              <w:t>is</w:t>
            </w:r>
            <w:proofErr w:type="gramEnd"/>
            <w:r w:rsidRPr="00C64F3D">
              <w:t xml:space="preserve"> enacted.</w:t>
            </w:r>
          </w:p>
          <w:p w14:paraId="5F50A4A1" w14:textId="48FCADD0" w:rsidR="00FC6AD9" w:rsidRPr="00C64F3D" w:rsidRDefault="00FC6AD9" w:rsidP="00D731D6">
            <w:pPr>
              <w:pStyle w:val="NCDTableText"/>
              <w:spacing w:before="120" w:after="120"/>
              <w:cnfStyle w:val="000000100000" w:firstRow="0" w:lastRow="0" w:firstColumn="0" w:lastColumn="0" w:oddVBand="0" w:evenVBand="0" w:oddHBand="1" w:evenHBand="0" w:firstRowFirstColumn="0" w:firstRowLastColumn="0" w:lastRowFirstColumn="0" w:lastRowLastColumn="0"/>
            </w:pPr>
            <w:r w:rsidRPr="00C64F3D">
              <w:t xml:space="preserve">Section 4203 amended the Rehabilitation Act by adding Section 510, which charges the Access Board, in cooperation with the </w:t>
            </w:r>
            <w:r>
              <w:t xml:space="preserve">U.S. </w:t>
            </w:r>
            <w:r w:rsidRPr="00C64F3D">
              <w:t>Food and Drug Administration</w:t>
            </w:r>
            <w:r>
              <w:t>,</w:t>
            </w:r>
            <w:r w:rsidRPr="00C64F3D">
              <w:t xml:space="preserve"> to develop accessibility standards for MDE, including examination tables, examination chairs, weight scales, mammography equipment, x-ray machines</w:t>
            </w:r>
            <w:r>
              <w:t>,</w:t>
            </w:r>
            <w:r w:rsidRPr="00C64F3D">
              <w:t xml:space="preserve"> and other radiological equipment.</w:t>
            </w:r>
          </w:p>
        </w:tc>
      </w:tr>
      <w:tr w:rsidR="00D731D6" w:rsidRPr="00C64F3D" w14:paraId="707159AB" w14:textId="77777777" w:rsidTr="00985B96">
        <w:trPr>
          <w:trHeight w:val="4011"/>
          <w:jc w:val="center"/>
        </w:trPr>
        <w:tc>
          <w:tcPr>
            <w:cnfStyle w:val="001000000000" w:firstRow="0" w:lastRow="0" w:firstColumn="1" w:lastColumn="0" w:oddVBand="0" w:evenVBand="0" w:oddHBand="0" w:evenHBand="0" w:firstRowFirstColumn="0" w:firstRowLastColumn="0" w:lastRowFirstColumn="0" w:lastRowLastColumn="0"/>
            <w:tcW w:w="1457" w:type="dxa"/>
            <w:tcBorders>
              <w:top w:val="single" w:sz="4" w:space="0" w:color="95B3D7" w:themeColor="accent1" w:themeTint="99"/>
              <w:bottom w:val="single" w:sz="4" w:space="0" w:color="95B3D7" w:themeColor="accent1" w:themeTint="99"/>
            </w:tcBorders>
            <w:shd w:val="clear" w:color="auto" w:fill="DBE5F1"/>
          </w:tcPr>
          <w:p w14:paraId="6BE83A76" w14:textId="77777777" w:rsidR="00D731D6" w:rsidRPr="00C64F3D" w:rsidRDefault="00D731D6" w:rsidP="00D731D6">
            <w:pPr>
              <w:pStyle w:val="NCDTableText"/>
              <w:spacing w:before="120" w:after="120"/>
            </w:pPr>
          </w:p>
        </w:tc>
        <w:tc>
          <w:tcPr>
            <w:tcW w:w="8119" w:type="dxa"/>
            <w:tcBorders>
              <w:top w:val="single" w:sz="4" w:space="0" w:color="95B3D7" w:themeColor="accent1" w:themeTint="99"/>
              <w:bottom w:val="single" w:sz="4" w:space="0" w:color="95B3D7" w:themeColor="accent1" w:themeTint="99"/>
            </w:tcBorders>
            <w:shd w:val="clear" w:color="auto" w:fill="DBE5F1"/>
          </w:tcPr>
          <w:p w14:paraId="4717A067" w14:textId="12D9CF91" w:rsidR="00D731D6" w:rsidRPr="00C64F3D" w:rsidRDefault="00D731D6" w:rsidP="00D731D6">
            <w:pPr>
              <w:pStyle w:val="NCDTableText"/>
              <w:spacing w:before="120" w:after="120"/>
              <w:cnfStyle w:val="000000000000" w:firstRow="0" w:lastRow="0" w:firstColumn="0" w:lastColumn="0" w:oddVBand="0" w:evenVBand="0" w:oddHBand="0" w:evenHBand="0" w:firstRowFirstColumn="0" w:firstRowLastColumn="0" w:lastRowFirstColumn="0" w:lastRowLastColumn="0"/>
            </w:pPr>
            <w:r w:rsidRPr="00C64F3D">
              <w:t xml:space="preserve">Section 4302 amends Section 300kk </w:t>
            </w:r>
            <w:r>
              <w:t xml:space="preserve">of </w:t>
            </w:r>
            <w:r w:rsidRPr="00C64F3D">
              <w:t xml:space="preserve">the Public Health Service Act (42 U.S.C. 300kk) by requiring HHS to survey </w:t>
            </w:r>
            <w:r>
              <w:t>health care</w:t>
            </w:r>
            <w:r w:rsidRPr="00C64F3D">
              <w:t xml:space="preserve"> providers and establish other procedures in order to assess access to care and treatment for </w:t>
            </w:r>
            <w:r>
              <w:t>people</w:t>
            </w:r>
            <w:r w:rsidRPr="00C64F3D">
              <w:t xml:space="preserve"> with disabilities and to identify the number of providers with accessible facilities and equipment to meet the needs of </w:t>
            </w:r>
            <w:r>
              <w:t>people</w:t>
            </w:r>
            <w:r w:rsidRPr="00C64F3D">
              <w:t xml:space="preserve"> with disabilities, including </w:t>
            </w:r>
            <w:r>
              <w:t>MDE</w:t>
            </w:r>
            <w:r w:rsidRPr="00C64F3D">
              <w:t xml:space="preserve"> that meets the minimum technical criteria set forth in Section 510 of the Rehabilitation Act, and the number of employees of </w:t>
            </w:r>
            <w:r>
              <w:t>health care</w:t>
            </w:r>
            <w:r w:rsidRPr="00C64F3D">
              <w:t xml:space="preserve"> providers trained in disability awareness and patient care of </w:t>
            </w:r>
            <w:r>
              <w:t xml:space="preserve">people </w:t>
            </w:r>
            <w:r w:rsidRPr="00C64F3D">
              <w:t>with disabilities.</w:t>
            </w:r>
          </w:p>
        </w:tc>
      </w:tr>
      <w:tr w:rsidR="00FC6AD9" w:rsidRPr="00C64F3D" w14:paraId="58342562" w14:textId="77777777" w:rsidTr="00985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7" w:type="dxa"/>
            <w:tcBorders>
              <w:bottom w:val="single" w:sz="4" w:space="0" w:color="95B3D7" w:themeColor="accent1" w:themeTint="99"/>
            </w:tcBorders>
            <w:shd w:val="clear" w:color="auto" w:fill="auto"/>
          </w:tcPr>
          <w:p w14:paraId="322B259E" w14:textId="77777777" w:rsidR="00FC6AD9" w:rsidRPr="00C64F3D" w:rsidRDefault="00FC6AD9" w:rsidP="00D731D6">
            <w:pPr>
              <w:pStyle w:val="NCDTableText"/>
              <w:spacing w:before="120" w:after="120"/>
            </w:pPr>
            <w:r>
              <w:t xml:space="preserve"> </w:t>
            </w:r>
            <w:r w:rsidRPr="00C64F3D">
              <w:t>5/18/2016</w:t>
            </w:r>
          </w:p>
        </w:tc>
        <w:tc>
          <w:tcPr>
            <w:tcW w:w="8119" w:type="dxa"/>
            <w:tcBorders>
              <w:bottom w:val="single" w:sz="4" w:space="0" w:color="95B3D7" w:themeColor="accent1" w:themeTint="99"/>
            </w:tcBorders>
            <w:shd w:val="clear" w:color="auto" w:fill="auto"/>
          </w:tcPr>
          <w:p w14:paraId="3A2929C4" w14:textId="7B6ABFBE" w:rsidR="00FC6AD9" w:rsidRPr="00C64F3D" w:rsidRDefault="00FC6AD9" w:rsidP="00D731D6">
            <w:pPr>
              <w:pStyle w:val="NCDTableText"/>
              <w:spacing w:before="120" w:after="120"/>
              <w:cnfStyle w:val="000000100000" w:firstRow="0" w:lastRow="0" w:firstColumn="0" w:lastColumn="0" w:oddVBand="0" w:evenVBand="0" w:oddHBand="1" w:evenHBand="0" w:firstRowFirstColumn="0" w:firstRowLastColumn="0" w:lastRowFirstColumn="0" w:lastRowLastColumn="0"/>
            </w:pPr>
            <w:r w:rsidRPr="00C64F3D">
              <w:t xml:space="preserve">HHS </w:t>
            </w:r>
            <w:r>
              <w:t>i</w:t>
            </w:r>
            <w:r w:rsidRPr="00C64F3D">
              <w:t xml:space="preserve">ssues a Final Rule on Nondiscrimination in Health Programs and Activities under Section 1557 of the ACA. The Final Rule states that HHS will take action to adopt the MDE </w:t>
            </w:r>
            <w:r>
              <w:t>S</w:t>
            </w:r>
            <w:r w:rsidRPr="00C64F3D">
              <w:t xml:space="preserve">tandards after they are published, and that </w:t>
            </w:r>
            <w:r>
              <w:t>health care</w:t>
            </w:r>
            <w:r w:rsidRPr="00C64F3D">
              <w:t xml:space="preserve"> providers must ensure that health programs and activities that involve the use of medical equipment are accessible to people with disabilities.</w:t>
            </w:r>
          </w:p>
        </w:tc>
      </w:tr>
      <w:tr w:rsidR="00FC6AD9" w:rsidRPr="00C64F3D" w14:paraId="7369B4D6" w14:textId="77777777" w:rsidTr="00985B96">
        <w:trPr>
          <w:jc w:val="center"/>
        </w:trPr>
        <w:tc>
          <w:tcPr>
            <w:cnfStyle w:val="001000000000" w:firstRow="0" w:lastRow="0" w:firstColumn="1" w:lastColumn="0" w:oddVBand="0" w:evenVBand="0" w:oddHBand="0" w:evenHBand="0" w:firstRowFirstColumn="0" w:firstRowLastColumn="0" w:lastRowFirstColumn="0" w:lastRowLastColumn="0"/>
            <w:tcW w:w="1457" w:type="dxa"/>
            <w:shd w:val="clear" w:color="auto" w:fill="DBE5F1"/>
          </w:tcPr>
          <w:p w14:paraId="638B10FE" w14:textId="77777777" w:rsidR="00FC6AD9" w:rsidRPr="00C64F3D" w:rsidRDefault="00FC6AD9" w:rsidP="00D731D6">
            <w:pPr>
              <w:pStyle w:val="NCDTableText"/>
              <w:spacing w:before="120" w:after="120"/>
            </w:pPr>
            <w:r w:rsidRPr="00C64F3D">
              <w:t>1/9/2017</w:t>
            </w:r>
          </w:p>
        </w:tc>
        <w:tc>
          <w:tcPr>
            <w:tcW w:w="8119" w:type="dxa"/>
            <w:shd w:val="clear" w:color="auto" w:fill="DBE5F1"/>
          </w:tcPr>
          <w:p w14:paraId="50F21DAF" w14:textId="56C47C44" w:rsidR="00FC6AD9" w:rsidRPr="00C64F3D" w:rsidRDefault="00FC6AD9" w:rsidP="00D731D6">
            <w:pPr>
              <w:pStyle w:val="NCDTableText"/>
              <w:spacing w:before="120" w:after="120"/>
              <w:cnfStyle w:val="000000000000" w:firstRow="0" w:lastRow="0" w:firstColumn="0" w:lastColumn="0" w:oddVBand="0" w:evenVBand="0" w:oddHBand="0" w:evenHBand="0" w:firstRowFirstColumn="0" w:firstRowLastColumn="0" w:lastRowFirstColumn="0" w:lastRowLastColumn="0"/>
            </w:pPr>
            <w:r w:rsidRPr="00C64F3D">
              <w:t>U</w:t>
            </w:r>
            <w:r>
              <w:t>.</w:t>
            </w:r>
            <w:r w:rsidRPr="00C64F3D">
              <w:t>S</w:t>
            </w:r>
            <w:r>
              <w:t xml:space="preserve">. </w:t>
            </w:r>
            <w:r w:rsidRPr="00C64F3D">
              <w:t xml:space="preserve">Access Board issues its Final Rule on Standards for Accessible Medical Diagnostic Equipment. The </w:t>
            </w:r>
            <w:r>
              <w:t xml:space="preserve">MDE </w:t>
            </w:r>
            <w:r w:rsidRPr="00C64F3D">
              <w:t>Standards are not mandatory and must be adopted by an enforcing agency</w:t>
            </w:r>
            <w:r>
              <w:t xml:space="preserve"> (</w:t>
            </w:r>
            <w:r w:rsidRPr="00C64F3D">
              <w:t>e.g., DOJ and HHS</w:t>
            </w:r>
            <w:r>
              <w:t>)</w:t>
            </w:r>
            <w:r w:rsidRPr="00C64F3D">
              <w:t xml:space="preserve"> to be enforced.</w:t>
            </w:r>
          </w:p>
        </w:tc>
      </w:tr>
      <w:tr w:rsidR="00FC6AD9" w:rsidRPr="00C64F3D" w14:paraId="7A8DE987" w14:textId="77777777" w:rsidTr="00985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7" w:type="dxa"/>
            <w:tcBorders>
              <w:bottom w:val="single" w:sz="4" w:space="0" w:color="95B3D7" w:themeColor="accent1" w:themeTint="99"/>
            </w:tcBorders>
            <w:shd w:val="clear" w:color="auto" w:fill="auto"/>
          </w:tcPr>
          <w:p w14:paraId="394B7605" w14:textId="77777777" w:rsidR="00FC6AD9" w:rsidRPr="00C64F3D" w:rsidRDefault="00FC6AD9" w:rsidP="00D731D6">
            <w:pPr>
              <w:pStyle w:val="NCDTableText"/>
              <w:spacing w:before="120" w:after="120"/>
            </w:pPr>
            <w:r w:rsidRPr="00C64F3D">
              <w:t>2017</w:t>
            </w:r>
          </w:p>
        </w:tc>
        <w:tc>
          <w:tcPr>
            <w:tcW w:w="8119" w:type="dxa"/>
            <w:tcBorders>
              <w:bottom w:val="single" w:sz="4" w:space="0" w:color="95B3D7" w:themeColor="accent1" w:themeTint="99"/>
            </w:tcBorders>
            <w:shd w:val="clear" w:color="auto" w:fill="auto"/>
          </w:tcPr>
          <w:p w14:paraId="2FFC3BC6" w14:textId="4AE023A7" w:rsidR="00FC6AD9" w:rsidRPr="00C64F3D" w:rsidRDefault="00FC6AD9" w:rsidP="00D731D6">
            <w:pPr>
              <w:pStyle w:val="NCDTableText"/>
              <w:spacing w:before="120" w:after="120"/>
              <w:cnfStyle w:val="000000100000" w:firstRow="0" w:lastRow="0" w:firstColumn="0" w:lastColumn="0" w:oddVBand="0" w:evenVBand="0" w:oddHBand="1" w:evenHBand="0" w:firstRowFirstColumn="0" w:firstRowLastColumn="0" w:lastRowFirstColumn="0" w:lastRowLastColumn="0"/>
            </w:pPr>
            <w:r w:rsidRPr="00C64F3D">
              <w:t>VA incorporates the U.S. Access Board Standards for Medical Diagnostic Equipment as part of its procurement policies.</w:t>
            </w:r>
          </w:p>
        </w:tc>
      </w:tr>
      <w:tr w:rsidR="00FC6AD9" w:rsidRPr="00C64F3D" w14:paraId="5C96352E" w14:textId="77777777" w:rsidTr="00985B96">
        <w:trPr>
          <w:jc w:val="center"/>
        </w:trPr>
        <w:tc>
          <w:tcPr>
            <w:cnfStyle w:val="001000000000" w:firstRow="0" w:lastRow="0" w:firstColumn="1" w:lastColumn="0" w:oddVBand="0" w:evenVBand="0" w:oddHBand="0" w:evenHBand="0" w:firstRowFirstColumn="0" w:firstRowLastColumn="0" w:lastRowFirstColumn="0" w:lastRowLastColumn="0"/>
            <w:tcW w:w="1457" w:type="dxa"/>
            <w:shd w:val="clear" w:color="auto" w:fill="DBE5F1"/>
          </w:tcPr>
          <w:p w14:paraId="3144CEA3" w14:textId="77777777" w:rsidR="00FC6AD9" w:rsidRPr="00C64F3D" w:rsidRDefault="00FC6AD9" w:rsidP="00D731D6">
            <w:pPr>
              <w:pStyle w:val="NCDTableText"/>
              <w:spacing w:before="120" w:after="120"/>
            </w:pPr>
            <w:r w:rsidRPr="00C64F3D">
              <w:t>1/30/2017</w:t>
            </w:r>
          </w:p>
        </w:tc>
        <w:tc>
          <w:tcPr>
            <w:tcW w:w="8119" w:type="dxa"/>
            <w:shd w:val="clear" w:color="auto" w:fill="DBE5F1"/>
          </w:tcPr>
          <w:p w14:paraId="2DD4ED09" w14:textId="13C4AD8A" w:rsidR="00FC6AD9" w:rsidRPr="00C64F3D" w:rsidRDefault="00FC6AD9" w:rsidP="00D731D6">
            <w:pPr>
              <w:pStyle w:val="NCDTableText"/>
              <w:spacing w:before="120" w:after="120"/>
              <w:cnfStyle w:val="000000000000" w:firstRow="0" w:lastRow="0" w:firstColumn="0" w:lastColumn="0" w:oddVBand="0" w:evenVBand="0" w:oddHBand="0" w:evenHBand="0" w:firstRowFirstColumn="0" w:firstRowLastColumn="0" w:lastRowFirstColumn="0" w:lastRowLastColumn="0"/>
            </w:pPr>
            <w:r w:rsidRPr="00C64F3D">
              <w:t>President Trump issued Executive Order 13771</w:t>
            </w:r>
            <w:r>
              <w:t xml:space="preserve">, </w:t>
            </w:r>
            <w:r w:rsidRPr="00C64F3D">
              <w:t>Reducing Regulation and Controlling Regulatory</w:t>
            </w:r>
            <w:r>
              <w:t xml:space="preserve"> </w:t>
            </w:r>
            <w:r w:rsidRPr="00C64F3D">
              <w:t>Costs</w:t>
            </w:r>
            <w:r>
              <w:t xml:space="preserve">, </w:t>
            </w:r>
            <w:r w:rsidRPr="00C64F3D">
              <w:t>mandating that no new policies or regulation</w:t>
            </w:r>
            <w:r>
              <w:t>s</w:t>
            </w:r>
            <w:r w:rsidRPr="00C64F3D">
              <w:t xml:space="preserve"> can be implemented unless they can document cost neutrality</w:t>
            </w:r>
            <w:r>
              <w:t>,</w:t>
            </w:r>
            <w:r w:rsidRPr="00C64F3D">
              <w:t xml:space="preserve"> and for every new regulation implemented, two regulations must be rescinded.</w:t>
            </w:r>
          </w:p>
        </w:tc>
      </w:tr>
      <w:tr w:rsidR="00FC6AD9" w:rsidRPr="00C64F3D" w14:paraId="74E646A5" w14:textId="77777777" w:rsidTr="00985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7" w:type="dxa"/>
            <w:tcBorders>
              <w:bottom w:val="single" w:sz="4" w:space="0" w:color="95B3D7" w:themeColor="accent1" w:themeTint="99"/>
            </w:tcBorders>
            <w:shd w:val="clear" w:color="auto" w:fill="auto"/>
          </w:tcPr>
          <w:p w14:paraId="0983076C" w14:textId="77777777" w:rsidR="00FC6AD9" w:rsidRPr="00C64F3D" w:rsidRDefault="00FC6AD9" w:rsidP="00D731D6">
            <w:pPr>
              <w:pStyle w:val="NCDTableText"/>
              <w:spacing w:before="120" w:after="120"/>
            </w:pPr>
            <w:r w:rsidRPr="00C64F3D">
              <w:t>12/26/2017</w:t>
            </w:r>
          </w:p>
        </w:tc>
        <w:tc>
          <w:tcPr>
            <w:tcW w:w="8119" w:type="dxa"/>
            <w:tcBorders>
              <w:bottom w:val="single" w:sz="4" w:space="0" w:color="95B3D7" w:themeColor="accent1" w:themeTint="99"/>
            </w:tcBorders>
            <w:shd w:val="clear" w:color="auto" w:fill="auto"/>
          </w:tcPr>
          <w:p w14:paraId="2A6EBA1A" w14:textId="37E617CD" w:rsidR="00FC6AD9" w:rsidRPr="00760F6D" w:rsidRDefault="00FC6AD9" w:rsidP="00760F6D">
            <w:pPr>
              <w:pStyle w:val="NCDTableText"/>
              <w:spacing w:before="120" w:after="120"/>
              <w:cnfStyle w:val="000000100000" w:firstRow="0" w:lastRow="0" w:firstColumn="0" w:lastColumn="0" w:oddVBand="0" w:evenVBand="0" w:oddHBand="1" w:evenHBand="0" w:firstRowFirstColumn="0" w:firstRowLastColumn="0" w:lastRowFirstColumn="0" w:lastRowLastColumn="0"/>
            </w:pPr>
            <w:r w:rsidRPr="00760F6D">
              <w:t xml:space="preserve">DOJ withdraws its 2010 ANPRM on </w:t>
            </w:r>
            <w:bookmarkStart w:id="138" w:name="_Hlk53477386"/>
            <w:r w:rsidRPr="00760F6D">
              <w:t>Nondiscrimination on the Basis of Disability by State and Local Governments and Places of Public Accommodation; Equipment and Furniture</w:t>
            </w:r>
            <w:bookmarkEnd w:id="138"/>
            <w:r w:rsidRPr="00760F6D">
              <w:t>.</w:t>
            </w:r>
          </w:p>
        </w:tc>
      </w:tr>
      <w:tr w:rsidR="00FC6AD9" w:rsidRPr="00C64F3D" w14:paraId="16442C0A" w14:textId="77777777" w:rsidTr="00985B96">
        <w:trPr>
          <w:jc w:val="center"/>
        </w:trPr>
        <w:tc>
          <w:tcPr>
            <w:cnfStyle w:val="001000000000" w:firstRow="0" w:lastRow="0" w:firstColumn="1" w:lastColumn="0" w:oddVBand="0" w:evenVBand="0" w:oddHBand="0" w:evenHBand="0" w:firstRowFirstColumn="0" w:firstRowLastColumn="0" w:lastRowFirstColumn="0" w:lastRowLastColumn="0"/>
            <w:tcW w:w="1457" w:type="dxa"/>
            <w:shd w:val="clear" w:color="auto" w:fill="DBE5F1"/>
          </w:tcPr>
          <w:p w14:paraId="4131188F" w14:textId="77777777" w:rsidR="00FC6AD9" w:rsidRPr="00C64F3D" w:rsidRDefault="00FC6AD9" w:rsidP="00D731D6">
            <w:pPr>
              <w:pStyle w:val="NCDTableText"/>
              <w:spacing w:before="120" w:after="120"/>
            </w:pPr>
            <w:r w:rsidRPr="00C64F3D">
              <w:t>8/13/2018</w:t>
            </w:r>
          </w:p>
        </w:tc>
        <w:tc>
          <w:tcPr>
            <w:tcW w:w="8119" w:type="dxa"/>
            <w:shd w:val="clear" w:color="auto" w:fill="DBE5F1"/>
          </w:tcPr>
          <w:p w14:paraId="63783989" w14:textId="112BDCD5" w:rsidR="00FC6AD9" w:rsidRPr="00C64F3D" w:rsidRDefault="00FC6AD9" w:rsidP="00D731D6">
            <w:pPr>
              <w:pStyle w:val="NCDTableText"/>
              <w:spacing w:before="120" w:after="120"/>
              <w:cnfStyle w:val="000000000000" w:firstRow="0" w:lastRow="0" w:firstColumn="0" w:lastColumn="0" w:oddVBand="0" w:evenVBand="0" w:oddHBand="0" w:evenHBand="0" w:firstRowFirstColumn="0" w:firstRowLastColumn="0" w:lastRowFirstColumn="0" w:lastRowLastColumn="0"/>
            </w:pPr>
            <w:r w:rsidRPr="00C64F3D">
              <w:t xml:space="preserve">NCD issues </w:t>
            </w:r>
            <w:r>
              <w:t xml:space="preserve">a </w:t>
            </w:r>
            <w:r w:rsidRPr="00C64F3D">
              <w:t>letter to U.S. Attorney General Jeff Sessions regarding the necessity and appropriateness of D</w:t>
            </w:r>
            <w:r>
              <w:t>OJ</w:t>
            </w:r>
            <w:r w:rsidRPr="00C64F3D">
              <w:t xml:space="preserve"> promulgating accessible medical equipment regulations.</w:t>
            </w:r>
          </w:p>
        </w:tc>
      </w:tr>
      <w:tr w:rsidR="00FC6AD9" w:rsidRPr="00C64F3D" w14:paraId="5C342397" w14:textId="77777777" w:rsidTr="00985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7" w:type="dxa"/>
            <w:tcBorders>
              <w:bottom w:val="single" w:sz="4" w:space="0" w:color="95B3D7" w:themeColor="accent1" w:themeTint="99"/>
            </w:tcBorders>
            <w:shd w:val="clear" w:color="auto" w:fill="auto"/>
          </w:tcPr>
          <w:p w14:paraId="505A4B5B" w14:textId="77777777" w:rsidR="00FC6AD9" w:rsidRPr="00C64F3D" w:rsidRDefault="00FC6AD9" w:rsidP="00D731D6">
            <w:pPr>
              <w:pStyle w:val="NCDTableText"/>
              <w:spacing w:before="120" w:after="120"/>
            </w:pPr>
            <w:r w:rsidRPr="00C64F3D">
              <w:t>2020</w:t>
            </w:r>
          </w:p>
        </w:tc>
        <w:tc>
          <w:tcPr>
            <w:tcW w:w="8119" w:type="dxa"/>
            <w:tcBorders>
              <w:bottom w:val="single" w:sz="4" w:space="0" w:color="95B3D7" w:themeColor="accent1" w:themeTint="99"/>
            </w:tcBorders>
            <w:shd w:val="clear" w:color="auto" w:fill="auto"/>
          </w:tcPr>
          <w:p w14:paraId="190126A4" w14:textId="5AC3842F" w:rsidR="00FC6AD9" w:rsidRPr="00C64F3D" w:rsidRDefault="00FC6AD9" w:rsidP="00D731D6">
            <w:pPr>
              <w:pStyle w:val="NCDTableText"/>
              <w:spacing w:before="120" w:after="120"/>
              <w:cnfStyle w:val="000000100000" w:firstRow="0" w:lastRow="0" w:firstColumn="0" w:lastColumn="0" w:oddVBand="0" w:evenVBand="0" w:oddHBand="1" w:evenHBand="0" w:firstRowFirstColumn="0" w:firstRowLastColumn="0" w:lastRowFirstColumn="0" w:lastRowLastColumn="0"/>
            </w:pPr>
            <w:r w:rsidRPr="00C64F3D">
              <w:t>HHS’</w:t>
            </w:r>
            <w:r>
              <w:t>s</w:t>
            </w:r>
            <w:r w:rsidRPr="00C64F3D">
              <w:t xml:space="preserve"> Administration for Community Living (ACL) issues brief titled</w:t>
            </w:r>
            <w:r>
              <w:t>,</w:t>
            </w:r>
            <w:r w:rsidRPr="00C64F3D">
              <w:t xml:space="preserve"> “Wheelchair-Accessible Medical Diagnostic Equipment: Cutting Edge Technology, Cost-Effective for Health Care Providers, and Consumer-Friendly.” </w:t>
            </w:r>
          </w:p>
        </w:tc>
      </w:tr>
      <w:tr w:rsidR="00FC6AD9" w:rsidRPr="00C64F3D" w14:paraId="59F556B6" w14:textId="77777777" w:rsidTr="00985B96">
        <w:trPr>
          <w:jc w:val="center"/>
        </w:trPr>
        <w:tc>
          <w:tcPr>
            <w:cnfStyle w:val="001000000000" w:firstRow="0" w:lastRow="0" w:firstColumn="1" w:lastColumn="0" w:oddVBand="0" w:evenVBand="0" w:oddHBand="0" w:evenHBand="0" w:firstRowFirstColumn="0" w:firstRowLastColumn="0" w:lastRowFirstColumn="0" w:lastRowLastColumn="0"/>
            <w:tcW w:w="1457" w:type="dxa"/>
            <w:shd w:val="clear" w:color="auto" w:fill="DBE5F1"/>
          </w:tcPr>
          <w:p w14:paraId="574632AB" w14:textId="77777777" w:rsidR="00FC6AD9" w:rsidRPr="00C64F3D" w:rsidRDefault="00FC6AD9" w:rsidP="00D731D6">
            <w:pPr>
              <w:pStyle w:val="NCDTableText"/>
              <w:spacing w:before="120" w:after="120"/>
            </w:pPr>
            <w:r w:rsidRPr="00C64F3D">
              <w:t>6/12/2020</w:t>
            </w:r>
          </w:p>
        </w:tc>
        <w:tc>
          <w:tcPr>
            <w:tcW w:w="8119" w:type="dxa"/>
            <w:shd w:val="clear" w:color="auto" w:fill="DBE5F1"/>
          </w:tcPr>
          <w:p w14:paraId="56035C36" w14:textId="19B2F0BE" w:rsidR="00FC6AD9" w:rsidRPr="00C64F3D" w:rsidRDefault="00FC6AD9" w:rsidP="00D731D6">
            <w:pPr>
              <w:pStyle w:val="NCDTableText"/>
              <w:spacing w:before="120" w:after="120"/>
              <w:cnfStyle w:val="000000000000" w:firstRow="0" w:lastRow="0" w:firstColumn="0" w:lastColumn="0" w:oddVBand="0" w:evenVBand="0" w:oddHBand="0" w:evenHBand="0" w:firstRowFirstColumn="0" w:firstRowLastColumn="0" w:lastRowFirstColumn="0" w:lastRowLastColumn="0"/>
            </w:pPr>
            <w:r w:rsidRPr="00C64F3D">
              <w:t xml:space="preserve">HHS issues </w:t>
            </w:r>
            <w:r>
              <w:t xml:space="preserve">a </w:t>
            </w:r>
            <w:r w:rsidRPr="00C64F3D">
              <w:t>revised regulation on Section 1557 but does not adopt the Access Board’s 2017 MDE Standards.</w:t>
            </w:r>
          </w:p>
        </w:tc>
      </w:tr>
      <w:tr w:rsidR="00FC6AD9" w:rsidRPr="00C64F3D" w14:paraId="56D3F702" w14:textId="77777777" w:rsidTr="00985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7" w:type="dxa"/>
            <w:tcBorders>
              <w:bottom w:val="single" w:sz="4" w:space="0" w:color="95B3D7" w:themeColor="accent1" w:themeTint="99"/>
            </w:tcBorders>
            <w:shd w:val="clear" w:color="auto" w:fill="auto"/>
          </w:tcPr>
          <w:p w14:paraId="340C6ED1" w14:textId="77777777" w:rsidR="00FC6AD9" w:rsidRPr="00C64F3D" w:rsidRDefault="00FC6AD9" w:rsidP="00D731D6">
            <w:pPr>
              <w:pStyle w:val="NCDTableText"/>
              <w:spacing w:before="120" w:after="120"/>
            </w:pPr>
            <w:r w:rsidRPr="00C64F3D">
              <w:t>7/31/2020</w:t>
            </w:r>
          </w:p>
        </w:tc>
        <w:tc>
          <w:tcPr>
            <w:tcW w:w="8119" w:type="dxa"/>
            <w:tcBorders>
              <w:bottom w:val="single" w:sz="4" w:space="0" w:color="95B3D7" w:themeColor="accent1" w:themeTint="99"/>
            </w:tcBorders>
            <w:shd w:val="clear" w:color="auto" w:fill="auto"/>
          </w:tcPr>
          <w:p w14:paraId="239644A3" w14:textId="00CA718F" w:rsidR="00FC6AD9" w:rsidRPr="00C64F3D" w:rsidRDefault="00FC6AD9" w:rsidP="00D731D6">
            <w:pPr>
              <w:pStyle w:val="NCDTableText"/>
              <w:spacing w:before="120" w:after="120"/>
              <w:cnfStyle w:val="000000100000" w:firstRow="0" w:lastRow="0" w:firstColumn="0" w:lastColumn="0" w:oddVBand="0" w:evenVBand="0" w:oddHBand="1" w:evenHBand="0" w:firstRowFirstColumn="0" w:firstRowLastColumn="0" w:lastRowFirstColumn="0" w:lastRowLastColumn="0"/>
            </w:pPr>
            <w:r>
              <w:t>NCD</w:t>
            </w:r>
            <w:r w:rsidRPr="00C64F3D">
              <w:t xml:space="preserve"> issues </w:t>
            </w:r>
            <w:r>
              <w:t xml:space="preserve">a </w:t>
            </w:r>
            <w:r w:rsidRPr="00C64F3D">
              <w:t xml:space="preserve">letter to HHS Secretary Azar on the need for HHS to issue </w:t>
            </w:r>
            <w:r>
              <w:t xml:space="preserve">an </w:t>
            </w:r>
            <w:r w:rsidRPr="00C64F3D">
              <w:t>accessible MDE rule.</w:t>
            </w:r>
          </w:p>
        </w:tc>
      </w:tr>
      <w:tr w:rsidR="00FC6AD9" w:rsidRPr="00C64F3D" w14:paraId="06E527EE" w14:textId="77777777" w:rsidTr="00985B96">
        <w:trPr>
          <w:jc w:val="center"/>
        </w:trPr>
        <w:tc>
          <w:tcPr>
            <w:cnfStyle w:val="001000000000" w:firstRow="0" w:lastRow="0" w:firstColumn="1" w:lastColumn="0" w:oddVBand="0" w:evenVBand="0" w:oddHBand="0" w:evenHBand="0" w:firstRowFirstColumn="0" w:firstRowLastColumn="0" w:lastRowFirstColumn="0" w:lastRowLastColumn="0"/>
            <w:tcW w:w="1457" w:type="dxa"/>
            <w:shd w:val="clear" w:color="auto" w:fill="DBE5F1"/>
          </w:tcPr>
          <w:p w14:paraId="1CB7E0BE" w14:textId="77777777" w:rsidR="00FC6AD9" w:rsidRPr="005F7511" w:rsidRDefault="00FC6AD9" w:rsidP="00D731D6">
            <w:pPr>
              <w:pStyle w:val="NCDTableText"/>
              <w:spacing w:before="120" w:after="120"/>
            </w:pPr>
            <w:r w:rsidRPr="005F7511">
              <w:t>1/20/2021</w:t>
            </w:r>
          </w:p>
        </w:tc>
        <w:tc>
          <w:tcPr>
            <w:tcW w:w="8119" w:type="dxa"/>
            <w:shd w:val="clear" w:color="auto" w:fill="DBE5F1"/>
          </w:tcPr>
          <w:p w14:paraId="5535AAC5" w14:textId="1BEE7E87" w:rsidR="00FC6AD9" w:rsidRPr="005F7511" w:rsidRDefault="00FC6AD9" w:rsidP="00D731D6">
            <w:pPr>
              <w:pStyle w:val="NCDTableText"/>
              <w:spacing w:before="120" w:after="120"/>
              <w:cnfStyle w:val="000000000000" w:firstRow="0" w:lastRow="0" w:firstColumn="0" w:lastColumn="0" w:oddVBand="0" w:evenVBand="0" w:oddHBand="0" w:evenHBand="0" w:firstRowFirstColumn="0" w:firstRowLastColumn="0" w:lastRowFirstColumn="0" w:lastRowLastColumn="0"/>
            </w:pPr>
            <w:r w:rsidRPr="005F7511">
              <w:rPr>
                <w:rFonts w:eastAsia="Calibri"/>
              </w:rPr>
              <w:t>President Biden revokes Executive Order 13771, Reducing Regulation and Controlling Regulatory Costs</w:t>
            </w:r>
            <w:r w:rsidR="001555A9">
              <w:rPr>
                <w:rFonts w:eastAsia="Calibri"/>
              </w:rPr>
              <w:t>.</w:t>
            </w:r>
          </w:p>
        </w:tc>
      </w:tr>
    </w:tbl>
    <w:p w14:paraId="20397934" w14:textId="77777777" w:rsidR="00FC6AD9" w:rsidRPr="00C64F3D" w:rsidRDefault="00FC6AD9" w:rsidP="00FC6AD9">
      <w:pPr>
        <w:spacing w:line="480" w:lineRule="auto"/>
        <w:ind w:firstLine="720"/>
        <w:rPr>
          <w:rFonts w:ascii="Arial" w:eastAsia="Times New Roman" w:hAnsi="Arial" w:cs="Arial"/>
          <w:szCs w:val="24"/>
        </w:rPr>
      </w:pPr>
    </w:p>
    <w:p w14:paraId="57EB8C04" w14:textId="77777777" w:rsidR="00FC6AD9" w:rsidRPr="00C64F3D" w:rsidRDefault="00FC6AD9" w:rsidP="00FC6AD9">
      <w:pPr>
        <w:tabs>
          <w:tab w:val="left" w:pos="390"/>
          <w:tab w:val="right" w:pos="10800"/>
        </w:tabs>
        <w:spacing w:line="480" w:lineRule="auto"/>
        <w:outlineLvl w:val="0"/>
        <w:rPr>
          <w:rFonts w:ascii="Arial" w:hAnsi="Arial" w:cs="Arial"/>
          <w:b/>
          <w:bCs/>
          <w:color w:val="000090"/>
          <w:szCs w:val="24"/>
        </w:rPr>
      </w:pPr>
      <w:r w:rsidRPr="00C64F3D">
        <w:rPr>
          <w:rFonts w:ascii="Arial" w:hAnsi="Arial" w:cs="Arial"/>
          <w:b/>
          <w:bCs/>
          <w:color w:val="000090"/>
          <w:szCs w:val="24"/>
        </w:rPr>
        <w:br w:type="page"/>
      </w:r>
    </w:p>
    <w:p w14:paraId="537E9DB5" w14:textId="77777777" w:rsidR="00FC6AD9" w:rsidRPr="00A168B0" w:rsidRDefault="00FC6AD9" w:rsidP="00A168B0">
      <w:pPr>
        <w:pStyle w:val="Heading1"/>
      </w:pPr>
      <w:bookmarkStart w:id="139" w:name="_Toc53469358"/>
      <w:bookmarkStart w:id="140" w:name="_Toc65342168"/>
      <w:bookmarkStart w:id="141" w:name="_Toc69374212"/>
      <w:r w:rsidRPr="00A168B0">
        <w:t xml:space="preserve">Chapter 2: </w:t>
      </w:r>
      <w:bookmarkEnd w:id="139"/>
      <w:r w:rsidRPr="00A168B0">
        <w:t>Research Synthesis and Key Findings</w:t>
      </w:r>
      <w:bookmarkEnd w:id="140"/>
      <w:bookmarkEnd w:id="141"/>
    </w:p>
    <w:p w14:paraId="3B74FF26" w14:textId="77777777" w:rsidR="00FC6AD9" w:rsidRPr="00C64F3D" w:rsidRDefault="00FC6AD9" w:rsidP="00A168B0">
      <w:pPr>
        <w:pStyle w:val="NCDBodyText"/>
        <w:rPr>
          <w:b/>
          <w:bCs/>
        </w:rPr>
      </w:pPr>
      <w:r w:rsidRPr="00C64F3D">
        <w:t>To inform the recommendations in this report, we implemented a rigorous research process that included peer</w:t>
      </w:r>
      <w:r>
        <w:t>-</w:t>
      </w:r>
      <w:r w:rsidRPr="00C64F3D">
        <w:t xml:space="preserve">reviewed research and conducted individual and group interviews with </w:t>
      </w:r>
      <w:r>
        <w:t>20</w:t>
      </w:r>
      <w:r w:rsidRPr="00C64F3D">
        <w:t xml:space="preserve"> interdisciplinary stakeholders from the research, clinical, advocacy, and policy communities (</w:t>
      </w:r>
      <w:r>
        <w:t>s</w:t>
      </w:r>
      <w:r w:rsidRPr="00C64F3D">
        <w:t>ee Appendix 1 for stakeholder experts and affiliations) to gain insights into opportunities and challenges for advancing the policy, implementation</w:t>
      </w:r>
      <w:r>
        <w:t>,</w:t>
      </w:r>
      <w:r w:rsidRPr="00C64F3D">
        <w:t xml:space="preserve"> and research agendas related to the adoption of the MDE Standards. Finally, we convened a virtual meeting of interdisciplinary stakeholder experts to </w:t>
      </w:r>
      <w:r>
        <w:t>en</w:t>
      </w:r>
      <w:r w:rsidRPr="00C64F3D">
        <w:t xml:space="preserve">vision a path forward to implementation of MDE Standards to promote </w:t>
      </w:r>
      <w:r>
        <w:t>health care</w:t>
      </w:r>
      <w:r w:rsidRPr="00C64F3D">
        <w:t xml:space="preserve"> equity for the 61 million Americans with disabilities, including the 20 million people with mobility limitations.</w:t>
      </w:r>
    </w:p>
    <w:p w14:paraId="126D2FD8" w14:textId="77777777" w:rsidR="00FC6AD9" w:rsidRPr="00C64F3D" w:rsidRDefault="00FC6AD9" w:rsidP="00A168B0">
      <w:pPr>
        <w:pStyle w:val="Heading2"/>
        <w:rPr>
          <w:rFonts w:cs="Arial"/>
          <w:sz w:val="24"/>
          <w:szCs w:val="24"/>
        </w:rPr>
      </w:pPr>
      <w:bookmarkStart w:id="142" w:name="_Toc69374213"/>
      <w:r w:rsidRPr="007611EE">
        <w:rPr>
          <w:shd w:val="clear" w:color="auto" w:fill="FFFFFF"/>
        </w:rPr>
        <w:t xml:space="preserve">Qualitative </w:t>
      </w:r>
      <w:r>
        <w:rPr>
          <w:shd w:val="clear" w:color="auto" w:fill="FFFFFF"/>
        </w:rPr>
        <w:t>R</w:t>
      </w:r>
      <w:r w:rsidRPr="007611EE">
        <w:rPr>
          <w:shd w:val="clear" w:color="auto" w:fill="FFFFFF"/>
        </w:rPr>
        <w:t xml:space="preserve">esearch </w:t>
      </w:r>
      <w:r>
        <w:rPr>
          <w:shd w:val="clear" w:color="auto" w:fill="FFFFFF"/>
        </w:rPr>
        <w:t>I</w:t>
      </w:r>
      <w:r w:rsidRPr="007611EE">
        <w:rPr>
          <w:shd w:val="clear" w:color="auto" w:fill="FFFFFF"/>
        </w:rPr>
        <w:t xml:space="preserve">ndicates </w:t>
      </w:r>
      <w:r>
        <w:rPr>
          <w:shd w:val="clear" w:color="auto" w:fill="FFFFFF"/>
        </w:rPr>
        <w:t>S</w:t>
      </w:r>
      <w:r w:rsidRPr="007611EE">
        <w:rPr>
          <w:shd w:val="clear" w:color="auto" w:fill="FFFFFF"/>
        </w:rPr>
        <w:t xml:space="preserve">ignificant </w:t>
      </w:r>
      <w:r>
        <w:rPr>
          <w:shd w:val="clear" w:color="auto" w:fill="FFFFFF"/>
        </w:rPr>
        <w:t>B</w:t>
      </w:r>
      <w:r w:rsidRPr="007611EE">
        <w:rPr>
          <w:shd w:val="clear" w:color="auto" w:fill="FFFFFF"/>
        </w:rPr>
        <w:t xml:space="preserve">arriers to </w:t>
      </w:r>
      <w:r>
        <w:rPr>
          <w:shd w:val="clear" w:color="auto" w:fill="FFFFFF"/>
        </w:rPr>
        <w:t>H</w:t>
      </w:r>
      <w:r w:rsidRPr="007611EE">
        <w:rPr>
          <w:shd w:val="clear" w:color="auto" w:fill="FFFFFF"/>
        </w:rPr>
        <w:t xml:space="preserve">ealth </w:t>
      </w:r>
      <w:r>
        <w:rPr>
          <w:shd w:val="clear" w:color="auto" w:fill="FFFFFF"/>
        </w:rPr>
        <w:t>C</w:t>
      </w:r>
      <w:r w:rsidRPr="007611EE">
        <w:rPr>
          <w:shd w:val="clear" w:color="auto" w:fill="FFFFFF"/>
        </w:rPr>
        <w:t xml:space="preserve">are </w:t>
      </w:r>
      <w:r>
        <w:rPr>
          <w:shd w:val="clear" w:color="auto" w:fill="FFFFFF"/>
        </w:rPr>
        <w:t>A</w:t>
      </w:r>
      <w:r w:rsidRPr="007611EE">
        <w:rPr>
          <w:shd w:val="clear" w:color="auto" w:fill="FFFFFF"/>
        </w:rPr>
        <w:t>ccess</w:t>
      </w:r>
      <w:bookmarkEnd w:id="142"/>
    </w:p>
    <w:p w14:paraId="01D13F8C" w14:textId="77777777" w:rsidR="00FC6AD9" w:rsidRPr="00C64F3D" w:rsidRDefault="00FC6AD9" w:rsidP="00A168B0">
      <w:pPr>
        <w:pStyle w:val="NCDBodyText"/>
      </w:pPr>
      <w:r w:rsidRPr="00C64F3D">
        <w:t xml:space="preserve">As described in the introduction, a preponderance of qualitative and survey-based evidence indicates that people with disabilities experience significant barriers to </w:t>
      </w:r>
      <w:r>
        <w:t>health care</w:t>
      </w:r>
      <w:r w:rsidRPr="00C64F3D">
        <w:t xml:space="preserve"> access due in no small part to the inconsistent availability and appropriate use of accessible MDE in preventative, primary, and specialty care settings. Qualitative research is generally characterized by</w:t>
      </w:r>
      <w:r>
        <w:t xml:space="preserve"> the</w:t>
      </w:r>
      <w:r w:rsidRPr="00C64F3D">
        <w:t xml:space="preserve"> use of comparatively small samples of people from whom in-depth </w:t>
      </w:r>
      <w:r>
        <w:t>information concerning</w:t>
      </w:r>
      <w:r w:rsidRPr="00C64F3D">
        <w:t xml:space="preserve"> their experiences is gathered. It is a powerful approach for understanding the personal experience behind the number</w:t>
      </w:r>
      <w:r>
        <w:t>s</w:t>
      </w:r>
      <w:r w:rsidRPr="00C64F3D">
        <w:t xml:space="preserve"> and can provide insights into the ways people experience and respond to barriers within the </w:t>
      </w:r>
      <w:r>
        <w:t>health care</w:t>
      </w:r>
      <w:r w:rsidRPr="00C64F3D">
        <w:t xml:space="preserve"> systems. The majority of qualitative studies included in this review focused on access to care broadly, with issues </w:t>
      </w:r>
      <w:r>
        <w:t>regarding</w:t>
      </w:r>
      <w:r w:rsidRPr="00C64F3D">
        <w:t xml:space="preserve"> access to accessible MDE emerging either upon direct questioning or as a component of </w:t>
      </w:r>
      <w:r>
        <w:t>more in-depth</w:t>
      </w:r>
      <w:r w:rsidRPr="00C64F3D">
        <w:t xml:space="preserve"> stories about </w:t>
      </w:r>
      <w:r>
        <w:t>health care</w:t>
      </w:r>
      <w:r w:rsidRPr="00C64F3D">
        <w:t xml:space="preserve"> experiences. </w:t>
      </w:r>
    </w:p>
    <w:p w14:paraId="537F9BAD" w14:textId="77777777" w:rsidR="00FC6AD9" w:rsidRPr="00C64F3D" w:rsidRDefault="00FC6AD9" w:rsidP="00A168B0">
      <w:pPr>
        <w:pStyle w:val="NCDBodyText"/>
      </w:pPr>
      <w:r w:rsidRPr="00C64F3D">
        <w:t>In a 2006 study of the barriers and strategies affecting utilization in a heterogen</w:t>
      </w:r>
      <w:r>
        <w:t>e</w:t>
      </w:r>
      <w:r w:rsidRPr="00C64F3D">
        <w:t>ous group of people with physical disabilities, participants identified both environmental and process barriers to accessing primary preventative care services.</w:t>
      </w:r>
      <w:r w:rsidRPr="00C64F3D">
        <w:rPr>
          <w:rStyle w:val="EndnoteReference"/>
          <w:rFonts w:cs="Arial"/>
        </w:rPr>
        <w:endnoteReference w:id="99"/>
      </w:r>
      <w:r w:rsidRPr="00C64F3D">
        <w:rPr>
          <w:vertAlign w:val="superscript"/>
        </w:rPr>
        <w:t xml:space="preserve"> </w:t>
      </w:r>
      <w:bookmarkStart w:id="143" w:name="_Hlk68031745"/>
      <w:r w:rsidRPr="00C64F3D">
        <w:t xml:space="preserve">Environmental barriers included inaccessible </w:t>
      </w:r>
      <w:r>
        <w:t>x</w:t>
      </w:r>
      <w:r w:rsidRPr="00C64F3D">
        <w:t>-</w:t>
      </w:r>
      <w:r>
        <w:t>r</w:t>
      </w:r>
      <w:r w:rsidRPr="00C64F3D">
        <w:t>ay machines, mammography equipment</w:t>
      </w:r>
      <w:r>
        <w:t>,</w:t>
      </w:r>
      <w:r w:rsidRPr="00C64F3D">
        <w:t xml:space="preserve"> and examination tables, as well as a variety of issues related to architectural accessibility. Process barriers included lack of disability competence among </w:t>
      </w:r>
      <w:r>
        <w:t>health care</w:t>
      </w:r>
      <w:r w:rsidRPr="00C64F3D">
        <w:t xml:space="preserve"> providers and patients’ limited understanding of how to access services, especially accessible services. </w:t>
      </w:r>
    </w:p>
    <w:bookmarkEnd w:id="143"/>
    <w:p w14:paraId="61841011" w14:textId="77777777" w:rsidR="00FC6AD9" w:rsidRPr="00C64F3D" w:rsidRDefault="00FC6AD9" w:rsidP="00A168B0">
      <w:pPr>
        <w:pStyle w:val="NCDBodyText"/>
      </w:pPr>
      <w:r w:rsidRPr="00C64F3D">
        <w:t xml:space="preserve">In a 2010 study published in the </w:t>
      </w:r>
      <w:r w:rsidRPr="00810A1D">
        <w:rPr>
          <w:i/>
          <w:iCs/>
        </w:rPr>
        <w:t xml:space="preserve">Oncology Nursing Forum, </w:t>
      </w:r>
      <w:r w:rsidRPr="00C64F3D">
        <w:t>women with chronic mobility disabilities who had developed early stage breast cancer identified inaccessible MDE (mammography machines, weight scales</w:t>
      </w:r>
      <w:r>
        <w:t>,</w:t>
      </w:r>
      <w:r w:rsidRPr="00C64F3D">
        <w:t xml:space="preserve"> and exam</w:t>
      </w:r>
      <w:r>
        <w:t>ination</w:t>
      </w:r>
      <w:r w:rsidRPr="00C64F3D">
        <w:t xml:space="preserve"> tables) as barriers to cancer diagnosis and treatment.</w:t>
      </w:r>
      <w:r w:rsidRPr="00C64F3D">
        <w:rPr>
          <w:rStyle w:val="EndnoteReference"/>
          <w:rFonts w:cs="Arial"/>
        </w:rPr>
        <w:endnoteReference w:id="100"/>
      </w:r>
      <w:r w:rsidRPr="00C64F3D">
        <w:t xml:space="preserve"> In addition, availability of an accessible examination table was not enough to ensure its use. Women were forced to be strong advocates for their care and assert their right to be transferred to an examination table when providers showed a preference for examining them in their wheelchairs. However, this advocacy was not without a cost, as women often felt unsafe during transfers, feared injury, and expressed concern for the safety of the medical team.</w:t>
      </w:r>
    </w:p>
    <w:p w14:paraId="22695350" w14:textId="77777777" w:rsidR="00FC6AD9" w:rsidRPr="00C64F3D" w:rsidRDefault="00FC6AD9" w:rsidP="00A168B0">
      <w:pPr>
        <w:pStyle w:val="NCDBodyText"/>
      </w:pPr>
      <w:r w:rsidRPr="00C64F3D">
        <w:t>Similarly, in a 2015 study in the</w:t>
      </w:r>
      <w:r w:rsidRPr="00810A1D">
        <w:rPr>
          <w:i/>
          <w:iCs/>
        </w:rPr>
        <w:t xml:space="preserve"> Journal of Women’s Health</w:t>
      </w:r>
      <w:r w:rsidRPr="00C64F3D">
        <w:t>, women with mobility disabilities shared their experiences of prenatal care.</w:t>
      </w:r>
      <w:r w:rsidRPr="00C64F3D">
        <w:rPr>
          <w:rStyle w:val="EndnoteReference"/>
          <w:rFonts w:cs="Arial"/>
        </w:rPr>
        <w:endnoteReference w:id="101"/>
      </w:r>
      <w:r w:rsidRPr="00C64F3D">
        <w:t xml:space="preserve"> Many women reported difficulty transferring to their doctor’s fixed</w:t>
      </w:r>
      <w:r>
        <w:t>-</w:t>
      </w:r>
      <w:r w:rsidRPr="00C64F3D">
        <w:t>height table and were examined while seat</w:t>
      </w:r>
      <w:r>
        <w:t>ed</w:t>
      </w:r>
      <w:r w:rsidRPr="00C64F3D">
        <w:t xml:space="preserve"> in their wheelchairs. Women again expressed safety concerns about assisted and unassisted transfers. None of the women in the sample were routinely weighed on an accessible </w:t>
      </w:r>
      <w:r>
        <w:t xml:space="preserve">weight </w:t>
      </w:r>
      <w:r w:rsidRPr="00C64F3D">
        <w:t>scale</w:t>
      </w:r>
      <w:r>
        <w:t>,</w:t>
      </w:r>
      <w:r w:rsidRPr="00C64F3D">
        <w:t xml:space="preserve"> and a few reported never being weighed during their pregnancies.</w:t>
      </w:r>
      <w:r w:rsidRPr="00C64F3D">
        <w:rPr>
          <w:rStyle w:val="EndnoteReference"/>
          <w:rFonts w:cs="Arial"/>
        </w:rPr>
        <w:endnoteReference w:id="102"/>
      </w:r>
      <w:r w:rsidRPr="00C64F3D">
        <w:t xml:space="preserve"> The following year, a study in the </w:t>
      </w:r>
      <w:r w:rsidRPr="00810A1D">
        <w:rPr>
          <w:i/>
          <w:iCs/>
        </w:rPr>
        <w:t>Archives of Physical Medicine and Rehabilitation</w:t>
      </w:r>
      <w:r w:rsidRPr="00C64F3D">
        <w:t xml:space="preserve"> reported that women with physical disabilities identified lack of accessible examination tables and disability competence by providers as barriers to quality gynecological and reproductive </w:t>
      </w:r>
      <w:r>
        <w:t>health care</w:t>
      </w:r>
      <w:r w:rsidRPr="00C64F3D">
        <w:t>.</w:t>
      </w:r>
      <w:r w:rsidRPr="00C64F3D">
        <w:rPr>
          <w:rStyle w:val="EndnoteReference"/>
          <w:rFonts w:cs="Arial"/>
        </w:rPr>
        <w:endnoteReference w:id="103"/>
      </w:r>
      <w:r w:rsidRPr="00C64F3D">
        <w:t xml:space="preserve"> </w:t>
      </w:r>
    </w:p>
    <w:p w14:paraId="3DADF68F" w14:textId="77777777" w:rsidR="00FC6AD9" w:rsidRPr="00C64F3D" w:rsidRDefault="00FC6AD9" w:rsidP="00A168B0">
      <w:pPr>
        <w:pStyle w:val="Heading2"/>
      </w:pPr>
      <w:bookmarkStart w:id="144" w:name="_Toc69374214"/>
      <w:r w:rsidRPr="00C64F3D">
        <w:t>Survey-</w:t>
      </w:r>
      <w:r>
        <w:t>B</w:t>
      </w:r>
      <w:r w:rsidRPr="00C64F3D">
        <w:t>ased Data Provide Evidence for the Scope of the Problem</w:t>
      </w:r>
      <w:bookmarkEnd w:id="144"/>
    </w:p>
    <w:p w14:paraId="55D8A543" w14:textId="77777777" w:rsidR="00FC6AD9" w:rsidRPr="00C64F3D" w:rsidRDefault="00FC6AD9" w:rsidP="00A168B0">
      <w:pPr>
        <w:pStyle w:val="NCDBodyText"/>
      </w:pPr>
      <w:r w:rsidRPr="00C64F3D">
        <w:t>Survey</w:t>
      </w:r>
      <w:r>
        <w:t>-</w:t>
      </w:r>
      <w:r w:rsidRPr="00C64F3D">
        <w:t xml:space="preserve">based data supplement first-person accounts by providing statistics that reveal the extent of the problem of lack of accessible MDE. </w:t>
      </w:r>
      <w:bookmarkStart w:id="145" w:name="_Hlk68032182"/>
      <w:r w:rsidRPr="00C64F3D">
        <w:t xml:space="preserve">In a 2020 study published in </w:t>
      </w:r>
      <w:r w:rsidRPr="00810A1D">
        <w:rPr>
          <w:i/>
          <w:iCs/>
        </w:rPr>
        <w:t>Disability and Health Journal</w:t>
      </w:r>
      <w:r w:rsidRPr="00C64F3D">
        <w:t>, 536 people with disabilities, including 290 who self-identified as mobility device users</w:t>
      </w:r>
      <w:r>
        <w:t>,</w:t>
      </w:r>
      <w:r w:rsidRPr="00C64F3D">
        <w:t xml:space="preserve"> were surveyed about their </w:t>
      </w:r>
      <w:r>
        <w:t>health care</w:t>
      </w:r>
      <w:r w:rsidRPr="00C64F3D">
        <w:t xml:space="preserve"> experiences.</w:t>
      </w:r>
      <w:r w:rsidRPr="00C64F3D">
        <w:rPr>
          <w:rStyle w:val="EndnoteReference"/>
          <w:rFonts w:cs="Arial"/>
        </w:rPr>
        <w:endnoteReference w:id="104"/>
      </w:r>
      <w:r w:rsidRPr="00C64F3D">
        <w:t xml:space="preserve"> Of the total sample, 25</w:t>
      </w:r>
      <w:r>
        <w:t xml:space="preserve"> percent</w:t>
      </w:r>
      <w:r w:rsidRPr="00C64F3D">
        <w:t xml:space="preserve"> had difficulty accessing examination tables, 22</w:t>
      </w:r>
      <w:r>
        <w:t xml:space="preserve"> percent</w:t>
      </w:r>
      <w:r w:rsidRPr="00C64F3D">
        <w:t xml:space="preserve"> had difficulty accessing weight scales</w:t>
      </w:r>
      <w:r>
        <w:t>,</w:t>
      </w:r>
      <w:r w:rsidRPr="00C64F3D">
        <w:t xml:space="preserve"> and 20</w:t>
      </w:r>
      <w:r>
        <w:t xml:space="preserve"> percent</w:t>
      </w:r>
      <w:r w:rsidRPr="00C64F3D">
        <w:t xml:space="preserve"> had difficulty accessing diagnostic equipment. Of the 173 participants who indicated that they needed a height</w:t>
      </w:r>
      <w:r>
        <w:t>-</w:t>
      </w:r>
      <w:r w:rsidRPr="00C64F3D">
        <w:t>adjustable exam</w:t>
      </w:r>
      <w:r>
        <w:t>ination</w:t>
      </w:r>
      <w:r w:rsidRPr="00C64F3D">
        <w:t xml:space="preserve"> table, only 13</w:t>
      </w:r>
      <w:r>
        <w:t xml:space="preserve"> percent</w:t>
      </w:r>
      <w:r w:rsidRPr="00C64F3D">
        <w:t xml:space="preserve"> always had access to it. </w:t>
      </w:r>
      <w:bookmarkEnd w:id="145"/>
      <w:r w:rsidRPr="00C64F3D">
        <w:t xml:space="preserve">In follow-up qualitative questions, people identified consequences of barriers to </w:t>
      </w:r>
      <w:r>
        <w:t>health care</w:t>
      </w:r>
      <w:r w:rsidRPr="00C64F3D">
        <w:t xml:space="preserve"> access, including delaying or foregoing care, dropping a </w:t>
      </w:r>
      <w:r>
        <w:t>health care</w:t>
      </w:r>
      <w:r w:rsidRPr="00C64F3D">
        <w:t xml:space="preserve"> provider, losing their sense of agency in </w:t>
      </w:r>
      <w:r>
        <w:t>health care</w:t>
      </w:r>
      <w:r w:rsidRPr="00C64F3D">
        <w:t xml:space="preserve"> decision making, losing trust in the </w:t>
      </w:r>
      <w:r>
        <w:t>health care</w:t>
      </w:r>
      <w:r w:rsidRPr="00C64F3D">
        <w:t xml:space="preserve"> system, feeling like a burden</w:t>
      </w:r>
      <w:r>
        <w:t>,</w:t>
      </w:r>
      <w:r w:rsidRPr="00C64F3D">
        <w:t xml:space="preserve"> and feeling dehumanized.</w:t>
      </w:r>
      <w:r w:rsidRPr="00C64F3D">
        <w:rPr>
          <w:rStyle w:val="EndnoteReference"/>
          <w:rFonts w:cs="Arial"/>
        </w:rPr>
        <w:endnoteReference w:id="105"/>
      </w:r>
      <w:r w:rsidRPr="00C64F3D">
        <w:t xml:space="preserve"> Similarly, a 2019 survey of 1,159 people with multiple sclerosis, spinal cord injury, muscular dystrophy</w:t>
      </w:r>
      <w:r>
        <w:t>,</w:t>
      </w:r>
      <w:r w:rsidRPr="00C64F3D">
        <w:t xml:space="preserve"> and post</w:t>
      </w:r>
      <w:r>
        <w:t>-</w:t>
      </w:r>
      <w:r w:rsidRPr="00C64F3D">
        <w:t>polio</w:t>
      </w:r>
      <w:r>
        <w:t xml:space="preserve"> </w:t>
      </w:r>
      <w:r w:rsidRPr="00C64F3D">
        <w:t xml:space="preserve">syndrome found that while the majority of participants had seen a </w:t>
      </w:r>
      <w:r>
        <w:t>health care</w:t>
      </w:r>
      <w:r w:rsidRPr="00C64F3D">
        <w:t xml:space="preserve"> provider in the previous 12</w:t>
      </w:r>
      <w:r>
        <w:t xml:space="preserve"> </w:t>
      </w:r>
      <w:r w:rsidRPr="00C64F3D">
        <w:t>months, only 56</w:t>
      </w:r>
      <w:r>
        <w:t xml:space="preserve"> percent</w:t>
      </w:r>
      <w:r w:rsidRPr="00C64F3D">
        <w:t xml:space="preserve"> of the 462 people who needed a height</w:t>
      </w:r>
      <w:r>
        <w:t>-</w:t>
      </w:r>
      <w:r w:rsidRPr="00C64F3D">
        <w:t>adjustable exam</w:t>
      </w:r>
      <w:r>
        <w:t>ination</w:t>
      </w:r>
      <w:r w:rsidRPr="00C64F3D">
        <w:t xml:space="preserve"> table received it, only 33</w:t>
      </w:r>
      <w:r>
        <w:t xml:space="preserve"> percent</w:t>
      </w:r>
      <w:r w:rsidRPr="00C64F3D">
        <w:t xml:space="preserve"> of the 295 people who needed a wheelchair</w:t>
      </w:r>
      <w:r>
        <w:t>-</w:t>
      </w:r>
      <w:r w:rsidRPr="00C64F3D">
        <w:t xml:space="preserve">accessible </w:t>
      </w:r>
      <w:r>
        <w:t xml:space="preserve">weight </w:t>
      </w:r>
      <w:r w:rsidRPr="00C64F3D">
        <w:t>scale received one, and only 31</w:t>
      </w:r>
      <w:r>
        <w:t xml:space="preserve"> percent</w:t>
      </w:r>
      <w:r w:rsidRPr="00C64F3D">
        <w:t xml:space="preserve"> of the people who needed a safe transfer device to move to an exam</w:t>
      </w:r>
      <w:r>
        <w:t>ination</w:t>
      </w:r>
      <w:r w:rsidRPr="00C64F3D">
        <w:t xml:space="preserve"> table received one.</w:t>
      </w:r>
      <w:r w:rsidRPr="00C64F3D">
        <w:rPr>
          <w:rStyle w:val="EndnoteReference"/>
          <w:rFonts w:cs="Arial"/>
        </w:rPr>
        <w:endnoteReference w:id="106"/>
      </w:r>
    </w:p>
    <w:p w14:paraId="7348E8F5" w14:textId="77777777" w:rsidR="00FC6AD9" w:rsidRPr="00C64F3D" w:rsidRDefault="00FC6AD9" w:rsidP="00A168B0">
      <w:pPr>
        <w:pStyle w:val="NCDBodyText"/>
      </w:pPr>
      <w:r w:rsidRPr="00C64F3D">
        <w:t xml:space="preserve">A 2014 survey of 108 adults with spinal cord injury published in the </w:t>
      </w:r>
      <w:r w:rsidRPr="00810A1D">
        <w:rPr>
          <w:i/>
          <w:iCs/>
        </w:rPr>
        <w:t>Archives of Physical Medicine and Rehabilitation</w:t>
      </w:r>
      <w:r w:rsidRPr="00C64F3D">
        <w:t xml:space="preserve"> reported that while almost all of their participants had visited a primary care provider and a specialty care provider, the majority had experienced accessibility challenges clustered around the examination room in both primary care (91</w:t>
      </w:r>
      <w:r>
        <w:t xml:space="preserve"> percent</w:t>
      </w:r>
      <w:r w:rsidRPr="00C64F3D">
        <w:t>) and specialty care (80</w:t>
      </w:r>
      <w:r>
        <w:t xml:space="preserve"> percent</w:t>
      </w:r>
      <w:r w:rsidRPr="00C64F3D">
        <w:t>).</w:t>
      </w:r>
      <w:r w:rsidRPr="00C64F3D">
        <w:rPr>
          <w:rStyle w:val="EndnoteReference"/>
          <w:rFonts w:cs="Arial"/>
        </w:rPr>
        <w:endnoteReference w:id="107"/>
      </w:r>
      <w:r w:rsidRPr="00C64F3D">
        <w:t xml:space="preserve"> The most prevalent barriers were inaccessible examination tables (primary care 77</w:t>
      </w:r>
      <w:r>
        <w:t xml:space="preserve"> percent</w:t>
      </w:r>
      <w:r w:rsidRPr="00C64F3D">
        <w:t>; specialty care 51</w:t>
      </w:r>
      <w:r>
        <w:t xml:space="preserve"> percent</w:t>
      </w:r>
      <w:r w:rsidRPr="00C64F3D">
        <w:t>) and lack of transfer aids (primary care 69</w:t>
      </w:r>
      <w:r>
        <w:t xml:space="preserve"> percent</w:t>
      </w:r>
      <w:r w:rsidRPr="00C64F3D">
        <w:t>; specialty care 61</w:t>
      </w:r>
      <w:r>
        <w:t xml:space="preserve"> percent</w:t>
      </w:r>
      <w:r w:rsidRPr="00C64F3D">
        <w:t xml:space="preserve">). The </w:t>
      </w:r>
      <w:proofErr w:type="gramStart"/>
      <w:r w:rsidRPr="00C64F3D">
        <w:t>majority of patients were</w:t>
      </w:r>
      <w:proofErr w:type="gramEnd"/>
      <w:r w:rsidRPr="00C64F3D" w:rsidDel="000A7B3D">
        <w:t xml:space="preserve"> not weighed (89</w:t>
      </w:r>
      <w:r>
        <w:t xml:space="preserve"> percent</w:t>
      </w:r>
      <w:r w:rsidRPr="00C64F3D" w:rsidDel="000A7B3D">
        <w:t>) and remained in their wheelchairs during the examination (82</w:t>
      </w:r>
      <w:r>
        <w:t xml:space="preserve"> percent</w:t>
      </w:r>
      <w:r w:rsidRPr="00C64F3D" w:rsidDel="000A7B3D">
        <w:t xml:space="preserve">). Cancer </w:t>
      </w:r>
      <w:r w:rsidRPr="00C64F3D">
        <w:t>screening rates among the survey group were below national benchmarks for colon, breast</w:t>
      </w:r>
      <w:r>
        <w:t>,</w:t>
      </w:r>
      <w:r w:rsidRPr="00C64F3D">
        <w:t xml:space="preserve"> and cervical cancer</w:t>
      </w:r>
      <w:r>
        <w:t>s</w:t>
      </w:r>
      <w:r w:rsidRPr="00C64F3D">
        <w:t xml:space="preserve">. </w:t>
      </w:r>
      <w:r>
        <w:t>De</w:t>
      </w:r>
      <w:r w:rsidRPr="00C64F3D">
        <w:t>spite being high</w:t>
      </w:r>
      <w:r>
        <w:t>-</w:t>
      </w:r>
      <w:r w:rsidRPr="00C64F3D">
        <w:t xml:space="preserve">frequency users of </w:t>
      </w:r>
      <w:r>
        <w:t>health care</w:t>
      </w:r>
      <w:r w:rsidRPr="00C64F3D">
        <w:t xml:space="preserve"> services, people with disabilities continue to report inconsistent access to accessible MDE</w:t>
      </w:r>
      <w:r>
        <w:t>,</w:t>
      </w:r>
      <w:r w:rsidRPr="00C64F3D">
        <w:t xml:space="preserve"> which in turn compromises their quality of care, including access to preventative screenings.</w:t>
      </w:r>
      <w:r w:rsidRPr="00C64F3D">
        <w:rPr>
          <w:rStyle w:val="EndnoteReference"/>
          <w:rFonts w:cs="Arial"/>
        </w:rPr>
        <w:endnoteReference w:id="108"/>
      </w:r>
      <w:r w:rsidRPr="00C64F3D">
        <w:t xml:space="preserve"> </w:t>
      </w:r>
    </w:p>
    <w:p w14:paraId="4F1DF53D" w14:textId="77777777" w:rsidR="00FC6AD9" w:rsidRPr="00C64F3D" w:rsidRDefault="00FC6AD9" w:rsidP="00A168B0">
      <w:pPr>
        <w:pStyle w:val="NCDBodyText"/>
      </w:pPr>
      <w:r w:rsidRPr="00C64F3D">
        <w:t>While a 2009 survey-based study published in the</w:t>
      </w:r>
      <w:r>
        <w:t xml:space="preserve"> </w:t>
      </w:r>
      <w:r w:rsidRPr="00810A1D">
        <w:rPr>
          <w:i/>
          <w:iCs/>
        </w:rPr>
        <w:t xml:space="preserve">American Journal of Physical Medicine and Rehabilitation </w:t>
      </w:r>
      <w:r w:rsidRPr="00C64F3D">
        <w:t>found that only</w:t>
      </w:r>
      <w:r w:rsidRPr="00810A1D">
        <w:rPr>
          <w:i/>
          <w:iCs/>
        </w:rPr>
        <w:t xml:space="preserve"> </w:t>
      </w:r>
      <w:r w:rsidRPr="00C64F3D">
        <w:t>3</w:t>
      </w:r>
      <w:r>
        <w:t xml:space="preserve"> percent</w:t>
      </w:r>
      <w:r w:rsidRPr="00C64F3D">
        <w:t xml:space="preserve"> of adult respondents with disabilities</w:t>
      </w:r>
      <w:r>
        <w:t xml:space="preserve"> </w:t>
      </w:r>
      <w:r w:rsidRPr="00C64F3D">
        <w:t>who received care at a specialty rehabilitation facility reported problems with physical accessibility, 59</w:t>
      </w:r>
      <w:r>
        <w:t xml:space="preserve"> </w:t>
      </w:r>
      <w:r w:rsidRPr="00C64F3D">
        <w:t>percent of people who identified as being dependent for transfer reported being examined in their wheelchairs, 70</w:t>
      </w:r>
      <w:r>
        <w:t xml:space="preserve"> percent</w:t>
      </w:r>
      <w:r w:rsidRPr="00C64F3D">
        <w:t xml:space="preserve"> reported that caregivers assisted with transfers to the examination table because the staff were unable</w:t>
      </w:r>
      <w:r>
        <w:t>,</w:t>
      </w:r>
      <w:r w:rsidRPr="00C64F3D">
        <w:t xml:space="preserve"> and 44</w:t>
      </w:r>
      <w:r>
        <w:t xml:space="preserve"> percent</w:t>
      </w:r>
      <w:r w:rsidRPr="00C64F3D">
        <w:t xml:space="preserve"> reported that staff did not know how to transfer them.</w:t>
      </w:r>
      <w:r w:rsidRPr="00C64F3D">
        <w:rPr>
          <w:rStyle w:val="EndnoteReference"/>
          <w:rFonts w:cs="Arial"/>
        </w:rPr>
        <w:endnoteReference w:id="109"/>
      </w:r>
      <w:r w:rsidRPr="00C64F3D">
        <w:t xml:space="preserve"> These findings suggest that physical access barriers may have been underreported or that patients were unaware that accessible MDE is a component of physical accessibility. </w:t>
      </w:r>
      <w:bookmarkStart w:id="146" w:name="_Hlk68032508"/>
      <w:r>
        <w:t xml:space="preserve">Both </w:t>
      </w:r>
      <w:r w:rsidRPr="00C64F3D">
        <w:t>scenario</w:t>
      </w:r>
      <w:r>
        <w:t>s</w:t>
      </w:r>
      <w:r w:rsidRPr="00C64F3D">
        <w:t xml:space="preserve"> point to a larger issue </w:t>
      </w:r>
      <w:r>
        <w:t>concerning</w:t>
      </w:r>
      <w:r w:rsidRPr="00C64F3D">
        <w:t xml:space="preserve"> patients’ awareness of their rights in the </w:t>
      </w:r>
      <w:r>
        <w:t>health care</w:t>
      </w:r>
      <w:r w:rsidRPr="00C64F3D">
        <w:t xml:space="preserve"> setting. </w:t>
      </w:r>
      <w:bookmarkEnd w:id="146"/>
    </w:p>
    <w:p w14:paraId="4B561720" w14:textId="77777777" w:rsidR="00FC6AD9" w:rsidRPr="00C64F3D" w:rsidRDefault="00FC6AD9" w:rsidP="00A168B0">
      <w:pPr>
        <w:pStyle w:val="NCDBodyText"/>
      </w:pPr>
      <w:bookmarkStart w:id="147" w:name="_Hlk68032579"/>
      <w:r w:rsidRPr="00C64F3D">
        <w:t>Surveys of practice administrators indicate tha</w:t>
      </w:r>
      <w:r>
        <w:t>t</w:t>
      </w:r>
      <w:r w:rsidRPr="00C64F3D">
        <w:t xml:space="preserve"> when accessible MDE is not available, </w:t>
      </w:r>
      <w:r>
        <w:t>health care</w:t>
      </w:r>
      <w:r w:rsidRPr="00C64F3D">
        <w:t xml:space="preserve"> providers resort to </w:t>
      </w:r>
      <w:r w:rsidRPr="00810A1D">
        <w:rPr>
          <w:i/>
          <w:iCs/>
        </w:rPr>
        <w:t>ad hoc</w:t>
      </w:r>
      <w:r w:rsidRPr="00C64F3D">
        <w:t xml:space="preserve"> </w:t>
      </w:r>
      <w:r>
        <w:t>“</w:t>
      </w:r>
      <w:r w:rsidRPr="00C64F3D">
        <w:t>accommodations,</w:t>
      </w:r>
      <w:r>
        <w:t>”</w:t>
      </w:r>
      <w:r w:rsidRPr="00C64F3D">
        <w:t xml:space="preserve"> such as examining patients in their wheelchairs (76</w:t>
      </w:r>
      <w:r>
        <w:t xml:space="preserve"> percent</w:t>
      </w:r>
      <w:r w:rsidRPr="00C64F3D">
        <w:t>), asking patients to bring someone to assist them (52</w:t>
      </w:r>
      <w:r>
        <w:t xml:space="preserve"> percent</w:t>
      </w:r>
      <w:r w:rsidRPr="00C64F3D">
        <w:t>), skipping parts of the exam</w:t>
      </w:r>
      <w:r>
        <w:t>ination</w:t>
      </w:r>
      <w:r w:rsidRPr="00C64F3D">
        <w:t xml:space="preserve"> where the barrier was encountered (44</w:t>
      </w:r>
      <w:r>
        <w:t xml:space="preserve"> percent</w:t>
      </w:r>
      <w:r w:rsidRPr="00C64F3D">
        <w:t>), and refusing to treat the patient due to clinic inaccessibility (3</w:t>
      </w:r>
      <w:r>
        <w:t xml:space="preserve"> percent</w:t>
      </w:r>
      <w:r w:rsidRPr="00C64F3D">
        <w:t>).</w:t>
      </w:r>
      <w:bookmarkEnd w:id="147"/>
      <w:r w:rsidRPr="00C64F3D">
        <w:rPr>
          <w:rStyle w:val="EndnoteReference"/>
          <w:rFonts w:cs="Arial"/>
        </w:rPr>
        <w:endnoteReference w:id="110"/>
      </w:r>
      <w:r w:rsidRPr="00C64F3D">
        <w:t xml:space="preserve"> An audit-based study of 30 primary and specialty care clinics in the Louisville, Kentucky</w:t>
      </w:r>
      <w:r>
        <w:t>,</w:t>
      </w:r>
      <w:r w:rsidRPr="00C64F3D">
        <w:t xml:space="preserve"> area reported similar findings during a 2013</w:t>
      </w:r>
      <w:r>
        <w:t>–</w:t>
      </w:r>
      <w:r w:rsidRPr="00C64F3D">
        <w:t>2014 follow-up survey of clinical managers.</w:t>
      </w:r>
      <w:r w:rsidRPr="00C64F3D">
        <w:rPr>
          <w:rStyle w:val="EndnoteReference"/>
          <w:rFonts w:cs="Arial"/>
        </w:rPr>
        <w:endnoteReference w:id="111"/>
      </w:r>
      <w:r w:rsidRPr="00C64F3D">
        <w:t xml:space="preserve"> Ninety-three percent of examination rooms were noncompliant with one or more ADA requirements</w:t>
      </w:r>
      <w:r>
        <w:t>,</w:t>
      </w:r>
      <w:r w:rsidRPr="00C64F3D">
        <w:t xml:space="preserve"> and 70</w:t>
      </w:r>
      <w:r>
        <w:t xml:space="preserve"> percent</w:t>
      </w:r>
      <w:r w:rsidRPr="00C64F3D">
        <w:t xml:space="preserve"> of clinic managers reported not owning a height-adjustable exam</w:t>
      </w:r>
      <w:r>
        <w:t xml:space="preserve">ination </w:t>
      </w:r>
      <w:r w:rsidRPr="00C64F3D">
        <w:t>table or wheelchair</w:t>
      </w:r>
      <w:r>
        <w:t>-</w:t>
      </w:r>
      <w:r w:rsidRPr="00C64F3D">
        <w:t xml:space="preserve">accessible </w:t>
      </w:r>
      <w:r>
        <w:t xml:space="preserve">weight </w:t>
      </w:r>
      <w:r w:rsidRPr="00C64F3D">
        <w:t>scale. In the absence of accessible MDE, wheelchair users were offered inappropriate accommodations including being examined in their wheelchairs (70</w:t>
      </w:r>
      <w:r>
        <w:t>–</w:t>
      </w:r>
      <w:r w:rsidRPr="00C64F3D">
        <w:t>87</w:t>
      </w:r>
      <w:r>
        <w:t xml:space="preserve"> percent</w:t>
      </w:r>
      <w:r w:rsidRPr="00C64F3D">
        <w:t>), being asked to bring someone with them to assist with transfers (30</w:t>
      </w:r>
      <w:r>
        <w:t xml:space="preserve"> percent</w:t>
      </w:r>
      <w:r w:rsidRPr="00C64F3D">
        <w:t>)</w:t>
      </w:r>
      <w:r>
        <w:t>,</w:t>
      </w:r>
      <w:r w:rsidRPr="00C64F3D">
        <w:t xml:space="preserve"> or being referred elsewhere. </w:t>
      </w:r>
    </w:p>
    <w:p w14:paraId="40C20B07" w14:textId="77777777" w:rsidR="00FC6AD9" w:rsidRPr="00C64F3D" w:rsidRDefault="00FC6AD9" w:rsidP="00A168B0">
      <w:pPr>
        <w:pStyle w:val="Heading2"/>
      </w:pPr>
      <w:bookmarkStart w:id="148" w:name="_Toc69374215"/>
      <w:r w:rsidRPr="00C64F3D">
        <w:t>Audit-</w:t>
      </w:r>
      <w:r>
        <w:t>B</w:t>
      </w:r>
      <w:r w:rsidRPr="00C64F3D">
        <w:t xml:space="preserve">ased </w:t>
      </w:r>
      <w:r>
        <w:t>A</w:t>
      </w:r>
      <w:r w:rsidRPr="00C64F3D">
        <w:t xml:space="preserve">ccessibility </w:t>
      </w:r>
      <w:r>
        <w:t>S</w:t>
      </w:r>
      <w:r w:rsidRPr="00C64F3D">
        <w:t xml:space="preserve">tudies </w:t>
      </w:r>
      <w:r>
        <w:t>R</w:t>
      </w:r>
      <w:r w:rsidRPr="00C64F3D">
        <w:t xml:space="preserve">eveal </w:t>
      </w:r>
      <w:r>
        <w:t>G</w:t>
      </w:r>
      <w:r w:rsidRPr="00C64F3D">
        <w:t xml:space="preserve">reater </w:t>
      </w:r>
      <w:r>
        <w:t>A</w:t>
      </w:r>
      <w:r w:rsidRPr="00C64F3D">
        <w:t xml:space="preserve">ccess </w:t>
      </w:r>
      <w:r>
        <w:t>D</w:t>
      </w:r>
      <w:r w:rsidRPr="00C64F3D">
        <w:t>isparities</w:t>
      </w:r>
      <w:bookmarkEnd w:id="148"/>
    </w:p>
    <w:p w14:paraId="6F2DF4AA" w14:textId="77777777" w:rsidR="00FC6AD9" w:rsidRPr="00C64F3D" w:rsidRDefault="00FC6AD9" w:rsidP="00A168B0">
      <w:pPr>
        <w:pStyle w:val="NCDBodyText"/>
      </w:pPr>
      <w:bookmarkStart w:id="149" w:name="_Hlk68032829"/>
      <w:r w:rsidRPr="00C64F3D">
        <w:t xml:space="preserve">Participants in our stakeholder interviews expressed concerns that self-report surveys from patients and providers may underreport architectural and MDE accessibility barriers. </w:t>
      </w:r>
      <w:bookmarkEnd w:id="149"/>
      <w:r w:rsidRPr="00C64F3D">
        <w:t>A cluster of studies examined availability of accessible MDE, directly or in combination with architectural accessibility. There is no consistent instrument used to evaluate accessibility across studies</w:t>
      </w:r>
      <w:r>
        <w:t>,</w:t>
      </w:r>
      <w:r w:rsidRPr="00C64F3D">
        <w:t xml:space="preserve"> and most studies created their own survey or audit tool guided by the ADA Accessibility Guidelines (ADAAG)</w:t>
      </w:r>
      <w:r w:rsidRPr="00C64F3D">
        <w:rPr>
          <w:rStyle w:val="EndnoteReference"/>
          <w:rFonts w:cs="Arial"/>
        </w:rPr>
        <w:endnoteReference w:id="112"/>
      </w:r>
      <w:r w:rsidRPr="00C64F3D">
        <w:t xml:space="preserve"> supplemented with targeted items about the availability of accessible MDE.</w:t>
      </w:r>
    </w:p>
    <w:p w14:paraId="511017E4" w14:textId="77777777" w:rsidR="00FC6AD9" w:rsidRPr="00C64F3D" w:rsidRDefault="00FC6AD9" w:rsidP="00A168B0">
      <w:pPr>
        <w:pStyle w:val="NCDBodyText"/>
      </w:pPr>
      <w:r w:rsidRPr="00C64F3D">
        <w:t xml:space="preserve">A 2008 study in the </w:t>
      </w:r>
      <w:r w:rsidRPr="00810A1D">
        <w:rPr>
          <w:i/>
          <w:iCs/>
        </w:rPr>
        <w:t>Disability and Health Journal</w:t>
      </w:r>
      <w:r w:rsidRPr="00C64F3D">
        <w:t xml:space="preserve"> reported on the findings of accessibility audits of 68 primary care facilities in South Carolina using the ADAAG supplemented with items about the availability of accessible MDE.</w:t>
      </w:r>
      <w:r w:rsidRPr="00C64F3D">
        <w:rPr>
          <w:rStyle w:val="EndnoteReference"/>
          <w:rFonts w:cs="Arial"/>
        </w:rPr>
        <w:endnoteReference w:id="113"/>
      </w:r>
      <w:r w:rsidRPr="00C64F3D">
        <w:t xml:space="preserve"> Only one facility had a wheelchair</w:t>
      </w:r>
      <w:r>
        <w:t>-</w:t>
      </w:r>
      <w:r w:rsidRPr="00C64F3D">
        <w:t>accessible weight scale</w:t>
      </w:r>
      <w:r>
        <w:t>,</w:t>
      </w:r>
      <w:r w:rsidRPr="00C64F3D">
        <w:t xml:space="preserve"> and 44</w:t>
      </w:r>
      <w:r>
        <w:t xml:space="preserve"> percent</w:t>
      </w:r>
      <w:r w:rsidRPr="00C64F3D">
        <w:t xml:space="preserve"> </w:t>
      </w:r>
      <w:r>
        <w:t xml:space="preserve">of the facilities </w:t>
      </w:r>
      <w:r w:rsidRPr="00C64F3D">
        <w:t>had a height</w:t>
      </w:r>
      <w:r>
        <w:t>-</w:t>
      </w:r>
      <w:r w:rsidRPr="00C64F3D">
        <w:t>adjustable examination table. Hospital-owned facilities and newer constructions tended to be more accessible. Informal follow-up by a rehabilitation engineer identified challenges to complying with federal law (ADA) and providing accessible MDE in practice, including budgetary concerns.</w:t>
      </w:r>
      <w:r w:rsidRPr="00C64F3D">
        <w:rPr>
          <w:rStyle w:val="EndnoteReference"/>
          <w:rFonts w:cs="Arial"/>
        </w:rPr>
        <w:endnoteReference w:id="114"/>
      </w:r>
      <w:r w:rsidRPr="00C64F3D">
        <w:t xml:space="preserve"> However, </w:t>
      </w:r>
      <w:bookmarkStart w:id="150" w:name="_Hlk68032888"/>
      <w:r w:rsidRPr="00C64F3D">
        <w:t xml:space="preserve">the availability of funding support was not enough to motivate change, and lack of patient complaints was perceived to indicate that the </w:t>
      </w:r>
      <w:r w:rsidRPr="00810A1D">
        <w:rPr>
          <w:i/>
          <w:iCs/>
        </w:rPr>
        <w:t xml:space="preserve">status quo </w:t>
      </w:r>
      <w:r w:rsidRPr="00C64F3D">
        <w:t>was acceptable. This finding was corroborated by our interviews with stakeholder experts who reported that even when accessible MDE was provided free or at very low cost</w:t>
      </w:r>
      <w:r>
        <w:t>,</w:t>
      </w:r>
      <w:r w:rsidRPr="00C64F3D">
        <w:t xml:space="preserve"> </w:t>
      </w:r>
      <w:r>
        <w:t>health care</w:t>
      </w:r>
      <w:r w:rsidRPr="00C64F3D">
        <w:t xml:space="preserve"> providers failed to take advantage of the offer. </w:t>
      </w:r>
      <w:bookmarkEnd w:id="150"/>
      <w:r w:rsidRPr="00C64F3D">
        <w:t>For example, one expert shared that when a large health network offered accessible MDE grants to their hundreds of thousands of providers, only a few hundred applied for the funding</w:t>
      </w:r>
      <w:r>
        <w:t>,</w:t>
      </w:r>
      <w:r w:rsidRPr="00C64F3D">
        <w:t xml:space="preserve"> and even fewer accepted it. In a puzzling turn of events, some providers declined to accept accessible MDE upon delivery. While the reason for this was unclear, the stakeholder experts speculated that it was indicative of a lack of provider understanding about the need and widespread benefit of accessible MDE to the people they serve.</w:t>
      </w:r>
    </w:p>
    <w:p w14:paraId="71716283" w14:textId="77777777" w:rsidR="00FC6AD9" w:rsidRPr="00C64F3D" w:rsidRDefault="00FC6AD9" w:rsidP="00A168B0">
      <w:pPr>
        <w:pStyle w:val="NCDBodyText"/>
      </w:pPr>
      <w:r w:rsidRPr="00C64F3D">
        <w:t xml:space="preserve">A 2019 study published in </w:t>
      </w:r>
      <w:r w:rsidRPr="00810A1D">
        <w:rPr>
          <w:i/>
          <w:iCs/>
        </w:rPr>
        <w:t>Health Equity</w:t>
      </w:r>
      <w:r w:rsidRPr="00C64F3D">
        <w:t xml:space="preserve"> reported the findings of a secondary analysis of on-site audits of 3</w:t>
      </w:r>
      <w:r>
        <w:t>,</w:t>
      </w:r>
      <w:r w:rsidRPr="00C64F3D">
        <w:t>993 primary care offices in California between 2013</w:t>
      </w:r>
      <w:r>
        <w:t xml:space="preserve"> and </w:t>
      </w:r>
      <w:r w:rsidRPr="00C64F3D">
        <w:t>2016.</w:t>
      </w:r>
      <w:r w:rsidRPr="00C64F3D">
        <w:rPr>
          <w:rStyle w:val="EndnoteReference"/>
          <w:rFonts w:cs="Arial"/>
        </w:rPr>
        <w:endnoteReference w:id="115"/>
      </w:r>
      <w:r w:rsidRPr="00C64F3D">
        <w:t xml:space="preserve"> Audits were guided by the ADAAG supplemented with items about the availability of accessible MDE. While approximately 85</w:t>
      </w:r>
      <w:r>
        <w:t xml:space="preserve"> percent</w:t>
      </w:r>
      <w:r w:rsidRPr="00C64F3D">
        <w:t xml:space="preserve"> of primary care offices complied with ADA architectural elements, only 19</w:t>
      </w:r>
      <w:r>
        <w:t xml:space="preserve"> percent</w:t>
      </w:r>
      <w:r w:rsidRPr="00C64F3D">
        <w:t xml:space="preserve"> of offices had an accessible examination table</w:t>
      </w:r>
      <w:r>
        <w:t>,</w:t>
      </w:r>
      <w:r w:rsidRPr="00C64F3D">
        <w:t xml:space="preserve"> and 10.9</w:t>
      </w:r>
      <w:r>
        <w:t xml:space="preserve"> percent</w:t>
      </w:r>
      <w:r w:rsidRPr="00C64F3D">
        <w:t xml:space="preserve"> had accessible weight scales.</w:t>
      </w:r>
      <w:r w:rsidRPr="00C64F3D">
        <w:rPr>
          <w:rStyle w:val="EndnoteReference"/>
          <w:rFonts w:cs="Arial"/>
        </w:rPr>
        <w:endnoteReference w:id="116"/>
      </w:r>
      <w:r w:rsidRPr="00C64F3D">
        <w:t xml:space="preserve"> Although these numbers are low, they represent an improvement over the research team’s 2012 </w:t>
      </w:r>
      <w:r w:rsidRPr="00810A1D">
        <w:rPr>
          <w:i/>
          <w:iCs/>
        </w:rPr>
        <w:t>Disability and Health Journal</w:t>
      </w:r>
      <w:r w:rsidRPr="00C64F3D">
        <w:t xml:space="preserve"> study of 2,389 audits completed between 2006</w:t>
      </w:r>
      <w:r>
        <w:t xml:space="preserve"> and </w:t>
      </w:r>
      <w:r w:rsidRPr="00C64F3D">
        <w:t>2010</w:t>
      </w:r>
      <w:r>
        <w:t xml:space="preserve">. Those audits </w:t>
      </w:r>
      <w:r w:rsidRPr="00C64F3D">
        <w:t>found that only 8.4</w:t>
      </w:r>
      <w:r>
        <w:t xml:space="preserve"> percent</w:t>
      </w:r>
      <w:r w:rsidRPr="00C64F3D">
        <w:t xml:space="preserve"> of primary care clinics had a height</w:t>
      </w:r>
      <w:r>
        <w:t>-</w:t>
      </w:r>
      <w:r w:rsidRPr="00C64F3D">
        <w:t>adjustable exam</w:t>
      </w:r>
      <w:r>
        <w:t xml:space="preserve">ination </w:t>
      </w:r>
      <w:r w:rsidRPr="00C64F3D">
        <w:t>table</w:t>
      </w:r>
      <w:r>
        <w:t>,</w:t>
      </w:r>
      <w:r w:rsidRPr="00C64F3D">
        <w:t xml:space="preserve"> and 3.6</w:t>
      </w:r>
      <w:r>
        <w:t xml:space="preserve"> percent</w:t>
      </w:r>
      <w:r w:rsidRPr="00C64F3D">
        <w:t xml:space="preserve"> had an accessible weight scale.</w:t>
      </w:r>
      <w:r w:rsidRPr="00C64F3D">
        <w:rPr>
          <w:rStyle w:val="EndnoteReference"/>
          <w:rFonts w:cs="Arial"/>
        </w:rPr>
        <w:endnoteReference w:id="117"/>
      </w:r>
      <w:r w:rsidRPr="00C64F3D">
        <w:t xml:space="preserve"> In contrast, a 2018 survey of 214 health professionals who </w:t>
      </w:r>
      <w:r>
        <w:t>we</w:t>
      </w:r>
      <w:r w:rsidRPr="00C64F3D">
        <w:t>re part of a large health system in the South Atlantic United States</w:t>
      </w:r>
      <w:r w:rsidRPr="00C64F3D">
        <w:rPr>
          <w:rStyle w:val="EndnoteReference"/>
          <w:rFonts w:cs="Arial"/>
        </w:rPr>
        <w:endnoteReference w:id="118"/>
      </w:r>
      <w:r w:rsidRPr="00C64F3D">
        <w:t xml:space="preserve"> reported that a relatively high percentage of hospital-based primary care clinics, and private diagnostic centers indicated that they had accessible MDE, including at least one height</w:t>
      </w:r>
      <w:r>
        <w:t>-</w:t>
      </w:r>
      <w:r w:rsidRPr="00C64F3D">
        <w:t>adjustable exam</w:t>
      </w:r>
      <w:r>
        <w:t>ination</w:t>
      </w:r>
      <w:r w:rsidRPr="00C64F3D">
        <w:t xml:space="preserve"> table (hospital 95</w:t>
      </w:r>
      <w:r>
        <w:t xml:space="preserve"> percent</w:t>
      </w:r>
      <w:r w:rsidRPr="00C64F3D">
        <w:t>, primary care 99</w:t>
      </w:r>
      <w:r>
        <w:t xml:space="preserve"> percent</w:t>
      </w:r>
      <w:r w:rsidRPr="00C64F3D">
        <w:t>, private diagnostic 80</w:t>
      </w:r>
      <w:r>
        <w:t xml:space="preserve"> percent</w:t>
      </w:r>
      <w:r w:rsidRPr="00C64F3D">
        <w:t xml:space="preserve">) and at least </w:t>
      </w:r>
      <w:r>
        <w:t>one</w:t>
      </w:r>
      <w:r w:rsidRPr="00C64F3D">
        <w:t xml:space="preserve"> wheelchair</w:t>
      </w:r>
      <w:r>
        <w:t>-</w:t>
      </w:r>
      <w:r w:rsidRPr="00C64F3D">
        <w:t xml:space="preserve">accessible </w:t>
      </w:r>
      <w:r>
        <w:t xml:space="preserve">weight </w:t>
      </w:r>
      <w:r w:rsidRPr="00C64F3D">
        <w:t>scale (hospital 60</w:t>
      </w:r>
      <w:r>
        <w:t xml:space="preserve"> percent</w:t>
      </w:r>
      <w:r w:rsidRPr="00C64F3D">
        <w:t>, primary care 72</w:t>
      </w:r>
      <w:r>
        <w:t xml:space="preserve"> percent</w:t>
      </w:r>
      <w:r w:rsidRPr="00C64F3D">
        <w:t>, private diagnostic 55</w:t>
      </w:r>
      <w:r>
        <w:t xml:space="preserve"> percent</w:t>
      </w:r>
      <w:r w:rsidRPr="00C64F3D">
        <w:t>).</w:t>
      </w:r>
    </w:p>
    <w:p w14:paraId="25DD2FE1" w14:textId="77777777" w:rsidR="00FC6AD9" w:rsidRPr="00F866DD" w:rsidRDefault="00FC6AD9" w:rsidP="00A168B0">
      <w:pPr>
        <w:pStyle w:val="NCDBodyText"/>
      </w:pPr>
      <w:r w:rsidRPr="00A168B0">
        <w:t>An alternate approach to evaluating clinic accessibility was taken by attempting to schedule a subspecialty appointment for a fictitious patient with mobility impairments.</w:t>
      </w:r>
      <w:r w:rsidRPr="005F3E7C">
        <w:rPr>
          <w:rStyle w:val="EndnoteReference"/>
        </w:rPr>
        <w:endnoteReference w:id="119"/>
      </w:r>
      <w:r w:rsidRPr="00A168B0">
        <w:t xml:space="preserve"> </w:t>
      </w:r>
      <w:bookmarkStart w:id="151" w:name="_Hlk68033059"/>
      <w:r w:rsidRPr="00F866DD">
        <w:t xml:space="preserve">Of the 256 practices contacted, representing eight subspecialties across four cities, 22 percent (56 practices) reported that they could not accommodate the patient due to inaccessible building architecture (4 percent, 9 practices) and inability to transfer the patient from wheelchair to examination table (18 percent, 47 practices). Only 9 percent (22 practices) of the sample reported use of a height-adjustable examination table or lift to assist with transfers. Gynecology was the subspecialty with the highest rate of inaccessible practices (44 percent). </w:t>
      </w:r>
    </w:p>
    <w:bookmarkEnd w:id="151"/>
    <w:p w14:paraId="3182A0FB" w14:textId="77777777" w:rsidR="00FC6AD9" w:rsidRPr="00C64F3D" w:rsidRDefault="00FC6AD9" w:rsidP="00A168B0">
      <w:pPr>
        <w:pStyle w:val="NCDBodyText"/>
      </w:pPr>
      <w:r w:rsidRPr="00C64F3D">
        <w:t xml:space="preserve">These findings highlight that </w:t>
      </w:r>
      <w:bookmarkStart w:id="152" w:name="_Hlk68033253"/>
      <w:r w:rsidRPr="00C64F3D">
        <w:t xml:space="preserve">accessible MDE access lags far behind architectural access, due in part to the federal accessibility requirements that apply to public and government entities under the ADA and the lack of enforceable federal MDE Standards. </w:t>
      </w:r>
      <w:bookmarkEnd w:id="152"/>
      <w:r w:rsidRPr="00C64F3D">
        <w:t xml:space="preserve">There was widespread agreement among experts interviewed that unless </w:t>
      </w:r>
      <w:r>
        <w:t xml:space="preserve">the </w:t>
      </w:r>
      <w:r w:rsidRPr="00C64F3D">
        <w:t>HHS and the DOJ adopt the MDE Standards as mandatory for the entities subject to their jurisdiction, significant improvement in the availability of accessible MDE for all p</w:t>
      </w:r>
      <w:r>
        <w:t>eople</w:t>
      </w:r>
      <w:r w:rsidRPr="00C64F3D">
        <w:t xml:space="preserve"> with disabilities was unlikely. </w:t>
      </w:r>
    </w:p>
    <w:p w14:paraId="7B6699A4" w14:textId="77777777" w:rsidR="00FC6AD9" w:rsidRPr="00C64F3D" w:rsidRDefault="00FC6AD9" w:rsidP="00A168B0">
      <w:pPr>
        <w:pStyle w:val="NCDBodyText"/>
      </w:pPr>
      <w:r w:rsidRPr="00C64F3D">
        <w:t>Even within catchment areas</w:t>
      </w:r>
      <w:r>
        <w:t>,</w:t>
      </w:r>
      <w:r w:rsidRPr="00C64F3D">
        <w:t xml:space="preserve"> availability of accessible MDE varied. A 2019 study of the geographic distribution of disability-accessible offices of Medicaid </w:t>
      </w:r>
      <w:r>
        <w:t>m</w:t>
      </w:r>
      <w:r w:rsidRPr="00C64F3D">
        <w:t xml:space="preserve">anaged </w:t>
      </w:r>
      <w:r>
        <w:t>c</w:t>
      </w:r>
      <w:r w:rsidRPr="00C64F3D">
        <w:t>are plan physicians in Los Angeles (LA) County found that only 44</w:t>
      </w:r>
      <w:r>
        <w:t xml:space="preserve"> percent</w:t>
      </w:r>
      <w:r w:rsidRPr="00C64F3D">
        <w:t xml:space="preserve"> of LA County zip codes had at least one office with a height</w:t>
      </w:r>
      <w:r>
        <w:t>-</w:t>
      </w:r>
      <w:r w:rsidRPr="00C64F3D">
        <w:t>accessible exam</w:t>
      </w:r>
      <w:r>
        <w:t>ination</w:t>
      </w:r>
      <w:r w:rsidRPr="00C64F3D">
        <w:t xml:space="preserve"> table, only 31</w:t>
      </w:r>
      <w:r>
        <w:t xml:space="preserve"> percent</w:t>
      </w:r>
      <w:r w:rsidRPr="00C64F3D">
        <w:t xml:space="preserve"> had an accessible </w:t>
      </w:r>
      <w:r>
        <w:t xml:space="preserve">weight </w:t>
      </w:r>
      <w:r w:rsidRPr="00C64F3D">
        <w:t>scale</w:t>
      </w:r>
      <w:r>
        <w:t>,</w:t>
      </w:r>
      <w:r w:rsidRPr="00C64F3D">
        <w:t xml:space="preserve"> and only 16</w:t>
      </w:r>
      <w:r>
        <w:t xml:space="preserve"> percent</w:t>
      </w:r>
      <w:r w:rsidRPr="00C64F3D">
        <w:t xml:space="preserve"> had a patient lift.</w:t>
      </w:r>
      <w:r w:rsidRPr="00C64F3D">
        <w:rPr>
          <w:rStyle w:val="EndnoteReference"/>
          <w:rFonts w:cs="Arial"/>
        </w:rPr>
        <w:endnoteReference w:id="120"/>
      </w:r>
      <w:r w:rsidRPr="00C64F3D">
        <w:t xml:space="preserve"> </w:t>
      </w:r>
      <w:bookmarkStart w:id="153" w:name="_Hlk68033332"/>
      <w:r w:rsidRPr="00C64F3D">
        <w:t>These findings illuminate disparities in access to accessible MDE based on zip code of residence, placing p</w:t>
      </w:r>
      <w:r>
        <w:t>eople</w:t>
      </w:r>
      <w:r w:rsidRPr="00C64F3D">
        <w:t xml:space="preserve"> with mobility disabilities in the difficult position of having to choose between long</w:t>
      </w:r>
      <w:r>
        <w:t xml:space="preserve"> </w:t>
      </w:r>
      <w:r w:rsidRPr="00C64F3D">
        <w:t>travel times to accessible clinics or seeking care in local but</w:t>
      </w:r>
      <w:r>
        <w:t xml:space="preserve"> </w:t>
      </w:r>
      <w:r w:rsidRPr="00C64F3D">
        <w:t xml:space="preserve">potentially inaccessible settings. </w:t>
      </w:r>
      <w:bookmarkEnd w:id="153"/>
      <w:r w:rsidRPr="00C64F3D">
        <w:t>The findings across studies and our interviews with stakeholder experts emphasized the importance of acknowledging geographic and setting</w:t>
      </w:r>
      <w:r>
        <w:t>-</w:t>
      </w:r>
      <w:r w:rsidRPr="00C64F3D">
        <w:t xml:space="preserve">specific variability in the availability of accessible MDE. People with disabilities who do find a provider with a fully accessible office often have to travel long distances to regional medical centers. Also, </w:t>
      </w:r>
      <w:bookmarkStart w:id="154" w:name="_Hlk68033365"/>
      <w:r w:rsidRPr="00C64F3D">
        <w:t xml:space="preserve">given the strong association between racial residential segregation and health disparities, the impact of geographic variability in facilities with accessible MDE may be particularly pronounced for people </w:t>
      </w:r>
      <w:r>
        <w:t xml:space="preserve">of color </w:t>
      </w:r>
      <w:r w:rsidRPr="00C64F3D">
        <w:t>with disabilities.</w:t>
      </w:r>
      <w:bookmarkEnd w:id="154"/>
      <w:r w:rsidRPr="00C64F3D">
        <w:rPr>
          <w:rStyle w:val="EndnoteReference"/>
          <w:rFonts w:cs="Arial"/>
        </w:rPr>
        <w:endnoteReference w:id="121"/>
      </w:r>
    </w:p>
    <w:p w14:paraId="2A212E54" w14:textId="18E002AF" w:rsidR="00FC6AD9" w:rsidRPr="00A168B0" w:rsidRDefault="00FC6AD9" w:rsidP="00A168B0">
      <w:pPr>
        <w:pStyle w:val="NCDBodyText"/>
        <w:rPr>
          <w:spacing w:val="-1"/>
        </w:rPr>
      </w:pPr>
      <w:r w:rsidRPr="00A168B0">
        <w:rPr>
          <w:spacing w:val="-1"/>
        </w:rPr>
        <w:t xml:space="preserve">Stakeholder experts emphasized the need to pay special attention to people receiving care in small and rural communities from what many called “mom-and-pop” providers who frequently provide care to communities while working with a very tight operating budget and for whom procurement of accessible MDE may be perceived as cost prohibitive. </w:t>
      </w:r>
      <w:bookmarkStart w:id="155" w:name="_Hlk68033403"/>
      <w:r w:rsidRPr="00F866DD">
        <w:rPr>
          <w:spacing w:val="-1"/>
        </w:rPr>
        <w:t>Equipment manufacturers and policy experts who participated in the stakeholder interviews emphasized the importance of publicizing tax incentives available to small practices with either 30 or less employees or total revenue of $1 million or less through the Internal Revenue Service’s (IRS) Disabled Access Credit (Form 8826).</w:t>
      </w:r>
      <w:r w:rsidRPr="00F866DD">
        <w:rPr>
          <w:rStyle w:val="EndnoteReference"/>
          <w:spacing w:val="-1"/>
        </w:rPr>
        <w:endnoteReference w:id="122"/>
      </w:r>
      <w:bookmarkEnd w:id="155"/>
      <w:r w:rsidR="008B5A18" w:rsidRPr="00F866DD">
        <w:rPr>
          <w:spacing w:val="-1"/>
        </w:rPr>
        <w:t xml:space="preserve"> </w:t>
      </w:r>
      <w:r w:rsidR="008B5A18">
        <w:rPr>
          <w:spacing w:val="-1"/>
        </w:rPr>
        <w:t xml:space="preserve"> </w:t>
      </w:r>
      <w:r w:rsidR="00FD0E7E">
        <w:rPr>
          <w:spacing w:val="-1"/>
        </w:rPr>
        <w:br/>
      </w:r>
      <w:r w:rsidRPr="00A168B0">
        <w:rPr>
          <w:spacing w:val="-1"/>
        </w:rPr>
        <w:t>At least two stakeholder experts in disability advocacy suggested that managed care organizations (MCOs) are better suited to purchase accessible MDE than individual providers. “Don’t put the burden on the small offices,” said one. “Put it where the funding resides.” Unfortunately, this keeps the burden on the patients who live in small communities where there are only small medical practices, unaffiliated with a hospital system with resources. If such small practices do not obtain accessible MDE, their patients who need it will continue to avoid care or travel outside of their communities to receive appropriate care.</w:t>
      </w:r>
    </w:p>
    <w:p w14:paraId="55FB08D5" w14:textId="77777777" w:rsidR="00FC6AD9" w:rsidRPr="00C64F3D" w:rsidRDefault="00FC6AD9" w:rsidP="00A168B0">
      <w:pPr>
        <w:pStyle w:val="NCDBodyText"/>
      </w:pPr>
      <w:r w:rsidRPr="00C64F3D">
        <w:t xml:space="preserve">Further influencing procurement of accessible MDE is decision makers’ limited knowledge about the need for and the availability of accessible MDE. </w:t>
      </w:r>
      <w:bookmarkStart w:id="156" w:name="_Hlk68033451"/>
      <w:r w:rsidRPr="00C64F3D">
        <w:t>Research suggests that rather than licensed clinicians, administrators and office managers were responsible for MDE purchasing decisions in hospitals (70</w:t>
      </w:r>
      <w:r>
        <w:t xml:space="preserve"> percent</w:t>
      </w:r>
      <w:r w:rsidRPr="00C64F3D">
        <w:t xml:space="preserve">), primary care </w:t>
      </w:r>
      <w:r>
        <w:t xml:space="preserve">offices </w:t>
      </w:r>
      <w:r w:rsidRPr="00C64F3D">
        <w:t>(67</w:t>
      </w:r>
      <w:r>
        <w:t xml:space="preserve"> percent</w:t>
      </w:r>
      <w:r w:rsidRPr="00C64F3D">
        <w:t>), and private diagnostic facilities (100</w:t>
      </w:r>
      <w:r>
        <w:t xml:space="preserve"> percent</w:t>
      </w:r>
      <w:r w:rsidRPr="00C64F3D">
        <w:t>).</w:t>
      </w:r>
      <w:bookmarkEnd w:id="156"/>
      <w:r w:rsidRPr="00C64F3D">
        <w:rPr>
          <w:rStyle w:val="EndnoteReference"/>
          <w:rFonts w:cs="Arial"/>
        </w:rPr>
        <w:endnoteReference w:id="123"/>
      </w:r>
      <w:r w:rsidRPr="00C64F3D">
        <w:t xml:space="preserve"> In 2013 and 2014, a series of manuscripts based on a survey of 63 primary care administrators found that while administrators were primarily responsible for MDE purchases, less than half knew that accessible equipment existed</w:t>
      </w:r>
      <w:r>
        <w:t>,</w:t>
      </w:r>
      <w:r w:rsidRPr="00C64F3D">
        <w:t xml:space="preserve"> and only a quarter knew what accessible equipment was available.</w:t>
      </w:r>
      <w:r w:rsidRPr="00C64F3D">
        <w:rPr>
          <w:rStyle w:val="EndnoteReference"/>
          <w:rFonts w:cs="Arial"/>
        </w:rPr>
        <w:endnoteReference w:id="124"/>
      </w:r>
      <w:r w:rsidRPr="00C64F3D">
        <w:t xml:space="preserve"> Clearly, administrators are the key decision makers when it comes to MDE, so it is imperative that they understand the value of accessible MDE and are aware of what accessible MDE options are available to them.</w:t>
      </w:r>
      <w:r w:rsidRPr="00C64F3D">
        <w:rPr>
          <w:rStyle w:val="EndnoteReference"/>
          <w:rFonts w:cs="Arial"/>
        </w:rPr>
        <w:endnoteReference w:id="125"/>
      </w:r>
      <w:r w:rsidRPr="00C64F3D">
        <w:t xml:space="preserve"> </w:t>
      </w:r>
    </w:p>
    <w:p w14:paraId="1A8EB5B0" w14:textId="77777777" w:rsidR="00FC6AD9" w:rsidRPr="00C64F3D" w:rsidRDefault="00FC6AD9" w:rsidP="00A168B0">
      <w:pPr>
        <w:pStyle w:val="Heading2"/>
      </w:pPr>
      <w:bookmarkStart w:id="157" w:name="_Toc69374216"/>
      <w:r w:rsidRPr="00C64F3D">
        <w:t>Additional Challenges Identified by Stakeholder Experts</w:t>
      </w:r>
      <w:bookmarkEnd w:id="157"/>
    </w:p>
    <w:p w14:paraId="6FDCE066" w14:textId="09D3FCC3" w:rsidR="00FC6AD9" w:rsidRPr="00C64F3D" w:rsidRDefault="00FC6AD9" w:rsidP="00B9405D">
      <w:pPr>
        <w:pStyle w:val="Heading3"/>
      </w:pPr>
      <w:bookmarkStart w:id="158" w:name="_Toc69374217"/>
      <w:r w:rsidRPr="00C64F3D">
        <w:t xml:space="preserve">Knowledge of </w:t>
      </w:r>
      <w:r w:rsidR="00FD0E7E" w:rsidRPr="00C64F3D">
        <w:t xml:space="preserve">Rights </w:t>
      </w:r>
      <w:r w:rsidRPr="00C64F3D">
        <w:t xml:space="preserve">and the </w:t>
      </w:r>
      <w:r w:rsidR="00FD0E7E" w:rsidRPr="00C64F3D">
        <w:t xml:space="preserve">Role </w:t>
      </w:r>
      <w:r w:rsidRPr="00C64F3D">
        <w:t xml:space="preserve">of DOJ </w:t>
      </w:r>
      <w:r w:rsidR="00FD0E7E" w:rsidRPr="00C64F3D">
        <w:t>Need to Be Increased</w:t>
      </w:r>
      <w:bookmarkEnd w:id="158"/>
    </w:p>
    <w:p w14:paraId="0799A37E" w14:textId="77777777" w:rsidR="00FC6AD9" w:rsidRPr="00FD0E7E" w:rsidRDefault="00FC6AD9" w:rsidP="00A168B0">
      <w:pPr>
        <w:pStyle w:val="NCDBodyText"/>
      </w:pPr>
      <w:r w:rsidRPr="00FD0E7E">
        <w:t xml:space="preserve">Stakeholder experts raised the issue that consumers may be unaware that accessible MDE is available and required, so they do not know to advocate for its use or report </w:t>
      </w:r>
      <w:proofErr w:type="spellStart"/>
      <w:r w:rsidRPr="00FD0E7E">
        <w:t>nonavailability</w:t>
      </w:r>
      <w:proofErr w:type="spellEnd"/>
      <w:r w:rsidRPr="00FD0E7E">
        <w:t xml:space="preserve">. </w:t>
      </w:r>
      <w:bookmarkStart w:id="159" w:name="_Hlk68033545"/>
      <w:r w:rsidRPr="00FD0E7E">
        <w:t>Stakeholder experts also indicated that fear of losing their health care and health care providers can make people with disabilities reluctant to lodge complaints about quality of care and lack of accessible MDE. This problem is particularly acute for people with disabilities who receive their health care funding through federal programs, especially Medicaid, for whom finding providers who will accept this form of reimbursement is already problematic.</w:t>
      </w:r>
      <w:bookmarkEnd w:id="159"/>
      <w:r w:rsidRPr="00FD0E7E">
        <w:rPr>
          <w:rStyle w:val="EndnoteReference"/>
        </w:rPr>
        <w:endnoteReference w:id="126"/>
      </w:r>
      <w:r w:rsidRPr="00FD0E7E">
        <w:t xml:space="preserve"> </w:t>
      </w:r>
      <w:bookmarkStart w:id="160" w:name="_Hlk68033600"/>
      <w:r w:rsidRPr="00FD0E7E">
        <w:t xml:space="preserve">When complaints are lodged and result in legal action, they typically impact a single health system. Stakeholder experts have noted that this case-by-case approach to enforcement has not led to widespread changes in procurement and provision of accessible MDE across the broader health care delivery system(s). </w:t>
      </w:r>
      <w:bookmarkEnd w:id="160"/>
      <w:r w:rsidRPr="00FD0E7E">
        <w:t xml:space="preserve">While nearly all of the stakeholder experts acknowledged that litigation under existing civil rights legislation was an important tool in the advocacy and system’s change arsenal, they emphasized that leadership at the federal level through the adoption and enforcement of the MDE Standards was preferred to a case-by-case enforcement approach. </w:t>
      </w:r>
    </w:p>
    <w:p w14:paraId="2C21C49C" w14:textId="791A12CE" w:rsidR="00FC6AD9" w:rsidRPr="00C64F3D" w:rsidRDefault="00FC6AD9" w:rsidP="00B9405D">
      <w:pPr>
        <w:pStyle w:val="Heading3"/>
      </w:pPr>
      <w:bookmarkStart w:id="161" w:name="_Toc69374218"/>
      <w:r w:rsidRPr="00C64F3D">
        <w:t xml:space="preserve">Lack of </w:t>
      </w:r>
      <w:r w:rsidR="00910456" w:rsidRPr="00C64F3D">
        <w:t>Reliable Disability Data</w:t>
      </w:r>
      <w:bookmarkEnd w:id="161"/>
      <w:r w:rsidR="00910456" w:rsidRPr="00C64F3D">
        <w:t xml:space="preserve"> </w:t>
      </w:r>
    </w:p>
    <w:p w14:paraId="2680521D" w14:textId="77777777" w:rsidR="00FC6AD9" w:rsidRPr="00910456" w:rsidRDefault="00FC6AD9" w:rsidP="00A168B0">
      <w:pPr>
        <w:pStyle w:val="NCDBodyText"/>
        <w:rPr>
          <w:color w:val="000000" w:themeColor="text1"/>
        </w:rPr>
      </w:pPr>
      <w:r w:rsidRPr="00910456">
        <w:t xml:space="preserve">Closely related to the public reporting of accurate, verifiable accessibility information were challenges related to the availability of disability data. </w:t>
      </w:r>
      <w:bookmarkStart w:id="162" w:name="_Hlk68033753"/>
      <w:r w:rsidRPr="00910456">
        <w:t xml:space="preserve">There continues to be no universally agreed upon coding system to document the presence of disability at the population or health system level. Despite lobbying efforts by members of the Access Board, disability-related variables are not </w:t>
      </w:r>
      <w:bookmarkStart w:id="163" w:name="_Hlk52865294"/>
      <w:r w:rsidRPr="00910456">
        <w:t>included in meaningful use standards for electronic health records.</w:t>
      </w:r>
      <w:bookmarkEnd w:id="162"/>
      <w:r w:rsidRPr="00910456">
        <w:rPr>
          <w:rStyle w:val="EndnoteReference"/>
          <w:rFonts w:cs="Arial"/>
        </w:rPr>
        <w:endnoteReference w:id="127"/>
      </w:r>
      <w:r w:rsidRPr="00910456">
        <w:t xml:space="preserve"> Concerns over provider and patient burden were cited as the reason for their exclusion, but a more fundamental challenge may be convincing health administrators and information technology specialists that disability data are important. Even when facility-level data are required, such as in California’s state-mandated Facility Site Review Process that includes a Physical Accessibility Survey,</w:t>
      </w:r>
      <w:r w:rsidRPr="00910456">
        <w:rPr>
          <w:rStyle w:val="EndnoteReference"/>
          <w:rFonts w:cs="Arial"/>
        </w:rPr>
        <w:endnoteReference w:id="128"/>
      </w:r>
      <w:r w:rsidRPr="00910456">
        <w:t xml:space="preserve"> compliance is determined by completion of the process rather than the results of the accessibility audit. </w:t>
      </w:r>
    </w:p>
    <w:p w14:paraId="23DAFA47" w14:textId="77777777" w:rsidR="00FC6AD9" w:rsidRPr="00A168B0" w:rsidRDefault="00FC6AD9" w:rsidP="00A168B0">
      <w:pPr>
        <w:pStyle w:val="NCDBodyText"/>
      </w:pPr>
      <w:r w:rsidRPr="00A168B0">
        <w:t xml:space="preserve">Stakeholder experts also indicated that many health care providers have narrow and stereotypical views of who the potential beneficiaries of accessible MDE are. When they see an expanded view on who benefits from accessible MDE, they recognize the opportunities for widespread patient benefit. </w:t>
      </w:r>
      <w:bookmarkStart w:id="164" w:name="_Hlk68033812"/>
      <w:r w:rsidRPr="00910456">
        <w:t>Several stakeholder experts pointed to the need to change the culture of health care to see the relationship between accessibility, patient and provider safety, and quality of care.</w:t>
      </w:r>
      <w:bookmarkEnd w:id="164"/>
      <w:r w:rsidRPr="00910456">
        <w:t xml:space="preserve"> For example, a series of ergonomic studies found that the use of height-adjustable examination tables decreased perceived exertion during transfers for both providers</w:t>
      </w:r>
      <w:r w:rsidRPr="00910456">
        <w:rPr>
          <w:rStyle w:val="EndnoteReference"/>
        </w:rPr>
        <w:endnoteReference w:id="129"/>
      </w:r>
      <w:r w:rsidRPr="00910456">
        <w:t xml:space="preserve"> and patients.</w:t>
      </w:r>
      <w:r w:rsidRPr="00910456">
        <w:rPr>
          <w:rStyle w:val="EndnoteReference"/>
        </w:rPr>
        <w:endnoteReference w:id="130"/>
      </w:r>
      <w:r w:rsidRPr="00910456">
        <w:t xml:space="preserve"> Perceived exertion has been used in previous ergonomic studies as an indicator of occupational risk, particularly for musculoskeletal injuries. </w:t>
      </w:r>
      <w:r w:rsidRPr="00A168B0">
        <w:t xml:space="preserve">Additionally, regardless of functional mobility status, patients reported more difficulty and less sense of safety when transferring to fixed-height examination tables. These findings speak to the potential widespread benefit of accessible MDE and are examples of the application of universal design principles to MDE. </w:t>
      </w:r>
    </w:p>
    <w:p w14:paraId="22C0442C" w14:textId="77777777" w:rsidR="00FC6AD9" w:rsidRPr="00C64F3D" w:rsidRDefault="00FC6AD9" w:rsidP="00A168B0">
      <w:pPr>
        <w:pStyle w:val="Heading2"/>
      </w:pPr>
      <w:bookmarkStart w:id="165" w:name="_Toc69374219"/>
      <w:r w:rsidRPr="00C64F3D">
        <w:t xml:space="preserve">A </w:t>
      </w:r>
      <w:r>
        <w:t>N</w:t>
      </w:r>
      <w:r w:rsidRPr="00C64F3D">
        <w:t xml:space="preserve">eed to </w:t>
      </w:r>
      <w:r>
        <w:t>F</w:t>
      </w:r>
      <w:r w:rsidRPr="00C64F3D">
        <w:t xml:space="preserve">oster a </w:t>
      </w:r>
      <w:r>
        <w:t>C</w:t>
      </w:r>
      <w:r w:rsidRPr="00C64F3D">
        <w:t xml:space="preserve">ulture of </w:t>
      </w:r>
      <w:r>
        <w:t>A</w:t>
      </w:r>
      <w:r w:rsidRPr="00C64F3D">
        <w:t xml:space="preserve">ccess and </w:t>
      </w:r>
      <w:r>
        <w:t>I</w:t>
      </w:r>
      <w:r w:rsidRPr="00C64F3D">
        <w:t xml:space="preserve">nclusion for </w:t>
      </w:r>
      <w:r>
        <w:t>E</w:t>
      </w:r>
      <w:r w:rsidRPr="00C64F3D">
        <w:t>veryone</w:t>
      </w:r>
      <w:bookmarkEnd w:id="165"/>
    </w:p>
    <w:p w14:paraId="4503FF4F" w14:textId="77777777" w:rsidR="00FC6AD9" w:rsidRPr="00C64F3D" w:rsidRDefault="00FC6AD9" w:rsidP="00A168B0">
      <w:pPr>
        <w:pStyle w:val="NCDBodyText"/>
      </w:pPr>
      <w:bookmarkStart w:id="166" w:name="_Hlk68033867"/>
      <w:r>
        <w:t>C</w:t>
      </w:r>
      <w:r w:rsidRPr="00C64F3D">
        <w:t>ulture change may also be needed to ensure that not only is accessible MDE purchased</w:t>
      </w:r>
      <w:r>
        <w:t>,</w:t>
      </w:r>
      <w:r w:rsidRPr="00C64F3D">
        <w:t xml:space="preserve"> but it is also appropriately used as part of routine clinical care. </w:t>
      </w:r>
      <w:bookmarkEnd w:id="166"/>
      <w:r w:rsidRPr="00C64F3D">
        <w:t>Studies show that even when accessible MDE is available</w:t>
      </w:r>
      <w:r>
        <w:t>,</w:t>
      </w:r>
      <w:r w:rsidRPr="00C64F3D">
        <w:t xml:space="preserve"> it is not consistently used by providers. For example, a 2017 study in the </w:t>
      </w:r>
      <w:r w:rsidRPr="00810A1D">
        <w:rPr>
          <w:i/>
          <w:iCs/>
        </w:rPr>
        <w:t>Journal of Internal Medicine</w:t>
      </w:r>
      <w:r w:rsidRPr="00C64F3D">
        <w:t xml:space="preserve"> compared patients’ perceptions of quality and frequency of physical examinations on exam</w:t>
      </w:r>
      <w:r>
        <w:t>ination</w:t>
      </w:r>
      <w:r w:rsidRPr="00C64F3D">
        <w:t xml:space="preserve"> tables at two primary care clinics, one with and one without height</w:t>
      </w:r>
      <w:r>
        <w:t>-</w:t>
      </w:r>
      <w:r w:rsidRPr="00C64F3D">
        <w:t>adjustable examination tables.</w:t>
      </w:r>
      <w:r w:rsidRPr="00C64F3D">
        <w:rPr>
          <w:rStyle w:val="EndnoteReference"/>
          <w:rFonts w:cs="Arial"/>
        </w:rPr>
        <w:endnoteReference w:id="131"/>
      </w:r>
      <w:r w:rsidRPr="00C64F3D">
        <w:t xml:space="preserve"> P</w:t>
      </w:r>
      <w:r>
        <w:t>eople</w:t>
      </w:r>
      <w:r w:rsidRPr="00C64F3D">
        <w:t xml:space="preserve"> with disabilities were 27</w:t>
      </w:r>
      <w:r>
        <w:t xml:space="preserve"> percent</w:t>
      </w:r>
      <w:r w:rsidRPr="00C64F3D">
        <w:t xml:space="preserve"> less likely to be examined on a table (</w:t>
      </w:r>
      <w:r w:rsidRPr="00810A1D">
        <w:rPr>
          <w:i/>
          <w:iCs/>
        </w:rPr>
        <w:t>p</w:t>
      </w:r>
      <w:r>
        <w:t> </w:t>
      </w:r>
      <w:r w:rsidRPr="00C64F3D">
        <w:t>&lt;</w:t>
      </w:r>
      <w:r>
        <w:t> </w:t>
      </w:r>
      <w:r w:rsidRPr="00C64F3D">
        <w:t xml:space="preserve">0.001) and reported lower perceived quality of care, regardless of the availability of height-adjustable examination tables. This suggests that provision of accessible MDE alone may be insufficient to change provider practice patterns and that a more comprehensive approach to create a culture of access is required. </w:t>
      </w:r>
    </w:p>
    <w:p w14:paraId="456663CC" w14:textId="77777777" w:rsidR="00FC6AD9" w:rsidRPr="00C64F3D" w:rsidRDefault="00FC6AD9" w:rsidP="00A168B0">
      <w:pPr>
        <w:pStyle w:val="NCDBodyText"/>
      </w:pPr>
      <w:r w:rsidRPr="00C64F3D">
        <w:t>Given the preponderance of qualitative evidence highlighting the lack of accessible MDE and disability competence as barriers to primary, preventative</w:t>
      </w:r>
      <w:r>
        <w:t>,</w:t>
      </w:r>
      <w:r w:rsidRPr="00C64F3D">
        <w:t xml:space="preserve"> and specialty care for people with physical disabilities, a 2019 study in the </w:t>
      </w:r>
      <w:r w:rsidRPr="00810A1D">
        <w:rPr>
          <w:i/>
          <w:iCs/>
        </w:rPr>
        <w:t>Archives of Physical Medicine and Rehabilitation</w:t>
      </w:r>
      <w:r w:rsidRPr="00C64F3D">
        <w:t xml:space="preserve"> sought to understand providers</w:t>
      </w:r>
      <w:r>
        <w:t>’</w:t>
      </w:r>
      <w:r w:rsidRPr="00C64F3D">
        <w:t xml:space="preserve"> perspectives on accessible MDE use.</w:t>
      </w:r>
      <w:r w:rsidRPr="00C64F3D">
        <w:rPr>
          <w:rStyle w:val="EndnoteReference"/>
          <w:rFonts w:cs="Arial"/>
        </w:rPr>
        <w:endnoteReference w:id="132"/>
      </w:r>
      <w:r w:rsidRPr="00C64F3D">
        <w:t xml:space="preserve"> Physicians had mixed feelings about accessible MDE use and identified both strengths and drawbacks of using accessible MDE in clinical practice.</w:t>
      </w:r>
      <w:r>
        <w:t xml:space="preserve"> </w:t>
      </w:r>
      <w:r w:rsidRPr="00C64F3D">
        <w:t>Greater safety for patients and staff was seen as a benefit. Accessible MDE allowed providers to stop relying on patient descriptors of symptoms and self-reported weights, which was another plus. Extra time and effort needed to perform transfers was a drawback</w:t>
      </w:r>
      <w:r>
        <w:t>,</w:t>
      </w:r>
      <w:r w:rsidRPr="00C64F3D">
        <w:t xml:space="preserve"> and some providers indicated a preference for examining </w:t>
      </w:r>
      <w:r>
        <w:t>people</w:t>
      </w:r>
      <w:r w:rsidRPr="00C64F3D">
        <w:t xml:space="preserve"> with disabilities in their wheelchairs, even when an accessible examination table was available.</w:t>
      </w:r>
      <w:r w:rsidRPr="00C64F3D">
        <w:rPr>
          <w:rStyle w:val="EndnoteReference"/>
          <w:rFonts w:cs="Arial"/>
        </w:rPr>
        <w:endnoteReference w:id="133"/>
      </w:r>
      <w:r w:rsidRPr="00C64F3D">
        <w:t xml:space="preserve"> </w:t>
      </w:r>
    </w:p>
    <w:p w14:paraId="040F6ABF" w14:textId="77777777" w:rsidR="00FC6AD9" w:rsidRPr="00C64F3D" w:rsidRDefault="00FC6AD9" w:rsidP="00A168B0">
      <w:pPr>
        <w:pStyle w:val="Heading2"/>
      </w:pPr>
      <w:bookmarkStart w:id="167" w:name="_Toc69374220"/>
      <w:r w:rsidRPr="00C64F3D">
        <w:t>Cost Considerations</w:t>
      </w:r>
      <w:bookmarkEnd w:id="167"/>
    </w:p>
    <w:p w14:paraId="5E7EC87F" w14:textId="77777777" w:rsidR="00FC6AD9" w:rsidRPr="00C64F3D" w:rsidRDefault="00FC6AD9" w:rsidP="00A168B0">
      <w:pPr>
        <w:pStyle w:val="NCDBodyText"/>
        <w:rPr>
          <w:rFonts w:eastAsia="Times New Roman"/>
        </w:rPr>
      </w:pPr>
      <w:bookmarkStart w:id="168" w:name="_Hlk68033909"/>
      <w:r w:rsidRPr="00910456">
        <w:rPr>
          <w:shd w:val="clear" w:color="auto" w:fill="FFFFFF"/>
        </w:rPr>
        <w:t xml:space="preserve">Rather than viewing accessible diagnostic equipment as a civil rights and health care equity issue, it is often seen through only a cost lens, or worse yet, a cost-benefit lens. </w:t>
      </w:r>
      <w:bookmarkEnd w:id="168"/>
      <w:r w:rsidRPr="00C64F3D">
        <w:rPr>
          <w:shd w:val="clear" w:color="auto" w:fill="FFFFFF"/>
        </w:rPr>
        <w:t xml:space="preserve">Collaboration between states, </w:t>
      </w:r>
      <w:r>
        <w:rPr>
          <w:shd w:val="clear" w:color="auto" w:fill="FFFFFF"/>
        </w:rPr>
        <w:t>health care</w:t>
      </w:r>
      <w:r w:rsidRPr="00C64F3D">
        <w:rPr>
          <w:shd w:val="clear" w:color="auto" w:fill="FFFFFF"/>
        </w:rPr>
        <w:t xml:space="preserve"> providers</w:t>
      </w:r>
      <w:r>
        <w:rPr>
          <w:shd w:val="clear" w:color="auto" w:fill="FFFFFF"/>
        </w:rPr>
        <w:t>,</w:t>
      </w:r>
      <w:r w:rsidRPr="00C64F3D">
        <w:rPr>
          <w:shd w:val="clear" w:color="auto" w:fill="FFFFFF"/>
        </w:rPr>
        <w:t xml:space="preserve"> and insurers has been floated as an approach to mitigate cost concerns.</w:t>
      </w:r>
      <w:r w:rsidRPr="00C64F3D">
        <w:rPr>
          <w:rStyle w:val="EndnoteReference"/>
          <w:rFonts w:cs="Arial"/>
          <w:shd w:val="clear" w:color="auto" w:fill="FFFFFF"/>
        </w:rPr>
        <w:endnoteReference w:id="134"/>
      </w:r>
      <w:r w:rsidRPr="00C64F3D">
        <w:rPr>
          <w:shd w:val="clear" w:color="auto" w:fill="FFFFFF"/>
        </w:rPr>
        <w:t xml:space="preserve"> </w:t>
      </w:r>
      <w:r w:rsidRPr="00C64F3D">
        <w:rPr>
          <w:rFonts w:eastAsia="Times New Roman"/>
          <w:kern w:val="36"/>
        </w:rPr>
        <w:t xml:space="preserve">For example, in 2018, </w:t>
      </w:r>
      <w:proofErr w:type="spellStart"/>
      <w:r w:rsidRPr="00C64F3D">
        <w:rPr>
          <w:rFonts w:eastAsia="Times New Roman"/>
        </w:rPr>
        <w:t>Centene</w:t>
      </w:r>
      <w:proofErr w:type="spellEnd"/>
      <w:r w:rsidRPr="00C64F3D">
        <w:rPr>
          <w:rFonts w:eastAsia="Times New Roman"/>
        </w:rPr>
        <w:t xml:space="preserve">, a national Medicaid insurer, partnered with the </w:t>
      </w:r>
      <w:bookmarkStart w:id="169" w:name="_Hlk65187184"/>
      <w:r w:rsidRPr="00C64F3D">
        <w:rPr>
          <w:rFonts w:eastAsia="Times New Roman"/>
        </w:rPr>
        <w:t>National C</w:t>
      </w:r>
      <w:r>
        <w:rPr>
          <w:rFonts w:eastAsia="Times New Roman"/>
        </w:rPr>
        <w:t xml:space="preserve">ouncil on </w:t>
      </w:r>
      <w:r w:rsidRPr="00C64F3D">
        <w:rPr>
          <w:rFonts w:eastAsia="Times New Roman"/>
        </w:rPr>
        <w:t xml:space="preserve">Independent Living </w:t>
      </w:r>
      <w:bookmarkEnd w:id="169"/>
      <w:r w:rsidRPr="00C64F3D">
        <w:rPr>
          <w:rFonts w:eastAsia="Times New Roman"/>
        </w:rPr>
        <w:t xml:space="preserve">(NCIL) to create a Provider Accessibility Initiative (PAI) program to improve access to quality </w:t>
      </w:r>
      <w:r>
        <w:rPr>
          <w:rFonts w:eastAsia="Times New Roman"/>
        </w:rPr>
        <w:t>health care</w:t>
      </w:r>
      <w:r w:rsidRPr="00C64F3D">
        <w:rPr>
          <w:rFonts w:eastAsia="Times New Roman"/>
        </w:rPr>
        <w:t xml:space="preserve"> and services to members with disabilities.</w:t>
      </w:r>
      <w:r w:rsidRPr="00C64F3D">
        <w:rPr>
          <w:rStyle w:val="EndnoteReference"/>
          <w:rFonts w:eastAsia="Times New Roman" w:cs="Arial"/>
        </w:rPr>
        <w:endnoteReference w:id="135"/>
      </w:r>
      <w:r w:rsidRPr="00C64F3D">
        <w:rPr>
          <w:rFonts w:eastAsia="Times New Roman"/>
        </w:rPr>
        <w:t xml:space="preserve"> </w:t>
      </w:r>
      <w:proofErr w:type="spellStart"/>
      <w:r w:rsidRPr="00C64F3D">
        <w:rPr>
          <w:rFonts w:eastAsia="Times New Roman"/>
        </w:rPr>
        <w:t>Centene’s</w:t>
      </w:r>
      <w:proofErr w:type="spellEnd"/>
      <w:r w:rsidRPr="00C64F3D">
        <w:rPr>
          <w:rFonts w:eastAsia="Times New Roman"/>
        </w:rPr>
        <w:t xml:space="preserve"> goal is to increase the number of network providers who meet the minimum accessibility standards in both physical and programmatic access. To date, </w:t>
      </w:r>
      <w:proofErr w:type="spellStart"/>
      <w:r w:rsidRPr="00C64F3D">
        <w:rPr>
          <w:rFonts w:eastAsia="Times New Roman"/>
        </w:rPr>
        <w:t>Centene</w:t>
      </w:r>
      <w:proofErr w:type="spellEnd"/>
      <w:r w:rsidRPr="00C64F3D">
        <w:rPr>
          <w:rFonts w:eastAsia="Times New Roman"/>
        </w:rPr>
        <w:t xml:space="preserve"> has issued 140 barrier removal grants totaling $1</w:t>
      </w:r>
      <w:r>
        <w:rPr>
          <w:rFonts w:eastAsia="Times New Roman"/>
        </w:rPr>
        <w:t xml:space="preserve"> </w:t>
      </w:r>
      <w:r w:rsidRPr="00C64F3D">
        <w:rPr>
          <w:rFonts w:eastAsia="Times New Roman"/>
        </w:rPr>
        <w:t xml:space="preserve">million to six </w:t>
      </w:r>
      <w:r>
        <w:rPr>
          <w:rFonts w:eastAsia="Times New Roman"/>
        </w:rPr>
        <w:t>health care</w:t>
      </w:r>
      <w:r w:rsidRPr="00C64F3D">
        <w:rPr>
          <w:rFonts w:eastAsia="Times New Roman"/>
        </w:rPr>
        <w:t xml:space="preserve"> systems in Illinois, Texas, Ohio, Florida, New Mexico</w:t>
      </w:r>
      <w:r>
        <w:rPr>
          <w:rFonts w:eastAsia="Times New Roman"/>
        </w:rPr>
        <w:t>,</w:t>
      </w:r>
      <w:r w:rsidRPr="00C64F3D">
        <w:rPr>
          <w:rFonts w:eastAsia="Times New Roman"/>
        </w:rPr>
        <w:t xml:space="preserve"> and Kansas. The grants have funded </w:t>
      </w:r>
      <w:r w:rsidRPr="00C64F3D">
        <w:t>assistive listening devices, Braille signage, wheelchair</w:t>
      </w:r>
      <w:r>
        <w:t>-</w:t>
      </w:r>
      <w:r w:rsidRPr="00C64F3D">
        <w:t>accessible exam</w:t>
      </w:r>
      <w:r>
        <w:t>ination</w:t>
      </w:r>
      <w:r w:rsidRPr="00C64F3D">
        <w:t xml:space="preserve"> tables and </w:t>
      </w:r>
      <w:r>
        <w:t xml:space="preserve">weight </w:t>
      </w:r>
      <w:r w:rsidRPr="00C64F3D">
        <w:t>scales, wheelchair</w:t>
      </w:r>
      <w:r>
        <w:t>-</w:t>
      </w:r>
      <w:r w:rsidRPr="00C64F3D">
        <w:t>accessible building ramps</w:t>
      </w:r>
      <w:r>
        <w:t>,</w:t>
      </w:r>
      <w:r w:rsidRPr="00C64F3D">
        <w:t xml:space="preserve"> and mobility handrails. </w:t>
      </w:r>
      <w:r w:rsidRPr="00C64F3D">
        <w:rPr>
          <w:rFonts w:eastAsia="Times New Roman"/>
        </w:rPr>
        <w:t>In 2020, the PAI extend</w:t>
      </w:r>
      <w:r>
        <w:rPr>
          <w:rFonts w:eastAsia="Times New Roman"/>
        </w:rPr>
        <w:t>ed</w:t>
      </w:r>
      <w:r w:rsidRPr="00C64F3D">
        <w:rPr>
          <w:rFonts w:eastAsia="Times New Roman"/>
        </w:rPr>
        <w:t xml:space="preserve"> grants to </w:t>
      </w:r>
      <w:r>
        <w:rPr>
          <w:rFonts w:eastAsia="Times New Roman"/>
        </w:rPr>
        <w:t>health care</w:t>
      </w:r>
      <w:r w:rsidRPr="00C64F3D">
        <w:rPr>
          <w:rFonts w:eastAsia="Times New Roman"/>
        </w:rPr>
        <w:t xml:space="preserve"> providers in</w:t>
      </w:r>
      <w:r>
        <w:rPr>
          <w:rFonts w:eastAsia="Times New Roman"/>
        </w:rPr>
        <w:t xml:space="preserve"> </w:t>
      </w:r>
      <w:r w:rsidRPr="00C64F3D">
        <w:rPr>
          <w:rFonts w:eastAsia="Times New Roman"/>
        </w:rPr>
        <w:t>California, Indiana</w:t>
      </w:r>
      <w:r>
        <w:rPr>
          <w:rFonts w:eastAsia="Times New Roman"/>
        </w:rPr>
        <w:t>,</w:t>
      </w:r>
      <w:r w:rsidRPr="00C64F3D">
        <w:rPr>
          <w:rFonts w:eastAsia="Times New Roman"/>
        </w:rPr>
        <w:t xml:space="preserve"> and Pennsylvania</w:t>
      </w:r>
      <w:r>
        <w:rPr>
          <w:rFonts w:eastAsia="Times New Roman"/>
        </w:rPr>
        <w:t>, and in 2021, to Hawaii, Iowa, and Louisiana</w:t>
      </w:r>
      <w:r w:rsidRPr="00C64F3D">
        <w:rPr>
          <w:rFonts w:eastAsia="Times New Roman"/>
        </w:rPr>
        <w:t xml:space="preserve">. </w:t>
      </w:r>
    </w:p>
    <w:p w14:paraId="40DEA94C" w14:textId="77777777" w:rsidR="00FC6AD9" w:rsidRPr="00A168B0" w:rsidRDefault="00FC6AD9" w:rsidP="00A168B0">
      <w:pPr>
        <w:pStyle w:val="NCDBodyText"/>
      </w:pPr>
      <w:r w:rsidRPr="00A168B0">
        <w:t>Stakeholder experts, including health economists, equipment suppliers, and procurement officers within health systems, indicated that simple cost comparisons between accessible and inaccessible MDE may not be possible. True costs are a more complex reflection of list prices of devices and issues related to economy of scale and organizational negotiating power. Economic advisors further suggest that when making medical equipment purchase decisions based on return on investment estimates, it is important to consider up-front costs, including cost of purchase, capital costs if alterations to the physical space are needed to support use and installation, as well as cost of acquisition (from staff time devoted to the purchase and procurement process), recurring costs (including maintenance and training costs), and the projected net cash flow generated from the underlying equipment (e.g., does the accessible equipment influence patient volume, efficiencies, or flow)</w:t>
      </w:r>
      <w:r w:rsidRPr="00910456">
        <w:t xml:space="preserve">. </w:t>
      </w:r>
      <w:bookmarkStart w:id="170" w:name="_Hlk68034017"/>
      <w:r w:rsidRPr="00910456">
        <w:t>Under the IRS’s Disabled Access Credit (IRS Form 8826), small businesses can take a federal tax credit of equal to 50 percent of the amount they spend on access improvements over $250. The maximum credit a business can elect for any tax year is $5,000.</w:t>
      </w:r>
      <w:bookmarkEnd w:id="170"/>
      <w:r w:rsidRPr="008C1F04">
        <w:rPr>
          <w:rStyle w:val="EndnoteReference"/>
        </w:rPr>
        <w:endnoteReference w:id="136"/>
      </w:r>
      <w:r w:rsidRPr="00A168B0">
        <w:t xml:space="preserve"> Unfortunately, some health care providers could view examining a wheelchair user while they remain in the wheelchair as more cost effective, since it takes time to transfer to the height-adjustable examination table—time they may not get reimbursed for. However, for medical examinations that require added time, providers have the option of billing under the Centers for Medicare and Medicaid Services (CMS) prolonged service codes (CPT 99354 and 99355) that allow physicians and other qualified </w:t>
      </w:r>
      <w:proofErr w:type="spellStart"/>
      <w:r w:rsidRPr="00A168B0">
        <w:t>nonphysician</w:t>
      </w:r>
      <w:proofErr w:type="spellEnd"/>
      <w:r w:rsidRPr="00A168B0">
        <w:t xml:space="preserve"> practitioners to be paid at a higher rate if total direct face-to-face time equals or exceed the threshold time for the code.</w:t>
      </w:r>
      <w:r w:rsidRPr="005F5539">
        <w:rPr>
          <w:rStyle w:val="EndnoteReference"/>
        </w:rPr>
        <w:endnoteReference w:id="137"/>
      </w:r>
      <w:r w:rsidRPr="00A168B0">
        <w:t xml:space="preserve"> </w:t>
      </w:r>
    </w:p>
    <w:p w14:paraId="3911976F" w14:textId="77777777" w:rsidR="00FC6AD9" w:rsidRPr="00C64F3D" w:rsidRDefault="00FC6AD9" w:rsidP="00A168B0">
      <w:pPr>
        <w:pStyle w:val="Heading2"/>
      </w:pPr>
      <w:bookmarkStart w:id="171" w:name="_Toc69374221"/>
      <w:r w:rsidRPr="00C64F3D">
        <w:t>Conclusions</w:t>
      </w:r>
      <w:bookmarkEnd w:id="171"/>
    </w:p>
    <w:bookmarkEnd w:id="163"/>
    <w:p w14:paraId="72EB5A75" w14:textId="77777777" w:rsidR="00FC6AD9" w:rsidRPr="00C64F3D" w:rsidRDefault="00FC6AD9" w:rsidP="00A168B0">
      <w:pPr>
        <w:pStyle w:val="NCDBodyText"/>
      </w:pPr>
      <w:r>
        <w:t>Although</w:t>
      </w:r>
      <w:r w:rsidRPr="00C64F3D">
        <w:t xml:space="preserve"> the existence of </w:t>
      </w:r>
      <w:r>
        <w:t>health care</w:t>
      </w:r>
      <w:r w:rsidRPr="00C64F3D">
        <w:t xml:space="preserve"> access disparities is well known within the disability advocacy, policy, and research communities, the issue has failed to capture the attention of the mainstream clinical and public health communities. Research efforts are still largely directed at documenting the existence and severity of disparities. It is clear from the best available evidence that people with physical and mobility disabilities largely lack access to accessible MDE in preventative, primary</w:t>
      </w:r>
      <w:r>
        <w:t>,</w:t>
      </w:r>
      <w:r w:rsidRPr="00C64F3D">
        <w:t xml:space="preserve"> and specialty care, which is a barrier to receiving necessary </w:t>
      </w:r>
      <w:r>
        <w:t>health care</w:t>
      </w:r>
      <w:r w:rsidRPr="00C64F3D">
        <w:t xml:space="preserve"> and contributes to missed or delayed diagnoses and poorer health outcomes. There is some indication that the number of </w:t>
      </w:r>
      <w:r>
        <w:t>health care</w:t>
      </w:r>
      <w:r w:rsidRPr="00C64F3D">
        <w:t xml:space="preserve"> facilities with accessible MDE is increasing, and that there are differences in availability and access based on geographic location, health system, and practice setting. Additionally, the providers who have accessible MDE need to inform their staff and train them in its use. Despite the many challenges </w:t>
      </w:r>
      <w:r>
        <w:t>surrounding</w:t>
      </w:r>
      <w:r w:rsidRPr="00C64F3D">
        <w:t xml:space="preserve"> accessible MDE procurement and access, the limited quantitative data provide promising preliminary evidence that the use of accessible MDE can increase provider and patient safety. </w:t>
      </w:r>
    </w:p>
    <w:p w14:paraId="71C3F579" w14:textId="77777777" w:rsidR="00A168B0" w:rsidRDefault="00A168B0">
      <w:pPr>
        <w:spacing w:after="200"/>
        <w:rPr>
          <w:rFonts w:ascii="Arial" w:eastAsia="Times New Roman" w:hAnsi="Arial" w:cs="Arial"/>
          <w:b/>
          <w:szCs w:val="24"/>
        </w:rPr>
      </w:pPr>
      <w:bookmarkStart w:id="172" w:name="_Toc65342169"/>
      <w:r>
        <w:rPr>
          <w:rFonts w:eastAsia="Times New Roman"/>
          <w:szCs w:val="24"/>
        </w:rPr>
        <w:br w:type="page"/>
      </w:r>
    </w:p>
    <w:p w14:paraId="519A8857" w14:textId="676D9397" w:rsidR="00FC6AD9" w:rsidRPr="00A168B0" w:rsidRDefault="00FC6AD9" w:rsidP="00A168B0">
      <w:pPr>
        <w:pStyle w:val="Heading1"/>
      </w:pPr>
      <w:bookmarkStart w:id="173" w:name="_Toc69374222"/>
      <w:r w:rsidRPr="00A168B0">
        <w:t>Chapter 3: Three Arguments for Adopting Medical Diagnostic Equipment Standards</w:t>
      </w:r>
      <w:bookmarkEnd w:id="172"/>
      <w:bookmarkEnd w:id="173"/>
    </w:p>
    <w:p w14:paraId="6F5DFEC5" w14:textId="77777777" w:rsidR="00FC6AD9" w:rsidRPr="00C64F3D" w:rsidRDefault="00FC6AD9" w:rsidP="00A168B0">
      <w:pPr>
        <w:pStyle w:val="NCDBodyText"/>
      </w:pPr>
      <w:r w:rsidRPr="00C64F3D">
        <w:t>Based on the perceived challenges and opportunities, three broad approaches to implementation and widespread adoption of the MDE Standards were identified: (1) ensuring access and equity; (2) linking to safety and quality initiatives; and (3) making the business argument. We describe each of these approaches in turn, including key opportunities, targeted research funders, and challenges.</w:t>
      </w:r>
    </w:p>
    <w:p w14:paraId="0403B226" w14:textId="77777777" w:rsidR="00FC6AD9" w:rsidRPr="00A168B0" w:rsidRDefault="00FC6AD9" w:rsidP="00A168B0">
      <w:pPr>
        <w:pStyle w:val="Heading2"/>
      </w:pPr>
      <w:bookmarkStart w:id="174" w:name="_Toc65342170"/>
      <w:bookmarkStart w:id="175" w:name="_Toc69374223"/>
      <w:r w:rsidRPr="00A168B0">
        <w:t xml:space="preserve">Ensuring Access and Equity </w:t>
      </w:r>
      <w:proofErr w:type="gramStart"/>
      <w:r w:rsidRPr="00A168B0">
        <w:t>Under</w:t>
      </w:r>
      <w:proofErr w:type="gramEnd"/>
      <w:r w:rsidRPr="00A168B0">
        <w:t xml:space="preserve"> Existing Federal Laws</w:t>
      </w:r>
      <w:bookmarkEnd w:id="174"/>
      <w:bookmarkEnd w:id="175"/>
    </w:p>
    <w:p w14:paraId="592C64D0" w14:textId="021EDD41" w:rsidR="00FC6AD9" w:rsidRPr="00C64F3D" w:rsidRDefault="00FC6AD9" w:rsidP="008B5A18">
      <w:pPr>
        <w:pStyle w:val="NCDBodyText"/>
      </w:pPr>
      <w:r w:rsidRPr="00C64F3D">
        <w:t>There was a strong</w:t>
      </w:r>
      <w:r w:rsidRPr="00C64F3D">
        <w:rPr>
          <w:b/>
          <w:bCs/>
        </w:rPr>
        <w:t xml:space="preserve"> </w:t>
      </w:r>
      <w:r w:rsidRPr="00C64F3D">
        <w:t xml:space="preserve">emphasis in both the published literature and among the expert stakeholders that the </w:t>
      </w:r>
      <w:bookmarkStart w:id="176" w:name="_Hlk68034117"/>
      <w:r w:rsidRPr="00C64F3D">
        <w:t>provision and appropriate use of accessible MDE is a civil right under the ADA,</w:t>
      </w:r>
      <w:r w:rsidRPr="00C64F3D">
        <w:rPr>
          <w:rStyle w:val="EndnoteReference"/>
          <w:rFonts w:eastAsia="Times New Roman" w:cs="Arial"/>
        </w:rPr>
        <w:endnoteReference w:id="138"/>
      </w:r>
      <w:r w:rsidRPr="00C64F3D">
        <w:t xml:space="preserve"> Section 504 of Rehabilitation Act,</w:t>
      </w:r>
      <w:r w:rsidRPr="00C64F3D">
        <w:rPr>
          <w:rStyle w:val="EndnoteReference"/>
          <w:rFonts w:eastAsia="Times New Roman" w:cs="Arial"/>
        </w:rPr>
        <w:endnoteReference w:id="139"/>
      </w:r>
      <w:r w:rsidRPr="00C64F3D">
        <w:t xml:space="preserve"> and Section 1557 of the ACA.</w:t>
      </w:r>
      <w:bookmarkEnd w:id="176"/>
      <w:r w:rsidRPr="00C64F3D">
        <w:rPr>
          <w:rStyle w:val="EndnoteReference"/>
          <w:rFonts w:eastAsia="Times New Roman" w:cs="Arial"/>
        </w:rPr>
        <w:endnoteReference w:id="140"/>
      </w:r>
      <w:r w:rsidRPr="00C64F3D">
        <w:t xml:space="preserve"> These laws guarantee people with disabilities full and equal access to preventative, primary</w:t>
      </w:r>
      <w:r>
        <w:t>,</w:t>
      </w:r>
      <w:r w:rsidRPr="00C64F3D">
        <w:t xml:space="preserve"> and specialty </w:t>
      </w:r>
      <w:r>
        <w:t>health care</w:t>
      </w:r>
      <w:r w:rsidRPr="00C64F3D">
        <w:t xml:space="preserve">. Formal endorsement and adoption of the MDE Standards by DOJ and HHS were seen as a natural supplement to the existing regulations. Formal endorsement and enforcement of the MDE Standards were recognized as conferring multiple benefits by protecting patients’ rights and clarifying providers’ responsibilities related to MDE procurement and appropriate use. There was a consensus among stakeholder experts that access to accessible </w:t>
      </w:r>
      <w:r>
        <w:t>health care</w:t>
      </w:r>
      <w:r w:rsidRPr="00C64F3D">
        <w:t xml:space="preserve"> services and MDE is a civil right </w:t>
      </w:r>
      <w:r>
        <w:t xml:space="preserve">that </w:t>
      </w:r>
      <w:r w:rsidRPr="00C64F3D">
        <w:t>should not be subject to Executive Order 13771’s</w:t>
      </w:r>
      <w:r w:rsidRPr="00C64F3D">
        <w:rPr>
          <w:rStyle w:val="EndnoteReference"/>
          <w:rFonts w:eastAsia="Times New Roman" w:cs="Arial"/>
        </w:rPr>
        <w:endnoteReference w:id="141"/>
      </w:r>
      <w:r w:rsidRPr="00C64F3D">
        <w:t xml:space="preserve"> edict to demonstrate cost neutrality.</w:t>
      </w:r>
    </w:p>
    <w:p w14:paraId="172462FF" w14:textId="77777777" w:rsidR="00FC6AD9" w:rsidRPr="00C64F3D" w:rsidRDefault="00FC6AD9" w:rsidP="00A748EC">
      <w:pPr>
        <w:pStyle w:val="NCDBodyText"/>
      </w:pPr>
      <w:r w:rsidRPr="00C64F3D">
        <w:t xml:space="preserve">To promote awareness among </w:t>
      </w:r>
      <w:r>
        <w:t>health care</w:t>
      </w:r>
      <w:r w:rsidRPr="00C64F3D">
        <w:t xml:space="preserve"> providers of their responsibilities under federal law, disability competencies, such as those developed by the Alliance </w:t>
      </w:r>
      <w:r>
        <w:t xml:space="preserve">for </w:t>
      </w:r>
      <w:r w:rsidRPr="00C64F3D">
        <w:t>Disability in Health Care Education,</w:t>
      </w:r>
      <w:r w:rsidRPr="00C64F3D">
        <w:rPr>
          <w:rStyle w:val="EndnoteReference"/>
          <w:rFonts w:eastAsia="Times New Roman" w:cs="Arial"/>
        </w:rPr>
        <w:endnoteReference w:id="142"/>
      </w:r>
      <w:r w:rsidRPr="00C64F3D">
        <w:t xml:space="preserve"> should be endorsed and adopted by medical education accreditation boards. The field of dentistry has made efforts to improve access and equity by requiring disability education as part of accreditation,</w:t>
      </w:r>
      <w:r w:rsidRPr="00C64F3D">
        <w:rPr>
          <w:rStyle w:val="EndnoteReference"/>
          <w:rFonts w:eastAsia="Times New Roman" w:cs="Arial"/>
        </w:rPr>
        <w:endnoteReference w:id="143"/>
      </w:r>
      <w:r w:rsidRPr="00C64F3D">
        <w:t xml:space="preserve"> which could be a model for other health fields. Additional education </w:t>
      </w:r>
      <w:r>
        <w:t>covering</w:t>
      </w:r>
      <w:r w:rsidRPr="00C64F3D">
        <w:t xml:space="preserve"> attitudes and access could be accomplished through partnerships with agencies that provide continuing education credits to a variety of </w:t>
      </w:r>
      <w:r>
        <w:t>health care</w:t>
      </w:r>
      <w:r w:rsidRPr="00C64F3D">
        <w:t xml:space="preserve"> professionals. Because we know that providers may not use accessible MDE even when it is procured and available, there is also a need for continuing education on why, when, and how to use accessible MDE. Educational efforts like these can promote a culture of access and foster the type of cultur</w:t>
      </w:r>
      <w:r>
        <w:t>al</w:t>
      </w:r>
      <w:r w:rsidRPr="00C64F3D">
        <w:t xml:space="preserve"> change that the </w:t>
      </w:r>
      <w:r>
        <w:t>SPHM</w:t>
      </w:r>
      <w:r w:rsidRPr="00C64F3D">
        <w:t xml:space="preserve"> research has identified as essential to long-term programmatic success.</w:t>
      </w:r>
    </w:p>
    <w:p w14:paraId="69F68589" w14:textId="77777777" w:rsidR="00FC6AD9" w:rsidRPr="00C64F3D" w:rsidRDefault="00FC6AD9" w:rsidP="00A748EC">
      <w:pPr>
        <w:pStyle w:val="NCDBodyText"/>
      </w:pPr>
      <w:r w:rsidRPr="00C64F3D">
        <w:t>Accessible MDE education efforts must extend beyond those who provide direct care to patients. Practice administrators are responsible for the majority of equipment purchases in the U</w:t>
      </w:r>
      <w:r>
        <w:t xml:space="preserve">nited </w:t>
      </w:r>
      <w:r w:rsidRPr="00C64F3D">
        <w:t>S</w:t>
      </w:r>
      <w:r>
        <w:t>tates</w:t>
      </w:r>
      <w:r w:rsidRPr="00C64F3D">
        <w:t xml:space="preserve">, so it is imperative that they understand their legal obligations to ensure </w:t>
      </w:r>
      <w:r>
        <w:t>health care</w:t>
      </w:r>
      <w:r w:rsidRPr="00C64F3D">
        <w:t xml:space="preserve"> access. Several stakeholder experts who participated in our study highlighted the importance of ensuring that administrators and procurement officers have information about the existence of and the need for accessible MDE to make purchasing decisions that are responsive to the needs of their patients with permanent and transient mobility disabilities. Currently, very few facilities collect information on disability, patients’ access needs</w:t>
      </w:r>
      <w:r>
        <w:t>,</w:t>
      </w:r>
      <w:r w:rsidRPr="00C64F3D">
        <w:t xml:space="preserve"> or level of functional mobility, citing concerns that data gathering places undue burden on patients and providers. </w:t>
      </w:r>
      <w:bookmarkStart w:id="177" w:name="_Hlk68034284"/>
      <w:r w:rsidRPr="00C64F3D">
        <w:t xml:space="preserve">Without accurate disability data, the needs of people with disabilities are missing variables. As a result, administrators rarely understand patient needs when trying to make data-driven purchasing decisions. </w:t>
      </w:r>
      <w:bookmarkEnd w:id="177"/>
      <w:r w:rsidRPr="00C64F3D">
        <w:t>As work toward the routine collection of disability data continues, education and outreach campaigns for procurement and purchasing officers can help ensure that they understand their legal obligations, purchasing options, as well as the potential widespread benefit to the people they serve.</w:t>
      </w:r>
      <w:r>
        <w:t xml:space="preserve"> </w:t>
      </w:r>
    </w:p>
    <w:p w14:paraId="316DBBC0" w14:textId="77777777" w:rsidR="00FC6AD9" w:rsidRPr="00C64F3D" w:rsidRDefault="00FC6AD9" w:rsidP="00A748EC">
      <w:pPr>
        <w:pStyle w:val="NCDBodyText"/>
      </w:pPr>
      <w:r w:rsidRPr="00C64F3D">
        <w:t>Grassroots disability community action can be used to raise the awareness of people with disabilities, the general public</w:t>
      </w:r>
      <w:r>
        <w:t>,</w:t>
      </w:r>
      <w:r w:rsidRPr="00C64F3D">
        <w:t xml:space="preserve"> and </w:t>
      </w:r>
      <w:r>
        <w:t>health care</w:t>
      </w:r>
      <w:r w:rsidRPr="00C64F3D">
        <w:t xml:space="preserve"> entities about their rights to </w:t>
      </w:r>
      <w:r>
        <w:t>health care</w:t>
      </w:r>
      <w:r w:rsidRPr="00C64F3D">
        <w:t xml:space="preserve"> access. Creation of a rich library of people’s lived experiences can demonstrate the need for and the implications of not having access to accessible MDE. These stories can be powerful advocacy tools and can be amplified through the strategic use of social media when disseminated by trusted sources. Social media platforms are increasingly used in public health and medicine. While the impact of social media on health behaviors remains unclear, it has been demonstrated to promote peer</w:t>
      </w:r>
      <w:r>
        <w:t>-</w:t>
      </w:r>
      <w:r w:rsidRPr="00C64F3D">
        <w:t>to</w:t>
      </w:r>
      <w:r>
        <w:t>-</w:t>
      </w:r>
      <w:r w:rsidRPr="00C64F3D">
        <w:t xml:space="preserve">peer information sharing and lifelong learning among </w:t>
      </w:r>
      <w:r>
        <w:t>health care</w:t>
      </w:r>
      <w:r w:rsidRPr="00C64F3D">
        <w:t xml:space="preserve"> professionals.</w:t>
      </w:r>
      <w:r w:rsidRPr="00C64F3D">
        <w:rPr>
          <w:rStyle w:val="EndnoteReference"/>
          <w:rFonts w:eastAsia="Times New Roman" w:cs="Arial"/>
        </w:rPr>
        <w:endnoteReference w:id="144"/>
      </w:r>
    </w:p>
    <w:p w14:paraId="59C88C91" w14:textId="77777777" w:rsidR="00FC6AD9" w:rsidRPr="00C64F3D" w:rsidRDefault="00FC6AD9" w:rsidP="00A748EC">
      <w:pPr>
        <w:pStyle w:val="NCDBodyText"/>
      </w:pPr>
      <w:r>
        <w:t>The f</w:t>
      </w:r>
      <w:r w:rsidRPr="00C64F3D">
        <w:t>iling of ADA complaints at the provider, health system</w:t>
      </w:r>
      <w:r>
        <w:t>,</w:t>
      </w:r>
      <w:r w:rsidRPr="00C64F3D">
        <w:t xml:space="preserve"> and federal levels can challenge perceptions that the </w:t>
      </w:r>
      <w:r w:rsidRPr="00810A1D">
        <w:rPr>
          <w:i/>
          <w:iCs/>
        </w:rPr>
        <w:t>status quo</w:t>
      </w:r>
      <w:r w:rsidRPr="00C64F3D">
        <w:t xml:space="preserve"> of inaccessibility is acceptable. Stakeholder experts acknowledge that lawsuits have prompted accessible MDE adoption within several large health systems. They also expressed disappointment that because these lawsuits are dealt with on a case-by-case basis, they have yet to result in widespread systems change at the national level. Stakeholder experts suggested that change was particularly slow at the level of small private practices. </w:t>
      </w:r>
      <w:bookmarkStart w:id="178" w:name="_Hlk68034391"/>
      <w:r w:rsidRPr="00C64F3D">
        <w:t xml:space="preserve">Targeted strategies that link compliance with payment and contracting with a health plan may be necessary to prompt systems change. </w:t>
      </w:r>
      <w:bookmarkEnd w:id="178"/>
      <w:r w:rsidRPr="00C64F3D">
        <w:t xml:space="preserve">The endorsement and enforcement of the MDE Standards would provide HHS and the DOJ with authority over their covered entities. </w:t>
      </w:r>
    </w:p>
    <w:p w14:paraId="7DC56C04" w14:textId="77777777" w:rsidR="00FC6AD9" w:rsidRPr="00C64F3D" w:rsidRDefault="00FC6AD9" w:rsidP="00A748EC">
      <w:pPr>
        <w:pStyle w:val="NCDBodyText"/>
      </w:pPr>
      <w:r w:rsidRPr="00C64F3D">
        <w:t>Grounded in understanding of the importance of evidence to guide practice and health service delivery, the expert stakeholders identified potential funders for research related to the adoption of MDE Standards, including</w:t>
      </w:r>
      <w:r>
        <w:t xml:space="preserve"> the following</w:t>
      </w:r>
      <w:r w:rsidRPr="00C64F3D">
        <w:t>:</w:t>
      </w:r>
    </w:p>
    <w:p w14:paraId="19CDD163" w14:textId="77777777" w:rsidR="00FC6AD9" w:rsidRPr="00C64F3D" w:rsidRDefault="00FC6AD9" w:rsidP="00A748EC">
      <w:pPr>
        <w:pStyle w:val="NCDBulletsLevel1"/>
      </w:pPr>
      <w:r w:rsidRPr="00C64F3D">
        <w:t xml:space="preserve">The Centers for Medicare and Medicaid Demonstration and Systems Change Initiatives in collaboration with the Office for Minority Health </w:t>
      </w:r>
      <w:r>
        <w:t>i</w:t>
      </w:r>
      <w:r w:rsidRPr="00C64F3D">
        <w:t>s a potential funder of accessible MDE implementation projects</w:t>
      </w:r>
      <w:r>
        <w:t>.</w:t>
      </w:r>
    </w:p>
    <w:p w14:paraId="07E68714" w14:textId="77777777" w:rsidR="00FC6AD9" w:rsidRPr="00C64F3D" w:rsidRDefault="00FC6AD9" w:rsidP="00A748EC">
      <w:pPr>
        <w:pStyle w:val="NCDBulletsLevel1"/>
      </w:pPr>
      <w:r w:rsidRPr="00C64F3D">
        <w:t>The National Institute on Disability,</w:t>
      </w:r>
      <w:r>
        <w:t xml:space="preserve"> </w:t>
      </w:r>
      <w:r w:rsidRPr="00C64F3D">
        <w:t>Independent Living</w:t>
      </w:r>
      <w:r>
        <w:t>,</w:t>
      </w:r>
      <w:r w:rsidRPr="00C64F3D">
        <w:t xml:space="preserve"> and Rehabilitation Research </w:t>
      </w:r>
      <w:r>
        <w:t>i</w:t>
      </w:r>
      <w:r w:rsidRPr="00C64F3D">
        <w:t>s a strong target for research funding given its emphasis on “expanding society’s capacity to provide full opportunities and accommodations for citizens with disabilities</w:t>
      </w:r>
      <w:r>
        <w:t>.</w:t>
      </w:r>
      <w:r w:rsidRPr="00C64F3D">
        <w:t>”</w:t>
      </w:r>
      <w:r w:rsidRPr="00C64F3D">
        <w:rPr>
          <w:rStyle w:val="EndnoteReference"/>
          <w:rFonts w:eastAsia="Times New Roman"/>
        </w:rPr>
        <w:endnoteReference w:id="145"/>
      </w:r>
    </w:p>
    <w:p w14:paraId="31D8C203" w14:textId="77777777" w:rsidR="00FC6AD9" w:rsidRPr="00C64F3D" w:rsidRDefault="00FC6AD9" w:rsidP="00A748EC">
      <w:pPr>
        <w:pStyle w:val="NCDBulletsLevel1"/>
      </w:pPr>
      <w:r w:rsidRPr="00C64F3D">
        <w:t xml:space="preserve">VHA is the federal entity that committed to the voluntary adoption of accessible MDE </w:t>
      </w:r>
      <w:r>
        <w:t>S</w:t>
      </w:r>
      <w:r w:rsidRPr="00C64F3D">
        <w:t>tandards and is an ideal agency for</w:t>
      </w:r>
      <w:r>
        <w:t xml:space="preserve"> </w:t>
      </w:r>
      <w:r w:rsidRPr="00C64F3D">
        <w:t xml:space="preserve">experiments and observational and outcomes studies about the impact of adopting accessible MDE </w:t>
      </w:r>
      <w:r>
        <w:t>S</w:t>
      </w:r>
      <w:r w:rsidRPr="00C64F3D">
        <w:t>tandards as they occur in real</w:t>
      </w:r>
      <w:r>
        <w:t xml:space="preserve"> </w:t>
      </w:r>
      <w:r w:rsidRPr="00C64F3D">
        <w:t>time, including pre-post comparisons of the patient, provider, and cost outcomes. The wealth of patient, programmatic</w:t>
      </w:r>
      <w:r>
        <w:t>,</w:t>
      </w:r>
      <w:r w:rsidRPr="00C64F3D">
        <w:t xml:space="preserve"> and claims data routinely gathered and central</w:t>
      </w:r>
      <w:r>
        <w:t>ly</w:t>
      </w:r>
      <w:r w:rsidRPr="00C64F3D">
        <w:t xml:space="preserve"> managed by the VHA provides a unique opportunity to link typically disparate data sources to support sophisticated statistical modeling of the relationship between disability status, accessible MDE</w:t>
      </w:r>
      <w:r>
        <w:t>,</w:t>
      </w:r>
      <w:r w:rsidRPr="00C64F3D">
        <w:t xml:space="preserve"> and outcomes. </w:t>
      </w:r>
    </w:p>
    <w:p w14:paraId="518660D2" w14:textId="04F7E1BC" w:rsidR="00FC6AD9" w:rsidRPr="00A748EC" w:rsidRDefault="00FC6AD9" w:rsidP="00A748EC">
      <w:pPr>
        <w:pStyle w:val="NCDBodyText"/>
      </w:pPr>
      <w:r w:rsidRPr="00A748EC">
        <w:t xml:space="preserve">There was a consensus among the expert stakeholders who contributed to this project that disability remains an afterthought for many providers, and there is limited awareness of the availability of accessible MDE. Our research indicated that </w:t>
      </w:r>
      <w:bookmarkStart w:id="179" w:name="_Hlk68034447"/>
      <w:r w:rsidRPr="00910456">
        <w:t xml:space="preserve">multiple factors contribute to a false impression among health care providers that the current </w:t>
      </w:r>
      <w:r w:rsidRPr="00910456">
        <w:rPr>
          <w:i/>
        </w:rPr>
        <w:t>status quo</w:t>
      </w:r>
      <w:r w:rsidRPr="00910456">
        <w:t xml:space="preserve"> of inaccessibility is acceptable. There is an overall lack of accessible MDE-related complaints at both the health system and federal levels.</w:t>
      </w:r>
      <w:r w:rsidR="00B95527">
        <w:t xml:space="preserve"> </w:t>
      </w:r>
      <w:r w:rsidRPr="00910456">
        <w:t>If providers are not held accountable for the lack of accessibility, there is little motivation to change.</w:t>
      </w:r>
      <w:r w:rsidRPr="003A2308">
        <w:rPr>
          <w:b/>
        </w:rPr>
        <w:t xml:space="preserve"> </w:t>
      </w:r>
      <w:bookmarkEnd w:id="179"/>
      <w:r w:rsidRPr="00A748EC">
        <w:t>When working with people with disabilities, providers tend to create well-intentioned “work-arounds,” such as examining patients in their wheelchairs instead of transferring them to an examination table and asking patients to report their weight rather than weighing them. Although these work-arounds are antithetical to comprehensive quality of care, they persist even when accessible MDE is available.</w:t>
      </w:r>
      <w:r w:rsidRPr="00A748EC">
        <w:rPr>
          <w:rStyle w:val="EndnoteReference"/>
        </w:rPr>
        <w:endnoteReference w:id="146"/>
      </w:r>
      <w:r w:rsidRPr="00A748EC">
        <w:rPr>
          <w:vertAlign w:val="superscript"/>
        </w:rPr>
        <w:t xml:space="preserve"> </w:t>
      </w:r>
      <w:bookmarkStart w:id="180" w:name="_Hlk68034502"/>
      <w:r w:rsidRPr="00A748EC">
        <w:t xml:space="preserve">In the absence of education on federal law and few patient complaints, health care providers may get the mistaken impression that their work-arounds meet patients’ needs and are legally acceptable. </w:t>
      </w:r>
      <w:bookmarkEnd w:id="180"/>
      <w:r w:rsidRPr="00A748EC">
        <w:t xml:space="preserve">As a result, they may not recognize the need for making changes to their existing MDE to support access for all patients. </w:t>
      </w:r>
    </w:p>
    <w:p w14:paraId="2B3D3BDF" w14:textId="77777777" w:rsidR="00FC6AD9" w:rsidRPr="00C64F3D" w:rsidRDefault="00FC6AD9" w:rsidP="00A748EC">
      <w:pPr>
        <w:pStyle w:val="NCDBodyText"/>
      </w:pPr>
      <w:bookmarkStart w:id="181" w:name="_Hlk68034549"/>
      <w:r w:rsidRPr="00910456">
        <w:t xml:space="preserve">Persistent negative biases about disability within the medical community also impede the adoption of MDE Standards. A 2020 study in </w:t>
      </w:r>
      <w:r w:rsidRPr="00910456">
        <w:rPr>
          <w:i/>
          <w:iCs/>
        </w:rPr>
        <w:t>Rehabilitation Psychology</w:t>
      </w:r>
      <w:r w:rsidRPr="00910456">
        <w:t xml:space="preserve"> based on a secondary analysis of survey-based data from over 25,000 health care providers revealed that an overwhelming majority of providers harbored negative implicit biases against people with disabilities. The authors hypothesized that these biases negatively impact health care access and outcomes for people with disabilities.</w:t>
      </w:r>
      <w:r w:rsidRPr="00C64F3D">
        <w:rPr>
          <w:rStyle w:val="EndnoteReference"/>
          <w:rFonts w:eastAsia="Times New Roman"/>
        </w:rPr>
        <w:endnoteReference w:id="147"/>
      </w:r>
      <w:r w:rsidRPr="00C64F3D">
        <w:t xml:space="preserve"> </w:t>
      </w:r>
      <w:bookmarkEnd w:id="181"/>
      <w:r w:rsidRPr="00C64F3D">
        <w:t xml:space="preserve">The attitudinal change required to imbue </w:t>
      </w:r>
      <w:r>
        <w:t>health care</w:t>
      </w:r>
      <w:r w:rsidRPr="00C64F3D">
        <w:t xml:space="preserve"> with </w:t>
      </w:r>
      <w:r>
        <w:t xml:space="preserve">a </w:t>
      </w:r>
      <w:r w:rsidRPr="00C64F3D">
        <w:t>culture of access is slow</w:t>
      </w:r>
      <w:r>
        <w:t>,</w:t>
      </w:r>
      <w:r w:rsidRPr="00C64F3D">
        <w:t xml:space="preserve"> and people with disabilities need accessible and appropriate </w:t>
      </w:r>
      <w:r>
        <w:t>health care</w:t>
      </w:r>
      <w:r w:rsidRPr="00C64F3D">
        <w:t xml:space="preserve"> services now. The endorsement and enforcement of MDE Standards can help advance the equity agenda for people with disabilities and changes attitudes</w:t>
      </w:r>
      <w:r>
        <w:t>,</w:t>
      </w:r>
      <w:r w:rsidRPr="00C64F3D">
        <w:t xml:space="preserve"> as implementation of accessibility features into public spaces often demonstrates their widespread benefit for people who may not self-identify as disabled. For example, </w:t>
      </w:r>
      <w:bookmarkStart w:id="182" w:name="_Hlk68034701"/>
      <w:r w:rsidRPr="00910456">
        <w:t xml:space="preserve">people used to argue that curb cuts were too expensive to install everywhere just for a small portion of the population that used wheelchairs. Now that they are ubiquitous, everyone uses them, including parents with strollers, delivery companies, urban scooters, and people with walkers or canes. Similar widespread benefit may be achieved with lowered examination tables or radiology machines that help pregnant women, overweight patients, </w:t>
      </w:r>
      <w:proofErr w:type="gramStart"/>
      <w:r w:rsidRPr="00910456">
        <w:t>people</w:t>
      </w:r>
      <w:proofErr w:type="gramEnd"/>
      <w:r w:rsidRPr="00910456">
        <w:t xml:space="preserve"> who are aging/fragile patients, and those weak from cancer or other intensive treatment.</w:t>
      </w:r>
      <w:r w:rsidRPr="00910456" w:rsidDel="007C45E4">
        <w:t xml:space="preserve"> </w:t>
      </w:r>
      <w:bookmarkEnd w:id="182"/>
      <w:r w:rsidRPr="00C64F3D">
        <w:t>People with disabilities are not only patients but also providers and caregivers</w:t>
      </w:r>
      <w:r>
        <w:t>;</w:t>
      </w:r>
      <w:r w:rsidRPr="00C64F3D">
        <w:t xml:space="preserve"> availability of accessible MDE can help them serve vital work</w:t>
      </w:r>
      <w:r>
        <w:t>-</w:t>
      </w:r>
      <w:r w:rsidRPr="00C64F3D">
        <w:t xml:space="preserve"> and support</w:t>
      </w:r>
      <w:r>
        <w:t>-</w:t>
      </w:r>
      <w:r w:rsidRPr="00C64F3D">
        <w:t xml:space="preserve">related roles within the </w:t>
      </w:r>
      <w:r>
        <w:t>health care</w:t>
      </w:r>
      <w:r w:rsidRPr="00C64F3D">
        <w:t xml:space="preserve"> system. </w:t>
      </w:r>
    </w:p>
    <w:p w14:paraId="672E9CD8" w14:textId="77777777" w:rsidR="00FC6AD9" w:rsidRPr="00C64F3D" w:rsidRDefault="00FC6AD9" w:rsidP="00A748EC">
      <w:pPr>
        <w:pStyle w:val="NCDExtract"/>
      </w:pPr>
      <w:r w:rsidRPr="00810A1D">
        <w:rPr>
          <w:i/>
        </w:rPr>
        <w:t xml:space="preserve">I have not had a full exam for over 50 years, except when I’ve been in the hospital. This is due to never being seen by a doctor who had accessible exam tables. So, a lot of the preventative parts of an annual physical, I don’t get. </w:t>
      </w:r>
      <w:proofErr w:type="gramStart"/>
      <w:r w:rsidRPr="00810A1D">
        <w:rPr>
          <w:i/>
        </w:rPr>
        <w:t>Even though I pay the same price as those who do.</w:t>
      </w:r>
      <w:proofErr w:type="gramEnd"/>
      <w:r w:rsidRPr="00810A1D">
        <w:rPr>
          <w:i/>
        </w:rPr>
        <w:t xml:space="preserve"> Also, when my wife was ill with cancer, there were lots of times that I was not able to provide comfort and companionship because the examination rooms were not accessible, so I could not be next to my wife.</w:t>
      </w:r>
      <w:r w:rsidRPr="00C64F3D">
        <w:t xml:space="preserve"> </w:t>
      </w:r>
      <w:r>
        <w:t>(</w:t>
      </w:r>
      <w:r w:rsidRPr="00C64F3D">
        <w:t>Man with a physical disability</w:t>
      </w:r>
      <w:r>
        <w:t>)</w:t>
      </w:r>
    </w:p>
    <w:p w14:paraId="077CB89C" w14:textId="77777777" w:rsidR="00FC6AD9" w:rsidRPr="00A748EC" w:rsidRDefault="00FC6AD9" w:rsidP="00A748EC">
      <w:pPr>
        <w:pStyle w:val="Heading2"/>
      </w:pPr>
      <w:bookmarkStart w:id="183" w:name="_Toc65342171"/>
      <w:bookmarkStart w:id="184" w:name="_Toc69374224"/>
      <w:r w:rsidRPr="00A748EC">
        <w:t>Linking to Existing Safety and Quality Initiatives</w:t>
      </w:r>
      <w:bookmarkEnd w:id="183"/>
      <w:bookmarkEnd w:id="184"/>
      <w:r w:rsidRPr="00A748EC">
        <w:t xml:space="preserve"> </w:t>
      </w:r>
    </w:p>
    <w:p w14:paraId="0D2FAA64" w14:textId="77777777" w:rsidR="00FC6AD9" w:rsidRPr="00A748EC" w:rsidRDefault="00FC6AD9" w:rsidP="00A748EC">
      <w:pPr>
        <w:pStyle w:val="NCDBodyText"/>
      </w:pPr>
      <w:r w:rsidRPr="00A748EC">
        <w:t xml:space="preserve">Improving safety and quality has been a major emphasis of the health care industry throughout the 21st century. By linking health care access, accessibility, and accessible MDE Standards to existing patient safety initiatives, there is the opportunity to build on a track record of success for the benefit of society at large. </w:t>
      </w:r>
      <w:r w:rsidRPr="00910456">
        <w:t xml:space="preserve">Incorporation of the principles of accessibility and universal architectural design has improved access for diverse stakeholders and system users for many different services and products. </w:t>
      </w:r>
      <w:bookmarkStart w:id="185" w:name="_Hlk68034769"/>
      <w:r w:rsidRPr="00910456">
        <w:t>By shifting from a narrow focus on people with disabilities as a special interest group to broader conceptualizations of who can potentially benefit from accessible MDE creates opportunities to promote widespread adoption.</w:t>
      </w:r>
      <w:bookmarkEnd w:id="185"/>
      <w:r w:rsidRPr="00A748EC">
        <w:t xml:space="preserve"> By taking an expanded view of disability that moves away from diagnostically determined categories to emphasize functional status, the health care community can begin to see potential accessible MDE users everywhere: geriatrics, bariatric care, oncology and cancer survivorship, maternal and reproductive health, orthopedics, radiology, and so on. </w:t>
      </w:r>
      <w:bookmarkStart w:id="186" w:name="_Hlk68034848"/>
      <w:r w:rsidRPr="00A748EC">
        <w:t xml:space="preserve">A wheelchair-accessible weight scale can also accommodate a geriatric patient using a walker or a bariatric patient who requires wide clearance. A height-adjustable examination table that is accessible for wheelchair users is also beneficial to pregnant women who may have trouble maneuvering or a cancer patient experiencing extreme fatigue. </w:t>
      </w:r>
      <w:bookmarkEnd w:id="186"/>
      <w:r w:rsidRPr="00A748EC">
        <w:t xml:space="preserve">Similarly, health care providers can benefit from adjustable features in accessible MDE to accommodate their own bodily differences related to height, weight, strength, and mobility. As such, universal access moves from the sidelines to the core mission of health care entities. </w:t>
      </w:r>
    </w:p>
    <w:p w14:paraId="78A86DD4" w14:textId="77777777" w:rsidR="00FC6AD9" w:rsidRPr="00C64F3D" w:rsidRDefault="00FC6AD9" w:rsidP="00A748EC">
      <w:pPr>
        <w:pStyle w:val="NCDBodyText"/>
      </w:pPr>
      <w:bookmarkStart w:id="187" w:name="_Hlk68034836"/>
      <w:r w:rsidRPr="00C64F3D">
        <w:t>Expanded conceptualization of who benefits from accessible MDE also provides opportunities to build coalitions to support systems change.</w:t>
      </w:r>
      <w:r>
        <w:t xml:space="preserve"> </w:t>
      </w:r>
      <w:bookmarkEnd w:id="187"/>
      <w:r w:rsidRPr="00C64F3D">
        <w:t>For example, the collaboration between state nursing associations and disability community partners was instrumental in amending the Illinois Hospital Licensing Act to add requirements for safe patient handling, including accessible medical equipment and training for medical staff.</w:t>
      </w:r>
      <w:r w:rsidRPr="00C64F3D">
        <w:rPr>
          <w:rStyle w:val="EndnoteReference"/>
          <w:rFonts w:eastAsia="Times New Roman" w:cs="Arial"/>
        </w:rPr>
        <w:endnoteReference w:id="148"/>
      </w:r>
      <w:r w:rsidRPr="00C64F3D">
        <w:t xml:space="preserve"> Recognition of the widespread beneficial impact of accessible MDE can foster collaboration between the disability community and other advocacy groups, such as AARP and </w:t>
      </w:r>
      <w:r>
        <w:t>v</w:t>
      </w:r>
      <w:r w:rsidRPr="00C64F3D">
        <w:t>eterans</w:t>
      </w:r>
      <w:r>
        <w:t>’</w:t>
      </w:r>
      <w:r w:rsidRPr="00C64F3D">
        <w:t xml:space="preserve"> groups, whose constituents could also benefit from use of accessible MDE. Collaboration and recognition of mutual benefit between professional organizations, such as the American Medical Association</w:t>
      </w:r>
      <w:r>
        <w:t xml:space="preserve"> (AMA)</w:t>
      </w:r>
      <w:r w:rsidRPr="00C64F3D">
        <w:t>, American Nurses Association, American Hospital Association, and Patient Safety Organizations</w:t>
      </w:r>
      <w:r>
        <w:t>,</w:t>
      </w:r>
      <w:r w:rsidRPr="00C64F3D">
        <w:t xml:space="preserve"> can further support systems change and advocacy efforts. At a facility level, the integration of accessible MDE protocols into safety and quality initiatives is best accomplished through thoughtful </w:t>
      </w:r>
      <w:proofErr w:type="spellStart"/>
      <w:r w:rsidRPr="00C64F3D">
        <w:t>interprofessional</w:t>
      </w:r>
      <w:proofErr w:type="spellEnd"/>
      <w:r w:rsidRPr="00C64F3D">
        <w:t xml:space="preserve"> collaborations between clinical care providers, risk management and safety teams, human resources, procurement and facilities engineers, as well as executive leadership and disability community partners.</w:t>
      </w:r>
    </w:p>
    <w:p w14:paraId="708A645C" w14:textId="77777777" w:rsidR="00FC6AD9" w:rsidRPr="00C64F3D" w:rsidRDefault="00FC6AD9" w:rsidP="00A748EC">
      <w:pPr>
        <w:pStyle w:val="NCDBodyText"/>
      </w:pPr>
      <w:r w:rsidRPr="00C64F3D">
        <w:t>Leveraging existing safety and quality initiatives could provide new opportunities for cost and outcomes research by improving access to data and building o</w:t>
      </w:r>
      <w:r>
        <w:t>n</w:t>
      </w:r>
      <w:r w:rsidRPr="00C64F3D">
        <w:t xml:space="preserve"> existing methodological approaches, such as existing and evolving risk management and mitigation protocols</w:t>
      </w:r>
      <w:r>
        <w:t xml:space="preserve"> (</w:t>
      </w:r>
      <w:r w:rsidRPr="00C64F3D">
        <w:t xml:space="preserve">such as root cause analysis of harm and near miss incidents and the systematic documentation and assessment of the influence of environmental and equipment factors on patient and provider outcomes. </w:t>
      </w:r>
      <w:bookmarkStart w:id="188" w:name="_Hlk68034914"/>
      <w:r w:rsidRPr="00C64F3D">
        <w:t xml:space="preserve">Given its emphasis on </w:t>
      </w:r>
      <w:r>
        <w:t>health care</w:t>
      </w:r>
      <w:r w:rsidRPr="00C64F3D">
        <w:t xml:space="preserve"> safety and quality, AHRQ represents a logical target funder for research related to the implementation of accessible MDE standards across clinical care settings to help build an evidence</w:t>
      </w:r>
      <w:r>
        <w:t xml:space="preserve"> </w:t>
      </w:r>
      <w:r w:rsidRPr="00C64F3D">
        <w:t>base to support decision making and innovations.</w:t>
      </w:r>
      <w:bookmarkEnd w:id="188"/>
      <w:r w:rsidRPr="00C64F3D">
        <w:t xml:space="preserve"> </w:t>
      </w:r>
    </w:p>
    <w:p w14:paraId="0839117D" w14:textId="77777777" w:rsidR="00FC6AD9" w:rsidRPr="00C64F3D" w:rsidRDefault="00FC6AD9" w:rsidP="00A748EC">
      <w:pPr>
        <w:pStyle w:val="NCDBodyText"/>
      </w:pPr>
      <w:r w:rsidRPr="00C64F3D">
        <w:t xml:space="preserve">While accessible MDE is highly beneficial to a broad range of patients and </w:t>
      </w:r>
      <w:r>
        <w:t>health care</w:t>
      </w:r>
      <w:r w:rsidRPr="00C64F3D">
        <w:t xml:space="preserve"> providers, it is important to recognize that there may be some risks associated with its use. Such risks do not arise from any inherent flaws in the technology. Instead, they primarily stem from the clinical community</w:t>
      </w:r>
      <w:r>
        <w:t>’</w:t>
      </w:r>
      <w:r w:rsidRPr="00C64F3D">
        <w:t>s lack of familiarity with accessible MDE and their limited experience caring f</w:t>
      </w:r>
      <w:r>
        <w:t>o</w:t>
      </w:r>
      <w:r w:rsidRPr="00C64F3D">
        <w:t xml:space="preserve">r people with disabilities. If the unfamiliar equipment is not correctly installed or installed in an </w:t>
      </w:r>
      <w:r>
        <w:t>in</w:t>
      </w:r>
      <w:r w:rsidRPr="00C64F3D">
        <w:t xml:space="preserve">appropriate space, it can be rendered unusable or unsafe. Likewise, staff must be properly trained to operate the equipment, so they and their patients are protected from injury risk. Providers must also be able to recognize the accessible MDE as an asset to the provision of quality care. </w:t>
      </w:r>
      <w:proofErr w:type="gramStart"/>
      <w:r w:rsidRPr="00C64F3D">
        <w:t>Perceptions that using the equipment is</w:t>
      </w:r>
      <w:proofErr w:type="gramEnd"/>
      <w:r w:rsidRPr="00C64F3D">
        <w:t xml:space="preserve"> too difficult, takes too long</w:t>
      </w:r>
      <w:r>
        <w:t>,</w:t>
      </w:r>
      <w:r w:rsidRPr="00C64F3D">
        <w:t xml:space="preserve"> or is simply an unnecessary disruption to the flow </w:t>
      </w:r>
      <w:r>
        <w:t xml:space="preserve">of </w:t>
      </w:r>
      <w:r w:rsidRPr="00C64F3D">
        <w:t xml:space="preserve">care can all impede use. In a </w:t>
      </w:r>
      <w:r>
        <w:t>health care</w:t>
      </w:r>
      <w:r w:rsidRPr="00C64F3D">
        <w:t xml:space="preserve"> culture where</w:t>
      </w:r>
      <w:r>
        <w:t xml:space="preserve"> </w:t>
      </w:r>
      <w:r w:rsidRPr="00C64F3D">
        <w:t>p</w:t>
      </w:r>
      <w:r>
        <w:t xml:space="preserve">eople </w:t>
      </w:r>
      <w:r w:rsidRPr="00C64F3D">
        <w:t>with disabilities are often an afterthought, linking to safety and quality initiatives does not automatically rule out these risks</w:t>
      </w:r>
      <w:r>
        <w:t>,</w:t>
      </w:r>
      <w:r w:rsidRPr="00C64F3D">
        <w:t xml:space="preserve"> and care must be taken to address them. </w:t>
      </w:r>
    </w:p>
    <w:p w14:paraId="675FCD14" w14:textId="77777777" w:rsidR="00FC6AD9" w:rsidRPr="00A748EC" w:rsidRDefault="00FC6AD9" w:rsidP="00A748EC">
      <w:pPr>
        <w:pStyle w:val="Heading2"/>
      </w:pPr>
      <w:bookmarkStart w:id="189" w:name="_Toc65342172"/>
      <w:bookmarkStart w:id="190" w:name="_Toc69374225"/>
      <w:r w:rsidRPr="00A748EC">
        <w:t>The Business Argument</w:t>
      </w:r>
      <w:bookmarkEnd w:id="189"/>
      <w:bookmarkEnd w:id="190"/>
    </w:p>
    <w:p w14:paraId="2764E4C0" w14:textId="77777777" w:rsidR="00FC6AD9" w:rsidRPr="00C64F3D" w:rsidRDefault="00FC6AD9" w:rsidP="00A748EC">
      <w:pPr>
        <w:pStyle w:val="NCDBodyText"/>
      </w:pPr>
      <w:r w:rsidRPr="00345217">
        <w:t xml:space="preserve">It should be noted that as previously stated, </w:t>
      </w:r>
      <w:bookmarkStart w:id="191" w:name="_Hlk68035065"/>
      <w:r w:rsidRPr="00345217">
        <w:t>many of the stakeholder experts interviewed for this project challenged the validity of the business argument as the basis for decisions on the adoption of the MDE Standards, asserting instead the civil right to access and equity in places of public accommodations, including health care settings.</w:t>
      </w:r>
      <w:r w:rsidRPr="00C64F3D">
        <w:t xml:space="preserve"> </w:t>
      </w:r>
      <w:bookmarkEnd w:id="191"/>
      <w:r w:rsidRPr="00C64F3D">
        <w:t>They drew parallels with other accessibility features and pointed out that it was not necessary to demonstrate cost</w:t>
      </w:r>
      <w:r>
        <w:t>-</w:t>
      </w:r>
      <w:r w:rsidRPr="00C64F3D">
        <w:t xml:space="preserve">effectiveness of wheelchair ramps or electric door openers prior to mandating their use. </w:t>
      </w:r>
    </w:p>
    <w:p w14:paraId="64A862A7" w14:textId="77777777" w:rsidR="00FC6AD9" w:rsidRPr="00345217" w:rsidRDefault="00FC6AD9" w:rsidP="00A748EC">
      <w:pPr>
        <w:pStyle w:val="NCDBodyText"/>
      </w:pPr>
      <w:r w:rsidRPr="00A748EC">
        <w:t>However, in an effort to respond to Executive Order 13771,</w:t>
      </w:r>
      <w:r w:rsidRPr="00F3278B">
        <w:rPr>
          <w:rStyle w:val="EndnoteReference"/>
        </w:rPr>
        <w:endnoteReference w:id="149"/>
      </w:r>
      <w:r w:rsidRPr="00A748EC">
        <w:t xml:space="preserve"> stakeholder experts sought to craft arguments related to the provision of accessible MDE based on economic arguments. In addition to long-term benefits of timely access to preventive and primary care,</w:t>
      </w:r>
      <w:r w:rsidRPr="00F3278B">
        <w:rPr>
          <w:rStyle w:val="EndnoteReference"/>
        </w:rPr>
        <w:endnoteReference w:id="150"/>
      </w:r>
      <w:r w:rsidRPr="00A748EC">
        <w:t xml:space="preserve"> stakeholder experts identified a variety of angles from which to approach the issue of cost-effectiveness. The most intuitive, which was put forth concretely by two experts with health economics backgrounds and generally by all others, is the case built on demonstrating that the provision of accessible MDE creates a competitive advantage for health care providers and enables them to attract a greater number of patients with disabilities.</w:t>
      </w:r>
      <w:r w:rsidRPr="00345217">
        <w:t xml:space="preserve"> </w:t>
      </w:r>
      <w:bookmarkStart w:id="192" w:name="_Hlk68035118"/>
      <w:r w:rsidRPr="00345217">
        <w:t xml:space="preserve">If provision of accessible MDE will improve the patient experience, higher ratings of patient satisfaction will result, as will the ability to document accessibility via patient report and/or verified accessibility audits. Public reporting that a health care facility meets or exceeds accessibility standards may drive business to a particular health care system or provider. </w:t>
      </w:r>
      <w:bookmarkEnd w:id="192"/>
    </w:p>
    <w:p w14:paraId="2ADD96C2" w14:textId="77777777" w:rsidR="00FC6AD9" w:rsidRPr="00C64F3D" w:rsidRDefault="00FC6AD9" w:rsidP="00A748EC">
      <w:pPr>
        <w:pStyle w:val="NCDBodyText"/>
      </w:pPr>
      <w:r w:rsidRPr="00C64F3D">
        <w:t>Similarly, at least one interviewed stakeholder expert suggested that being able to document the appropriate use of accessible MDE may be perceived by current or prospective employees, especially nursing and imaging professionals, as a commitment to employee safety. This commitment to safety may support staff satisfaction</w:t>
      </w:r>
      <w:r>
        <w:t xml:space="preserve"> and </w:t>
      </w:r>
      <w:r w:rsidRPr="00C64F3D">
        <w:t>recruitment and retention efforts, while also reducing costs associated with work-related injuries and lost person-hours resulting from those injuries.</w:t>
      </w:r>
    </w:p>
    <w:p w14:paraId="11ED4E25" w14:textId="77777777" w:rsidR="00FC6AD9" w:rsidRPr="00B9405D" w:rsidRDefault="00FC6AD9" w:rsidP="00B9405D">
      <w:pPr>
        <w:pStyle w:val="NCDBodyText"/>
      </w:pPr>
      <w:r w:rsidRPr="00B9405D">
        <w:t>Exploring and quantifying the financial impact of timely care and geographic access was another popular business angle among the stakeholder experts interviewed.</w:t>
      </w:r>
      <w:r w:rsidRPr="00345217">
        <w:t xml:space="preserve"> </w:t>
      </w:r>
      <w:bookmarkStart w:id="193" w:name="_Hlk68035180"/>
      <w:r w:rsidRPr="00345217">
        <w:t>If local health care facilities have the equipment needed to examine and diagnose patients with disabilities, those patients are more likely to receive timely preventive services and follow-up care, thereby decreasing costly hospital admissions, readmissions, or long-term care placements.</w:t>
      </w:r>
      <w:bookmarkEnd w:id="193"/>
      <w:r w:rsidRPr="00B9405D">
        <w:t xml:space="preserve"> Early detection of cancer and other serious conditions can lead to downstream savings. Receiving care locally is more efficient and convenient, especially for frequent users of health care who may postpone or not follow up if appointments are too far from home. </w:t>
      </w:r>
    </w:p>
    <w:p w14:paraId="57DBA7B9" w14:textId="77777777" w:rsidR="00FC6AD9" w:rsidRPr="00C64F3D" w:rsidRDefault="00FC6AD9" w:rsidP="00A748EC">
      <w:pPr>
        <w:pStyle w:val="NCDExtract"/>
      </w:pPr>
      <w:r w:rsidRPr="00810A1D">
        <w:rPr>
          <w:i/>
        </w:rPr>
        <w:t xml:space="preserve">I have been using a wheelchair for 32 years and have run into many problems. Firstly, I have only weighed myself about four times in the last 32 years—at the feed store and when I’ve gone back to visit Santa Clara Valley Medical Centers SCI unit. I am now a Kaiser patient, and I’m told there is a roll-on weigh machine somewhere, but I have never seen it, and it has never been brought up by my doctors. I need a bone density test every three years, and this table is not accessible nor will hospital </w:t>
      </w:r>
      <w:proofErr w:type="gramStart"/>
      <w:r w:rsidRPr="00810A1D">
        <w:rPr>
          <w:i/>
        </w:rPr>
        <w:t>staff help</w:t>
      </w:r>
      <w:proofErr w:type="gramEnd"/>
      <w:r w:rsidRPr="00810A1D">
        <w:rPr>
          <w:i/>
        </w:rPr>
        <w:t xml:space="preserve"> lift me up. I’m told to bring someone to lift me. This is difficult as my friend/family group is not physically able to do this easily. I have always asked my mother, but she is now 71 years old and unable to do this. I am a few years behind on doing this test because I have no idea who to ask! </w:t>
      </w:r>
      <w:r>
        <w:t>(</w:t>
      </w:r>
      <w:r w:rsidRPr="00C64F3D">
        <w:t>Woman with a physical disability</w:t>
      </w:r>
      <w:r>
        <w:t>)</w:t>
      </w:r>
    </w:p>
    <w:p w14:paraId="20BE4C96" w14:textId="77777777" w:rsidR="00FC6AD9" w:rsidRPr="00C64F3D" w:rsidRDefault="00FC6AD9" w:rsidP="00A748EC">
      <w:pPr>
        <w:pStyle w:val="NCDBodyText"/>
      </w:pPr>
      <w:r w:rsidRPr="00C64F3D">
        <w:t>As indicated in the pr</w:t>
      </w:r>
      <w:r>
        <w:t>e</w:t>
      </w:r>
      <w:r w:rsidRPr="00C64F3D">
        <w:t xml:space="preserve">ceding passage, many people with disabilities arrive at their local clinics having been told the facilities are “accessible,” only to learn that accessible MDE is not available. Insurance is typically billed for that unsuccessful visit as well as a subsequent visit to a facility with accessible MDE, which is often a more costly regional medical center. When local providers are equipped with </w:t>
      </w:r>
      <w:r>
        <w:t>MDE</w:t>
      </w:r>
      <w:r w:rsidRPr="00C64F3D">
        <w:t xml:space="preserve"> for patients who need it, insurers and patients avoid redundant costs, and physicians keep a patient. </w:t>
      </w:r>
    </w:p>
    <w:p w14:paraId="3F8CCAF1" w14:textId="77777777" w:rsidR="00FC6AD9" w:rsidRPr="00A748EC" w:rsidRDefault="00FC6AD9" w:rsidP="00A748EC">
      <w:pPr>
        <w:pStyle w:val="NCDBodyText"/>
      </w:pPr>
      <w:r w:rsidRPr="00A748EC">
        <w:t xml:space="preserve">Both the stakeholder expert interviews and research literature recommended leveraging state and federal programs as well as those initiated by payers and community partners to incentivize the acquisition and appropriate use of accessible MDE. </w:t>
      </w:r>
      <w:bookmarkStart w:id="194" w:name="_Hlk68035229"/>
      <w:r w:rsidRPr="00345217">
        <w:t>Perceived and actual costs of accessible MDE have been identified as major barriers to implementation, especially by small mom-and-pop providers. There is a need for expanded provider education around existing programs to support procurement and use of accessible MDE</w:t>
      </w:r>
      <w:bookmarkEnd w:id="194"/>
      <w:r w:rsidRPr="00345217">
        <w:t>, such as the IRS Disabled Access Credit</w:t>
      </w:r>
      <w:r w:rsidRPr="00345217">
        <w:rPr>
          <w:rStyle w:val="EndnoteReference"/>
        </w:rPr>
        <w:endnoteReference w:id="151"/>
      </w:r>
      <w:r w:rsidRPr="00345217">
        <w:t xml:space="preserve"> and CMS’s Prolonged Service Codes.</w:t>
      </w:r>
      <w:r w:rsidRPr="00345217">
        <w:rPr>
          <w:rStyle w:val="EndnoteReference"/>
        </w:rPr>
        <w:endnoteReference w:id="152"/>
      </w:r>
      <w:r w:rsidRPr="00345217">
        <w:t xml:space="preserve"> </w:t>
      </w:r>
      <w:r w:rsidRPr="00A748EC">
        <w:t xml:space="preserve">Health system–initiated programs, such as </w:t>
      </w:r>
      <w:proofErr w:type="spellStart"/>
      <w:r w:rsidRPr="00A748EC">
        <w:t>Centene’s</w:t>
      </w:r>
      <w:proofErr w:type="spellEnd"/>
      <w:r w:rsidRPr="00A748EC">
        <w:t xml:space="preserve"> Provider Accessibility Initiative,</w:t>
      </w:r>
      <w:r w:rsidRPr="006D5051">
        <w:rPr>
          <w:rStyle w:val="EndnoteReference"/>
        </w:rPr>
        <w:endnoteReference w:id="153"/>
      </w:r>
      <w:r w:rsidRPr="00A748EC">
        <w:t xml:space="preserve"> can be expanded and replicated. In-kind grants that minimize the out-of-pocket expenses of small business owners may be particularly effective in reducing the financial burden and risk to providers who operate on very tight budgets. Equipment suppliers can support routine purchase of accessible MDE by improved marketing and reduction of price points for accessible equipment. Just as suppliers are accountable for ensuring product safety, so too should they be accountable for the provision of accessible equipment options at a reasonable price.</w:t>
      </w:r>
      <w:bookmarkStart w:id="195" w:name="_Hlk58346432"/>
      <w:r w:rsidRPr="00A748EC">
        <w:t xml:space="preserve"> Our stakeholder experts with backgrounds in procurement and equipment supply acknowledged that there is a significant price differential between the list prices for fixed and adjustable MDE. </w:t>
      </w:r>
      <w:bookmarkEnd w:id="195"/>
      <w:r w:rsidRPr="00A748EC">
        <w:t>They asserted, however, that these differences may be artificially inflated, and lower prices can be obtained through price negotiations and volume-based purchasing agreements.</w:t>
      </w:r>
    </w:p>
    <w:p w14:paraId="17525F16" w14:textId="77777777" w:rsidR="00FC6AD9" w:rsidRPr="00C64F3D" w:rsidRDefault="00FC6AD9" w:rsidP="00A748EC">
      <w:pPr>
        <w:pStyle w:val="NCDBodyText"/>
      </w:pPr>
      <w:r w:rsidRPr="00C64F3D">
        <w:t xml:space="preserve">Experts interviewed cited the advantage of a multipronged approach that includes both “carrots and sticks.” Many of them recommended that </w:t>
      </w:r>
      <w:bookmarkStart w:id="196" w:name="_Hlk68035288"/>
      <w:r w:rsidRPr="00C64F3D">
        <w:t xml:space="preserve">the business argument would be furthered by linking payment, accreditation, and inclusion in health plans to compliance with federal law and accessible MDE </w:t>
      </w:r>
      <w:r>
        <w:t>S</w:t>
      </w:r>
      <w:r w:rsidRPr="00C64F3D">
        <w:t xml:space="preserve">tandards. </w:t>
      </w:r>
      <w:bookmarkEnd w:id="196"/>
      <w:r w:rsidRPr="00C64F3D">
        <w:t xml:space="preserve">Similarly, fear of litigation was viewed as the ultimate stick to force compliance (see Ensuring </w:t>
      </w:r>
      <w:r>
        <w:t>A</w:t>
      </w:r>
      <w:r w:rsidRPr="00C64F3D">
        <w:t xml:space="preserve">ccess and </w:t>
      </w:r>
      <w:r>
        <w:t>E</w:t>
      </w:r>
      <w:r w:rsidRPr="00C64F3D">
        <w:t>quity</w:t>
      </w:r>
      <w:r>
        <w:t xml:space="preserve"> </w:t>
      </w:r>
      <w:proofErr w:type="gramStart"/>
      <w:r>
        <w:t>Under</w:t>
      </w:r>
      <w:proofErr w:type="gramEnd"/>
      <w:r>
        <w:t xml:space="preserve"> Existing Federal Laws</w:t>
      </w:r>
      <w:r w:rsidRPr="00C64F3D">
        <w:t xml:space="preserve">). </w:t>
      </w:r>
    </w:p>
    <w:p w14:paraId="4E16992C" w14:textId="77777777" w:rsidR="00FC6AD9" w:rsidRPr="00C64F3D" w:rsidRDefault="00FC6AD9" w:rsidP="00A748EC">
      <w:pPr>
        <w:pStyle w:val="NCDBodyText"/>
      </w:pPr>
      <w:r w:rsidRPr="00C64F3D">
        <w:t>Research that supports the implementation and widespread use of accessible MDE may be funded by entities such as</w:t>
      </w:r>
      <w:r>
        <w:t xml:space="preserve"> the following</w:t>
      </w:r>
      <w:r w:rsidRPr="00C64F3D">
        <w:t>:</w:t>
      </w:r>
    </w:p>
    <w:p w14:paraId="53FF0014" w14:textId="77777777" w:rsidR="00FC6AD9" w:rsidRPr="00C64F3D" w:rsidRDefault="00FC6AD9" w:rsidP="00A748EC">
      <w:pPr>
        <w:pStyle w:val="NCDBulletsLevel1"/>
      </w:pPr>
      <w:r w:rsidRPr="00C64F3D">
        <w:t>The AHRQ</w:t>
      </w:r>
      <w:r>
        <w:t>,</w:t>
      </w:r>
      <w:r w:rsidRPr="00C64F3D">
        <w:t xml:space="preserve"> which emphasizes</w:t>
      </w:r>
      <w:r>
        <w:t xml:space="preserve"> health care</w:t>
      </w:r>
      <w:r w:rsidRPr="00C64F3D">
        <w:t xml:space="preserve"> quality and patient safety</w:t>
      </w:r>
    </w:p>
    <w:p w14:paraId="78B2E9F6" w14:textId="77777777" w:rsidR="00FC6AD9" w:rsidRPr="00C64F3D" w:rsidRDefault="00FC6AD9" w:rsidP="00A748EC">
      <w:pPr>
        <w:pStyle w:val="NCDBulletsLevel1"/>
      </w:pPr>
      <w:r w:rsidRPr="00C64F3D">
        <w:t xml:space="preserve">The </w:t>
      </w:r>
      <w:bookmarkStart w:id="197" w:name="_Hlk65187185"/>
      <w:r w:rsidRPr="00C64F3D">
        <w:t>Patient</w:t>
      </w:r>
      <w:r>
        <w:t>-</w:t>
      </w:r>
      <w:r w:rsidRPr="00C64F3D">
        <w:t xml:space="preserve">Centered Outcomes Research Institute </w:t>
      </w:r>
      <w:bookmarkEnd w:id="197"/>
      <w:r w:rsidRPr="00C64F3D">
        <w:t>(PCORI)</w:t>
      </w:r>
      <w:r>
        <w:t>,</w:t>
      </w:r>
      <w:r w:rsidRPr="00C64F3D">
        <w:t xml:space="preserve"> which emphasizes patient-centered outcomes and funds research on </w:t>
      </w:r>
      <w:r>
        <w:t>health care</w:t>
      </w:r>
      <w:r w:rsidRPr="00C64F3D">
        <w:t xml:space="preserve"> disparities</w:t>
      </w:r>
    </w:p>
    <w:p w14:paraId="02C67563" w14:textId="77777777" w:rsidR="00FC6AD9" w:rsidRPr="00C64F3D" w:rsidRDefault="00FC6AD9" w:rsidP="00A748EC">
      <w:pPr>
        <w:pStyle w:val="NCDBulletsLevel1"/>
      </w:pPr>
      <w:r w:rsidRPr="00C64F3D">
        <w:t>The National Institutes of Health</w:t>
      </w:r>
    </w:p>
    <w:p w14:paraId="069EEEA0" w14:textId="77777777" w:rsidR="00FC6AD9" w:rsidRPr="007E2AB8" w:rsidRDefault="00FC6AD9" w:rsidP="00A748EC">
      <w:pPr>
        <w:pStyle w:val="Heading3"/>
      </w:pPr>
      <w:bookmarkStart w:id="198" w:name="_Toc69374226"/>
      <w:r w:rsidRPr="007E2AB8">
        <w:t xml:space="preserve">Challenges to the </w:t>
      </w:r>
      <w:r>
        <w:t>b</w:t>
      </w:r>
      <w:r w:rsidRPr="007E2AB8">
        <w:t xml:space="preserve">usiness </w:t>
      </w:r>
      <w:r>
        <w:t>c</w:t>
      </w:r>
      <w:r w:rsidRPr="007E2AB8">
        <w:t>ase</w:t>
      </w:r>
      <w:bookmarkEnd w:id="198"/>
    </w:p>
    <w:p w14:paraId="1A3535A9" w14:textId="77777777" w:rsidR="00FC6AD9" w:rsidRPr="00C64F3D" w:rsidRDefault="00FC6AD9" w:rsidP="00A748EC">
      <w:pPr>
        <w:pStyle w:val="NCDBodyText"/>
      </w:pPr>
      <w:r w:rsidRPr="00C64F3D">
        <w:t xml:space="preserve">The case for a business argument to support accessible MDE procurement and use confronts several practical realities within the </w:t>
      </w:r>
      <w:r>
        <w:t>health care</w:t>
      </w:r>
      <w:r w:rsidRPr="00C64F3D">
        <w:t xml:space="preserve"> delivery system. There must be recognition that while transferring a patient to a height</w:t>
      </w:r>
      <w:r>
        <w:t>-</w:t>
      </w:r>
      <w:r w:rsidRPr="00C64F3D">
        <w:t>adjustable exam</w:t>
      </w:r>
      <w:r>
        <w:t>ination</w:t>
      </w:r>
      <w:r w:rsidRPr="00C64F3D">
        <w:t xml:space="preserve"> table or locating an accessible weight</w:t>
      </w:r>
      <w:r>
        <w:t xml:space="preserve"> </w:t>
      </w:r>
      <w:r w:rsidRPr="00C64F3D">
        <w:t>scale is easier and faster than completing a transfer to a fixed</w:t>
      </w:r>
      <w:r>
        <w:t>-</w:t>
      </w:r>
      <w:r w:rsidRPr="00C64F3D">
        <w:t xml:space="preserve">height table or transporting a patient to the loading dock to get weighed; many providers are not doing these things. Even when accessible MDE is available, patients report that providers are still examining patients in their wheelchairs or asking for self-reported </w:t>
      </w:r>
      <w:proofErr w:type="gramStart"/>
      <w:r w:rsidRPr="00C64F3D">
        <w:t>weights, which is</w:t>
      </w:r>
      <w:proofErr w:type="gramEnd"/>
      <w:r w:rsidRPr="00C64F3D">
        <w:t xml:space="preserve"> perceived as faster and easier than using accessible MDE.</w:t>
      </w:r>
      <w:r w:rsidRPr="00C64F3D">
        <w:rPr>
          <w:rStyle w:val="EndnoteReference"/>
          <w:rFonts w:eastAsia="Times New Roman" w:cs="Arial"/>
        </w:rPr>
        <w:endnoteReference w:id="154"/>
      </w:r>
      <w:r w:rsidRPr="00C64F3D">
        <w:t xml:space="preserve"> Therefore, it is important to ensure that when cost comparisons are being made</w:t>
      </w:r>
      <w:r>
        <w:t>,</w:t>
      </w:r>
      <w:r w:rsidRPr="00C64F3D">
        <w:t xml:space="preserve"> they are made on care that is appropriate, high quality</w:t>
      </w:r>
      <w:r>
        <w:t>,</w:t>
      </w:r>
      <w:r w:rsidRPr="00C64F3D">
        <w:t xml:space="preserve"> and preserves the patient’s dignity. </w:t>
      </w:r>
    </w:p>
    <w:p w14:paraId="06585D74" w14:textId="77777777" w:rsidR="00FC6AD9" w:rsidRPr="00C64F3D" w:rsidRDefault="00FC6AD9" w:rsidP="00A748EC">
      <w:pPr>
        <w:pStyle w:val="NCDBodyText"/>
      </w:pPr>
      <w:r w:rsidRPr="00C64F3D">
        <w:t xml:space="preserve">Many people with disabilities receive their </w:t>
      </w:r>
      <w:r>
        <w:t>health care</w:t>
      </w:r>
      <w:r w:rsidRPr="00C64F3D">
        <w:t xml:space="preserve"> services through government entitlement programs, such as Medicare and Medicaid. These programs have lower and slower reimbursement rates than private insurance and place greater restrictions on reimbursable services. Such factors can dissuade providers from taking on new patients with disabilities. </w:t>
      </w:r>
      <w:r>
        <w:t>M</w:t>
      </w:r>
      <w:r w:rsidRPr="00C64F3D">
        <w:t xml:space="preserve">any people with disabilities report challenges finding </w:t>
      </w:r>
      <w:r>
        <w:t>health care</w:t>
      </w:r>
      <w:r w:rsidRPr="00C64F3D">
        <w:t xml:space="preserve"> providers who accept Medicaid. </w:t>
      </w:r>
      <w:bookmarkStart w:id="199" w:name="_Hlk68035344"/>
      <w:r w:rsidRPr="00C64F3D">
        <w:t>A 2017 study revealed that the average rate of Medicaid acceptance in the 15 largest U.S. cities was just 53</w:t>
      </w:r>
      <w:r>
        <w:t xml:space="preserve"> percent</w:t>
      </w:r>
      <w:r w:rsidRPr="00C64F3D">
        <w:t>.</w:t>
      </w:r>
      <w:bookmarkEnd w:id="199"/>
      <w:r w:rsidRPr="00C64F3D">
        <w:rPr>
          <w:rStyle w:val="EndnoteReference"/>
          <w:rFonts w:eastAsia="Times New Roman" w:cs="Arial"/>
        </w:rPr>
        <w:endnoteReference w:id="155"/>
      </w:r>
      <w:r w:rsidRPr="00C64F3D">
        <w:t xml:space="preserve"> Precarious federal and state support for entitlement programs, such as Medicaid and health exchanges under the ACA, risks undermining a business argument for accessible MDE built around increased market share of patients with disabilities. </w:t>
      </w:r>
    </w:p>
    <w:p w14:paraId="0705E271" w14:textId="77777777" w:rsidR="00FC6AD9" w:rsidRPr="00C64F3D" w:rsidRDefault="00FC6AD9" w:rsidP="00A748EC">
      <w:pPr>
        <w:pStyle w:val="NCDBodyText"/>
      </w:pPr>
      <w:r w:rsidRPr="00C64F3D">
        <w:t xml:space="preserve">Finally, </w:t>
      </w:r>
      <w:bookmarkStart w:id="200" w:name="_Hlk68035374"/>
      <w:r w:rsidRPr="00C64F3D">
        <w:t>it is important to recognize how unlikely it is that any single business argument can appeal to the broad range of providers whose patients would benefit from accessible MDE. What makes financial sense to one entity (e.g.</w:t>
      </w:r>
      <w:r>
        <w:t>,</w:t>
      </w:r>
      <w:r w:rsidRPr="00C64F3D">
        <w:t xml:space="preserve"> a small, private, rural clinic) will not necessarily translate to another setting (e.g.</w:t>
      </w:r>
      <w:r>
        <w:t>,</w:t>
      </w:r>
      <w:r w:rsidRPr="00C64F3D">
        <w:t xml:space="preserve"> a large regional health system). </w:t>
      </w:r>
      <w:bookmarkEnd w:id="200"/>
      <w:r w:rsidRPr="00C64F3D">
        <w:t xml:space="preserve">In addition, barriers to accessible MDE differ widely based on facilities’ regions, specialties, sizes, </w:t>
      </w:r>
      <w:r>
        <w:t>and so on</w:t>
      </w:r>
      <w:r w:rsidRPr="00C64F3D">
        <w:t xml:space="preserve">. </w:t>
      </w:r>
    </w:p>
    <w:p w14:paraId="07CCBE7A" w14:textId="77777777" w:rsidR="00FC6AD9" w:rsidRPr="00C64F3D" w:rsidRDefault="00FC6AD9" w:rsidP="00A748EC">
      <w:pPr>
        <w:pStyle w:val="NCDBodyText"/>
      </w:pPr>
      <w:r w:rsidRPr="00C64F3D">
        <w:t>Our stakeholder experts confirmed that all three approaches</w:t>
      </w:r>
      <w:r>
        <w:t>—</w:t>
      </w:r>
      <w:r w:rsidRPr="00C64F3D">
        <w:t>ensuring access and equity, linking to safety and quality initiatives</w:t>
      </w:r>
      <w:r>
        <w:t>,</w:t>
      </w:r>
      <w:r w:rsidRPr="00C64F3D">
        <w:t xml:space="preserve"> and making the business argument</w:t>
      </w:r>
      <w:r>
        <w:t>—</w:t>
      </w:r>
      <w:r w:rsidRPr="00C64F3D">
        <w:t>have merit. Each compl</w:t>
      </w:r>
      <w:r>
        <w:t>e</w:t>
      </w:r>
      <w:r w:rsidRPr="00C64F3D">
        <w:t>ments the others and warrants further exploration through policy and practice initiatives and data gathering. Based on the cumulative findings of the rapid review of the literature, environmental scan</w:t>
      </w:r>
      <w:r>
        <w:t>,</w:t>
      </w:r>
      <w:r w:rsidRPr="00C64F3D">
        <w:t xml:space="preserve"> and expert interview process (both individual and convened interdisciplinary meeting), we developed recommendations that will assist </w:t>
      </w:r>
      <w:r>
        <w:t xml:space="preserve">in making </w:t>
      </w:r>
      <w:r w:rsidRPr="00C64F3D">
        <w:t xml:space="preserve">accessible MDE a common </w:t>
      </w:r>
      <w:r>
        <w:t>feature in</w:t>
      </w:r>
      <w:r w:rsidRPr="00C64F3D">
        <w:t xml:space="preserve"> physician</w:t>
      </w:r>
      <w:r>
        <w:t>s</w:t>
      </w:r>
      <w:r w:rsidRPr="00C64F3D">
        <w:t>’ offices and medical facilities.</w:t>
      </w:r>
    </w:p>
    <w:p w14:paraId="536502CA" w14:textId="77777777" w:rsidR="00A748EC" w:rsidRDefault="00A748EC">
      <w:pPr>
        <w:spacing w:after="200"/>
        <w:rPr>
          <w:rFonts w:ascii="Arial" w:eastAsiaTheme="minorHAnsi" w:hAnsi="Arial" w:cs="Arial"/>
          <w:b/>
          <w:sz w:val="36"/>
          <w:szCs w:val="32"/>
        </w:rPr>
      </w:pPr>
      <w:bookmarkStart w:id="201" w:name="_Toc65342173"/>
      <w:bookmarkStart w:id="202" w:name="_Hlk52388738"/>
      <w:r>
        <w:br w:type="page"/>
      </w:r>
    </w:p>
    <w:p w14:paraId="61C03BB7" w14:textId="77777777" w:rsidR="00B9405D" w:rsidRDefault="00B9405D" w:rsidP="00B9405D">
      <w:pPr>
        <w:pStyle w:val="NCDBodyText"/>
        <w:rPr>
          <w:rFonts w:eastAsiaTheme="minorHAnsi" w:cs="Arial"/>
          <w:sz w:val="36"/>
          <w:szCs w:val="32"/>
        </w:rPr>
      </w:pPr>
      <w:r>
        <w:br w:type="page"/>
      </w:r>
    </w:p>
    <w:p w14:paraId="1BA3FF08" w14:textId="2101EBD0" w:rsidR="00FC6AD9" w:rsidRPr="00C64F3D" w:rsidRDefault="00FC6AD9" w:rsidP="00A748EC">
      <w:pPr>
        <w:pStyle w:val="Heading1"/>
      </w:pPr>
      <w:bookmarkStart w:id="203" w:name="_Toc69374227"/>
      <w:r w:rsidRPr="00C64F3D">
        <w:t>Chapter 4: Recommendations</w:t>
      </w:r>
      <w:bookmarkEnd w:id="201"/>
      <w:bookmarkEnd w:id="203"/>
    </w:p>
    <w:p w14:paraId="070A6983" w14:textId="77777777" w:rsidR="00FC6AD9" w:rsidRPr="00A748EC" w:rsidRDefault="00FC6AD9" w:rsidP="00A748EC">
      <w:pPr>
        <w:pStyle w:val="Heading2"/>
        <w:keepNext w:val="0"/>
        <w:keepLines w:val="0"/>
        <w:widowControl w:val="0"/>
      </w:pPr>
      <w:bookmarkStart w:id="204" w:name="_Toc65342174"/>
      <w:bookmarkStart w:id="205" w:name="_Toc69374228"/>
      <w:r w:rsidRPr="00A748EC">
        <w:t>Federal Agencies</w:t>
      </w:r>
      <w:bookmarkEnd w:id="204"/>
      <w:bookmarkEnd w:id="205"/>
    </w:p>
    <w:p w14:paraId="4E408551" w14:textId="77777777" w:rsidR="00FC6AD9" w:rsidRPr="00A748EC" w:rsidRDefault="00FC6AD9" w:rsidP="00FE38D0">
      <w:pPr>
        <w:pStyle w:val="Heading3"/>
      </w:pPr>
      <w:bookmarkStart w:id="206" w:name="_Toc65342175"/>
      <w:bookmarkStart w:id="207" w:name="_Toc69374229"/>
      <w:r w:rsidRPr="00A748EC">
        <w:t>Department of Health and Human Services (HHS)</w:t>
      </w:r>
      <w:bookmarkEnd w:id="206"/>
      <w:bookmarkEnd w:id="207"/>
    </w:p>
    <w:p w14:paraId="7589E445" w14:textId="77777777" w:rsidR="00FC6AD9" w:rsidRPr="00A748EC" w:rsidRDefault="00FC6AD9" w:rsidP="00FE38D0">
      <w:pPr>
        <w:pStyle w:val="Heading4"/>
      </w:pPr>
      <w:bookmarkStart w:id="208" w:name="_Toc65342176"/>
      <w:bookmarkStart w:id="209" w:name="_Toc69374230"/>
      <w:r w:rsidRPr="00A748EC">
        <w:t>HHS Office for Civil Rights (OCR)</w:t>
      </w:r>
      <w:bookmarkEnd w:id="208"/>
      <w:bookmarkEnd w:id="209"/>
      <w:r w:rsidRPr="00A748EC">
        <w:t xml:space="preserve"> </w:t>
      </w:r>
    </w:p>
    <w:p w14:paraId="1B56105A" w14:textId="77777777" w:rsidR="00FC6AD9" w:rsidRPr="00C64F3D" w:rsidRDefault="00FC6AD9" w:rsidP="00A748EC">
      <w:pPr>
        <w:pStyle w:val="NCDBodyText"/>
      </w:pPr>
      <w:r w:rsidRPr="00C64F3D">
        <w:t>OCR should</w:t>
      </w:r>
      <w:r>
        <w:t>:</w:t>
      </w:r>
    </w:p>
    <w:p w14:paraId="4FBE0A23" w14:textId="77777777" w:rsidR="00FC6AD9" w:rsidRPr="007E7F51" w:rsidRDefault="00FC6AD9" w:rsidP="00A748EC">
      <w:pPr>
        <w:pStyle w:val="NCDBulletsLevel1"/>
      </w:pPr>
      <w:r w:rsidRPr="007E7F51">
        <w:t xml:space="preserve">Issue a regulation requiring health care providers subject to its jurisdiction to acquire accessible MDE that complies with the MDE Standards without delay. </w:t>
      </w:r>
    </w:p>
    <w:p w14:paraId="4897B875" w14:textId="77777777" w:rsidR="00FC6AD9" w:rsidRPr="007E7F51" w:rsidRDefault="00FC6AD9" w:rsidP="00A748EC">
      <w:pPr>
        <w:pStyle w:val="NCDBulletsLevel1"/>
      </w:pPr>
      <w:r w:rsidRPr="007E7F51">
        <w:t>Develop technical assistance resources to assist covered entities in complying with the regulation.</w:t>
      </w:r>
    </w:p>
    <w:p w14:paraId="7F8C2EE0" w14:textId="77777777" w:rsidR="00FC6AD9" w:rsidRPr="007E7F51" w:rsidRDefault="00FC6AD9" w:rsidP="00A748EC">
      <w:pPr>
        <w:pStyle w:val="NCDBulletsLevel1"/>
      </w:pPr>
      <w:r>
        <w:t>D</w:t>
      </w:r>
      <w:r w:rsidRPr="007E7F51">
        <w:t xml:space="preserve">evelop a technical assistance document on accessible MDE and how to file a complaint </w:t>
      </w:r>
      <w:r>
        <w:t xml:space="preserve">for people with disabilities </w:t>
      </w:r>
      <w:r w:rsidRPr="007E7F51">
        <w:t>if they experience discrimination in health care due to inaccessible medical equipment, under laws enforced by the OCR.</w:t>
      </w:r>
    </w:p>
    <w:p w14:paraId="3FEF476E" w14:textId="77777777" w:rsidR="00FC6AD9" w:rsidRPr="00C64F3D" w:rsidRDefault="00FC6AD9" w:rsidP="00FE38D0">
      <w:pPr>
        <w:pStyle w:val="Heading4"/>
      </w:pPr>
      <w:bookmarkStart w:id="210" w:name="_Toc69374231"/>
      <w:r>
        <w:t xml:space="preserve">HHS </w:t>
      </w:r>
      <w:r w:rsidRPr="00C64F3D">
        <w:t>Office of the National Coordinator for Health Information Technology</w:t>
      </w:r>
      <w:bookmarkEnd w:id="210"/>
      <w:r w:rsidRPr="00C64F3D">
        <w:t xml:space="preserve"> </w:t>
      </w:r>
    </w:p>
    <w:p w14:paraId="59940AC5" w14:textId="77777777" w:rsidR="00FC6AD9" w:rsidRPr="00C64F3D" w:rsidRDefault="00FC6AD9" w:rsidP="00A748EC">
      <w:pPr>
        <w:pStyle w:val="NCDBodyText"/>
      </w:pPr>
      <w:r>
        <w:t>The Office of the National Coordinator for Health Information Technology s</w:t>
      </w:r>
      <w:r w:rsidRPr="00C64F3D">
        <w:t>hould add disability</w:t>
      </w:r>
      <w:r>
        <w:t>-</w:t>
      </w:r>
      <w:r w:rsidRPr="00C64F3D">
        <w:t>related items to the Meaningful Use Standards to promote interoperability and data tracking across health systems and federal and state programs.</w:t>
      </w:r>
    </w:p>
    <w:p w14:paraId="1F6E102B" w14:textId="77777777" w:rsidR="00FC6AD9" w:rsidRPr="00C64F3D" w:rsidRDefault="00FC6AD9" w:rsidP="00FE38D0">
      <w:pPr>
        <w:pStyle w:val="Heading4"/>
      </w:pPr>
      <w:bookmarkStart w:id="211" w:name="_Toc69374232"/>
      <w:r w:rsidRPr="00C64F3D">
        <w:t>HHS National Institutes of Health</w:t>
      </w:r>
      <w:bookmarkEnd w:id="211"/>
    </w:p>
    <w:p w14:paraId="5C6F0AF9" w14:textId="77777777" w:rsidR="00FC6AD9" w:rsidRPr="00C64F3D" w:rsidRDefault="00FC6AD9" w:rsidP="00A748EC">
      <w:pPr>
        <w:pStyle w:val="NCDBodyText"/>
      </w:pPr>
      <w:r>
        <w:t>The National Institutes of Health</w:t>
      </w:r>
      <w:r w:rsidRPr="00C64F3D">
        <w:t xml:space="preserve"> should fund or conduct a biannual nationwide health facility accessibility survey (HFAS), modeled on California’s Facility Site Review, that includes questions on the availability of accessible medical equipment, and publish the results biannually.</w:t>
      </w:r>
    </w:p>
    <w:p w14:paraId="5BAF18A3" w14:textId="77777777" w:rsidR="00FE38D0" w:rsidRDefault="00FE38D0">
      <w:pPr>
        <w:spacing w:after="200"/>
        <w:rPr>
          <w:rFonts w:ascii="Arial" w:hAnsi="Arial" w:cs="Arial"/>
          <w:b/>
          <w:szCs w:val="24"/>
        </w:rPr>
      </w:pPr>
      <w:bookmarkStart w:id="212" w:name="_Toc65342177"/>
      <w:r>
        <w:br w:type="page"/>
      </w:r>
    </w:p>
    <w:p w14:paraId="2B04EBFE" w14:textId="11F413FA" w:rsidR="00FC6AD9" w:rsidRPr="00C64F3D" w:rsidRDefault="00FC6AD9" w:rsidP="00FE38D0">
      <w:pPr>
        <w:pStyle w:val="Heading4"/>
      </w:pPr>
      <w:bookmarkStart w:id="213" w:name="_Toc69374233"/>
      <w:r w:rsidRPr="00C64F3D">
        <w:t>U.S. Department of Justice, Civil Rights Division</w:t>
      </w:r>
      <w:bookmarkEnd w:id="212"/>
      <w:bookmarkEnd w:id="213"/>
    </w:p>
    <w:p w14:paraId="467A084C" w14:textId="77777777" w:rsidR="00FC6AD9" w:rsidRPr="00C64F3D" w:rsidRDefault="00FC6AD9" w:rsidP="00A748EC">
      <w:pPr>
        <w:pStyle w:val="NCDBodyText"/>
      </w:pPr>
      <w:r>
        <w:t xml:space="preserve">The </w:t>
      </w:r>
      <w:r w:rsidRPr="00C64F3D">
        <w:t>C</w:t>
      </w:r>
      <w:r>
        <w:t xml:space="preserve">ivil </w:t>
      </w:r>
      <w:r w:rsidRPr="00C64F3D">
        <w:t>R</w:t>
      </w:r>
      <w:r>
        <w:t xml:space="preserve">ights </w:t>
      </w:r>
      <w:r w:rsidRPr="00C64F3D">
        <w:t>D</w:t>
      </w:r>
      <w:r>
        <w:t>ivision</w:t>
      </w:r>
      <w:r w:rsidRPr="00C64F3D">
        <w:t xml:space="preserve"> should</w:t>
      </w:r>
      <w:r>
        <w:t>:</w:t>
      </w:r>
    </w:p>
    <w:p w14:paraId="529D1EDB" w14:textId="77777777" w:rsidR="00FC6AD9" w:rsidRPr="002E4C70" w:rsidRDefault="00FC6AD9" w:rsidP="00A748EC">
      <w:pPr>
        <w:pStyle w:val="NCDBulletsLevel1"/>
      </w:pPr>
      <w:r w:rsidRPr="002E4C70">
        <w:t>Revise its Title II and III ADA regulations requiring health care providers subject to its jurisdiction to acquire accessible MDE that complies with the MDE Standards, without delay.</w:t>
      </w:r>
    </w:p>
    <w:p w14:paraId="70B589D4" w14:textId="77777777" w:rsidR="00FC6AD9" w:rsidRPr="002E4C70" w:rsidRDefault="00FC6AD9" w:rsidP="00A748EC">
      <w:pPr>
        <w:pStyle w:val="NCDBulletsLevel1"/>
      </w:pPr>
      <w:r w:rsidRPr="002E4C70">
        <w:t>Develop technical assistance resources to assist covered entities to comply with the revised regulations.</w:t>
      </w:r>
    </w:p>
    <w:p w14:paraId="7F7574C9" w14:textId="77777777" w:rsidR="00FC6AD9" w:rsidRPr="002E4C70" w:rsidRDefault="00FC6AD9" w:rsidP="00A748EC">
      <w:pPr>
        <w:pStyle w:val="NCDBulletsLevel1"/>
      </w:pPr>
      <w:r w:rsidRPr="002E4C70">
        <w:t>For people with disabilities, develop a technical assistance document on accessible MDE, the Barrier-Free Health Care Initiative, and how to file complaints if they experience discrimination in health care due to inaccessible medical equipment, under the ADA.</w:t>
      </w:r>
    </w:p>
    <w:p w14:paraId="580E3D14" w14:textId="77777777" w:rsidR="00FC6AD9" w:rsidRPr="002E4C70" w:rsidRDefault="00FC6AD9" w:rsidP="00A748EC">
      <w:pPr>
        <w:pStyle w:val="NCDBulletsLevel1"/>
      </w:pPr>
      <w:r w:rsidRPr="002E4C70">
        <w:t xml:space="preserve">Collect statistics on patient complaints about inaccessible medical equipment and the results of such complaints. These data should be consistently posted to the DOJ website. </w:t>
      </w:r>
    </w:p>
    <w:p w14:paraId="3549FE0F" w14:textId="77777777" w:rsidR="00FC6AD9" w:rsidRPr="002E4C70" w:rsidRDefault="00FC6AD9" w:rsidP="00A748EC">
      <w:pPr>
        <w:pStyle w:val="NCDBulletsLevel1"/>
      </w:pPr>
      <w:r w:rsidRPr="002E4C70">
        <w:t xml:space="preserve">Update the 2010 “Access to Medical Care for Individuals with Mobility Disabilities” to include information on the Access Board’s MDE Standards. The updates should include information on IRS tax credits for accessible equipment purchase, and CMS’s CPT codes for extra time with patients. </w:t>
      </w:r>
    </w:p>
    <w:p w14:paraId="72A45E76" w14:textId="77777777" w:rsidR="00FC6AD9" w:rsidRPr="00C64F3D" w:rsidRDefault="00FC6AD9" w:rsidP="00FE38D0">
      <w:pPr>
        <w:pStyle w:val="Heading4"/>
      </w:pPr>
      <w:bookmarkStart w:id="214" w:name="_Toc65342178"/>
      <w:bookmarkStart w:id="215" w:name="_Toc69374234"/>
      <w:r w:rsidRPr="00C64F3D">
        <w:t>U.S. Department of Veterans Affairs, Veterans’ Health Administration</w:t>
      </w:r>
      <w:bookmarkEnd w:id="214"/>
      <w:bookmarkEnd w:id="215"/>
    </w:p>
    <w:p w14:paraId="006C7342" w14:textId="77777777" w:rsidR="00FC6AD9" w:rsidRPr="00C64F3D" w:rsidRDefault="00FC6AD9" w:rsidP="00A748EC">
      <w:pPr>
        <w:pStyle w:val="NCDBodyText"/>
      </w:pPr>
      <w:r w:rsidRPr="00C64F3D">
        <w:t>VHA should</w:t>
      </w:r>
      <w:r>
        <w:t>:</w:t>
      </w:r>
    </w:p>
    <w:p w14:paraId="5B8E55AF" w14:textId="77777777" w:rsidR="00FC6AD9" w:rsidRPr="002E4C70" w:rsidRDefault="00FC6AD9" w:rsidP="00A748EC">
      <w:pPr>
        <w:pStyle w:val="NCDBulletsLevel1"/>
      </w:pPr>
      <w:r w:rsidRPr="002E4C70">
        <w:t>Publicize and promote their policies and practices on accessible MDE and produce a report on their implementation of the MDE Standards, sharing that information with their counterparts.</w:t>
      </w:r>
    </w:p>
    <w:p w14:paraId="7E7A08F1" w14:textId="77777777" w:rsidR="00FC6AD9" w:rsidRPr="002E4C70" w:rsidRDefault="00FC6AD9" w:rsidP="00A748EC">
      <w:pPr>
        <w:pStyle w:val="NCDBulletsLevel1"/>
      </w:pPr>
      <w:r w:rsidRPr="002E4C70">
        <w:t xml:space="preserve">Fund research on the implementation of MDE Standards. Given VHA’s commitment to implementing the MDE Standards, unique opportunities exist to study the impact of the </w:t>
      </w:r>
      <w:r>
        <w:t>s</w:t>
      </w:r>
      <w:r w:rsidRPr="002E4C70">
        <w:t>tandards as they are implemented across practice settings.</w:t>
      </w:r>
    </w:p>
    <w:p w14:paraId="2AB60036" w14:textId="77777777" w:rsidR="00FC6AD9" w:rsidRPr="002E4C70" w:rsidRDefault="00FC6AD9" w:rsidP="00A748EC">
      <w:pPr>
        <w:pStyle w:val="NCDBulletsLevel1"/>
      </w:pPr>
      <w:r w:rsidRPr="002E4C70">
        <w:t>Create data</w:t>
      </w:r>
      <w:r>
        <w:t>-</w:t>
      </w:r>
      <w:r w:rsidRPr="002E4C70">
        <w:t xml:space="preserve">sharing opportunities for researchers to support analysis of programmatic and claims data in order to evaluate outcomes and cost-effectiveness of implementing the </w:t>
      </w:r>
      <w:r>
        <w:t xml:space="preserve">MDE </w:t>
      </w:r>
      <w:r w:rsidRPr="002E4C70">
        <w:t>Standards.</w:t>
      </w:r>
    </w:p>
    <w:p w14:paraId="2332D86F" w14:textId="77777777" w:rsidR="00FC6AD9" w:rsidRPr="002E4C70" w:rsidRDefault="00FC6AD9" w:rsidP="00A748EC">
      <w:pPr>
        <w:pStyle w:val="NCDBulletsLevel1"/>
      </w:pPr>
      <w:r w:rsidRPr="002E4C70">
        <w:t>Include items related to functional mobility status, need for accessible MDE, and use of accessible MDE in VHA’s electronic medical records.</w:t>
      </w:r>
    </w:p>
    <w:p w14:paraId="70A5D25E" w14:textId="77777777" w:rsidR="00FC6AD9" w:rsidRPr="00C64F3D" w:rsidRDefault="00FC6AD9" w:rsidP="00FE38D0">
      <w:pPr>
        <w:pStyle w:val="Heading4"/>
      </w:pPr>
      <w:bookmarkStart w:id="216" w:name="_Toc65342179"/>
      <w:bookmarkStart w:id="217" w:name="_Toc69374235"/>
      <w:r w:rsidRPr="00C64F3D">
        <w:t>Department of Labor, Occupational Safety and Health Administration</w:t>
      </w:r>
      <w:bookmarkEnd w:id="216"/>
      <w:bookmarkEnd w:id="217"/>
    </w:p>
    <w:p w14:paraId="04ADB73D" w14:textId="77777777" w:rsidR="00FC6AD9" w:rsidRPr="00C64F3D" w:rsidRDefault="00FC6AD9" w:rsidP="00A748EC">
      <w:pPr>
        <w:pStyle w:val="NCDBodyText"/>
      </w:pPr>
      <w:bookmarkStart w:id="218" w:name="_Toc65342180"/>
      <w:r w:rsidRPr="005F7511">
        <w:t xml:space="preserve">The Occupational Safety and Health Administration </w:t>
      </w:r>
      <w:r w:rsidRPr="00C64F3D">
        <w:t>should include the Access Board’s MDE Standards in their Standard 5047 Medical, Dental, and Hospital Equipment and Supplies.</w:t>
      </w:r>
      <w:bookmarkEnd w:id="218"/>
    </w:p>
    <w:p w14:paraId="28388976" w14:textId="77777777" w:rsidR="00FC6AD9" w:rsidRPr="00C64F3D" w:rsidRDefault="00FC6AD9" w:rsidP="00FE38D0">
      <w:pPr>
        <w:pStyle w:val="Heading4"/>
      </w:pPr>
      <w:bookmarkStart w:id="219" w:name="_Toc65342181"/>
      <w:bookmarkStart w:id="220" w:name="_Toc69374236"/>
      <w:bookmarkStart w:id="221" w:name="_Hlk58407379"/>
      <w:r w:rsidRPr="00C64F3D">
        <w:t>Department of Education, Liaison Committee on Medical Education</w:t>
      </w:r>
      <w:bookmarkEnd w:id="219"/>
      <w:bookmarkEnd w:id="220"/>
    </w:p>
    <w:p w14:paraId="054E520F" w14:textId="77777777" w:rsidR="00FC6AD9" w:rsidRPr="00C64F3D" w:rsidRDefault="00FC6AD9" w:rsidP="00A748EC">
      <w:pPr>
        <w:pStyle w:val="NCDBodyText"/>
      </w:pPr>
      <w:r>
        <w:t xml:space="preserve">The </w:t>
      </w:r>
      <w:r w:rsidRPr="00C64F3D">
        <w:t xml:space="preserve">Liaison Committee on Medical Education </w:t>
      </w:r>
      <w:r>
        <w:t>(</w:t>
      </w:r>
      <w:r w:rsidRPr="00C64F3D">
        <w:t>LCME</w:t>
      </w:r>
      <w:r>
        <w:t>)</w:t>
      </w:r>
      <w:r w:rsidRPr="00C64F3D">
        <w:t xml:space="preserve"> should add disability competency requirements to </w:t>
      </w:r>
      <w:r>
        <w:t>S</w:t>
      </w:r>
      <w:r w:rsidRPr="00C64F3D">
        <w:t>ection 7.2 of the Functions and Structure of a Medical School, including appropriate use of accessible MDE as part of basic physical exam</w:t>
      </w:r>
      <w:r>
        <w:t>ination</w:t>
      </w:r>
      <w:r w:rsidRPr="00C64F3D">
        <w:t xml:space="preserve">, and </w:t>
      </w:r>
      <w:r>
        <w:t>S</w:t>
      </w:r>
      <w:r w:rsidRPr="00C64F3D">
        <w:t xml:space="preserve">ection 7.6 on cultural competence and </w:t>
      </w:r>
      <w:r>
        <w:t>health care</w:t>
      </w:r>
      <w:r w:rsidRPr="00C64F3D">
        <w:t xml:space="preserve"> disparities. Equivalent requirements should be added for accreditation of nursing and radiology technician programs. </w:t>
      </w:r>
    </w:p>
    <w:p w14:paraId="5472AC2C" w14:textId="77777777" w:rsidR="00FC6AD9" w:rsidRPr="00FE44E7" w:rsidRDefault="00FC6AD9" w:rsidP="00FE38D0">
      <w:pPr>
        <w:pStyle w:val="Heading4"/>
      </w:pPr>
      <w:bookmarkStart w:id="222" w:name="_Toc69374237"/>
      <w:bookmarkEnd w:id="221"/>
      <w:r w:rsidRPr="00FE44E7">
        <w:t>The Accreditation Council on Graduate Medical Education (ACGME)</w:t>
      </w:r>
      <w:bookmarkEnd w:id="222"/>
    </w:p>
    <w:p w14:paraId="1F4F6618" w14:textId="77777777" w:rsidR="00FC6AD9" w:rsidRPr="00FE44E7" w:rsidRDefault="00FC6AD9" w:rsidP="00A748EC">
      <w:pPr>
        <w:pStyle w:val="NCDBodyText"/>
      </w:pPr>
      <w:r w:rsidRPr="00FE44E7">
        <w:t>ACGME should require all federally funded medical residency programs to include disability competency training, which includes the importance of accessible medical diagnostic equipment to help ensure equitable access to health</w:t>
      </w:r>
      <w:r>
        <w:t xml:space="preserve"> </w:t>
      </w:r>
      <w:r w:rsidRPr="00FE44E7">
        <w:t>care and reduce health</w:t>
      </w:r>
      <w:r>
        <w:t xml:space="preserve"> </w:t>
      </w:r>
      <w:r w:rsidRPr="00FE44E7">
        <w:t>care disparities.</w:t>
      </w:r>
    </w:p>
    <w:p w14:paraId="6C0E652F" w14:textId="6C4AF3CD" w:rsidR="00FC6AD9" w:rsidRPr="00C64F3D" w:rsidRDefault="00FC6AD9" w:rsidP="00FE38D0">
      <w:pPr>
        <w:pStyle w:val="Heading4"/>
      </w:pPr>
      <w:bookmarkStart w:id="223" w:name="_Toc65342182"/>
      <w:bookmarkStart w:id="224" w:name="_Toc69374238"/>
      <w:r w:rsidRPr="00C64F3D">
        <w:t>Professional Organizations</w:t>
      </w:r>
      <w:bookmarkEnd w:id="223"/>
      <w:bookmarkEnd w:id="224"/>
    </w:p>
    <w:p w14:paraId="395675CA" w14:textId="77777777" w:rsidR="00FC6AD9" w:rsidRPr="00C64F3D" w:rsidRDefault="00FC6AD9" w:rsidP="00A748EC">
      <w:pPr>
        <w:pStyle w:val="NCDBodyText"/>
      </w:pPr>
      <w:r w:rsidRPr="00C64F3D">
        <w:rPr>
          <w:rFonts w:eastAsia="Times New Roman"/>
        </w:rPr>
        <w:t xml:space="preserve">Professional </w:t>
      </w:r>
      <w:r>
        <w:rPr>
          <w:rFonts w:eastAsia="Times New Roman"/>
        </w:rPr>
        <w:t>o</w:t>
      </w:r>
      <w:r w:rsidRPr="00C64F3D">
        <w:rPr>
          <w:rFonts w:eastAsia="Times New Roman"/>
        </w:rPr>
        <w:t>rganizations</w:t>
      </w:r>
      <w:r w:rsidRPr="00C64F3D">
        <w:t xml:space="preserve">, such as the AMA, American Nurses Association, American Hospital Association, </w:t>
      </w:r>
      <w:proofErr w:type="gramStart"/>
      <w:r w:rsidRPr="00C64F3D">
        <w:t>American</w:t>
      </w:r>
      <w:proofErr w:type="gramEnd"/>
      <w:r w:rsidRPr="00C64F3D">
        <w:t xml:space="preserve"> Society for Health Care Engineer</w:t>
      </w:r>
      <w:r>
        <w:t>ing</w:t>
      </w:r>
      <w:r w:rsidRPr="00C64F3D">
        <w:t>, American Dental Association, and Patient Safety Organizations should</w:t>
      </w:r>
      <w:r>
        <w:t>:</w:t>
      </w:r>
    </w:p>
    <w:p w14:paraId="44F18FBD" w14:textId="77777777" w:rsidR="00FC6AD9" w:rsidRPr="002E4C70" w:rsidRDefault="00FC6AD9" w:rsidP="00A748EC">
      <w:pPr>
        <w:pStyle w:val="NCDBulletsLevel1"/>
      </w:pPr>
      <w:r w:rsidRPr="002E4C70">
        <w:t>Publicly support the voluntary adoption and advocate for formal adoption of MDE Standards to improve quality of care.</w:t>
      </w:r>
    </w:p>
    <w:p w14:paraId="022418D6" w14:textId="77777777" w:rsidR="00FC6AD9" w:rsidRPr="002E4C70" w:rsidRDefault="00FC6AD9" w:rsidP="00A748EC">
      <w:pPr>
        <w:pStyle w:val="NCDBulletsLevel1"/>
      </w:pPr>
      <w:r w:rsidRPr="002E4C70">
        <w:t xml:space="preserve">Educate members on disability competency or offer resources for such training. The training should include information about the MDE </w:t>
      </w:r>
      <w:r>
        <w:t>S</w:t>
      </w:r>
      <w:r w:rsidRPr="002E4C70">
        <w:t>tandards and providers’ responsibility to provide equitable, quality care to all patients.</w:t>
      </w:r>
    </w:p>
    <w:p w14:paraId="3DD96EAF" w14:textId="77777777" w:rsidR="00FC6AD9" w:rsidRPr="002E4C70" w:rsidRDefault="00FC6AD9" w:rsidP="00A748EC">
      <w:pPr>
        <w:pStyle w:val="NCDBulletsLevel1"/>
      </w:pPr>
      <w:r w:rsidRPr="002E4C70">
        <w:t>Showcase educational materials and infographics on accessibility to their members such as the AMA’s “Access to care for patients with disabilities: Strategies for ensuring a safe, accessible and ADA compliant practice.” Materials should include information on the MDE Standards.</w:t>
      </w:r>
    </w:p>
    <w:p w14:paraId="5977F81B" w14:textId="77777777" w:rsidR="00FC6AD9" w:rsidRPr="00C64F3D" w:rsidRDefault="00FC6AD9" w:rsidP="00FE38D0">
      <w:pPr>
        <w:pStyle w:val="Heading4"/>
      </w:pPr>
      <w:bookmarkStart w:id="225" w:name="_Toc65342183"/>
      <w:bookmarkStart w:id="226" w:name="_Toc69374239"/>
      <w:r w:rsidRPr="00C64F3D">
        <w:t>Equipment Developers, Manufacturers, and Suppliers</w:t>
      </w:r>
      <w:bookmarkEnd w:id="225"/>
      <w:bookmarkEnd w:id="226"/>
    </w:p>
    <w:p w14:paraId="4E061EA7" w14:textId="77777777" w:rsidR="00FC6AD9" w:rsidRPr="00C64F3D" w:rsidRDefault="00FC6AD9" w:rsidP="00A748EC">
      <w:pPr>
        <w:pStyle w:val="NCDBodyText"/>
      </w:pPr>
      <w:r w:rsidRPr="00C64F3D">
        <w:t xml:space="preserve">Equipment </w:t>
      </w:r>
      <w:r>
        <w:t>d</w:t>
      </w:r>
      <w:r w:rsidRPr="00C64F3D">
        <w:t xml:space="preserve">evelopers, </w:t>
      </w:r>
      <w:r>
        <w:t>m</w:t>
      </w:r>
      <w:r w:rsidRPr="00C64F3D">
        <w:t xml:space="preserve">anufacturers, and </w:t>
      </w:r>
      <w:r>
        <w:t>s</w:t>
      </w:r>
      <w:r w:rsidRPr="00C64F3D">
        <w:t>uppliers should</w:t>
      </w:r>
      <w:r>
        <w:t>:</w:t>
      </w:r>
    </w:p>
    <w:p w14:paraId="5BD2D843" w14:textId="77777777" w:rsidR="00FC6AD9" w:rsidRPr="002E4C70" w:rsidRDefault="00FC6AD9" w:rsidP="00A748EC">
      <w:pPr>
        <w:pStyle w:val="NCDBulletsLevel1"/>
      </w:pPr>
      <w:r w:rsidRPr="002E4C70">
        <w:t xml:space="preserve">Use the MDE Standards as a best-practice document to spur innovation and promote research and development of new MDE products that meet or exceed the MDE Standards. </w:t>
      </w:r>
    </w:p>
    <w:p w14:paraId="42BF7C40" w14:textId="77777777" w:rsidR="00FC6AD9" w:rsidRPr="002E4C70" w:rsidRDefault="00FC6AD9" w:rsidP="00A748EC">
      <w:pPr>
        <w:pStyle w:val="NCDBulletsLevel1"/>
      </w:pPr>
      <w:r w:rsidRPr="002E4C70">
        <w:t>Use the MDE Standards to simultaneously educate providers and market their devices to help increase the availability of accessible MDE in health care facilities.</w:t>
      </w:r>
    </w:p>
    <w:p w14:paraId="470E6B08" w14:textId="77777777" w:rsidR="00FC6AD9" w:rsidRPr="002E4C70" w:rsidRDefault="00FC6AD9" w:rsidP="00A748EC">
      <w:pPr>
        <w:pStyle w:val="NCDBulletsLevel1"/>
      </w:pPr>
      <w:r w:rsidRPr="002E4C70">
        <w:t xml:space="preserve">Prioritize accessible MDE in marketing materials and make accessible equipment easier to find on websites and </w:t>
      </w:r>
      <w:r>
        <w:t xml:space="preserve">in </w:t>
      </w:r>
      <w:r w:rsidRPr="002E4C70">
        <w:t>catalogs.</w:t>
      </w:r>
    </w:p>
    <w:p w14:paraId="0F2CEC33" w14:textId="77777777" w:rsidR="00FC6AD9" w:rsidRPr="002E4C70" w:rsidRDefault="00FC6AD9" w:rsidP="00A748EC">
      <w:pPr>
        <w:pStyle w:val="NCDBulletsLevel1"/>
      </w:pPr>
      <w:r w:rsidRPr="002E4C70">
        <w:t>Educate providers, especially small health care providers, about the availability of incentives and tax credits to support the procurement and purchase of accessible MDE.</w:t>
      </w:r>
    </w:p>
    <w:p w14:paraId="496E0F48" w14:textId="77777777" w:rsidR="00FC6AD9" w:rsidRPr="002E4C70" w:rsidRDefault="00FC6AD9" w:rsidP="00A748EC">
      <w:pPr>
        <w:pStyle w:val="NCDBulletsLevel1"/>
      </w:pPr>
      <w:r w:rsidRPr="002E4C70">
        <w:t>Ensure that sales associates are educated on the availability and importance of accessible MDE and highlight its availability and importance when communicating with buyers.</w:t>
      </w:r>
    </w:p>
    <w:p w14:paraId="2CB6C6D5" w14:textId="77777777" w:rsidR="00FE38D0" w:rsidRDefault="00FE38D0">
      <w:pPr>
        <w:spacing w:after="200"/>
        <w:rPr>
          <w:rFonts w:ascii="Arial" w:hAnsi="Arial" w:cs="Arial"/>
          <w:b/>
          <w:szCs w:val="24"/>
        </w:rPr>
      </w:pPr>
      <w:bookmarkStart w:id="227" w:name="_Toc65342184"/>
      <w:r>
        <w:br w:type="page"/>
      </w:r>
    </w:p>
    <w:p w14:paraId="1E4D242F" w14:textId="6751159B" w:rsidR="00FC6AD9" w:rsidRPr="00C64F3D" w:rsidRDefault="00FC6AD9" w:rsidP="00FE38D0">
      <w:pPr>
        <w:pStyle w:val="Heading4"/>
      </w:pPr>
      <w:bookmarkStart w:id="228" w:name="_Toc69374240"/>
      <w:r w:rsidRPr="00C64F3D">
        <w:t>Health Maintenance Organizations and Managed Care Organizations</w:t>
      </w:r>
      <w:bookmarkEnd w:id="227"/>
      <w:bookmarkEnd w:id="228"/>
    </w:p>
    <w:p w14:paraId="7DFFAAD8" w14:textId="77777777" w:rsidR="00FC6AD9" w:rsidRPr="00C64F3D" w:rsidRDefault="00FC6AD9" w:rsidP="00A748EC">
      <w:pPr>
        <w:pStyle w:val="NCDBodyText"/>
      </w:pPr>
      <w:r w:rsidRPr="00C64F3D">
        <w:t>H</w:t>
      </w:r>
      <w:r>
        <w:t>ealth maintenance organizations</w:t>
      </w:r>
      <w:r w:rsidRPr="00C64F3D">
        <w:t xml:space="preserve"> and </w:t>
      </w:r>
      <w:r>
        <w:t>managed care organizations</w:t>
      </w:r>
      <w:r w:rsidRPr="00C64F3D">
        <w:t xml:space="preserve"> should</w:t>
      </w:r>
      <w:r>
        <w:t>:</w:t>
      </w:r>
    </w:p>
    <w:p w14:paraId="544A0A44" w14:textId="77777777" w:rsidR="00FC6AD9" w:rsidRPr="002E4C70" w:rsidRDefault="00FC6AD9" w:rsidP="00A748EC">
      <w:pPr>
        <w:pStyle w:val="NCDBulletsLevel1"/>
      </w:pPr>
      <w:r w:rsidRPr="002E4C70">
        <w:t>Set standards for the accessibility of medical equipment for covered health care providers based on the MDE Standards and tie reimbursement to achieving accessibility benchmarks.</w:t>
      </w:r>
    </w:p>
    <w:p w14:paraId="3778BED3" w14:textId="77777777" w:rsidR="00FC6AD9" w:rsidRPr="002E4C70" w:rsidRDefault="00FC6AD9" w:rsidP="00A748EC">
      <w:pPr>
        <w:pStyle w:val="NCDBulletsLevel1"/>
      </w:pPr>
      <w:r w:rsidRPr="002E4C70">
        <w:t xml:space="preserve">Verify and publicize </w:t>
      </w:r>
      <w:r>
        <w:t xml:space="preserve">a </w:t>
      </w:r>
      <w:r w:rsidRPr="002E4C70">
        <w:t xml:space="preserve">provider’s accessibility and include this information in its provider listings. </w:t>
      </w:r>
    </w:p>
    <w:p w14:paraId="2E3D829D" w14:textId="77777777" w:rsidR="00FC6AD9" w:rsidRPr="002E4C70" w:rsidRDefault="00FC6AD9" w:rsidP="00A748EC">
      <w:pPr>
        <w:pStyle w:val="NCDBulletsLevel1"/>
      </w:pPr>
      <w:r w:rsidRPr="002E4C70">
        <w:rPr>
          <w:rFonts w:eastAsia="Times New Roman"/>
        </w:rPr>
        <w:t>Leverage their purchase power to negotiate lower rates for such equipment for their network providers and</w:t>
      </w:r>
      <w:r>
        <w:rPr>
          <w:rFonts w:eastAsia="Times New Roman"/>
        </w:rPr>
        <w:t>/</w:t>
      </w:r>
      <w:r w:rsidRPr="002E4C70">
        <w:rPr>
          <w:rFonts w:eastAsia="Times New Roman"/>
        </w:rPr>
        <w:t>or provide grants to network providers for such acquisition</w:t>
      </w:r>
      <w:r w:rsidRPr="002E4C70">
        <w:t>.</w:t>
      </w:r>
    </w:p>
    <w:p w14:paraId="11A2A3CB" w14:textId="77777777" w:rsidR="00FC6AD9" w:rsidRDefault="00FC6AD9" w:rsidP="00FE38D0">
      <w:pPr>
        <w:pStyle w:val="Heading4"/>
      </w:pPr>
      <w:bookmarkStart w:id="229" w:name="_Toc65342185"/>
      <w:bookmarkStart w:id="230" w:name="_Toc69374241"/>
      <w:r w:rsidRPr="00C64F3D">
        <w:t>Educators</w:t>
      </w:r>
      <w:bookmarkEnd w:id="229"/>
      <w:bookmarkEnd w:id="230"/>
      <w:r w:rsidRPr="00C64F3D">
        <w:t xml:space="preserve"> </w:t>
      </w:r>
    </w:p>
    <w:p w14:paraId="69BB8ADC" w14:textId="77777777" w:rsidR="00FC6AD9" w:rsidRPr="00C64F3D" w:rsidRDefault="00FC6AD9" w:rsidP="00A748EC">
      <w:pPr>
        <w:pStyle w:val="NCDBodyText"/>
      </w:pPr>
      <w:r>
        <w:t>Educators including but not limited to medical schools, nursing programs, radiology and imaging programs (collectively “Educators”) s</w:t>
      </w:r>
      <w:r w:rsidRPr="00C64F3D">
        <w:t>hould integrate disability competency training into their core educational curricula to create a culture of access and increase awareness of the needs of people with disabilities.</w:t>
      </w:r>
      <w:r w:rsidRPr="00C64F3D" w:rsidDel="00C43BB7">
        <w:t xml:space="preserve"> </w:t>
      </w:r>
      <w:r w:rsidRPr="00C64F3D">
        <w:rPr>
          <w:rFonts w:eastAsia="Times New Roman"/>
        </w:rPr>
        <w:t>Participants should include health administrators and procuring officers to ensure that they understand their obligations under federal laws</w:t>
      </w:r>
      <w:r>
        <w:rPr>
          <w:rFonts w:eastAsia="Times New Roman"/>
        </w:rPr>
        <w:t xml:space="preserve"> (</w:t>
      </w:r>
      <w:r w:rsidRPr="00C64F3D">
        <w:rPr>
          <w:rFonts w:eastAsia="Times New Roman"/>
        </w:rPr>
        <w:t>e.g.</w:t>
      </w:r>
      <w:r>
        <w:rPr>
          <w:rFonts w:eastAsia="Times New Roman"/>
        </w:rPr>
        <w:t>,</w:t>
      </w:r>
      <w:r w:rsidRPr="00C64F3D">
        <w:rPr>
          <w:rFonts w:eastAsia="Times New Roman"/>
        </w:rPr>
        <w:t xml:space="preserve"> Section 504, the ADA, the ACA, and are aware of the 2017 MDE Standards</w:t>
      </w:r>
      <w:r>
        <w:rPr>
          <w:rFonts w:eastAsia="Times New Roman"/>
        </w:rPr>
        <w:t>)</w:t>
      </w:r>
      <w:r w:rsidRPr="00C64F3D">
        <w:rPr>
          <w:rFonts w:eastAsia="Times New Roman"/>
        </w:rPr>
        <w:t>.</w:t>
      </w:r>
      <w:r>
        <w:rPr>
          <w:rFonts w:eastAsia="Times New Roman"/>
        </w:rPr>
        <w:t xml:space="preserve"> </w:t>
      </w:r>
    </w:p>
    <w:p w14:paraId="5ACAF782" w14:textId="77777777" w:rsidR="00FC6AD9" w:rsidRPr="00C64F3D" w:rsidRDefault="00FC6AD9" w:rsidP="00FE38D0">
      <w:pPr>
        <w:pStyle w:val="Heading4"/>
      </w:pPr>
      <w:bookmarkStart w:id="231" w:name="_Toc65342186"/>
      <w:bookmarkStart w:id="232" w:name="_Toc69374242"/>
      <w:r>
        <w:t>Health Care</w:t>
      </w:r>
      <w:r w:rsidRPr="00C64F3D">
        <w:t xml:space="preserve"> </w:t>
      </w:r>
      <w:r>
        <w:t>F</w:t>
      </w:r>
      <w:r w:rsidRPr="00C64F3D">
        <w:t>acilities</w:t>
      </w:r>
      <w:bookmarkEnd w:id="231"/>
      <w:bookmarkEnd w:id="232"/>
    </w:p>
    <w:p w14:paraId="2C629684" w14:textId="77777777" w:rsidR="00FC6AD9" w:rsidRPr="00C64F3D" w:rsidRDefault="00FC6AD9" w:rsidP="00A748EC">
      <w:pPr>
        <w:pStyle w:val="NCDBodyText"/>
      </w:pPr>
      <w:r>
        <w:t>Health care</w:t>
      </w:r>
      <w:r w:rsidRPr="00C64F3D">
        <w:t xml:space="preserve"> facilities should</w:t>
      </w:r>
      <w:r>
        <w:t>:</w:t>
      </w:r>
    </w:p>
    <w:p w14:paraId="5D35008C" w14:textId="77777777" w:rsidR="00FC6AD9" w:rsidRPr="002E4C70" w:rsidRDefault="00FC6AD9" w:rsidP="00A748EC">
      <w:pPr>
        <w:pStyle w:val="NCDBulletsLevel1"/>
      </w:pPr>
      <w:r w:rsidRPr="002E4C70">
        <w:t>Inform staff where accessible equipment is located and provide training on its operation.</w:t>
      </w:r>
    </w:p>
    <w:p w14:paraId="5562D659" w14:textId="77777777" w:rsidR="00FC6AD9" w:rsidRPr="002E4C70" w:rsidRDefault="00FC6AD9" w:rsidP="00A748EC">
      <w:pPr>
        <w:pStyle w:val="NCDBulletsLevel1"/>
      </w:pPr>
      <w:r w:rsidRPr="002E4C70">
        <w:t>Procure accessible medical equipment when replacing old equipment.</w:t>
      </w:r>
    </w:p>
    <w:p w14:paraId="4BC5E5DB" w14:textId="77777777" w:rsidR="00FC6AD9" w:rsidRPr="002E4C70" w:rsidRDefault="00FC6AD9" w:rsidP="00A748EC">
      <w:pPr>
        <w:pStyle w:val="NCDBulletsLevel1"/>
      </w:pPr>
      <w:r w:rsidRPr="002E4C70">
        <w:t>Provide disability competency training for all staff and administrators.</w:t>
      </w:r>
    </w:p>
    <w:p w14:paraId="020FCE04" w14:textId="77777777" w:rsidR="00FC6AD9" w:rsidRPr="002E4C70" w:rsidRDefault="00FC6AD9" w:rsidP="00A748EC">
      <w:pPr>
        <w:pStyle w:val="NCDBulletsLevel1"/>
      </w:pPr>
      <w:r w:rsidRPr="002E4C70">
        <w:t>Revise intake forms to ask about mobility status and accessible equipment needs as part of routine screening and scheduling practices.</w:t>
      </w:r>
    </w:p>
    <w:p w14:paraId="335F1F8F" w14:textId="77777777" w:rsidR="00FC6AD9" w:rsidRPr="002E4C70" w:rsidRDefault="00FC6AD9" w:rsidP="00A748EC">
      <w:pPr>
        <w:pStyle w:val="NCDBulletsLevel1"/>
      </w:pPr>
      <w:r w:rsidRPr="002E4C70">
        <w:t xml:space="preserve">Include questions related to </w:t>
      </w:r>
      <w:r>
        <w:t xml:space="preserve">accessible </w:t>
      </w:r>
      <w:r w:rsidRPr="002E4C70">
        <w:t xml:space="preserve">MDE use in patient satisfaction surveys, such as those in the Consumer Assessment of Healthcare Providers and Systems developed by the AHRQ. </w:t>
      </w:r>
    </w:p>
    <w:p w14:paraId="634A7BF4" w14:textId="77777777" w:rsidR="00FC6AD9" w:rsidRPr="002E4C70" w:rsidRDefault="00FC6AD9" w:rsidP="00A748EC">
      <w:pPr>
        <w:pStyle w:val="NCDBulletsLevel1"/>
      </w:pPr>
      <w:r w:rsidRPr="002E4C70">
        <w:t>Provide a clear mechanism for patients to submit complaints about barriers to care.</w:t>
      </w:r>
    </w:p>
    <w:p w14:paraId="53D0D152" w14:textId="77777777" w:rsidR="00A748EC" w:rsidRDefault="00A748EC" w:rsidP="00A748EC">
      <w:pPr>
        <w:rPr>
          <w:rFonts w:ascii="Arial" w:eastAsiaTheme="minorHAnsi" w:hAnsi="Arial" w:cs="Arial"/>
          <w:sz w:val="36"/>
          <w:szCs w:val="32"/>
        </w:rPr>
      </w:pPr>
      <w:bookmarkStart w:id="233" w:name="_Toc65342187"/>
      <w:r>
        <w:br w:type="page"/>
      </w:r>
    </w:p>
    <w:p w14:paraId="0B85396D" w14:textId="3F616E0D" w:rsidR="00FC6AD9" w:rsidRPr="00C64F3D" w:rsidRDefault="00FC6AD9" w:rsidP="00A748EC">
      <w:pPr>
        <w:pStyle w:val="Heading1"/>
      </w:pPr>
      <w:bookmarkStart w:id="234" w:name="_Toc69374243"/>
      <w:r w:rsidRPr="00C64F3D">
        <w:t>Appendix 1</w:t>
      </w:r>
      <w:r>
        <w:t>:</w:t>
      </w:r>
      <w:r w:rsidRPr="00C64F3D">
        <w:t xml:space="preserve"> Stakeholder Experts</w:t>
      </w:r>
      <w:bookmarkEnd w:id="233"/>
      <w:bookmarkEnd w:id="234"/>
      <w:r w:rsidRPr="00C64F3D">
        <w:t xml:space="preserve"> </w:t>
      </w:r>
    </w:p>
    <w:p w14:paraId="30647ECD" w14:textId="77777777" w:rsidR="00FC6AD9" w:rsidRPr="00C37F4F" w:rsidRDefault="00FC6AD9" w:rsidP="00C37F4F">
      <w:pPr>
        <w:pStyle w:val="NCDBodyText"/>
        <w:spacing w:line="240" w:lineRule="auto"/>
        <w:rPr>
          <w:b/>
        </w:rPr>
      </w:pPr>
      <w:r w:rsidRPr="00C37F4F">
        <w:rPr>
          <w:b/>
        </w:rPr>
        <w:t>Andrew D. Boyd, M.D.</w:t>
      </w:r>
    </w:p>
    <w:p w14:paraId="1A6150D2" w14:textId="77777777" w:rsidR="00FC6AD9" w:rsidRPr="00C37F4F" w:rsidRDefault="00FC6AD9" w:rsidP="00C37F4F">
      <w:pPr>
        <w:pStyle w:val="NCDBodyText"/>
        <w:spacing w:line="240" w:lineRule="auto"/>
      </w:pPr>
      <w:r w:rsidRPr="00C37F4F">
        <w:t>Associate Professor, Biomedical and Health Informatics, Physical Therapy, and Rehabilitation Sciences</w:t>
      </w:r>
    </w:p>
    <w:p w14:paraId="226653AB" w14:textId="77777777" w:rsidR="00FC6AD9" w:rsidRPr="00C37F4F" w:rsidRDefault="00FC6AD9" w:rsidP="00C37F4F">
      <w:pPr>
        <w:pStyle w:val="NCDBodyText"/>
        <w:spacing w:line="240" w:lineRule="auto"/>
      </w:pPr>
      <w:r w:rsidRPr="00C37F4F">
        <w:t>University of Illinois, Chicago</w:t>
      </w:r>
    </w:p>
    <w:p w14:paraId="4AA4969F" w14:textId="77777777" w:rsidR="00FC6AD9" w:rsidRPr="00C37F4F" w:rsidRDefault="00FC6AD9" w:rsidP="00C37F4F">
      <w:pPr>
        <w:pStyle w:val="NCDBodyText"/>
        <w:spacing w:line="240" w:lineRule="auto"/>
      </w:pPr>
      <w:r w:rsidRPr="00C37F4F">
        <w:t>Chicago, Illinois</w:t>
      </w:r>
    </w:p>
    <w:p w14:paraId="273320E3" w14:textId="77777777" w:rsidR="00FC6AD9" w:rsidRPr="00C37F4F" w:rsidRDefault="00FC6AD9" w:rsidP="00C37F4F">
      <w:pPr>
        <w:pStyle w:val="NCDBodyText"/>
        <w:spacing w:line="240" w:lineRule="auto"/>
      </w:pPr>
    </w:p>
    <w:p w14:paraId="6F81771C" w14:textId="77777777" w:rsidR="00FC6AD9" w:rsidRPr="00C37F4F" w:rsidRDefault="00FC6AD9" w:rsidP="00C37F4F">
      <w:pPr>
        <w:pStyle w:val="NCDBodyText"/>
        <w:spacing w:line="240" w:lineRule="auto"/>
        <w:rPr>
          <w:b/>
        </w:rPr>
      </w:pPr>
      <w:r w:rsidRPr="00C37F4F">
        <w:rPr>
          <w:b/>
        </w:rPr>
        <w:t xml:space="preserve">Mary Lou </w:t>
      </w:r>
      <w:proofErr w:type="spellStart"/>
      <w:r w:rsidRPr="00C37F4F">
        <w:rPr>
          <w:b/>
        </w:rPr>
        <w:t>Breslin</w:t>
      </w:r>
      <w:proofErr w:type="spellEnd"/>
      <w:r w:rsidRPr="00C37F4F">
        <w:rPr>
          <w:b/>
        </w:rPr>
        <w:t>, M.A.</w:t>
      </w:r>
    </w:p>
    <w:p w14:paraId="54C3546C" w14:textId="77777777" w:rsidR="00FC6AD9" w:rsidRPr="00C37F4F" w:rsidRDefault="00FC6AD9" w:rsidP="00C37F4F">
      <w:pPr>
        <w:pStyle w:val="NCDBodyText"/>
        <w:spacing w:line="240" w:lineRule="auto"/>
      </w:pPr>
      <w:r w:rsidRPr="00C37F4F">
        <w:t>Senior Policy Analyst</w:t>
      </w:r>
    </w:p>
    <w:p w14:paraId="648A989C" w14:textId="77777777" w:rsidR="00FC6AD9" w:rsidRPr="00C37F4F" w:rsidRDefault="00FC6AD9" w:rsidP="00C37F4F">
      <w:pPr>
        <w:pStyle w:val="NCDBodyText"/>
        <w:spacing w:line="240" w:lineRule="auto"/>
      </w:pPr>
      <w:r w:rsidRPr="00C37F4F">
        <w:t>Disability Rights Education and Defense Fund (DREDF)</w:t>
      </w:r>
    </w:p>
    <w:p w14:paraId="340D8FA9" w14:textId="77777777" w:rsidR="00FC6AD9" w:rsidRPr="00C37F4F" w:rsidRDefault="00FC6AD9" w:rsidP="00C37F4F">
      <w:pPr>
        <w:pStyle w:val="NCDBodyText"/>
        <w:spacing w:line="240" w:lineRule="auto"/>
      </w:pPr>
      <w:r w:rsidRPr="00C37F4F">
        <w:t>San Francisco, California</w:t>
      </w:r>
    </w:p>
    <w:p w14:paraId="074D0AF5" w14:textId="77777777" w:rsidR="00FC6AD9" w:rsidRPr="00C37F4F" w:rsidRDefault="00FC6AD9" w:rsidP="00C37F4F">
      <w:pPr>
        <w:pStyle w:val="NCDBodyText"/>
        <w:spacing w:line="240" w:lineRule="auto"/>
      </w:pPr>
    </w:p>
    <w:p w14:paraId="31AA1433" w14:textId="77777777" w:rsidR="00FC6AD9" w:rsidRPr="00C37F4F" w:rsidRDefault="00FC6AD9" w:rsidP="00C37F4F">
      <w:pPr>
        <w:pStyle w:val="NCDBodyText"/>
        <w:spacing w:line="240" w:lineRule="auto"/>
        <w:rPr>
          <w:b/>
        </w:rPr>
      </w:pPr>
      <w:r w:rsidRPr="00C37F4F">
        <w:rPr>
          <w:b/>
        </w:rPr>
        <w:t>Kelly Buckland, M.S.</w:t>
      </w:r>
    </w:p>
    <w:p w14:paraId="64D5AF08" w14:textId="77777777" w:rsidR="00FC6AD9" w:rsidRPr="00C37F4F" w:rsidRDefault="00FC6AD9" w:rsidP="00C37F4F">
      <w:pPr>
        <w:pStyle w:val="NCDBodyText"/>
        <w:spacing w:line="240" w:lineRule="auto"/>
      </w:pPr>
      <w:r w:rsidRPr="00C37F4F">
        <w:t>Executive Director</w:t>
      </w:r>
    </w:p>
    <w:p w14:paraId="74A8C32F" w14:textId="77777777" w:rsidR="00FC6AD9" w:rsidRPr="00C37F4F" w:rsidRDefault="00FC6AD9" w:rsidP="00C37F4F">
      <w:pPr>
        <w:pStyle w:val="NCDBodyText"/>
        <w:spacing w:line="240" w:lineRule="auto"/>
      </w:pPr>
      <w:r w:rsidRPr="00C37F4F">
        <w:t>National Council on Independent Living</w:t>
      </w:r>
    </w:p>
    <w:p w14:paraId="0954D6E4" w14:textId="77777777" w:rsidR="00FC6AD9" w:rsidRPr="00C37F4F" w:rsidRDefault="00FC6AD9" w:rsidP="00C37F4F">
      <w:pPr>
        <w:pStyle w:val="NCDBodyText"/>
        <w:spacing w:line="240" w:lineRule="auto"/>
      </w:pPr>
      <w:r w:rsidRPr="00C37F4F">
        <w:t>Washington, DC</w:t>
      </w:r>
    </w:p>
    <w:p w14:paraId="16C4A333" w14:textId="77777777" w:rsidR="00FC6AD9" w:rsidRPr="00C37F4F" w:rsidRDefault="00FC6AD9" w:rsidP="00C37F4F">
      <w:pPr>
        <w:pStyle w:val="NCDBodyText"/>
        <w:spacing w:line="240" w:lineRule="auto"/>
      </w:pPr>
    </w:p>
    <w:p w14:paraId="10B5A21D" w14:textId="77777777" w:rsidR="00FC6AD9" w:rsidRPr="00C37F4F" w:rsidRDefault="00FC6AD9" w:rsidP="00C37F4F">
      <w:pPr>
        <w:pStyle w:val="NCDBodyText"/>
        <w:spacing w:line="240" w:lineRule="auto"/>
        <w:rPr>
          <w:b/>
        </w:rPr>
      </w:pPr>
      <w:r w:rsidRPr="00C37F4F">
        <w:rPr>
          <w:b/>
        </w:rPr>
        <w:t>Joseph Caldwell, Ph.D.</w:t>
      </w:r>
    </w:p>
    <w:p w14:paraId="2318EA0F" w14:textId="77777777" w:rsidR="00FC6AD9" w:rsidRPr="00C37F4F" w:rsidRDefault="00FC6AD9" w:rsidP="00C37F4F">
      <w:pPr>
        <w:pStyle w:val="NCDBodyText"/>
        <w:spacing w:line="240" w:lineRule="auto"/>
      </w:pPr>
      <w:r w:rsidRPr="00C37F4F">
        <w:t>Director of Community Living Policy Center</w:t>
      </w:r>
    </w:p>
    <w:p w14:paraId="0DD80BC8" w14:textId="77777777" w:rsidR="00FC6AD9" w:rsidRPr="00C37F4F" w:rsidRDefault="00FC6AD9" w:rsidP="00C37F4F">
      <w:pPr>
        <w:pStyle w:val="NCDBodyText"/>
        <w:spacing w:line="240" w:lineRule="auto"/>
      </w:pPr>
      <w:r w:rsidRPr="00C37F4F">
        <w:t>Lurie Institute for Disability Policy</w:t>
      </w:r>
    </w:p>
    <w:p w14:paraId="3448B253" w14:textId="77777777" w:rsidR="00FC6AD9" w:rsidRPr="00C37F4F" w:rsidRDefault="00FC6AD9" w:rsidP="00C37F4F">
      <w:pPr>
        <w:pStyle w:val="NCDBodyText"/>
        <w:spacing w:line="240" w:lineRule="auto"/>
      </w:pPr>
      <w:r w:rsidRPr="00C37F4F">
        <w:t>Heller School for Social Policy and Management</w:t>
      </w:r>
    </w:p>
    <w:p w14:paraId="63EDFC9B" w14:textId="77777777" w:rsidR="00FC6AD9" w:rsidRPr="00C37F4F" w:rsidRDefault="00FC6AD9" w:rsidP="00C37F4F">
      <w:pPr>
        <w:pStyle w:val="NCDBodyText"/>
        <w:spacing w:line="240" w:lineRule="auto"/>
      </w:pPr>
      <w:r w:rsidRPr="00C37F4F">
        <w:t>Brandeis University</w:t>
      </w:r>
    </w:p>
    <w:p w14:paraId="3C00BA13" w14:textId="77777777" w:rsidR="00FC6AD9" w:rsidRPr="00C37F4F" w:rsidRDefault="00FC6AD9" w:rsidP="00C37F4F">
      <w:pPr>
        <w:pStyle w:val="NCDBodyText"/>
        <w:spacing w:line="240" w:lineRule="auto"/>
      </w:pPr>
      <w:r w:rsidRPr="00C37F4F">
        <w:t>Waltham, Massachusetts</w:t>
      </w:r>
    </w:p>
    <w:p w14:paraId="02EF36BC" w14:textId="77777777" w:rsidR="00FC6AD9" w:rsidRPr="00C37F4F" w:rsidRDefault="00FC6AD9" w:rsidP="00C37F4F">
      <w:pPr>
        <w:pStyle w:val="NCDBodyText"/>
        <w:spacing w:line="240" w:lineRule="auto"/>
      </w:pPr>
    </w:p>
    <w:p w14:paraId="2303EE6E" w14:textId="77777777" w:rsidR="00417FF6" w:rsidRDefault="00417FF6">
      <w:pPr>
        <w:spacing w:after="200"/>
        <w:rPr>
          <w:rFonts w:ascii="Arial" w:hAnsi="Arial" w:cs="Calibri"/>
          <w:b/>
          <w:color w:val="000000"/>
          <w:szCs w:val="24"/>
          <w:u w:color="000000"/>
          <w:bdr w:val="nil"/>
        </w:rPr>
      </w:pPr>
      <w:r>
        <w:rPr>
          <w:b/>
        </w:rPr>
        <w:br w:type="page"/>
      </w:r>
    </w:p>
    <w:p w14:paraId="2E1376E1" w14:textId="086B9A1D" w:rsidR="00FC6AD9" w:rsidRPr="00C37F4F" w:rsidRDefault="00FC6AD9" w:rsidP="00C37F4F">
      <w:pPr>
        <w:pStyle w:val="NCDBodyText"/>
        <w:spacing w:line="240" w:lineRule="auto"/>
        <w:rPr>
          <w:b/>
        </w:rPr>
      </w:pPr>
      <w:proofErr w:type="spellStart"/>
      <w:r w:rsidRPr="00C37F4F">
        <w:rPr>
          <w:b/>
        </w:rPr>
        <w:t>Kait</w:t>
      </w:r>
      <w:proofErr w:type="spellEnd"/>
      <w:r w:rsidRPr="00C37F4F">
        <w:rPr>
          <w:b/>
        </w:rPr>
        <w:t xml:space="preserve"> M. Campbell</w:t>
      </w:r>
    </w:p>
    <w:p w14:paraId="3BC47281" w14:textId="77777777" w:rsidR="00FC6AD9" w:rsidRPr="00C37F4F" w:rsidRDefault="00FC6AD9" w:rsidP="00C37F4F">
      <w:pPr>
        <w:pStyle w:val="NCDBodyText"/>
        <w:spacing w:line="240" w:lineRule="auto"/>
      </w:pPr>
      <w:r w:rsidRPr="00C37F4F">
        <w:t>Program Manager III, Network Development</w:t>
      </w:r>
    </w:p>
    <w:p w14:paraId="7A698465" w14:textId="77777777" w:rsidR="00FC6AD9" w:rsidRPr="00C37F4F" w:rsidRDefault="00FC6AD9" w:rsidP="00C37F4F">
      <w:pPr>
        <w:pStyle w:val="NCDBodyText"/>
        <w:spacing w:line="240" w:lineRule="auto"/>
      </w:pPr>
      <w:proofErr w:type="spellStart"/>
      <w:r w:rsidRPr="00C37F4F">
        <w:t>Centene</w:t>
      </w:r>
      <w:proofErr w:type="spellEnd"/>
      <w:r w:rsidRPr="00C37F4F">
        <w:t xml:space="preserve"> Corporation</w:t>
      </w:r>
    </w:p>
    <w:p w14:paraId="3D09061C" w14:textId="77777777" w:rsidR="00FC6AD9" w:rsidRPr="00C37F4F" w:rsidRDefault="00FC6AD9" w:rsidP="00C37F4F">
      <w:pPr>
        <w:pStyle w:val="NCDBodyText"/>
        <w:spacing w:line="240" w:lineRule="auto"/>
      </w:pPr>
      <w:r w:rsidRPr="00C37F4F">
        <w:t>St. Louis, Missouri</w:t>
      </w:r>
    </w:p>
    <w:p w14:paraId="1E3C3DE9" w14:textId="77777777" w:rsidR="00FC6AD9" w:rsidRPr="00C37F4F" w:rsidRDefault="00FC6AD9" w:rsidP="00C37F4F">
      <w:pPr>
        <w:pStyle w:val="NCDBodyText"/>
        <w:spacing w:line="240" w:lineRule="auto"/>
      </w:pPr>
    </w:p>
    <w:p w14:paraId="081FD00A" w14:textId="77777777" w:rsidR="00FC6AD9" w:rsidRPr="00C37F4F" w:rsidRDefault="00FC6AD9" w:rsidP="00C37F4F">
      <w:pPr>
        <w:pStyle w:val="NCDBodyText"/>
        <w:spacing w:line="240" w:lineRule="auto"/>
        <w:rPr>
          <w:b/>
        </w:rPr>
      </w:pPr>
      <w:r w:rsidRPr="00C37F4F">
        <w:rPr>
          <w:b/>
        </w:rPr>
        <w:t>Paul Farber</w:t>
      </w:r>
    </w:p>
    <w:p w14:paraId="477CD28B" w14:textId="77777777" w:rsidR="00FC6AD9" w:rsidRPr="00C37F4F" w:rsidRDefault="00FC6AD9" w:rsidP="00C37F4F">
      <w:pPr>
        <w:pStyle w:val="NCDBodyText"/>
        <w:spacing w:line="240" w:lineRule="auto"/>
      </w:pPr>
      <w:r w:rsidRPr="00C37F4F">
        <w:t>Vice President, Compliance and Operations</w:t>
      </w:r>
    </w:p>
    <w:p w14:paraId="1AA60035" w14:textId="77777777" w:rsidR="00FC6AD9" w:rsidRPr="00C37F4F" w:rsidRDefault="00FC6AD9" w:rsidP="00C37F4F">
      <w:pPr>
        <w:pStyle w:val="NCDBodyText"/>
        <w:spacing w:line="240" w:lineRule="auto"/>
      </w:pPr>
      <w:r w:rsidRPr="00C37F4F">
        <w:t>Medical Accessibility LLC</w:t>
      </w:r>
    </w:p>
    <w:p w14:paraId="6D629F55" w14:textId="77777777" w:rsidR="00FC6AD9" w:rsidRPr="00C37F4F" w:rsidRDefault="00FC6AD9" w:rsidP="00C37F4F">
      <w:pPr>
        <w:pStyle w:val="NCDBodyText"/>
        <w:spacing w:line="240" w:lineRule="auto"/>
      </w:pPr>
      <w:r w:rsidRPr="00C37F4F">
        <w:t>Scottsdale, Arizona</w:t>
      </w:r>
    </w:p>
    <w:p w14:paraId="7B8774EA" w14:textId="77777777" w:rsidR="00FC6AD9" w:rsidRPr="00C37F4F" w:rsidRDefault="00FC6AD9" w:rsidP="00C37F4F">
      <w:pPr>
        <w:pStyle w:val="NCDBodyText"/>
        <w:spacing w:line="240" w:lineRule="auto"/>
      </w:pPr>
    </w:p>
    <w:p w14:paraId="169D2A93" w14:textId="77777777" w:rsidR="00FC6AD9" w:rsidRPr="00C37F4F" w:rsidRDefault="00FC6AD9" w:rsidP="00C37F4F">
      <w:pPr>
        <w:pStyle w:val="NCDBodyText"/>
        <w:spacing w:line="240" w:lineRule="auto"/>
        <w:rPr>
          <w:b/>
        </w:rPr>
      </w:pPr>
      <w:r w:rsidRPr="00C37F4F">
        <w:rPr>
          <w:b/>
        </w:rPr>
        <w:t>Tim Fuchs</w:t>
      </w:r>
    </w:p>
    <w:p w14:paraId="2676FCBB" w14:textId="77777777" w:rsidR="00FC6AD9" w:rsidRPr="00C37F4F" w:rsidRDefault="00FC6AD9" w:rsidP="00C37F4F">
      <w:pPr>
        <w:pStyle w:val="NCDBodyText"/>
        <w:spacing w:line="240" w:lineRule="auto"/>
      </w:pPr>
      <w:r w:rsidRPr="00C37F4F">
        <w:t>Operations Director</w:t>
      </w:r>
    </w:p>
    <w:p w14:paraId="3DCA55AB" w14:textId="77777777" w:rsidR="00FC6AD9" w:rsidRPr="00C37F4F" w:rsidRDefault="00FC6AD9" w:rsidP="00C37F4F">
      <w:pPr>
        <w:pStyle w:val="NCDBodyText"/>
        <w:spacing w:line="240" w:lineRule="auto"/>
      </w:pPr>
      <w:r w:rsidRPr="00C37F4F">
        <w:t>The National Council on Independent Living</w:t>
      </w:r>
    </w:p>
    <w:p w14:paraId="164562C1" w14:textId="77777777" w:rsidR="00FC6AD9" w:rsidRPr="00C37F4F" w:rsidRDefault="00FC6AD9" w:rsidP="00C37F4F">
      <w:pPr>
        <w:pStyle w:val="NCDBodyText"/>
        <w:spacing w:line="240" w:lineRule="auto"/>
      </w:pPr>
      <w:r w:rsidRPr="00C37F4F">
        <w:t xml:space="preserve">Washington, DC </w:t>
      </w:r>
    </w:p>
    <w:p w14:paraId="7EEA5396" w14:textId="77777777" w:rsidR="00FC6AD9" w:rsidRPr="00C37F4F" w:rsidRDefault="00FC6AD9" w:rsidP="00C37F4F">
      <w:pPr>
        <w:pStyle w:val="NCDBodyText"/>
        <w:spacing w:line="240" w:lineRule="auto"/>
      </w:pPr>
    </w:p>
    <w:p w14:paraId="7E959AA6" w14:textId="77777777" w:rsidR="00FC6AD9" w:rsidRPr="00C37F4F" w:rsidRDefault="00FC6AD9" w:rsidP="00C37F4F">
      <w:pPr>
        <w:pStyle w:val="NCDBodyText"/>
        <w:spacing w:line="240" w:lineRule="auto"/>
        <w:rPr>
          <w:b/>
        </w:rPr>
      </w:pPr>
      <w:r w:rsidRPr="00C37F4F">
        <w:rPr>
          <w:b/>
        </w:rPr>
        <w:t>Willi Horner-Johnson, Ph.D.</w:t>
      </w:r>
    </w:p>
    <w:p w14:paraId="4C5AC791" w14:textId="77777777" w:rsidR="00FC6AD9" w:rsidRPr="00C37F4F" w:rsidRDefault="00FC6AD9" w:rsidP="00C37F4F">
      <w:pPr>
        <w:pStyle w:val="NCDBodyText"/>
        <w:spacing w:line="240" w:lineRule="auto"/>
      </w:pPr>
      <w:r w:rsidRPr="00C37F4F">
        <w:t>Associate Professor, Oregon Health Science University–Portland State University School of Public Health</w:t>
      </w:r>
    </w:p>
    <w:p w14:paraId="51A6E9DB" w14:textId="77777777" w:rsidR="00FC6AD9" w:rsidRPr="00C37F4F" w:rsidRDefault="00FC6AD9" w:rsidP="00C37F4F">
      <w:pPr>
        <w:pStyle w:val="NCDBodyText"/>
        <w:spacing w:line="240" w:lineRule="auto"/>
      </w:pPr>
      <w:r w:rsidRPr="00C37F4F">
        <w:t>Associate Professor, Institute on Development and Disability, School of Medicine</w:t>
      </w:r>
    </w:p>
    <w:p w14:paraId="0B664AC8" w14:textId="77777777" w:rsidR="00FC6AD9" w:rsidRPr="00C37F4F" w:rsidRDefault="00FC6AD9" w:rsidP="00C37F4F">
      <w:pPr>
        <w:pStyle w:val="NCDBodyText"/>
        <w:spacing w:line="240" w:lineRule="auto"/>
      </w:pPr>
      <w:r w:rsidRPr="00C37F4F">
        <w:t>Oregon Health and Science University</w:t>
      </w:r>
    </w:p>
    <w:p w14:paraId="6E4F946C" w14:textId="77777777" w:rsidR="00FC6AD9" w:rsidRPr="00C37F4F" w:rsidRDefault="00FC6AD9" w:rsidP="00C37F4F">
      <w:pPr>
        <w:pStyle w:val="NCDBodyText"/>
        <w:spacing w:line="240" w:lineRule="auto"/>
      </w:pPr>
      <w:r w:rsidRPr="00C37F4F">
        <w:t>Portland, Oregon</w:t>
      </w:r>
    </w:p>
    <w:p w14:paraId="7DFDF528" w14:textId="77777777" w:rsidR="00FC6AD9" w:rsidRPr="00C37F4F" w:rsidRDefault="00FC6AD9" w:rsidP="00C37F4F">
      <w:pPr>
        <w:pStyle w:val="NCDBodyText"/>
        <w:spacing w:line="240" w:lineRule="auto"/>
      </w:pPr>
    </w:p>
    <w:p w14:paraId="12B2FE63" w14:textId="77777777" w:rsidR="00FC6AD9" w:rsidRPr="004A4B47" w:rsidRDefault="00FC6AD9" w:rsidP="00C37F4F">
      <w:pPr>
        <w:pStyle w:val="NCDBodyText"/>
        <w:spacing w:line="240" w:lineRule="auto"/>
        <w:rPr>
          <w:b/>
          <w:lang w:val="sv-SE"/>
        </w:rPr>
      </w:pPr>
      <w:r w:rsidRPr="004A4B47">
        <w:rPr>
          <w:b/>
          <w:lang w:val="sv-SE"/>
        </w:rPr>
        <w:t>Lisa I. Iezzoni, M.D., M.Sc.</w:t>
      </w:r>
    </w:p>
    <w:p w14:paraId="77D5E35E" w14:textId="77777777" w:rsidR="00FC6AD9" w:rsidRPr="00C37F4F" w:rsidRDefault="00FC6AD9" w:rsidP="00C37F4F">
      <w:pPr>
        <w:pStyle w:val="NCDBodyText"/>
        <w:spacing w:line="240" w:lineRule="auto"/>
      </w:pPr>
      <w:r w:rsidRPr="00C37F4F">
        <w:t>Professor of Medicine</w:t>
      </w:r>
    </w:p>
    <w:p w14:paraId="63809152" w14:textId="77777777" w:rsidR="00FC6AD9" w:rsidRPr="00C37F4F" w:rsidRDefault="00FC6AD9" w:rsidP="00C37F4F">
      <w:pPr>
        <w:pStyle w:val="NCDBodyText"/>
        <w:spacing w:line="240" w:lineRule="auto"/>
      </w:pPr>
      <w:r w:rsidRPr="00C37F4F">
        <w:t>Harvard Medical School</w:t>
      </w:r>
    </w:p>
    <w:p w14:paraId="5653E083" w14:textId="77777777" w:rsidR="00FC6AD9" w:rsidRPr="00C37F4F" w:rsidRDefault="00FC6AD9" w:rsidP="00C37F4F">
      <w:pPr>
        <w:pStyle w:val="NCDBodyText"/>
        <w:spacing w:line="240" w:lineRule="auto"/>
      </w:pPr>
      <w:r w:rsidRPr="00C37F4F">
        <w:t>Associate Director, Institute for Health Policy, Massachusetts General Hospital</w:t>
      </w:r>
    </w:p>
    <w:p w14:paraId="6AD8E6BE" w14:textId="77777777" w:rsidR="00FC6AD9" w:rsidRPr="00C37F4F" w:rsidRDefault="00FC6AD9" w:rsidP="00C37F4F">
      <w:pPr>
        <w:pStyle w:val="NCDBodyText"/>
        <w:spacing w:line="240" w:lineRule="auto"/>
      </w:pPr>
      <w:r w:rsidRPr="00C37F4F">
        <w:t>Boston, Massachusetts</w:t>
      </w:r>
    </w:p>
    <w:p w14:paraId="1E18E91B" w14:textId="77777777" w:rsidR="00FC6AD9" w:rsidRPr="00C37F4F" w:rsidRDefault="00FC6AD9" w:rsidP="00C37F4F">
      <w:pPr>
        <w:pStyle w:val="NCDBodyText"/>
        <w:spacing w:line="240" w:lineRule="auto"/>
      </w:pPr>
    </w:p>
    <w:p w14:paraId="3CB381CE" w14:textId="77777777" w:rsidR="00FC6AD9" w:rsidRPr="00C37F4F" w:rsidRDefault="00FC6AD9" w:rsidP="00C37F4F">
      <w:pPr>
        <w:pStyle w:val="NCDBodyText"/>
        <w:spacing w:line="240" w:lineRule="auto"/>
        <w:rPr>
          <w:b/>
        </w:rPr>
      </w:pPr>
      <w:r w:rsidRPr="00C37F4F">
        <w:rPr>
          <w:b/>
        </w:rPr>
        <w:t xml:space="preserve">June Isaacson </w:t>
      </w:r>
      <w:proofErr w:type="spellStart"/>
      <w:r w:rsidRPr="00C37F4F">
        <w:rPr>
          <w:b/>
        </w:rPr>
        <w:t>Kailes</w:t>
      </w:r>
      <w:proofErr w:type="spellEnd"/>
      <w:r w:rsidRPr="00C37F4F">
        <w:rPr>
          <w:b/>
        </w:rPr>
        <w:t>, M.S.W.</w:t>
      </w:r>
    </w:p>
    <w:p w14:paraId="4D87A33D" w14:textId="77777777" w:rsidR="00FC6AD9" w:rsidRPr="00C37F4F" w:rsidRDefault="00FC6AD9" w:rsidP="00C37F4F">
      <w:pPr>
        <w:pStyle w:val="NCDBodyText"/>
        <w:spacing w:line="240" w:lineRule="auto"/>
      </w:pPr>
      <w:r w:rsidRPr="00C37F4F">
        <w:t>Disability Policy Consultant</w:t>
      </w:r>
    </w:p>
    <w:p w14:paraId="678E281C" w14:textId="77777777" w:rsidR="00FC6AD9" w:rsidRPr="00C37F4F" w:rsidRDefault="00FC6AD9" w:rsidP="00C37F4F">
      <w:pPr>
        <w:pStyle w:val="NCDBodyText"/>
        <w:spacing w:line="240" w:lineRule="auto"/>
      </w:pPr>
      <w:r w:rsidRPr="00C37F4F">
        <w:t>Los Angeles, California </w:t>
      </w:r>
    </w:p>
    <w:p w14:paraId="53A5A8EA" w14:textId="77777777" w:rsidR="00FC6AD9" w:rsidRPr="00C37F4F" w:rsidRDefault="00FC6AD9" w:rsidP="00C37F4F">
      <w:pPr>
        <w:pStyle w:val="NCDBodyText"/>
        <w:spacing w:line="240" w:lineRule="auto"/>
      </w:pPr>
    </w:p>
    <w:p w14:paraId="154E04AF" w14:textId="77777777" w:rsidR="00FC6AD9" w:rsidRPr="006D5051" w:rsidRDefault="00FC6AD9" w:rsidP="00C37F4F">
      <w:pPr>
        <w:pStyle w:val="NCDBodyText"/>
        <w:spacing w:line="240" w:lineRule="auto"/>
        <w:rPr>
          <w:b/>
        </w:rPr>
      </w:pPr>
      <w:r w:rsidRPr="006D5051">
        <w:rPr>
          <w:b/>
        </w:rPr>
        <w:t>Tom Johnson, B.S.E.E., M.P.A.</w:t>
      </w:r>
    </w:p>
    <w:p w14:paraId="6D1661B9" w14:textId="77777777" w:rsidR="00FC6AD9" w:rsidRPr="00C37F4F" w:rsidRDefault="00FC6AD9" w:rsidP="00C37F4F">
      <w:pPr>
        <w:pStyle w:val="NCDBodyText"/>
        <w:spacing w:line="240" w:lineRule="auto"/>
      </w:pPr>
      <w:r w:rsidRPr="00C37F4F">
        <w:t>Executive Director</w:t>
      </w:r>
    </w:p>
    <w:p w14:paraId="0EAFE03C" w14:textId="77777777" w:rsidR="00FC6AD9" w:rsidRPr="00C37F4F" w:rsidRDefault="00FC6AD9" w:rsidP="00C37F4F">
      <w:pPr>
        <w:pStyle w:val="NCDBodyText"/>
        <w:spacing w:line="240" w:lineRule="auto"/>
      </w:pPr>
      <w:r w:rsidRPr="00C37F4F">
        <w:t>Facilities Services</w:t>
      </w:r>
    </w:p>
    <w:p w14:paraId="0C3A122D" w14:textId="77777777" w:rsidR="00FC6AD9" w:rsidRPr="00C37F4F" w:rsidRDefault="00FC6AD9" w:rsidP="00C37F4F">
      <w:pPr>
        <w:pStyle w:val="NCDBodyText"/>
        <w:spacing w:line="240" w:lineRule="auto"/>
      </w:pPr>
      <w:r w:rsidRPr="00C37F4F">
        <w:t>Carle Hospital</w:t>
      </w:r>
    </w:p>
    <w:p w14:paraId="2AD7FA8D" w14:textId="77777777" w:rsidR="00FC6AD9" w:rsidRPr="004A4B47" w:rsidRDefault="00FC6AD9" w:rsidP="00C37F4F">
      <w:pPr>
        <w:pStyle w:val="NCDBodyText"/>
        <w:spacing w:line="240" w:lineRule="auto"/>
        <w:rPr>
          <w:lang w:val="sv-SE"/>
        </w:rPr>
      </w:pPr>
      <w:r w:rsidRPr="004A4B47">
        <w:rPr>
          <w:lang w:val="sv-SE"/>
        </w:rPr>
        <w:t>Urbana, Illinois</w:t>
      </w:r>
    </w:p>
    <w:p w14:paraId="3AB3C186" w14:textId="77777777" w:rsidR="00FC6AD9" w:rsidRPr="004A4B47" w:rsidRDefault="00FC6AD9" w:rsidP="00C37F4F">
      <w:pPr>
        <w:pStyle w:val="NCDBodyText"/>
        <w:spacing w:line="240" w:lineRule="auto"/>
        <w:rPr>
          <w:lang w:val="sv-SE"/>
        </w:rPr>
      </w:pPr>
    </w:p>
    <w:p w14:paraId="1D140467" w14:textId="77777777" w:rsidR="00FC6AD9" w:rsidRPr="004A4B47" w:rsidRDefault="00FC6AD9" w:rsidP="00C37F4F">
      <w:pPr>
        <w:pStyle w:val="NCDBodyText"/>
        <w:spacing w:line="240" w:lineRule="auto"/>
        <w:rPr>
          <w:b/>
          <w:lang w:val="sv-SE"/>
        </w:rPr>
      </w:pPr>
      <w:r w:rsidRPr="004A4B47">
        <w:rPr>
          <w:b/>
          <w:lang w:val="sv-SE"/>
        </w:rPr>
        <w:t>Neil Jordan, Ph.D.</w:t>
      </w:r>
    </w:p>
    <w:p w14:paraId="23F9AB47" w14:textId="77777777" w:rsidR="00FC6AD9" w:rsidRPr="00C37F4F" w:rsidRDefault="00FC6AD9" w:rsidP="00C37F4F">
      <w:pPr>
        <w:pStyle w:val="NCDBodyText"/>
        <w:spacing w:line="240" w:lineRule="auto"/>
      </w:pPr>
      <w:r w:rsidRPr="00C37F4F">
        <w:t>Professor of Psychiatry and Behavioral Sciences and Preventative Medicine</w:t>
      </w:r>
    </w:p>
    <w:p w14:paraId="3C2C7DB0" w14:textId="77777777" w:rsidR="00FC6AD9" w:rsidRPr="00C37F4F" w:rsidRDefault="00FC6AD9" w:rsidP="00C37F4F">
      <w:pPr>
        <w:pStyle w:val="NCDBodyText"/>
        <w:spacing w:line="240" w:lineRule="auto"/>
      </w:pPr>
      <w:r w:rsidRPr="00C37F4F">
        <w:t>Director, Institute for Public Health and Medicine, Center for Education in Health Sciences</w:t>
      </w:r>
    </w:p>
    <w:p w14:paraId="11DE99F0" w14:textId="77777777" w:rsidR="00FC6AD9" w:rsidRPr="00C37F4F" w:rsidRDefault="00FC6AD9" w:rsidP="00C37F4F">
      <w:pPr>
        <w:pStyle w:val="NCDBodyText"/>
        <w:spacing w:line="240" w:lineRule="auto"/>
      </w:pPr>
      <w:r w:rsidRPr="00C37F4F">
        <w:t>Feinberg School of Medicine</w:t>
      </w:r>
    </w:p>
    <w:p w14:paraId="23C44D3A" w14:textId="77777777" w:rsidR="00FC6AD9" w:rsidRPr="00C37F4F" w:rsidRDefault="00FC6AD9" w:rsidP="00C37F4F">
      <w:pPr>
        <w:pStyle w:val="NCDBodyText"/>
        <w:spacing w:line="240" w:lineRule="auto"/>
      </w:pPr>
      <w:r w:rsidRPr="00C37F4F">
        <w:t>Northwestern University</w:t>
      </w:r>
    </w:p>
    <w:p w14:paraId="3CD37706" w14:textId="77777777" w:rsidR="00FC6AD9" w:rsidRPr="00C37F4F" w:rsidRDefault="00FC6AD9" w:rsidP="00C37F4F">
      <w:pPr>
        <w:pStyle w:val="NCDBodyText"/>
        <w:spacing w:line="240" w:lineRule="auto"/>
      </w:pPr>
      <w:r w:rsidRPr="00C37F4F">
        <w:t>Chicago, Illinois</w:t>
      </w:r>
    </w:p>
    <w:p w14:paraId="1789E990" w14:textId="77777777" w:rsidR="00FC6AD9" w:rsidRPr="00C37F4F" w:rsidRDefault="00FC6AD9" w:rsidP="00C37F4F">
      <w:pPr>
        <w:pStyle w:val="NCDBodyText"/>
        <w:spacing w:line="240" w:lineRule="auto"/>
      </w:pPr>
    </w:p>
    <w:p w14:paraId="20D1FEA0" w14:textId="77777777" w:rsidR="00FC6AD9" w:rsidRPr="00C37F4F" w:rsidRDefault="00FC6AD9" w:rsidP="00C37F4F">
      <w:pPr>
        <w:pStyle w:val="NCDBodyText"/>
        <w:spacing w:line="240" w:lineRule="auto"/>
        <w:rPr>
          <w:b/>
        </w:rPr>
      </w:pPr>
      <w:r w:rsidRPr="00C37F4F">
        <w:rPr>
          <w:b/>
        </w:rPr>
        <w:t xml:space="preserve">Amol </w:t>
      </w:r>
      <w:proofErr w:type="spellStart"/>
      <w:r w:rsidRPr="00C37F4F">
        <w:rPr>
          <w:b/>
        </w:rPr>
        <w:t>Karmarkar</w:t>
      </w:r>
      <w:proofErr w:type="spellEnd"/>
      <w:r w:rsidRPr="00C37F4F">
        <w:rPr>
          <w:b/>
        </w:rPr>
        <w:t>, Ph.D.</w:t>
      </w:r>
    </w:p>
    <w:p w14:paraId="3321F447" w14:textId="77777777" w:rsidR="00FC6AD9" w:rsidRPr="00C37F4F" w:rsidRDefault="00FC6AD9" w:rsidP="00C37F4F">
      <w:pPr>
        <w:pStyle w:val="NCDBodyText"/>
        <w:spacing w:line="240" w:lineRule="auto"/>
      </w:pPr>
      <w:r w:rsidRPr="00C37F4F">
        <w:t>Professor, Department of Physical Medicine and Rehabilitation</w:t>
      </w:r>
    </w:p>
    <w:p w14:paraId="38A50B74" w14:textId="77777777" w:rsidR="00FC6AD9" w:rsidRPr="00C37F4F" w:rsidRDefault="00FC6AD9" w:rsidP="00C37F4F">
      <w:pPr>
        <w:pStyle w:val="NCDBodyText"/>
        <w:spacing w:line="240" w:lineRule="auto"/>
      </w:pPr>
      <w:r w:rsidRPr="00C37F4F">
        <w:t>Director of Research, Sheltering Arms Institute</w:t>
      </w:r>
    </w:p>
    <w:p w14:paraId="2EB53BCE" w14:textId="77777777" w:rsidR="00FC6AD9" w:rsidRPr="00C37F4F" w:rsidRDefault="00FC6AD9" w:rsidP="00C37F4F">
      <w:pPr>
        <w:pStyle w:val="NCDBodyText"/>
        <w:spacing w:line="240" w:lineRule="auto"/>
      </w:pPr>
      <w:r w:rsidRPr="00C37F4F">
        <w:t>Research Associate, Hunter Holmes McGuire VA Medical Center</w:t>
      </w:r>
    </w:p>
    <w:p w14:paraId="79C41F6E" w14:textId="77777777" w:rsidR="00FC6AD9" w:rsidRPr="00C37F4F" w:rsidRDefault="00FC6AD9" w:rsidP="00C37F4F">
      <w:pPr>
        <w:pStyle w:val="NCDBodyText"/>
        <w:spacing w:line="240" w:lineRule="auto"/>
      </w:pPr>
      <w:r w:rsidRPr="00C37F4F">
        <w:t>Virginia Commonwealth University, School of Medicine</w:t>
      </w:r>
    </w:p>
    <w:p w14:paraId="73F6B7BE" w14:textId="77777777" w:rsidR="00FC6AD9" w:rsidRPr="00C37F4F" w:rsidRDefault="00FC6AD9" w:rsidP="00C37F4F">
      <w:pPr>
        <w:pStyle w:val="NCDBodyText"/>
        <w:spacing w:line="240" w:lineRule="auto"/>
      </w:pPr>
      <w:r w:rsidRPr="00C37F4F">
        <w:t>Richmond, Virginia</w:t>
      </w:r>
    </w:p>
    <w:p w14:paraId="5AF3ECBB" w14:textId="77777777" w:rsidR="00FC6AD9" w:rsidRPr="00C37F4F" w:rsidRDefault="00FC6AD9" w:rsidP="00C37F4F">
      <w:pPr>
        <w:pStyle w:val="NCDBodyText"/>
        <w:spacing w:line="240" w:lineRule="auto"/>
      </w:pPr>
    </w:p>
    <w:p w14:paraId="5ACDB3C0" w14:textId="77777777" w:rsidR="00FC6AD9" w:rsidRPr="00C37F4F" w:rsidRDefault="00FC6AD9" w:rsidP="00C37F4F">
      <w:pPr>
        <w:pStyle w:val="NCDBodyText"/>
        <w:spacing w:line="240" w:lineRule="auto"/>
        <w:rPr>
          <w:b/>
        </w:rPr>
      </w:pPr>
      <w:r w:rsidRPr="00C37F4F">
        <w:rPr>
          <w:b/>
        </w:rPr>
        <w:t>Melissa McGough, RN</w:t>
      </w:r>
    </w:p>
    <w:p w14:paraId="2075A338" w14:textId="77777777" w:rsidR="00FC6AD9" w:rsidRPr="00C37F4F" w:rsidRDefault="00FC6AD9" w:rsidP="00C37F4F">
      <w:pPr>
        <w:pStyle w:val="NCDBodyText"/>
        <w:spacing w:line="240" w:lineRule="auto"/>
      </w:pPr>
      <w:r w:rsidRPr="00C37F4F">
        <w:t>Director, Carle Risk Management Company at Carle Foundation Hospital</w:t>
      </w:r>
    </w:p>
    <w:p w14:paraId="5C036658" w14:textId="77777777" w:rsidR="00FC6AD9" w:rsidRPr="00C37F4F" w:rsidRDefault="00FC6AD9" w:rsidP="00C37F4F">
      <w:pPr>
        <w:pStyle w:val="NCDBodyText"/>
        <w:spacing w:line="240" w:lineRule="auto"/>
      </w:pPr>
      <w:r w:rsidRPr="00C37F4F">
        <w:t>Urbana, IL</w:t>
      </w:r>
    </w:p>
    <w:p w14:paraId="30AA5B6D" w14:textId="77777777" w:rsidR="00FC6AD9" w:rsidRPr="00C37F4F" w:rsidRDefault="00FC6AD9" w:rsidP="00C37F4F">
      <w:pPr>
        <w:pStyle w:val="NCDBodyText"/>
        <w:spacing w:line="240" w:lineRule="auto"/>
        <w:rPr>
          <w:b/>
        </w:rPr>
      </w:pPr>
      <w:r w:rsidRPr="00C37F4F">
        <w:rPr>
          <w:b/>
        </w:rPr>
        <w:t xml:space="preserve">Nancy </w:t>
      </w:r>
      <w:proofErr w:type="spellStart"/>
      <w:r w:rsidRPr="00C37F4F">
        <w:rPr>
          <w:b/>
        </w:rPr>
        <w:t>Mudrick</w:t>
      </w:r>
      <w:proofErr w:type="spellEnd"/>
      <w:r w:rsidRPr="00C37F4F">
        <w:rPr>
          <w:b/>
        </w:rPr>
        <w:t>, Ph.D., M.S.W.</w:t>
      </w:r>
    </w:p>
    <w:p w14:paraId="12823560" w14:textId="77777777" w:rsidR="00FC6AD9" w:rsidRPr="00C37F4F" w:rsidRDefault="00FC6AD9" w:rsidP="00C37F4F">
      <w:pPr>
        <w:pStyle w:val="NCDBodyText"/>
        <w:spacing w:line="240" w:lineRule="auto"/>
      </w:pPr>
      <w:r w:rsidRPr="00C37F4F">
        <w:t>Professor</w:t>
      </w:r>
    </w:p>
    <w:p w14:paraId="28465002" w14:textId="77777777" w:rsidR="00FC6AD9" w:rsidRPr="00C37F4F" w:rsidRDefault="00FC6AD9" w:rsidP="00C37F4F">
      <w:pPr>
        <w:pStyle w:val="NCDBodyText"/>
        <w:spacing w:line="240" w:lineRule="auto"/>
      </w:pPr>
      <w:r w:rsidRPr="00C37F4F">
        <w:t>School of Social Work</w:t>
      </w:r>
    </w:p>
    <w:p w14:paraId="2C78360B" w14:textId="77777777" w:rsidR="00FC6AD9" w:rsidRPr="00C37F4F" w:rsidRDefault="00FC6AD9" w:rsidP="00C37F4F">
      <w:pPr>
        <w:pStyle w:val="NCDBodyText"/>
        <w:spacing w:line="240" w:lineRule="auto"/>
      </w:pPr>
      <w:r w:rsidRPr="00C37F4F">
        <w:t>Syracuse University</w:t>
      </w:r>
    </w:p>
    <w:p w14:paraId="1ABE0B41" w14:textId="77777777" w:rsidR="00FC6AD9" w:rsidRPr="00C37F4F" w:rsidRDefault="00FC6AD9" w:rsidP="00C37F4F">
      <w:pPr>
        <w:pStyle w:val="NCDBodyText"/>
        <w:spacing w:line="240" w:lineRule="auto"/>
      </w:pPr>
      <w:r w:rsidRPr="00C37F4F">
        <w:t>Syracuse, New York</w:t>
      </w:r>
    </w:p>
    <w:p w14:paraId="07C28C7E" w14:textId="77777777" w:rsidR="00FC6AD9" w:rsidRPr="00C37F4F" w:rsidRDefault="00FC6AD9" w:rsidP="00C37F4F">
      <w:pPr>
        <w:pStyle w:val="NCDBodyText"/>
        <w:spacing w:line="240" w:lineRule="auto"/>
      </w:pPr>
    </w:p>
    <w:p w14:paraId="4D946303" w14:textId="77777777" w:rsidR="00FC6AD9" w:rsidRPr="00C37F4F" w:rsidRDefault="00FC6AD9" w:rsidP="00C37F4F">
      <w:pPr>
        <w:pStyle w:val="NCDBodyText"/>
        <w:spacing w:line="240" w:lineRule="auto"/>
        <w:rPr>
          <w:b/>
        </w:rPr>
      </w:pPr>
      <w:r w:rsidRPr="00C37F4F">
        <w:rPr>
          <w:b/>
        </w:rPr>
        <w:t>Gary C. Norman, J.D., L.L.M.</w:t>
      </w:r>
    </w:p>
    <w:p w14:paraId="50A74E7E" w14:textId="77777777" w:rsidR="00FC6AD9" w:rsidRPr="00C37F4F" w:rsidRDefault="00FC6AD9" w:rsidP="00C37F4F">
      <w:pPr>
        <w:pStyle w:val="NCDBodyText"/>
        <w:spacing w:line="240" w:lineRule="auto"/>
      </w:pPr>
      <w:r w:rsidRPr="00C37F4F">
        <w:t>Chair of the Board of Commissioners</w:t>
      </w:r>
    </w:p>
    <w:p w14:paraId="3D7B20E6" w14:textId="77777777" w:rsidR="00FC6AD9" w:rsidRPr="00C37F4F" w:rsidRDefault="00FC6AD9" w:rsidP="00C37F4F">
      <w:pPr>
        <w:pStyle w:val="NCDBodyText"/>
        <w:spacing w:line="240" w:lineRule="auto"/>
      </w:pPr>
      <w:r w:rsidRPr="00C37F4F">
        <w:t>The Maryland Commission on Civil Rights</w:t>
      </w:r>
    </w:p>
    <w:p w14:paraId="37A9EB53" w14:textId="77777777" w:rsidR="00FC6AD9" w:rsidRPr="00C37F4F" w:rsidRDefault="00FC6AD9" w:rsidP="00C37F4F">
      <w:pPr>
        <w:pStyle w:val="NCDBodyText"/>
        <w:spacing w:line="240" w:lineRule="auto"/>
      </w:pPr>
      <w:r w:rsidRPr="00C37F4F">
        <w:t>Baltimore, Maryland</w:t>
      </w:r>
    </w:p>
    <w:p w14:paraId="0CB5ABD8" w14:textId="77777777" w:rsidR="00FC6AD9" w:rsidRPr="00C37F4F" w:rsidRDefault="00FC6AD9" w:rsidP="00C37F4F">
      <w:pPr>
        <w:pStyle w:val="NCDBodyText"/>
        <w:spacing w:line="240" w:lineRule="auto"/>
      </w:pPr>
    </w:p>
    <w:p w14:paraId="308E2508" w14:textId="77777777" w:rsidR="00FC6AD9" w:rsidRPr="00C37F4F" w:rsidRDefault="00FC6AD9" w:rsidP="00C37F4F">
      <w:pPr>
        <w:pStyle w:val="NCDBodyText"/>
        <w:spacing w:line="240" w:lineRule="auto"/>
        <w:rPr>
          <w:b/>
        </w:rPr>
      </w:pPr>
      <w:r w:rsidRPr="00C37F4F">
        <w:rPr>
          <w:b/>
        </w:rPr>
        <w:t>Molly Story, Ph.D.</w:t>
      </w:r>
    </w:p>
    <w:p w14:paraId="582F7A26" w14:textId="77777777" w:rsidR="00FC6AD9" w:rsidRPr="00C37F4F" w:rsidRDefault="00FC6AD9" w:rsidP="00C37F4F">
      <w:pPr>
        <w:pStyle w:val="NCDBodyText"/>
        <w:spacing w:line="240" w:lineRule="auto"/>
      </w:pPr>
      <w:r w:rsidRPr="00C37F4F">
        <w:t>Senior Advisor, Medical Device Development Unit</w:t>
      </w:r>
    </w:p>
    <w:p w14:paraId="306DE044" w14:textId="77777777" w:rsidR="00FC6AD9" w:rsidRPr="00C37F4F" w:rsidRDefault="00FC6AD9" w:rsidP="00C37F4F">
      <w:pPr>
        <w:pStyle w:val="NCDBodyText"/>
        <w:spacing w:line="240" w:lineRule="auto"/>
      </w:pPr>
      <w:r w:rsidRPr="00C37F4F">
        <w:t>Sanofi</w:t>
      </w:r>
    </w:p>
    <w:p w14:paraId="02417017" w14:textId="77777777" w:rsidR="00FC6AD9" w:rsidRPr="00C37F4F" w:rsidRDefault="00FC6AD9" w:rsidP="00C37F4F">
      <w:pPr>
        <w:pStyle w:val="NCDBodyText"/>
        <w:spacing w:line="240" w:lineRule="auto"/>
      </w:pPr>
      <w:r w:rsidRPr="00C37F4F">
        <w:t>Cambridge, Massachusetts</w:t>
      </w:r>
    </w:p>
    <w:p w14:paraId="2375DE9A" w14:textId="77777777" w:rsidR="00FC6AD9" w:rsidRPr="00C37F4F" w:rsidRDefault="00FC6AD9" w:rsidP="00C37F4F">
      <w:pPr>
        <w:pStyle w:val="NCDBodyText"/>
        <w:spacing w:line="240" w:lineRule="auto"/>
      </w:pPr>
    </w:p>
    <w:p w14:paraId="7BE96EEB" w14:textId="77777777" w:rsidR="00FC6AD9" w:rsidRPr="00C37F4F" w:rsidRDefault="00FC6AD9" w:rsidP="00C37F4F">
      <w:pPr>
        <w:pStyle w:val="NCDBodyText"/>
        <w:spacing w:line="240" w:lineRule="auto"/>
        <w:rPr>
          <w:b/>
        </w:rPr>
      </w:pPr>
      <w:r w:rsidRPr="00C37F4F">
        <w:rPr>
          <w:b/>
        </w:rPr>
        <w:t xml:space="preserve">Sarah </w:t>
      </w:r>
      <w:proofErr w:type="spellStart"/>
      <w:r w:rsidRPr="00C37F4F">
        <w:rPr>
          <w:b/>
        </w:rPr>
        <w:t>Triano</w:t>
      </w:r>
      <w:proofErr w:type="spellEnd"/>
      <w:r w:rsidRPr="00C37F4F">
        <w:rPr>
          <w:b/>
        </w:rPr>
        <w:t>, M.S.</w:t>
      </w:r>
    </w:p>
    <w:p w14:paraId="45512E53" w14:textId="77777777" w:rsidR="00FC6AD9" w:rsidRPr="00C37F4F" w:rsidRDefault="00FC6AD9" w:rsidP="00C37F4F">
      <w:pPr>
        <w:pStyle w:val="NCDBodyText"/>
        <w:spacing w:line="240" w:lineRule="auto"/>
      </w:pPr>
      <w:r w:rsidRPr="00C37F4F">
        <w:t>Director of Policy and innovation, Complex Care</w:t>
      </w:r>
    </w:p>
    <w:p w14:paraId="566AF0DB" w14:textId="77777777" w:rsidR="00FC6AD9" w:rsidRPr="00C37F4F" w:rsidRDefault="00FC6AD9" w:rsidP="00C37F4F">
      <w:pPr>
        <w:pStyle w:val="NCDBodyText"/>
        <w:spacing w:line="240" w:lineRule="auto"/>
      </w:pPr>
      <w:proofErr w:type="spellStart"/>
      <w:r w:rsidRPr="00C37F4F">
        <w:t>Centene</w:t>
      </w:r>
      <w:proofErr w:type="spellEnd"/>
      <w:r w:rsidRPr="00C37F4F">
        <w:t xml:space="preserve"> Corporation</w:t>
      </w:r>
    </w:p>
    <w:p w14:paraId="5FA6DF11" w14:textId="77777777" w:rsidR="00FC6AD9" w:rsidRPr="00C37F4F" w:rsidRDefault="00FC6AD9" w:rsidP="00C37F4F">
      <w:pPr>
        <w:pStyle w:val="NCDBodyText"/>
        <w:spacing w:line="240" w:lineRule="auto"/>
      </w:pPr>
      <w:r w:rsidRPr="00C37F4F">
        <w:t>Sacramento, California</w:t>
      </w:r>
    </w:p>
    <w:p w14:paraId="1FC88364" w14:textId="77777777" w:rsidR="00FC6AD9" w:rsidRPr="00C37F4F" w:rsidRDefault="00FC6AD9" w:rsidP="00C37F4F">
      <w:pPr>
        <w:pStyle w:val="NCDBodyText"/>
        <w:spacing w:line="240" w:lineRule="auto"/>
      </w:pPr>
    </w:p>
    <w:p w14:paraId="6A65629A" w14:textId="77777777" w:rsidR="00FC6AD9" w:rsidRPr="00C37F4F" w:rsidRDefault="00FC6AD9" w:rsidP="00C37F4F">
      <w:pPr>
        <w:pStyle w:val="NCDBodyText"/>
        <w:spacing w:line="240" w:lineRule="auto"/>
        <w:rPr>
          <w:b/>
        </w:rPr>
      </w:pPr>
      <w:r w:rsidRPr="00C37F4F">
        <w:rPr>
          <w:b/>
        </w:rPr>
        <w:t xml:space="preserve">John L. </w:t>
      </w:r>
      <w:proofErr w:type="spellStart"/>
      <w:r w:rsidRPr="00C37F4F">
        <w:rPr>
          <w:b/>
        </w:rPr>
        <w:t>Wodatch</w:t>
      </w:r>
      <w:proofErr w:type="spellEnd"/>
      <w:r w:rsidRPr="00C37F4F">
        <w:rPr>
          <w:b/>
        </w:rPr>
        <w:t>, J.D.</w:t>
      </w:r>
    </w:p>
    <w:p w14:paraId="4E848E87" w14:textId="77777777" w:rsidR="00FC6AD9" w:rsidRPr="00C37F4F" w:rsidRDefault="00FC6AD9" w:rsidP="00C37F4F">
      <w:pPr>
        <w:pStyle w:val="NCDBodyText"/>
        <w:spacing w:line="240" w:lineRule="auto"/>
      </w:pPr>
      <w:r w:rsidRPr="00C37F4F">
        <w:t>Disability Law Consultant</w:t>
      </w:r>
    </w:p>
    <w:p w14:paraId="4E5CB00D" w14:textId="77777777" w:rsidR="00FC6AD9" w:rsidRPr="00C37F4F" w:rsidRDefault="00FC6AD9" w:rsidP="00C37F4F">
      <w:pPr>
        <w:pStyle w:val="NCDBodyText"/>
        <w:spacing w:line="240" w:lineRule="auto"/>
      </w:pPr>
      <w:r w:rsidRPr="00C37F4F">
        <w:t>Washington, DC</w:t>
      </w:r>
    </w:p>
    <w:p w14:paraId="60B4E33B" w14:textId="77777777" w:rsidR="00C37F4F" w:rsidRDefault="00C37F4F">
      <w:pPr>
        <w:spacing w:after="200"/>
        <w:rPr>
          <w:rFonts w:ascii="Arial" w:eastAsiaTheme="minorHAnsi" w:hAnsi="Arial" w:cs="Arial"/>
          <w:b/>
          <w:szCs w:val="24"/>
        </w:rPr>
      </w:pPr>
      <w:bookmarkStart w:id="235" w:name="_Toc65342188"/>
      <w:r>
        <w:rPr>
          <w:szCs w:val="24"/>
        </w:rPr>
        <w:br w:type="page"/>
      </w:r>
    </w:p>
    <w:p w14:paraId="1754C002" w14:textId="3C81F586" w:rsidR="00FC6AD9" w:rsidRPr="00C70284" w:rsidRDefault="00FC6AD9" w:rsidP="00C70284">
      <w:pPr>
        <w:pStyle w:val="Heading1"/>
      </w:pPr>
      <w:bookmarkStart w:id="236" w:name="_Toc69374244"/>
      <w:r w:rsidRPr="00C70284">
        <w:t>Appendix 2: Research Methodology</w:t>
      </w:r>
      <w:bookmarkEnd w:id="235"/>
      <w:bookmarkEnd w:id="236"/>
    </w:p>
    <w:p w14:paraId="2956CBAB" w14:textId="77777777" w:rsidR="00FC6AD9" w:rsidRPr="00C64F3D" w:rsidRDefault="00FC6AD9" w:rsidP="00C70284">
      <w:pPr>
        <w:pStyle w:val="NCDBodyText"/>
        <w:spacing w:line="240" w:lineRule="auto"/>
        <w:rPr>
          <w:lang w:val="en"/>
        </w:rPr>
      </w:pPr>
      <w:r w:rsidRPr="00C64F3D">
        <w:rPr>
          <w:lang w:val="en"/>
        </w:rPr>
        <w:t xml:space="preserve">Research on </w:t>
      </w:r>
      <w:r>
        <w:rPr>
          <w:lang w:val="en"/>
        </w:rPr>
        <w:t xml:space="preserve">accessible </w:t>
      </w:r>
      <w:r w:rsidRPr="00C64F3D">
        <w:rPr>
          <w:lang w:val="en"/>
        </w:rPr>
        <w:t>MDE is in a relatively nascent phase with a smattering of small-scale demonstration and evaluation studies published in diverse areas of research and disciplinary fields. Further stymi</w:t>
      </w:r>
      <w:r>
        <w:rPr>
          <w:lang w:val="en"/>
        </w:rPr>
        <w:t>ei</w:t>
      </w:r>
      <w:r w:rsidRPr="00C64F3D">
        <w:rPr>
          <w:lang w:val="en"/>
        </w:rPr>
        <w:t xml:space="preserve">ng the ability to conduct research is inconsistent collection and linking of data related to </w:t>
      </w:r>
      <w:r>
        <w:rPr>
          <w:lang w:val="en"/>
        </w:rPr>
        <w:t>health care</w:t>
      </w:r>
      <w:r w:rsidRPr="00C64F3D">
        <w:rPr>
          <w:lang w:val="en"/>
        </w:rPr>
        <w:t xml:space="preserve"> utilization by people with disabilities and mechanisms for clear documentation of the availability and appropriate use of accessible </w:t>
      </w:r>
      <w:r>
        <w:rPr>
          <w:lang w:val="en"/>
        </w:rPr>
        <w:t>MDE</w:t>
      </w:r>
      <w:r w:rsidRPr="00C64F3D">
        <w:rPr>
          <w:lang w:val="en"/>
        </w:rPr>
        <w:t xml:space="preserve">. </w:t>
      </w:r>
    </w:p>
    <w:p w14:paraId="01D028C8" w14:textId="77777777" w:rsidR="00FC6AD9" w:rsidRPr="00C64F3D" w:rsidRDefault="00FC6AD9" w:rsidP="00C70284">
      <w:pPr>
        <w:pStyle w:val="Heading2"/>
        <w:rPr>
          <w:lang w:val="en"/>
        </w:rPr>
      </w:pPr>
      <w:bookmarkStart w:id="237" w:name="_Toc31373451"/>
      <w:bookmarkStart w:id="238" w:name="_Toc51534703"/>
      <w:bookmarkStart w:id="239" w:name="_Toc69374245"/>
      <w:r w:rsidRPr="00C64F3D">
        <w:rPr>
          <w:lang w:val="en"/>
        </w:rPr>
        <w:t>Approach</w:t>
      </w:r>
      <w:r>
        <w:rPr>
          <w:lang w:val="en"/>
        </w:rPr>
        <w:t>:</w:t>
      </w:r>
      <w:r w:rsidRPr="00C64F3D">
        <w:rPr>
          <w:lang w:val="en"/>
        </w:rPr>
        <w:t xml:space="preserve"> Modified Appreciative Inquiry</w:t>
      </w:r>
      <w:bookmarkEnd w:id="237"/>
      <w:bookmarkEnd w:id="238"/>
      <w:bookmarkEnd w:id="239"/>
    </w:p>
    <w:p w14:paraId="29B922FA" w14:textId="77777777" w:rsidR="00FC6AD9" w:rsidRPr="00C64F3D" w:rsidRDefault="00FC6AD9" w:rsidP="00C70284">
      <w:pPr>
        <w:pStyle w:val="NCDBodyText"/>
        <w:spacing w:line="240" w:lineRule="auto"/>
      </w:pPr>
      <w:r w:rsidRPr="00C64F3D">
        <w:rPr>
          <w:lang w:val="en"/>
        </w:rPr>
        <w:t xml:space="preserve">To accomplish the project goals, this project was divided into </w:t>
      </w:r>
      <w:r>
        <w:rPr>
          <w:lang w:val="en"/>
        </w:rPr>
        <w:t>three</w:t>
      </w:r>
      <w:r w:rsidRPr="00C64F3D">
        <w:rPr>
          <w:lang w:val="en"/>
        </w:rPr>
        <w:t xml:space="preserve"> primary research questions, each with a targeted set of activities.</w:t>
      </w:r>
      <w:r w:rsidRPr="00C64F3D">
        <w:rPr>
          <w:color w:val="333333"/>
          <w:lang w:val="en"/>
        </w:rPr>
        <w:t xml:space="preserve"> </w:t>
      </w:r>
      <w:r w:rsidRPr="00C64F3D">
        <w:t>To provide an organizational framework and structure to the project and to make clearly definable project activities and deliverables, a modified appreciative inquiry (AI) approach was used. Research indicates that cross-functional teams that use an AI approach report higher levels of engagement and efficacy on addressing complex organization</w:t>
      </w:r>
      <w:r>
        <w:t>al</w:t>
      </w:r>
      <w:r w:rsidRPr="00C64F3D">
        <w:t xml:space="preserve"> challenges and gap analyses. The research required information from diverse health service and policy experts from clinical practice, policy, </w:t>
      </w:r>
      <w:r>
        <w:t>health care</w:t>
      </w:r>
      <w:r w:rsidRPr="00C64F3D">
        <w:t xml:space="preserve"> systems, </w:t>
      </w:r>
      <w:proofErr w:type="gramStart"/>
      <w:r w:rsidRPr="00C64F3D">
        <w:t>health</w:t>
      </w:r>
      <w:proofErr w:type="gramEnd"/>
      <w:r w:rsidRPr="00C64F3D">
        <w:t xml:space="preserve"> services research</w:t>
      </w:r>
      <w:r>
        <w:t>,</w:t>
      </w:r>
      <w:r w:rsidRPr="00C64F3D">
        <w:t xml:space="preserve"> as well as health informatics and</w:t>
      </w:r>
      <w:r>
        <w:t>,</w:t>
      </w:r>
      <w:r w:rsidRPr="00C64F3D">
        <w:t xml:space="preserve"> ultimately</w:t>
      </w:r>
      <w:r>
        <w:t>,</w:t>
      </w:r>
      <w:r w:rsidRPr="00C64F3D">
        <w:t xml:space="preserve"> patients. Research indicates that cross-functional teams that use an AI approach report higher levels of engagement and efficacy on addressing complex organization</w:t>
      </w:r>
      <w:r>
        <w:t>al</w:t>
      </w:r>
      <w:r w:rsidRPr="00C64F3D">
        <w:t xml:space="preserve"> challenges and gap analyses.</w:t>
      </w:r>
      <w:r>
        <w:t xml:space="preserve"> T</w:t>
      </w:r>
      <w:r>
        <w:rPr>
          <w:rFonts w:cstheme="minorHAnsi"/>
        </w:rPr>
        <w:t xml:space="preserve">he AI structure and phases we followed consisted of: </w:t>
      </w:r>
    </w:p>
    <w:p w14:paraId="3E1CF39C" w14:textId="77777777" w:rsidR="00FC6AD9" w:rsidRPr="00810A1D" w:rsidRDefault="00FC6AD9" w:rsidP="00C70284">
      <w:pPr>
        <w:pStyle w:val="Heading3"/>
      </w:pPr>
      <w:bookmarkStart w:id="240" w:name="_Toc31373453"/>
      <w:bookmarkStart w:id="241" w:name="_Toc51534705"/>
      <w:bookmarkStart w:id="242" w:name="_Toc69374246"/>
      <w:bookmarkStart w:id="243" w:name="_Toc31373454"/>
      <w:bookmarkStart w:id="244" w:name="_Toc51534706"/>
      <w:bookmarkStart w:id="245" w:name="_Toc31373455"/>
      <w:bookmarkStart w:id="246" w:name="_Toc51534707"/>
      <w:bookmarkEnd w:id="202"/>
      <w:r w:rsidRPr="00810A1D">
        <w:t>Rapid Review</w:t>
      </w:r>
      <w:bookmarkEnd w:id="240"/>
      <w:bookmarkEnd w:id="241"/>
      <w:r w:rsidRPr="00810A1D">
        <w:t xml:space="preserve"> of Literature</w:t>
      </w:r>
      <w:bookmarkEnd w:id="242"/>
    </w:p>
    <w:p w14:paraId="77BA8A20" w14:textId="77777777" w:rsidR="00FC6AD9" w:rsidRPr="00810A1D" w:rsidRDefault="00FC6AD9" w:rsidP="00C70284">
      <w:pPr>
        <w:pStyle w:val="NCDBodyText"/>
        <w:spacing w:line="240" w:lineRule="auto"/>
        <w:rPr>
          <w:b/>
          <w:bCs/>
          <w:i/>
        </w:rPr>
      </w:pPr>
      <w:r w:rsidRPr="006D5051">
        <w:t>We followed the eight steps of a rapid review as outlined in the World Health Organization’s</w:t>
      </w:r>
      <w:r w:rsidRPr="00810A1D">
        <w:rPr>
          <w:i/>
        </w:rPr>
        <w:t xml:space="preserve"> </w:t>
      </w:r>
      <w:r w:rsidRPr="00810A1D">
        <w:rPr>
          <w:i/>
          <w:iCs/>
        </w:rPr>
        <w:t>Rapid Reviews to Strengthen Health Policy and Systems: A Practical Guide.</w:t>
      </w:r>
      <w:r w:rsidRPr="00810A1D">
        <w:rPr>
          <w:rStyle w:val="EndnoteReference"/>
          <w:rFonts w:asciiTheme="minorHAnsi" w:hAnsiTheme="minorHAnsi" w:cstheme="minorHAnsi"/>
          <w:i/>
          <w:iCs/>
          <w:color w:val="auto"/>
        </w:rPr>
        <w:endnoteReference w:id="156"/>
      </w:r>
      <w:r w:rsidRPr="00810A1D">
        <w:rPr>
          <w:bCs/>
          <w:i/>
        </w:rPr>
        <w:t xml:space="preserve"> </w:t>
      </w:r>
    </w:p>
    <w:p w14:paraId="4A51E164" w14:textId="77777777" w:rsidR="00FC6AD9" w:rsidRPr="00810A1D" w:rsidRDefault="00FC6AD9" w:rsidP="00C70284">
      <w:pPr>
        <w:pStyle w:val="Heading3"/>
      </w:pPr>
      <w:bookmarkStart w:id="247" w:name="_Toc69374247"/>
      <w:r w:rsidRPr="00810A1D">
        <w:t>Environmental Scan</w:t>
      </w:r>
      <w:bookmarkEnd w:id="243"/>
      <w:bookmarkEnd w:id="244"/>
      <w:bookmarkEnd w:id="247"/>
    </w:p>
    <w:p w14:paraId="4240853B" w14:textId="77777777" w:rsidR="00FC6AD9" w:rsidRPr="006D5051" w:rsidRDefault="00FC6AD9" w:rsidP="00C70284">
      <w:pPr>
        <w:pStyle w:val="NCDBodyText"/>
        <w:spacing w:line="240" w:lineRule="auto"/>
        <w:rPr>
          <w:b/>
          <w:bCs/>
        </w:rPr>
      </w:pPr>
      <w:r w:rsidRPr="006D5051">
        <w:t>To supplement the rapid review findings, we conducted an environmental scan of existing policies and practices around accessible equipment purchases.</w:t>
      </w:r>
    </w:p>
    <w:p w14:paraId="40440259" w14:textId="77777777" w:rsidR="00FC6AD9" w:rsidRPr="00810A1D" w:rsidRDefault="00FC6AD9" w:rsidP="00C70284">
      <w:pPr>
        <w:pStyle w:val="Heading3"/>
      </w:pPr>
      <w:bookmarkStart w:id="248" w:name="_Toc69374248"/>
      <w:r w:rsidRPr="00810A1D">
        <w:t>Health Policy and Services Expert Interviews</w:t>
      </w:r>
      <w:bookmarkEnd w:id="245"/>
      <w:bookmarkEnd w:id="246"/>
      <w:bookmarkEnd w:id="248"/>
    </w:p>
    <w:p w14:paraId="4CECD9E0" w14:textId="0AEFA449" w:rsidR="00FC6AD9" w:rsidRDefault="00FC6AD9" w:rsidP="00C70284">
      <w:pPr>
        <w:pStyle w:val="NCDBodyText"/>
        <w:spacing w:line="240" w:lineRule="auto"/>
        <w:rPr>
          <w:rFonts w:eastAsia="Times New Roman" w:cs="Arial"/>
        </w:rPr>
      </w:pPr>
      <w:r w:rsidRPr="00294693">
        <w:t>As the final phase of the determination process, we conduct</w:t>
      </w:r>
      <w:r>
        <w:t>ed</w:t>
      </w:r>
      <w:r w:rsidRPr="00294693">
        <w:t xml:space="preserve"> a series of interviews with </w:t>
      </w:r>
      <w:r>
        <w:t>h</w:t>
      </w:r>
      <w:r w:rsidRPr="00294693">
        <w:t>ealth services and policy experts to obtain in-depth professional perspectives on key opportunities, needs, and approaches to the conducting of rigorous cost-effectiveness research related to the adoption of accessible medical equipment standards.</w:t>
      </w:r>
    </w:p>
    <w:p w14:paraId="74AC8273" w14:textId="77777777" w:rsidR="00C70284" w:rsidRDefault="00C70284">
      <w:pPr>
        <w:spacing w:after="200"/>
        <w:rPr>
          <w:rFonts w:ascii="Arial" w:eastAsia="Times New Roman" w:hAnsi="Arial" w:cs="Arial"/>
          <w:b/>
          <w:szCs w:val="24"/>
        </w:rPr>
      </w:pPr>
      <w:bookmarkStart w:id="249" w:name="_Toc65342189"/>
      <w:r>
        <w:rPr>
          <w:rFonts w:eastAsia="Times New Roman"/>
          <w:szCs w:val="24"/>
        </w:rPr>
        <w:br w:type="page"/>
      </w:r>
    </w:p>
    <w:p w14:paraId="6A439253" w14:textId="77777777" w:rsidR="00C70284" w:rsidRDefault="00C70284" w:rsidP="00C70284">
      <w:pPr>
        <w:pStyle w:val="NCDBodyText"/>
        <w:rPr>
          <w:rFonts w:cs="Arial"/>
          <w:sz w:val="36"/>
          <w:szCs w:val="32"/>
        </w:rPr>
      </w:pPr>
      <w:r>
        <w:br w:type="page"/>
      </w:r>
    </w:p>
    <w:p w14:paraId="7F686DB9" w14:textId="7342F1CF" w:rsidR="00FC6AD9" w:rsidRPr="00C64F3D" w:rsidRDefault="00FC6AD9" w:rsidP="00C70284">
      <w:pPr>
        <w:pStyle w:val="Heading1"/>
      </w:pPr>
      <w:bookmarkStart w:id="250" w:name="_Toc69374249"/>
      <w:r w:rsidRPr="00C64F3D">
        <w:rPr>
          <w:rFonts w:eastAsia="Times New Roman"/>
        </w:rPr>
        <w:t>Endnotes</w:t>
      </w:r>
      <w:bookmarkEnd w:id="249"/>
      <w:bookmarkEnd w:id="250"/>
      <w:r w:rsidRPr="00C64F3D">
        <w:fldChar w:fldCharType="begin"/>
      </w:r>
      <w:r w:rsidRPr="00C64F3D">
        <w:instrText xml:space="preserve"> ADDIN EN.REFLIST </w:instrText>
      </w:r>
      <w:r w:rsidRPr="00C64F3D">
        <w:fldChar w:fldCharType="end"/>
      </w:r>
      <w:bookmarkEnd w:id="76"/>
      <w:bookmarkEnd w:id="79"/>
      <w:bookmarkEnd w:id="80"/>
    </w:p>
    <w:sectPr w:rsidR="00FC6AD9" w:rsidRPr="00C64F3D" w:rsidSect="000B0109">
      <w:footerReference w:type="default" r:id="rId17"/>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61C9A" w14:textId="77777777" w:rsidR="0022589E" w:rsidRDefault="0022589E" w:rsidP="00841C72">
      <w:pPr>
        <w:spacing w:after="0" w:line="240" w:lineRule="auto"/>
      </w:pPr>
      <w:r>
        <w:separator/>
      </w:r>
    </w:p>
  </w:endnote>
  <w:endnote w:type="continuationSeparator" w:id="0">
    <w:p w14:paraId="3FEFE88E" w14:textId="77777777" w:rsidR="0022589E" w:rsidRDefault="0022589E" w:rsidP="00841C72">
      <w:pPr>
        <w:spacing w:after="0" w:line="240" w:lineRule="auto"/>
      </w:pPr>
      <w:r>
        <w:continuationSeparator/>
      </w:r>
    </w:p>
  </w:endnote>
  <w:endnote w:type="continuationNotice" w:id="1">
    <w:p w14:paraId="6E53CBB1" w14:textId="77777777" w:rsidR="0022589E" w:rsidRDefault="0022589E">
      <w:pPr>
        <w:spacing w:after="0" w:line="240" w:lineRule="auto"/>
      </w:pPr>
    </w:p>
  </w:endnote>
  <w:endnote w:id="2">
    <w:p w14:paraId="1E0EFF9E" w14:textId="2E699709"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Centers for Disease Control and Prevention, “Disability impacts all of us,” infographic, </w:t>
      </w:r>
      <w:hyperlink r:id="rId1" w:tooltip="https://www.cdc.gov/ncbddd/disabilityandhealth/infographic-disability-impacts-all.html" w:history="1">
        <w:r w:rsidRPr="004E1594">
          <w:rPr>
            <w:rStyle w:val="Hyperlink"/>
            <w:rFonts w:cs="Arial"/>
            <w:szCs w:val="24"/>
          </w:rPr>
          <w:t>https://www.cdc.gov/ncbddd/disabilityandhealth/infographic-disability-impacts-all.html</w:t>
        </w:r>
      </w:hyperlink>
      <w:r w:rsidRPr="004E1594">
        <w:rPr>
          <w:rStyle w:val="Hyperlink"/>
          <w:rFonts w:cs="Arial"/>
          <w:szCs w:val="24"/>
        </w:rPr>
        <w:t>.</w:t>
      </w:r>
    </w:p>
  </w:endnote>
  <w:endnote w:id="3">
    <w:p w14:paraId="4071103D" w14:textId="77777777" w:rsidR="00760F6D" w:rsidRPr="003F4FCE" w:rsidRDefault="00760F6D" w:rsidP="003F4FCE">
      <w:pPr>
        <w:tabs>
          <w:tab w:val="left" w:pos="90"/>
          <w:tab w:val="left" w:pos="630"/>
        </w:tabs>
        <w:spacing w:after="200" w:line="240" w:lineRule="auto"/>
        <w:rPr>
          <w:rFonts w:ascii="Arial" w:hAnsi="Arial" w:cs="Arial"/>
          <w:szCs w:val="24"/>
        </w:rPr>
      </w:pPr>
      <w:r w:rsidRPr="003F4FCE">
        <w:rPr>
          <w:rStyle w:val="EndnoteReference"/>
          <w:rFonts w:cs="Arial"/>
          <w:szCs w:val="24"/>
        </w:rPr>
        <w:endnoteRef/>
      </w:r>
      <w:r w:rsidRPr="003F4FCE">
        <w:rPr>
          <w:rFonts w:ascii="Arial" w:hAnsi="Arial" w:cs="Arial"/>
          <w:szCs w:val="24"/>
        </w:rPr>
        <w:t xml:space="preserve"> L. I. </w:t>
      </w:r>
      <w:proofErr w:type="spellStart"/>
      <w:r w:rsidRPr="003F4FCE">
        <w:rPr>
          <w:rFonts w:ascii="Arial" w:hAnsi="Arial" w:cs="Arial"/>
          <w:szCs w:val="24"/>
        </w:rPr>
        <w:t>Iezzoni</w:t>
      </w:r>
      <w:proofErr w:type="spellEnd"/>
      <w:r w:rsidRPr="003F4FCE">
        <w:rPr>
          <w:rFonts w:ascii="Arial" w:hAnsi="Arial" w:cs="Arial"/>
          <w:szCs w:val="24"/>
        </w:rPr>
        <w:t xml:space="preserve">, “Eliminating Health and Health Care Disparities Among the Growing Population of People with Disabilities,” </w:t>
      </w:r>
      <w:r w:rsidRPr="00810A1D">
        <w:rPr>
          <w:rFonts w:ascii="Arial" w:hAnsi="Arial" w:cs="Arial"/>
          <w:i/>
          <w:szCs w:val="24"/>
        </w:rPr>
        <w:t>Health Affairs</w:t>
      </w:r>
      <w:r w:rsidRPr="003F4FCE">
        <w:rPr>
          <w:rFonts w:ascii="Arial" w:hAnsi="Arial" w:cs="Arial"/>
          <w:szCs w:val="24"/>
        </w:rPr>
        <w:t xml:space="preserve"> 30, no. 10 (2011): 1947–54; L. I. </w:t>
      </w:r>
      <w:proofErr w:type="spellStart"/>
      <w:r w:rsidRPr="003F4FCE">
        <w:rPr>
          <w:rFonts w:ascii="Arial" w:hAnsi="Arial" w:cs="Arial"/>
          <w:szCs w:val="24"/>
        </w:rPr>
        <w:t>Iezzoni</w:t>
      </w:r>
      <w:proofErr w:type="spellEnd"/>
      <w:r w:rsidRPr="003F4FCE">
        <w:rPr>
          <w:rFonts w:ascii="Arial" w:hAnsi="Arial" w:cs="Arial"/>
          <w:szCs w:val="24"/>
        </w:rPr>
        <w:t xml:space="preserve"> et al., “Trends in U.S. Adult Chronic Disability Rates over Time,” </w:t>
      </w:r>
      <w:r w:rsidRPr="00810A1D">
        <w:rPr>
          <w:rFonts w:ascii="Arial" w:hAnsi="Arial" w:cs="Arial"/>
          <w:i/>
          <w:szCs w:val="24"/>
        </w:rPr>
        <w:t>Disability and Health Journal</w:t>
      </w:r>
      <w:r w:rsidRPr="003F4FCE">
        <w:rPr>
          <w:rFonts w:ascii="Arial" w:hAnsi="Arial" w:cs="Arial"/>
          <w:szCs w:val="24"/>
        </w:rPr>
        <w:t xml:space="preserve"> 7, no. 4 (2014): 402–12. </w:t>
      </w:r>
    </w:p>
  </w:endnote>
  <w:endnote w:id="4">
    <w:p w14:paraId="4C88C4B5"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vertAlign w:val="superscript"/>
        </w:rPr>
        <w:t xml:space="preserve"> </w:t>
      </w:r>
      <w:proofErr w:type="gramStart"/>
      <w:r w:rsidRPr="003F4FCE">
        <w:rPr>
          <w:rFonts w:cs="Arial"/>
          <w:szCs w:val="24"/>
          <w:shd w:val="clear" w:color="auto" w:fill="FFFFFF"/>
        </w:rPr>
        <w:t>42 U.S.C. § 18116.</w:t>
      </w:r>
      <w:proofErr w:type="gramEnd"/>
    </w:p>
  </w:endnote>
  <w:endnote w:id="5">
    <w:p w14:paraId="3539006F"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shd w:val="clear" w:color="auto" w:fill="FFFFFF"/>
        </w:rPr>
        <w:t>42 U.S.C. § 12131 (Title II); 42 U.S.C. § 12181 (Title III).</w:t>
      </w:r>
      <w:proofErr w:type="gramEnd"/>
    </w:p>
  </w:endnote>
  <w:endnote w:id="6">
    <w:p w14:paraId="30FE2AF2"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shd w:val="clear" w:color="auto" w:fill="FFFFFF"/>
        </w:rPr>
        <w:t>29 U.S.C. § 794.</w:t>
      </w:r>
      <w:proofErr w:type="gramEnd"/>
    </w:p>
  </w:endnote>
  <w:endnote w:id="7">
    <w:p w14:paraId="7D2350F0" w14:textId="3C8A075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 xml:space="preserve">ADA National Network “Health care and the Americans with Disabilities Act,” </w:t>
      </w:r>
      <w:hyperlink r:id="rId2" w:tooltip="https://adata.org/sites/adata.org/files/files/Health%20Care%20and%20the%20ADA%20FINAL%202-11-2020.pdf" w:history="1">
        <w:r w:rsidRPr="004E1594">
          <w:rPr>
            <w:rStyle w:val="Hyperlink"/>
            <w:rFonts w:cs="Arial"/>
            <w:szCs w:val="24"/>
          </w:rPr>
          <w:t>https://adata.org/sites/adata.org/files/files/Health%20Care%20and%20the%20ADA%20FINAL%202-11-2020.pdf</w:t>
        </w:r>
      </w:hyperlink>
      <w:r w:rsidRPr="003F4FCE">
        <w:rPr>
          <w:rFonts w:cs="Arial"/>
          <w:szCs w:val="24"/>
        </w:rPr>
        <w:t>.</w:t>
      </w:r>
      <w:proofErr w:type="gramEnd"/>
    </w:p>
  </w:endnote>
  <w:endnote w:id="8">
    <w:p w14:paraId="4EE5037E" w14:textId="77777777" w:rsidR="00760F6D" w:rsidRPr="003F4FCE" w:rsidRDefault="00760F6D" w:rsidP="003F4FCE">
      <w:pPr>
        <w:tabs>
          <w:tab w:val="left" w:pos="90"/>
        </w:tabs>
        <w:spacing w:after="200" w:line="240" w:lineRule="auto"/>
        <w:rPr>
          <w:rFonts w:ascii="Arial" w:hAnsi="Arial" w:cs="Arial"/>
          <w:szCs w:val="24"/>
        </w:rPr>
      </w:pPr>
      <w:r w:rsidRPr="003F4FCE">
        <w:rPr>
          <w:rStyle w:val="EndnoteReference"/>
          <w:rFonts w:cs="Arial"/>
          <w:szCs w:val="24"/>
        </w:rPr>
        <w:endnoteRef/>
      </w:r>
      <w:r w:rsidRPr="003F4FCE">
        <w:rPr>
          <w:rFonts w:ascii="Arial" w:hAnsi="Arial" w:cs="Arial"/>
          <w:szCs w:val="24"/>
        </w:rPr>
        <w:t xml:space="preserve"> N. R. </w:t>
      </w:r>
      <w:proofErr w:type="spellStart"/>
      <w:r w:rsidRPr="003F4FCE">
        <w:rPr>
          <w:rFonts w:ascii="Arial" w:hAnsi="Arial" w:cs="Arial"/>
          <w:szCs w:val="24"/>
        </w:rPr>
        <w:t>Mudrick</w:t>
      </w:r>
      <w:proofErr w:type="spellEnd"/>
      <w:r w:rsidRPr="003F4FCE">
        <w:rPr>
          <w:rFonts w:ascii="Arial" w:hAnsi="Arial" w:cs="Arial"/>
          <w:szCs w:val="24"/>
        </w:rPr>
        <w:t xml:space="preserve"> et al., “Physical Accessibility in Primary Health Care Settings: Results from California On-site Reviews,” </w:t>
      </w:r>
      <w:r w:rsidRPr="00810A1D">
        <w:rPr>
          <w:rFonts w:ascii="Arial" w:hAnsi="Arial" w:cs="Arial"/>
          <w:i/>
          <w:szCs w:val="24"/>
        </w:rPr>
        <w:t>Disability and Health Journal</w:t>
      </w:r>
      <w:r w:rsidRPr="003F4FCE">
        <w:rPr>
          <w:rFonts w:ascii="Arial" w:hAnsi="Arial" w:cs="Arial"/>
          <w:szCs w:val="24"/>
        </w:rPr>
        <w:t xml:space="preserve"> 5, no. 3 (2012): 159–67; T. </w:t>
      </w:r>
      <w:proofErr w:type="spellStart"/>
      <w:r w:rsidRPr="003F4FCE">
        <w:rPr>
          <w:rFonts w:ascii="Arial" w:hAnsi="Arial" w:cs="Arial"/>
          <w:szCs w:val="24"/>
        </w:rPr>
        <w:t>Lagu</w:t>
      </w:r>
      <w:proofErr w:type="spellEnd"/>
      <w:r w:rsidRPr="003F4FCE">
        <w:rPr>
          <w:rFonts w:ascii="Arial" w:hAnsi="Arial" w:cs="Arial"/>
          <w:szCs w:val="24"/>
        </w:rPr>
        <w:t xml:space="preserve"> et al., “Access to Subspecialty Care for Patients with Mobility Impairment: A Survey,” </w:t>
      </w:r>
      <w:r w:rsidRPr="00810A1D">
        <w:rPr>
          <w:rFonts w:ascii="Arial" w:hAnsi="Arial" w:cs="Arial"/>
          <w:i/>
          <w:szCs w:val="24"/>
        </w:rPr>
        <w:t>Annals of Internal Medicine</w:t>
      </w:r>
      <w:r w:rsidRPr="003F4FCE">
        <w:rPr>
          <w:rFonts w:ascii="Arial" w:hAnsi="Arial" w:cs="Arial"/>
          <w:szCs w:val="24"/>
        </w:rPr>
        <w:t xml:space="preserve"> 158, no. 6 (2013): 441–46; G. L. </w:t>
      </w:r>
      <w:proofErr w:type="spellStart"/>
      <w:r w:rsidRPr="003F4FCE">
        <w:rPr>
          <w:rFonts w:ascii="Arial" w:hAnsi="Arial" w:cs="Arial"/>
          <w:szCs w:val="24"/>
        </w:rPr>
        <w:t>Krahn</w:t>
      </w:r>
      <w:proofErr w:type="spellEnd"/>
      <w:r w:rsidRPr="003F4FCE">
        <w:rPr>
          <w:rFonts w:ascii="Arial" w:hAnsi="Arial" w:cs="Arial"/>
          <w:szCs w:val="24"/>
        </w:rPr>
        <w:t xml:space="preserve"> et al., “Persons with Disabilities as an Unrecognized Health Disparity Population,” </w:t>
      </w:r>
      <w:r w:rsidRPr="00810A1D">
        <w:rPr>
          <w:rFonts w:ascii="Arial" w:hAnsi="Arial" w:cs="Arial"/>
          <w:i/>
          <w:szCs w:val="24"/>
        </w:rPr>
        <w:t>American Journal of Public Health</w:t>
      </w:r>
      <w:r w:rsidRPr="003F4FCE">
        <w:rPr>
          <w:rFonts w:ascii="Arial" w:hAnsi="Arial" w:cs="Arial"/>
          <w:szCs w:val="24"/>
        </w:rPr>
        <w:t xml:space="preserve"> 105, no. S2 (2015): S198–206; M. M. </w:t>
      </w:r>
      <w:proofErr w:type="spellStart"/>
      <w:r w:rsidRPr="003F4FCE">
        <w:rPr>
          <w:rFonts w:ascii="Arial" w:hAnsi="Arial" w:cs="Arial"/>
          <w:szCs w:val="24"/>
        </w:rPr>
        <w:t>McDoom</w:t>
      </w:r>
      <w:proofErr w:type="spellEnd"/>
      <w:r w:rsidRPr="003F4FCE">
        <w:rPr>
          <w:rFonts w:ascii="Arial" w:hAnsi="Arial" w:cs="Arial"/>
          <w:szCs w:val="24"/>
        </w:rPr>
        <w:t xml:space="preserve"> et al., “Barriers to Accessible Health Care for Medicaid Eligible People with Disabilities: A Comparative Analysis,” </w:t>
      </w:r>
      <w:r w:rsidRPr="00810A1D">
        <w:rPr>
          <w:rFonts w:ascii="Arial" w:hAnsi="Arial" w:cs="Arial"/>
          <w:i/>
          <w:szCs w:val="24"/>
        </w:rPr>
        <w:t>Journal of Disability Policy Studies</w:t>
      </w:r>
      <w:r w:rsidRPr="003F4FCE">
        <w:rPr>
          <w:rFonts w:ascii="Arial" w:hAnsi="Arial" w:cs="Arial"/>
          <w:szCs w:val="24"/>
        </w:rPr>
        <w:t xml:space="preserve"> 25, no. 3 (2014): 154–63; E. </w:t>
      </w:r>
      <w:proofErr w:type="spellStart"/>
      <w:r w:rsidRPr="003F4FCE">
        <w:rPr>
          <w:rFonts w:ascii="Arial" w:hAnsi="Arial" w:cs="Arial"/>
          <w:szCs w:val="24"/>
        </w:rPr>
        <w:t>Mahmoudi</w:t>
      </w:r>
      <w:proofErr w:type="spellEnd"/>
      <w:r w:rsidRPr="003F4FCE">
        <w:rPr>
          <w:rFonts w:ascii="Arial" w:hAnsi="Arial" w:cs="Arial"/>
          <w:szCs w:val="24"/>
        </w:rPr>
        <w:t xml:space="preserve"> and M. A. Meade, “Disparities in Access to Health Care Among Adults with Physical Disabilities: Analysis of a Representative National Sample for a Ten-Year Period,” </w:t>
      </w:r>
      <w:r w:rsidRPr="00810A1D">
        <w:rPr>
          <w:rFonts w:ascii="Arial" w:hAnsi="Arial" w:cs="Arial"/>
          <w:i/>
          <w:szCs w:val="24"/>
        </w:rPr>
        <w:t>Disability and Health Journal</w:t>
      </w:r>
      <w:r w:rsidRPr="003F4FCE">
        <w:rPr>
          <w:rFonts w:ascii="Arial" w:hAnsi="Arial" w:cs="Arial"/>
          <w:szCs w:val="24"/>
        </w:rPr>
        <w:t xml:space="preserve"> 8, no. 2 (2015): 182–90; F. M. </w:t>
      </w:r>
      <w:proofErr w:type="spellStart"/>
      <w:r w:rsidRPr="003F4FCE">
        <w:rPr>
          <w:rFonts w:ascii="Arial" w:hAnsi="Arial" w:cs="Arial"/>
          <w:szCs w:val="24"/>
        </w:rPr>
        <w:t>Chevarley</w:t>
      </w:r>
      <w:proofErr w:type="spellEnd"/>
      <w:r w:rsidRPr="003F4FCE">
        <w:rPr>
          <w:rFonts w:ascii="Arial" w:hAnsi="Arial" w:cs="Arial"/>
          <w:szCs w:val="24"/>
        </w:rPr>
        <w:t xml:space="preserve"> et al., “Health, Preventive Health Care, and Health Care Access Among Women with Disabilities in the 1994–1995 National Health Interview Survey, Supplement on Disability,” </w:t>
      </w:r>
      <w:r w:rsidRPr="00810A1D">
        <w:rPr>
          <w:rFonts w:ascii="Arial" w:hAnsi="Arial" w:cs="Arial"/>
          <w:i/>
          <w:szCs w:val="24"/>
        </w:rPr>
        <w:t>Women’s Health Issues</w:t>
      </w:r>
      <w:r w:rsidRPr="003F4FCE">
        <w:rPr>
          <w:rFonts w:ascii="Arial" w:hAnsi="Arial" w:cs="Arial"/>
          <w:szCs w:val="24"/>
        </w:rPr>
        <w:t xml:space="preserve"> 16, no. 6 (2006): 297–312; L. I. </w:t>
      </w:r>
      <w:proofErr w:type="spellStart"/>
      <w:r w:rsidRPr="003F4FCE">
        <w:rPr>
          <w:rFonts w:ascii="Arial" w:hAnsi="Arial" w:cs="Arial"/>
          <w:szCs w:val="24"/>
        </w:rPr>
        <w:t>Iezzoni</w:t>
      </w:r>
      <w:proofErr w:type="spellEnd"/>
      <w:r w:rsidRPr="003F4FCE">
        <w:rPr>
          <w:rFonts w:ascii="Arial" w:hAnsi="Arial" w:cs="Arial"/>
          <w:szCs w:val="24"/>
        </w:rPr>
        <w:t xml:space="preserve"> et al., “Physical Accessibility of Routine Prenatal Care for Women with Mobility Disability,” </w:t>
      </w:r>
      <w:r w:rsidRPr="00810A1D">
        <w:rPr>
          <w:rFonts w:ascii="Arial" w:hAnsi="Arial" w:cs="Arial"/>
          <w:i/>
          <w:szCs w:val="24"/>
        </w:rPr>
        <w:t xml:space="preserve">Journal of Women’s Health </w:t>
      </w:r>
      <w:r w:rsidRPr="003F4FCE">
        <w:rPr>
          <w:rFonts w:ascii="Arial" w:hAnsi="Arial" w:cs="Arial"/>
          <w:iCs/>
          <w:szCs w:val="24"/>
        </w:rPr>
        <w:t>24, no. 12</w:t>
      </w:r>
      <w:r w:rsidRPr="003F4FCE">
        <w:rPr>
          <w:rFonts w:ascii="Arial" w:hAnsi="Arial" w:cs="Arial"/>
          <w:szCs w:val="24"/>
        </w:rPr>
        <w:t xml:space="preserve"> (2015): 1006–12; National Council on Disability, </w:t>
      </w:r>
      <w:r w:rsidRPr="00810A1D">
        <w:rPr>
          <w:rFonts w:ascii="Arial" w:hAnsi="Arial" w:cs="Arial"/>
          <w:i/>
          <w:iCs/>
          <w:szCs w:val="24"/>
        </w:rPr>
        <w:t xml:space="preserve">The Current State of Health Care for People with Disabilities </w:t>
      </w:r>
      <w:r w:rsidRPr="003F4FCE">
        <w:rPr>
          <w:rFonts w:ascii="Arial" w:hAnsi="Arial" w:cs="Arial"/>
          <w:szCs w:val="24"/>
        </w:rPr>
        <w:t xml:space="preserve">(Washington, DC: National Council on Disability, 2009); L. </w:t>
      </w:r>
      <w:proofErr w:type="spellStart"/>
      <w:r w:rsidRPr="003F4FCE">
        <w:rPr>
          <w:rFonts w:ascii="Arial" w:hAnsi="Arial" w:cs="Arial"/>
          <w:szCs w:val="24"/>
        </w:rPr>
        <w:t>Ramjan</w:t>
      </w:r>
      <w:proofErr w:type="spellEnd"/>
      <w:r w:rsidRPr="003F4FCE">
        <w:rPr>
          <w:rFonts w:ascii="Arial" w:hAnsi="Arial" w:cs="Arial"/>
          <w:szCs w:val="24"/>
        </w:rPr>
        <w:t xml:space="preserve"> et al., “Barriers to Breast and Cervical Cancer Screening for Women with Physical Disability: A Review,” </w:t>
      </w:r>
      <w:r w:rsidRPr="00810A1D">
        <w:rPr>
          <w:rFonts w:ascii="Arial" w:hAnsi="Arial" w:cs="Arial"/>
          <w:i/>
          <w:szCs w:val="24"/>
        </w:rPr>
        <w:t>Women and Health</w:t>
      </w:r>
      <w:r w:rsidRPr="003F4FCE">
        <w:rPr>
          <w:rFonts w:ascii="Arial" w:hAnsi="Arial" w:cs="Arial"/>
          <w:szCs w:val="24"/>
        </w:rPr>
        <w:t xml:space="preserve"> 56, no. 2 (2016): 141–56. </w:t>
      </w:r>
    </w:p>
  </w:endnote>
  <w:endnote w:id="9">
    <w:p w14:paraId="42C3DFCD" w14:textId="77777777" w:rsidR="00760F6D" w:rsidRPr="003F4FCE" w:rsidRDefault="00760F6D" w:rsidP="003F4FCE">
      <w:pPr>
        <w:tabs>
          <w:tab w:val="left" w:pos="90"/>
        </w:tabs>
        <w:spacing w:after="200" w:line="240" w:lineRule="auto"/>
        <w:rPr>
          <w:rFonts w:ascii="Arial" w:hAnsi="Arial" w:cs="Arial"/>
          <w:szCs w:val="24"/>
        </w:rPr>
      </w:pPr>
      <w:r w:rsidRPr="003F4FCE">
        <w:rPr>
          <w:rStyle w:val="EndnoteReference"/>
          <w:rFonts w:cs="Arial"/>
          <w:szCs w:val="24"/>
        </w:rPr>
        <w:endnoteRef/>
      </w:r>
      <w:r w:rsidRPr="003F4FCE">
        <w:rPr>
          <w:rFonts w:ascii="Arial" w:hAnsi="Arial" w:cs="Arial"/>
          <w:szCs w:val="24"/>
        </w:rPr>
        <w:t xml:space="preserve"> L. I. </w:t>
      </w:r>
      <w:proofErr w:type="spellStart"/>
      <w:r w:rsidRPr="003F4FCE">
        <w:rPr>
          <w:rFonts w:ascii="Arial" w:hAnsi="Arial" w:cs="Arial"/>
          <w:szCs w:val="24"/>
        </w:rPr>
        <w:t>Iezzoni</w:t>
      </w:r>
      <w:proofErr w:type="spellEnd"/>
      <w:r w:rsidRPr="003F4FCE">
        <w:rPr>
          <w:rFonts w:ascii="Arial" w:hAnsi="Arial" w:cs="Arial"/>
          <w:szCs w:val="24"/>
        </w:rPr>
        <w:t xml:space="preserve">, “Eliminating Health and Health Care Disparities Among the Growing Population of People with Disabilities,” </w:t>
      </w:r>
      <w:r w:rsidRPr="00810A1D">
        <w:rPr>
          <w:rFonts w:ascii="Arial" w:hAnsi="Arial" w:cs="Arial"/>
          <w:i/>
          <w:szCs w:val="24"/>
        </w:rPr>
        <w:t>Health Affairs</w:t>
      </w:r>
      <w:r w:rsidRPr="003F4FCE">
        <w:rPr>
          <w:rFonts w:ascii="Arial" w:hAnsi="Arial" w:cs="Arial"/>
          <w:szCs w:val="24"/>
        </w:rPr>
        <w:t xml:space="preserve"> 30, no. 10 (2011): 1947–54; L. </w:t>
      </w:r>
      <w:proofErr w:type="spellStart"/>
      <w:r w:rsidRPr="003F4FCE">
        <w:rPr>
          <w:rFonts w:ascii="Arial" w:hAnsi="Arial" w:cs="Arial"/>
          <w:szCs w:val="24"/>
        </w:rPr>
        <w:t>Ramjan</w:t>
      </w:r>
      <w:proofErr w:type="spellEnd"/>
      <w:r w:rsidRPr="003F4FCE">
        <w:rPr>
          <w:rFonts w:ascii="Arial" w:hAnsi="Arial" w:cs="Arial"/>
          <w:szCs w:val="24"/>
        </w:rPr>
        <w:t xml:space="preserve"> et al., “Barriers to Breast and Cervical Cancer Screening for Women with Physical Disability: A Review,” </w:t>
      </w:r>
      <w:r w:rsidRPr="00810A1D">
        <w:rPr>
          <w:rFonts w:ascii="Arial" w:hAnsi="Arial" w:cs="Arial"/>
          <w:i/>
          <w:szCs w:val="24"/>
        </w:rPr>
        <w:t>Women and Health</w:t>
      </w:r>
      <w:r w:rsidRPr="003F4FCE">
        <w:rPr>
          <w:rFonts w:ascii="Arial" w:hAnsi="Arial" w:cs="Arial"/>
          <w:szCs w:val="24"/>
        </w:rPr>
        <w:t xml:space="preserve"> 56, no. 2 (2016): 141–56; J. R. Pharr et al., “Health Disparities Experienced by People with Disabilities in the United States: A Behavioral Risk Factor Surveillance System Study,” </w:t>
      </w:r>
      <w:r w:rsidRPr="00810A1D">
        <w:rPr>
          <w:rFonts w:ascii="Arial" w:hAnsi="Arial" w:cs="Arial"/>
          <w:i/>
          <w:szCs w:val="24"/>
        </w:rPr>
        <w:t>Global Journal of Health Science</w:t>
      </w:r>
      <w:r w:rsidRPr="003F4FCE">
        <w:rPr>
          <w:rFonts w:ascii="Arial" w:hAnsi="Arial" w:cs="Arial"/>
          <w:szCs w:val="24"/>
        </w:rPr>
        <w:t xml:space="preserve"> 4, no. 6 (2012): 99. </w:t>
      </w:r>
    </w:p>
  </w:endnote>
  <w:endnote w:id="10">
    <w:p w14:paraId="6F6D8BF1" w14:textId="77777777" w:rsidR="00760F6D" w:rsidRPr="003F4FCE" w:rsidRDefault="00760F6D" w:rsidP="003F4FCE">
      <w:pPr>
        <w:tabs>
          <w:tab w:val="left" w:pos="180"/>
        </w:tabs>
        <w:spacing w:after="200" w:line="240" w:lineRule="auto"/>
        <w:rPr>
          <w:rFonts w:ascii="Arial" w:hAnsi="Arial" w:cs="Arial"/>
          <w:szCs w:val="24"/>
        </w:rPr>
      </w:pPr>
      <w:r w:rsidRPr="003F4FCE">
        <w:rPr>
          <w:rStyle w:val="EndnoteReference"/>
          <w:rFonts w:cs="Arial"/>
          <w:szCs w:val="24"/>
        </w:rPr>
        <w:endnoteRef/>
      </w:r>
      <w:r w:rsidRPr="003F4FCE">
        <w:rPr>
          <w:rFonts w:ascii="Arial" w:hAnsi="Arial" w:cs="Arial"/>
          <w:szCs w:val="24"/>
        </w:rPr>
        <w:t xml:space="preserve"> M. F. Story et al., “Perspectives of Patients with Disabilities on the Accessibility of Medical Equipment: Examination Tables, Imaging Equipment, Medical Chairs, and Weight Scales,” </w:t>
      </w:r>
      <w:r w:rsidRPr="00810A1D">
        <w:rPr>
          <w:rFonts w:ascii="Arial" w:hAnsi="Arial" w:cs="Arial"/>
          <w:i/>
          <w:iCs/>
          <w:szCs w:val="24"/>
        </w:rPr>
        <w:t>Disability and Health Journal</w:t>
      </w:r>
      <w:r w:rsidRPr="003F4FCE">
        <w:rPr>
          <w:rFonts w:ascii="Arial" w:hAnsi="Arial" w:cs="Arial"/>
          <w:szCs w:val="24"/>
        </w:rPr>
        <w:t xml:space="preserve"> 2, no. 4 (2009): 169–79.e161; K. L. </w:t>
      </w:r>
      <w:proofErr w:type="spellStart"/>
      <w:r w:rsidRPr="003F4FCE">
        <w:rPr>
          <w:rFonts w:ascii="Arial" w:hAnsi="Arial" w:cs="Arial"/>
          <w:szCs w:val="24"/>
        </w:rPr>
        <w:t>Kirschner</w:t>
      </w:r>
      <w:proofErr w:type="spellEnd"/>
      <w:r w:rsidRPr="003F4FCE">
        <w:rPr>
          <w:rFonts w:ascii="Arial" w:hAnsi="Arial" w:cs="Arial"/>
          <w:szCs w:val="24"/>
        </w:rPr>
        <w:t xml:space="preserve"> et al., “Structural Impairments That Limit Access to Health Care for Patients with Disabilities,” </w:t>
      </w:r>
      <w:r w:rsidRPr="00810A1D">
        <w:rPr>
          <w:rFonts w:ascii="Arial" w:hAnsi="Arial" w:cs="Arial"/>
          <w:i/>
          <w:szCs w:val="24"/>
        </w:rPr>
        <w:t xml:space="preserve">JAMA </w:t>
      </w:r>
      <w:r w:rsidRPr="003F4FCE">
        <w:rPr>
          <w:rFonts w:ascii="Arial" w:hAnsi="Arial" w:cs="Arial"/>
          <w:szCs w:val="24"/>
        </w:rPr>
        <w:t xml:space="preserve">297, no. 10 (2007): 1121–25. </w:t>
      </w:r>
    </w:p>
  </w:endnote>
  <w:endnote w:id="11">
    <w:p w14:paraId="589E9FE6"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C. Griffin </w:t>
      </w:r>
      <w:proofErr w:type="spellStart"/>
      <w:r w:rsidRPr="003F4FCE">
        <w:rPr>
          <w:rFonts w:cs="Arial"/>
          <w:szCs w:val="24"/>
        </w:rPr>
        <w:t>Basas</w:t>
      </w:r>
      <w:proofErr w:type="spellEnd"/>
      <w:r w:rsidRPr="003F4FCE">
        <w:rPr>
          <w:rFonts w:cs="Arial"/>
          <w:szCs w:val="24"/>
        </w:rPr>
        <w:t xml:space="preserve">, </w:t>
      </w:r>
      <w:bookmarkStart w:id="84" w:name="_Hlk24097969"/>
      <w:r w:rsidRPr="003F4FCE">
        <w:rPr>
          <w:rFonts w:cs="Arial"/>
          <w:szCs w:val="24"/>
        </w:rPr>
        <w:t>“Advocacy Fatigue: Self-Care, Protest, and Educational Equity</w:t>
      </w:r>
      <w:bookmarkEnd w:id="84"/>
      <w:r w:rsidRPr="003F4FCE">
        <w:rPr>
          <w:rFonts w:cs="Arial"/>
          <w:szCs w:val="24"/>
        </w:rPr>
        <w:t xml:space="preserve">,” </w:t>
      </w:r>
      <w:r w:rsidRPr="00810A1D">
        <w:rPr>
          <w:rFonts w:cs="Arial"/>
          <w:i/>
          <w:szCs w:val="24"/>
        </w:rPr>
        <w:t>Windsor Yearbook of Access Justice</w:t>
      </w:r>
      <w:r w:rsidRPr="003F4FCE">
        <w:rPr>
          <w:rFonts w:cs="Arial"/>
          <w:szCs w:val="24"/>
        </w:rPr>
        <w:t xml:space="preserve"> 32 (2015): 37.</w:t>
      </w:r>
    </w:p>
  </w:endnote>
  <w:endnote w:id="12">
    <w:p w14:paraId="54A75CB0"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A. </w:t>
      </w:r>
      <w:proofErr w:type="spellStart"/>
      <w:r w:rsidRPr="003F4FCE">
        <w:rPr>
          <w:rFonts w:cs="Arial"/>
          <w:szCs w:val="24"/>
        </w:rPr>
        <w:t>Reichard</w:t>
      </w:r>
      <w:proofErr w:type="spellEnd"/>
      <w:r w:rsidRPr="003F4FCE">
        <w:rPr>
          <w:rFonts w:cs="Arial"/>
          <w:szCs w:val="24"/>
        </w:rPr>
        <w:t xml:space="preserve"> et al., “</w:t>
      </w:r>
      <w:r w:rsidRPr="003F4FCE">
        <w:rPr>
          <w:rFonts w:cs="Arial"/>
          <w:iCs/>
          <w:szCs w:val="24"/>
        </w:rPr>
        <w:t xml:space="preserve">Prevalence and Reasons for Delaying and Foregoing Necessary Care by the Presence and Type of Disability </w:t>
      </w:r>
      <w:proofErr w:type="gramStart"/>
      <w:r w:rsidRPr="003F4FCE">
        <w:rPr>
          <w:rFonts w:cs="Arial"/>
          <w:iCs/>
          <w:szCs w:val="24"/>
        </w:rPr>
        <w:t>Among</w:t>
      </w:r>
      <w:proofErr w:type="gramEnd"/>
      <w:r w:rsidRPr="003F4FCE">
        <w:rPr>
          <w:rFonts w:cs="Arial"/>
          <w:iCs/>
          <w:szCs w:val="24"/>
        </w:rPr>
        <w:t xml:space="preserve"> Working-Age Adults,” </w:t>
      </w:r>
      <w:r w:rsidRPr="00810A1D">
        <w:rPr>
          <w:rFonts w:cs="Arial"/>
          <w:i/>
          <w:iCs/>
          <w:szCs w:val="24"/>
        </w:rPr>
        <w:t>Disability and Health Journal</w:t>
      </w:r>
      <w:r w:rsidRPr="003F4FCE">
        <w:rPr>
          <w:rFonts w:cs="Arial"/>
          <w:szCs w:val="24"/>
        </w:rPr>
        <w:t xml:space="preserve"> 10, no. 1 (2017): 39–47.</w:t>
      </w:r>
    </w:p>
  </w:endnote>
  <w:endnote w:id="13">
    <w:p w14:paraId="753394F6"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Patient Protection and Affordable Care Act, Pub. L. 111-148, 124 Stat. 570 (March 23, 2010). Codified at 29 U.S.C. § 794f. </w:t>
      </w:r>
    </w:p>
  </w:endnote>
  <w:endnote w:id="14">
    <w:p w14:paraId="267C9709" w14:textId="0D3B706D"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Standards for Accessible Medical Diagnostic Equipment, 82 Fed.</w:t>
      </w:r>
      <w:proofErr w:type="gramEnd"/>
      <w:r w:rsidRPr="003F4FCE">
        <w:rPr>
          <w:rFonts w:cs="Arial"/>
          <w:szCs w:val="24"/>
        </w:rPr>
        <w:t xml:space="preserve"> Reg. 2810 (January 9, 2017). The Final Rule establishing the accessible MDE Standards was published five years later than mandated by the ACA.</w:t>
      </w:r>
    </w:p>
  </w:endnote>
  <w:endnote w:id="15">
    <w:p w14:paraId="646738E1" w14:textId="3C54B3FB"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80 Fed.</w:t>
      </w:r>
      <w:proofErr w:type="gramEnd"/>
      <w:r w:rsidRPr="003F4FCE">
        <w:rPr>
          <w:rFonts w:cs="Arial"/>
          <w:szCs w:val="24"/>
        </w:rPr>
        <w:t xml:space="preserve"> Reg. 54172, 54187 (Sept. 8, 2015).</w:t>
      </w:r>
    </w:p>
  </w:endnote>
  <w:endnote w:id="16">
    <w:p w14:paraId="3A63317C" w14:textId="1889685F"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85 Fed.</w:t>
      </w:r>
      <w:proofErr w:type="gramEnd"/>
      <w:r w:rsidRPr="003F4FCE">
        <w:rPr>
          <w:rFonts w:cs="Arial"/>
          <w:szCs w:val="24"/>
        </w:rPr>
        <w:t xml:space="preserve"> Reg. 37160 (June 19, 2020).</w:t>
      </w:r>
    </w:p>
  </w:endnote>
  <w:endnote w:id="17">
    <w:p w14:paraId="0A6E2F00"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810A1D">
        <w:rPr>
          <w:rFonts w:cs="Arial"/>
          <w:i/>
          <w:iCs/>
          <w:szCs w:val="24"/>
        </w:rPr>
        <w:t>Id</w:t>
      </w:r>
      <w:r w:rsidRPr="003F4FCE">
        <w:rPr>
          <w:rFonts w:cs="Arial"/>
          <w:szCs w:val="24"/>
        </w:rPr>
        <w:t>. at 37215.</w:t>
      </w:r>
      <w:proofErr w:type="gramEnd"/>
    </w:p>
  </w:endnote>
  <w:endnote w:id="18">
    <w:p w14:paraId="71F0DC28" w14:textId="6A75C339"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Nondiscrimination on the Basis of Disability; Notice of Withdrawal of Four Previously Announced Rulemaking Actions, 82 Fed.</w:t>
      </w:r>
      <w:proofErr w:type="gramEnd"/>
      <w:r w:rsidRPr="003F4FCE">
        <w:rPr>
          <w:rFonts w:cs="Arial"/>
          <w:szCs w:val="24"/>
        </w:rPr>
        <w:t xml:space="preserve"> Reg. 60932 (Dec. 26, 2017).</w:t>
      </w:r>
    </w:p>
  </w:endnote>
  <w:endnote w:id="19">
    <w:p w14:paraId="2BF92653" w14:textId="52C6A0C1" w:rsidR="00760F6D" w:rsidRPr="003F4FCE" w:rsidRDefault="00760F6D" w:rsidP="003F4FCE">
      <w:pPr>
        <w:pStyle w:val="CommentText"/>
        <w:spacing w:after="200"/>
        <w:rPr>
          <w:sz w:val="24"/>
          <w:szCs w:val="24"/>
        </w:rPr>
      </w:pPr>
      <w:r w:rsidRPr="003F4FCE">
        <w:rPr>
          <w:rStyle w:val="EndnoteReference"/>
          <w:szCs w:val="24"/>
        </w:rPr>
        <w:endnoteRef/>
      </w:r>
      <w:r w:rsidRPr="003F4FCE">
        <w:rPr>
          <w:sz w:val="24"/>
          <w:szCs w:val="24"/>
        </w:rPr>
        <w:t xml:space="preserve"> Executive Order 13771—Reducing Regulation and Controlling Regulatory Costs, 82 Fed. Reg. 9339 (Feb. 3, 2017). </w:t>
      </w:r>
      <w:r w:rsidRPr="006E5BC4">
        <w:rPr>
          <w:sz w:val="24"/>
          <w:szCs w:val="24"/>
        </w:rPr>
        <w:t>E.O. 13771 was revoked by President Biden on January 20, 2021.</w:t>
      </w:r>
      <w:r w:rsidRPr="00810A1D">
        <w:rPr>
          <w:i/>
          <w:sz w:val="24"/>
          <w:szCs w:val="24"/>
        </w:rPr>
        <w:t xml:space="preserve"> </w:t>
      </w:r>
      <w:hyperlink r:id="rId3" w:history="1">
        <w:r w:rsidR="006E5BC4" w:rsidRPr="00C8541F">
          <w:rPr>
            <w:rStyle w:val="Hyperlink"/>
            <w:szCs w:val="24"/>
          </w:rPr>
          <w:t>https://www.whitehouse.gov/briefing-room/presidential-actions/2021/01/20/</w:t>
        </w:r>
        <w:r w:rsidR="006E5BC4" w:rsidRPr="00C8541F">
          <w:rPr>
            <w:rStyle w:val="Hyperlink"/>
            <w:szCs w:val="24"/>
          </w:rPr>
          <w:br/>
          <w:t>executive-order-revocation-of-certain-executive-orders-concerning-federal-regulation/</w:t>
        </w:r>
      </w:hyperlink>
      <w:r w:rsidRPr="003F4FCE">
        <w:rPr>
          <w:sz w:val="24"/>
          <w:szCs w:val="24"/>
        </w:rPr>
        <w:t xml:space="preserve"> </w:t>
      </w:r>
    </w:p>
  </w:endnote>
  <w:endnote w:id="20">
    <w:p w14:paraId="104016B9" w14:textId="783084DB" w:rsidR="00760F6D" w:rsidRPr="003F4FCE" w:rsidRDefault="00760F6D" w:rsidP="003F4FCE">
      <w:pPr>
        <w:pStyle w:val="CommentText"/>
        <w:spacing w:after="200"/>
        <w:rPr>
          <w:sz w:val="24"/>
          <w:szCs w:val="24"/>
        </w:rPr>
      </w:pPr>
      <w:r w:rsidRPr="003F4FCE">
        <w:rPr>
          <w:rStyle w:val="EndnoteReference"/>
          <w:szCs w:val="24"/>
        </w:rPr>
        <w:endnoteRef/>
      </w:r>
      <w:r w:rsidRPr="003F4FCE">
        <w:rPr>
          <w:sz w:val="24"/>
          <w:szCs w:val="24"/>
        </w:rPr>
        <w:t xml:space="preserve"> Also see, the Federal Government’s Regulatory Reform, Regulatory Budget for Fiscal Years </w:t>
      </w:r>
      <w:r w:rsidRPr="003F4FCE">
        <w:rPr>
          <w:rStyle w:val="Hyperlink"/>
          <w:color w:val="auto"/>
          <w:szCs w:val="24"/>
        </w:rPr>
        <w:t>2019</w:t>
      </w:r>
      <w:r w:rsidRPr="003F4FCE">
        <w:rPr>
          <w:sz w:val="24"/>
          <w:szCs w:val="24"/>
        </w:rPr>
        <w:t xml:space="preserve"> and </w:t>
      </w:r>
      <w:r w:rsidRPr="003F4FCE">
        <w:rPr>
          <w:rStyle w:val="Hyperlink"/>
          <w:color w:val="auto"/>
          <w:szCs w:val="24"/>
        </w:rPr>
        <w:t>2020</w:t>
      </w:r>
      <w:r w:rsidRPr="003F4FCE">
        <w:rPr>
          <w:sz w:val="24"/>
          <w:szCs w:val="24"/>
        </w:rPr>
        <w:t xml:space="preserve">, which set the DOJ’s regulatory budget to $0. </w:t>
      </w:r>
      <w:hyperlink r:id="rId4" w:tooltip="https://www.reginfo.gov/public/pdf/eo13771/EO_13771_Regulatory_Budget_for_Fiscal_Year_2019.pdf" w:history="1">
        <w:proofErr w:type="gramStart"/>
        <w:r w:rsidRPr="004E1594">
          <w:rPr>
            <w:rStyle w:val="Hyperlink"/>
            <w:szCs w:val="24"/>
          </w:rPr>
          <w:t>https://www.reginfo.gov/public/pdf/eo13771/EO_13771_Regulatory_Budget_for_Fiscal_Year_2019.pdf</w:t>
        </w:r>
      </w:hyperlink>
      <w:r w:rsidRPr="004E1594">
        <w:rPr>
          <w:rStyle w:val="Hyperlink"/>
          <w:szCs w:val="24"/>
        </w:rPr>
        <w:t xml:space="preserve">; </w:t>
      </w:r>
      <w:hyperlink r:id="rId5" w:tooltip="https://www.reginfo.gov/public/pdf/eo13771/EO_13771_Regulatory_Budget_for_Fiscal_Year_2020.pdf" w:history="1">
        <w:r w:rsidRPr="004E1594">
          <w:rPr>
            <w:rStyle w:val="Hyperlink"/>
            <w:szCs w:val="24"/>
          </w:rPr>
          <w:t>https://www.reginfo.gov/public/pdf/eo13771/EO_13771_Regulatory_Budget_for_Fiscal_Year_2020.pdf</w:t>
        </w:r>
      </w:hyperlink>
      <w:r w:rsidRPr="004E1594">
        <w:rPr>
          <w:rStyle w:val="Hyperlink"/>
          <w:szCs w:val="24"/>
        </w:rPr>
        <w:t>.</w:t>
      </w:r>
      <w:proofErr w:type="gramEnd"/>
    </w:p>
  </w:endnote>
  <w:endnote w:id="21">
    <w:p w14:paraId="05B45F26" w14:textId="77777777" w:rsidR="00760F6D" w:rsidRPr="003F4FCE" w:rsidRDefault="00760F6D" w:rsidP="003F4FCE">
      <w:pPr>
        <w:pStyle w:val="EndnoteText"/>
        <w:rPr>
          <w:rFonts w:cs="Arial"/>
          <w:szCs w:val="24"/>
          <w:lang w:val="fr-FR"/>
        </w:rPr>
      </w:pPr>
      <w:r w:rsidRPr="003F4FCE">
        <w:rPr>
          <w:rStyle w:val="EndnoteReference"/>
          <w:rFonts w:cs="Arial"/>
          <w:szCs w:val="24"/>
        </w:rPr>
        <w:endnoteRef/>
      </w:r>
      <w:r w:rsidRPr="003F4FCE">
        <w:rPr>
          <w:rFonts w:cs="Arial"/>
          <w:szCs w:val="24"/>
          <w:lang w:val="fr-FR"/>
        </w:rPr>
        <w:t xml:space="preserve"> </w:t>
      </w:r>
      <w:r w:rsidRPr="003F4FCE">
        <w:rPr>
          <w:rFonts w:cs="Arial"/>
          <w:szCs w:val="24"/>
          <w:shd w:val="clear" w:color="auto" w:fill="FFFFFF"/>
          <w:lang w:val="fr-FR"/>
        </w:rPr>
        <w:t>29 U.S.C. § 794.</w:t>
      </w:r>
    </w:p>
  </w:endnote>
  <w:endnote w:id="22">
    <w:p w14:paraId="3074D01E"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lang w:val="fr-FR"/>
        </w:rPr>
        <w:t xml:space="preserve"> </w:t>
      </w:r>
      <w:r w:rsidRPr="003F4FCE">
        <w:rPr>
          <w:rFonts w:cs="Arial"/>
          <w:szCs w:val="24"/>
          <w:shd w:val="clear" w:color="auto" w:fill="FFFFFF"/>
          <w:lang w:val="fr-FR"/>
        </w:rPr>
        <w:t xml:space="preserve">42 U.S.C. § 12131 et </w:t>
      </w:r>
      <w:proofErr w:type="spellStart"/>
      <w:r w:rsidRPr="003F4FCE">
        <w:rPr>
          <w:rFonts w:cs="Arial"/>
          <w:szCs w:val="24"/>
          <w:shd w:val="clear" w:color="auto" w:fill="FFFFFF"/>
          <w:lang w:val="fr-FR"/>
        </w:rPr>
        <w:t>seq</w:t>
      </w:r>
      <w:proofErr w:type="spellEnd"/>
      <w:r w:rsidRPr="003F4FCE">
        <w:rPr>
          <w:rFonts w:cs="Arial"/>
          <w:szCs w:val="24"/>
          <w:shd w:val="clear" w:color="auto" w:fill="FFFFFF"/>
          <w:lang w:val="fr-FR"/>
        </w:rPr>
        <w:t xml:space="preserve">. </w:t>
      </w:r>
      <w:proofErr w:type="gramStart"/>
      <w:r w:rsidRPr="003F4FCE">
        <w:rPr>
          <w:rFonts w:cs="Arial"/>
          <w:szCs w:val="24"/>
          <w:shd w:val="clear" w:color="auto" w:fill="FFFFFF"/>
        </w:rPr>
        <w:t>(Title II); 42 U.S.C. § 12181 et seq. (Title III).</w:t>
      </w:r>
      <w:proofErr w:type="gramEnd"/>
    </w:p>
  </w:endnote>
  <w:endnote w:id="23">
    <w:p w14:paraId="782D219C" w14:textId="394A6263"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vertAlign w:val="superscript"/>
        </w:rPr>
        <w:t xml:space="preserve"> </w:t>
      </w:r>
      <w:r w:rsidRPr="003F4FCE">
        <w:rPr>
          <w:rFonts w:cs="Arial"/>
          <w:szCs w:val="24"/>
        </w:rPr>
        <w:t xml:space="preserve">Centers for Disease Control and Prevention, “Disability impacts all of us,” infographic, </w:t>
      </w:r>
      <w:hyperlink r:id="rId6" w:tooltip="https://www.cdc.gov/ncbddd/disabilityandhealth/infographic-disability-impacts-all.html" w:history="1">
        <w:r w:rsidRPr="004E1594">
          <w:rPr>
            <w:rStyle w:val="Hyperlink"/>
            <w:rFonts w:cs="Arial"/>
            <w:szCs w:val="24"/>
          </w:rPr>
          <w:t>https://www.cdc.gov/ncbddd/disabilityandhealth/infographic-disability-impacts-all.html</w:t>
        </w:r>
      </w:hyperlink>
      <w:r w:rsidRPr="004E1594">
        <w:rPr>
          <w:rStyle w:val="Hyperlink"/>
          <w:rFonts w:cs="Arial"/>
          <w:szCs w:val="24"/>
        </w:rPr>
        <w:t>.</w:t>
      </w:r>
    </w:p>
  </w:endnote>
  <w:endnote w:id="24">
    <w:p w14:paraId="3C5E9FEB" w14:textId="5A0106A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United Nations Convention on the Rights of Persons with Disabilities, Article 25, Health.</w:t>
      </w:r>
      <w:proofErr w:type="gramEnd"/>
      <w:r w:rsidRPr="003F4FCE">
        <w:rPr>
          <w:rFonts w:cs="Arial"/>
          <w:szCs w:val="24"/>
        </w:rPr>
        <w:t xml:space="preserve"> </w:t>
      </w:r>
      <w:hyperlink r:id="rId7" w:tooltip="https://www.un.org/development/desa/disabilities/convention-on-the-rights-of-persons-with-disabilities/article-25-health.html" w:history="1">
        <w:r w:rsidRPr="004E1594">
          <w:rPr>
            <w:rStyle w:val="Hyperlink"/>
            <w:rFonts w:cs="Arial"/>
            <w:szCs w:val="24"/>
          </w:rPr>
          <w:t>https://www.un.org/development/desa/disabilities/convention-on-the-rights-of-persons-with-disabilities/article-25-health.html</w:t>
        </w:r>
      </w:hyperlink>
      <w:r w:rsidRPr="004E1594">
        <w:rPr>
          <w:rStyle w:val="Hyperlink"/>
          <w:rFonts w:cs="Arial"/>
          <w:szCs w:val="24"/>
        </w:rPr>
        <w:t>.</w:t>
      </w:r>
      <w:r w:rsidRPr="003F4FCE">
        <w:rPr>
          <w:rFonts w:cs="Arial"/>
          <w:szCs w:val="24"/>
        </w:rPr>
        <w:t xml:space="preserve"> </w:t>
      </w:r>
      <w:proofErr w:type="gramStart"/>
      <w:r w:rsidRPr="003F4FCE">
        <w:rPr>
          <w:rFonts w:cs="Arial"/>
          <w:szCs w:val="24"/>
        </w:rPr>
        <w:t>Asserts that “Persons with disabilities have the right to the enjoyment of the highest attainable standard of health without discrimination on the basis of disability.”</w:t>
      </w:r>
      <w:proofErr w:type="gramEnd"/>
    </w:p>
  </w:endnote>
  <w:endnote w:id="25">
    <w:p w14:paraId="00C1CD2A" w14:textId="527579F5"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 xml:space="preserve">M. M. </w:t>
      </w:r>
      <w:proofErr w:type="spellStart"/>
      <w:r w:rsidRPr="003F4FCE">
        <w:rPr>
          <w:rFonts w:cs="Arial"/>
          <w:szCs w:val="24"/>
        </w:rPr>
        <w:t>McDoom</w:t>
      </w:r>
      <w:proofErr w:type="spellEnd"/>
      <w:r w:rsidRPr="003F4FCE">
        <w:rPr>
          <w:rFonts w:cs="Arial"/>
          <w:szCs w:val="24"/>
        </w:rPr>
        <w:t xml:space="preserve">, E. </w:t>
      </w:r>
      <w:proofErr w:type="spellStart"/>
      <w:r w:rsidRPr="003F4FCE">
        <w:rPr>
          <w:rFonts w:cs="Arial"/>
          <w:szCs w:val="24"/>
        </w:rPr>
        <w:t>Koppelman</w:t>
      </w:r>
      <w:proofErr w:type="spellEnd"/>
      <w:r w:rsidRPr="003F4FCE">
        <w:rPr>
          <w:rFonts w:cs="Arial"/>
          <w:szCs w:val="24"/>
        </w:rPr>
        <w:t>, and M.-L.</w:t>
      </w:r>
      <w:proofErr w:type="gramEnd"/>
      <w:r w:rsidRPr="003F4FCE">
        <w:rPr>
          <w:rFonts w:cs="Arial"/>
          <w:szCs w:val="24"/>
        </w:rPr>
        <w:t xml:space="preserve"> </w:t>
      </w:r>
      <w:proofErr w:type="spellStart"/>
      <w:r w:rsidRPr="003F4FCE">
        <w:rPr>
          <w:rFonts w:cs="Arial"/>
          <w:szCs w:val="24"/>
        </w:rPr>
        <w:t>Drainoni</w:t>
      </w:r>
      <w:proofErr w:type="spellEnd"/>
      <w:r w:rsidRPr="003F4FCE">
        <w:rPr>
          <w:rFonts w:cs="Arial"/>
          <w:szCs w:val="24"/>
        </w:rPr>
        <w:t>, “</w:t>
      </w:r>
      <w:r w:rsidRPr="003F4FCE">
        <w:rPr>
          <w:rFonts w:cs="Arial"/>
          <w:iCs/>
          <w:szCs w:val="24"/>
        </w:rPr>
        <w:t xml:space="preserve">Barriers to Accessible Health Care for Medicaid Eligible People with Disabilities: A Comparative Analysis,” </w:t>
      </w:r>
      <w:r w:rsidRPr="00810A1D">
        <w:rPr>
          <w:rFonts w:cs="Arial"/>
          <w:i/>
          <w:szCs w:val="24"/>
        </w:rPr>
        <w:t>Journal of Disability Policy</w:t>
      </w:r>
      <w:r w:rsidRPr="003F4FCE">
        <w:rPr>
          <w:rFonts w:cs="Arial"/>
          <w:szCs w:val="24"/>
        </w:rPr>
        <w:t xml:space="preserve"> </w:t>
      </w:r>
      <w:r w:rsidRPr="00810A1D">
        <w:rPr>
          <w:rFonts w:cs="Arial"/>
          <w:i/>
          <w:iCs/>
          <w:szCs w:val="24"/>
        </w:rPr>
        <w:t>Studies</w:t>
      </w:r>
      <w:r w:rsidRPr="003F4FCE">
        <w:rPr>
          <w:rFonts w:cs="Arial"/>
          <w:szCs w:val="24"/>
        </w:rPr>
        <w:t xml:space="preserve"> 25, no. 3 (2014): 154–63; K. L. </w:t>
      </w:r>
      <w:proofErr w:type="spellStart"/>
      <w:r w:rsidRPr="003F4FCE">
        <w:rPr>
          <w:rFonts w:cs="Arial"/>
          <w:szCs w:val="24"/>
        </w:rPr>
        <w:t>Kirschner</w:t>
      </w:r>
      <w:proofErr w:type="spellEnd"/>
      <w:r w:rsidRPr="003F4FCE">
        <w:rPr>
          <w:rFonts w:cs="Arial"/>
          <w:szCs w:val="24"/>
        </w:rPr>
        <w:t xml:space="preserve">, M. L. </w:t>
      </w:r>
      <w:proofErr w:type="spellStart"/>
      <w:r w:rsidRPr="003F4FCE">
        <w:rPr>
          <w:rFonts w:cs="Arial"/>
          <w:szCs w:val="24"/>
        </w:rPr>
        <w:t>Breslin</w:t>
      </w:r>
      <w:proofErr w:type="spellEnd"/>
      <w:r w:rsidRPr="003F4FCE">
        <w:rPr>
          <w:rFonts w:cs="Arial"/>
          <w:szCs w:val="24"/>
        </w:rPr>
        <w:t xml:space="preserve">, and L. I. </w:t>
      </w:r>
      <w:proofErr w:type="spellStart"/>
      <w:r w:rsidRPr="003F4FCE">
        <w:rPr>
          <w:rFonts w:cs="Arial"/>
          <w:szCs w:val="24"/>
        </w:rPr>
        <w:t>Iezzoni</w:t>
      </w:r>
      <w:proofErr w:type="spellEnd"/>
      <w:r w:rsidRPr="003F4FCE">
        <w:rPr>
          <w:rFonts w:cs="Arial"/>
          <w:szCs w:val="24"/>
        </w:rPr>
        <w:t xml:space="preserve">, Structural Impairments That Limit Access to Health Care for Patients with Disabilities,” </w:t>
      </w:r>
      <w:r w:rsidRPr="00810A1D">
        <w:rPr>
          <w:rFonts w:cs="Arial"/>
          <w:i/>
          <w:iCs/>
          <w:szCs w:val="24"/>
        </w:rPr>
        <w:t xml:space="preserve">JAMA </w:t>
      </w:r>
      <w:r w:rsidRPr="003F4FCE">
        <w:rPr>
          <w:rFonts w:cs="Arial"/>
          <w:szCs w:val="24"/>
        </w:rPr>
        <w:t>297, no. 10 (2007): 1121–25.</w:t>
      </w:r>
    </w:p>
  </w:endnote>
  <w:endnote w:id="26">
    <w:p w14:paraId="6196E0DB" w14:textId="7FD48098" w:rsidR="00760F6D" w:rsidRPr="003F4FCE" w:rsidRDefault="00760F6D" w:rsidP="003F4FCE">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A. Reichard et al., “</w:t>
      </w:r>
      <w:r w:rsidRPr="003F4FCE">
        <w:rPr>
          <w:rFonts w:ascii="Arial" w:hAnsi="Arial" w:cs="Arial"/>
          <w:iCs/>
          <w:sz w:val="24"/>
          <w:szCs w:val="24"/>
        </w:rPr>
        <w:t xml:space="preserve">Prevalence and Reasons for Delaying and Foregoing Necessary Care by the Presence and Type of Disability Among Working-Age Adults,” </w:t>
      </w:r>
      <w:r w:rsidRPr="00810A1D">
        <w:rPr>
          <w:rFonts w:ascii="Arial" w:hAnsi="Arial" w:cs="Arial"/>
          <w:i/>
          <w:sz w:val="24"/>
          <w:szCs w:val="24"/>
        </w:rPr>
        <w:t>Disability and Health Journal</w:t>
      </w:r>
      <w:r w:rsidRPr="003F4FCE">
        <w:rPr>
          <w:rFonts w:ascii="Arial" w:hAnsi="Arial" w:cs="Arial"/>
          <w:sz w:val="24"/>
          <w:szCs w:val="24"/>
        </w:rPr>
        <w:t xml:space="preserve"> 10, no. 1 (2017): 39–47; E. Pendo, “Reducing Disparities through Health Care Reform: Disability and Accessible Medical Equipment,” </w:t>
      </w:r>
      <w:r w:rsidRPr="00810A1D">
        <w:rPr>
          <w:rFonts w:ascii="Arial" w:hAnsi="Arial" w:cs="Arial"/>
          <w:i/>
          <w:iCs/>
          <w:sz w:val="24"/>
          <w:szCs w:val="24"/>
        </w:rPr>
        <w:t>Utah L. Rev</w:t>
      </w:r>
      <w:r w:rsidRPr="003F4FCE">
        <w:rPr>
          <w:rFonts w:ascii="Arial" w:hAnsi="Arial" w:cs="Arial"/>
          <w:sz w:val="24"/>
          <w:szCs w:val="24"/>
        </w:rPr>
        <w:t>. (2010): 1057.</w:t>
      </w:r>
    </w:p>
  </w:endnote>
  <w:endnote w:id="27">
    <w:p w14:paraId="69C09216" w14:textId="16564A32"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L. I. </w:t>
      </w:r>
      <w:proofErr w:type="spellStart"/>
      <w:r w:rsidRPr="003F4FCE">
        <w:rPr>
          <w:rFonts w:cs="Arial"/>
          <w:szCs w:val="24"/>
        </w:rPr>
        <w:t>Lezzoni</w:t>
      </w:r>
      <w:proofErr w:type="spellEnd"/>
      <w:r w:rsidRPr="003F4FCE">
        <w:rPr>
          <w:rFonts w:cs="Arial"/>
          <w:szCs w:val="24"/>
        </w:rPr>
        <w:t xml:space="preserve"> and L. M. Long-</w:t>
      </w:r>
      <w:proofErr w:type="spellStart"/>
      <w:r w:rsidRPr="003F4FCE">
        <w:rPr>
          <w:rFonts w:cs="Arial"/>
          <w:szCs w:val="24"/>
        </w:rPr>
        <w:t>Bellil</w:t>
      </w:r>
      <w:proofErr w:type="spellEnd"/>
      <w:r w:rsidRPr="003F4FCE">
        <w:rPr>
          <w:rFonts w:cs="Arial"/>
          <w:szCs w:val="24"/>
        </w:rPr>
        <w:t>, “Training Physicians About Caring for Persons with Disabilities: ‘Nothing About Us Without Us!</w:t>
      </w:r>
      <w:proofErr w:type="gramStart"/>
      <w:r w:rsidRPr="003F4FCE">
        <w:rPr>
          <w:rFonts w:cs="Arial"/>
          <w:szCs w:val="24"/>
        </w:rPr>
        <w:t>’,”</w:t>
      </w:r>
      <w:proofErr w:type="gramEnd"/>
      <w:r w:rsidRPr="00810A1D">
        <w:rPr>
          <w:rFonts w:cs="Arial"/>
          <w:i/>
          <w:szCs w:val="24"/>
        </w:rPr>
        <w:t xml:space="preserve"> Disability and Health Journal</w:t>
      </w:r>
      <w:r w:rsidRPr="003F4FCE">
        <w:rPr>
          <w:rFonts w:cs="Arial"/>
          <w:szCs w:val="24"/>
        </w:rPr>
        <w:t xml:space="preserve"> 5, no. 3 (2012): 136–39; K. L. </w:t>
      </w:r>
      <w:proofErr w:type="spellStart"/>
      <w:r w:rsidRPr="003F4FCE">
        <w:rPr>
          <w:rFonts w:cs="Arial"/>
          <w:szCs w:val="24"/>
        </w:rPr>
        <w:t>Kirschner</w:t>
      </w:r>
      <w:proofErr w:type="spellEnd"/>
      <w:r w:rsidRPr="003F4FCE">
        <w:rPr>
          <w:rFonts w:cs="Arial"/>
          <w:szCs w:val="24"/>
        </w:rPr>
        <w:t xml:space="preserve"> and R. H. Curry, “</w:t>
      </w:r>
      <w:r w:rsidRPr="003F4FCE">
        <w:rPr>
          <w:rFonts w:cs="Arial"/>
          <w:iCs/>
          <w:szCs w:val="24"/>
        </w:rPr>
        <w:t xml:space="preserve">Educating Health Care Professionals to Care for Patients with Disabilities,” </w:t>
      </w:r>
      <w:r w:rsidRPr="00810A1D">
        <w:rPr>
          <w:rFonts w:cs="Arial"/>
          <w:i/>
          <w:szCs w:val="24"/>
        </w:rPr>
        <w:t>JAMA</w:t>
      </w:r>
      <w:r w:rsidRPr="003F4FCE">
        <w:rPr>
          <w:rFonts w:cs="Arial"/>
          <w:iCs/>
          <w:szCs w:val="24"/>
        </w:rPr>
        <w:t xml:space="preserve"> 302, no. 12 (2009): </w:t>
      </w:r>
      <w:r w:rsidRPr="003F4FCE">
        <w:rPr>
          <w:rFonts w:cs="Arial"/>
          <w:szCs w:val="24"/>
        </w:rPr>
        <w:t>1334–35.</w:t>
      </w:r>
    </w:p>
  </w:endnote>
  <w:endnote w:id="28">
    <w:p w14:paraId="7C5318B2" w14:textId="07692720"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K. L. </w:t>
      </w:r>
      <w:r w:rsidRPr="003F4FCE">
        <w:rPr>
          <w:rFonts w:cs="Arial"/>
          <w:noProof/>
          <w:szCs w:val="24"/>
        </w:rPr>
        <w:t>Kirschner et al., “</w:t>
      </w:r>
      <w:r w:rsidRPr="003F4FCE">
        <w:rPr>
          <w:rFonts w:cs="Arial"/>
          <w:iCs/>
          <w:noProof/>
          <w:szCs w:val="24"/>
        </w:rPr>
        <w:t xml:space="preserve">Attending to Inclusion: People with Disabilities and Health-Care Reform,” </w:t>
      </w:r>
      <w:r w:rsidRPr="00810A1D">
        <w:rPr>
          <w:rFonts w:cs="Arial"/>
          <w:i/>
          <w:iCs/>
          <w:noProof/>
          <w:szCs w:val="24"/>
        </w:rPr>
        <w:t>PM&amp;R</w:t>
      </w:r>
      <w:r w:rsidRPr="003F4FCE">
        <w:rPr>
          <w:rFonts w:cs="Arial"/>
          <w:noProof/>
          <w:szCs w:val="24"/>
        </w:rPr>
        <w:t xml:space="preserve"> 1, no. 10 (2009): 957–63.</w:t>
      </w:r>
    </w:p>
  </w:endnote>
  <w:endnote w:id="29">
    <w:p w14:paraId="3A26A99F" w14:textId="680EAAA0" w:rsidR="00760F6D" w:rsidRPr="003F4FCE" w:rsidRDefault="00760F6D" w:rsidP="003F4FCE">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vertAlign w:val="superscript"/>
        </w:rPr>
        <w:t xml:space="preserve"> </w:t>
      </w:r>
      <w:r w:rsidRPr="003F4FCE">
        <w:rPr>
          <w:rFonts w:ascii="Arial" w:hAnsi="Arial" w:cs="Arial"/>
          <w:sz w:val="24"/>
          <w:szCs w:val="24"/>
        </w:rPr>
        <w:t>N. R. Mudrick et al., “</w:t>
      </w:r>
      <w:r w:rsidRPr="003F4FCE">
        <w:rPr>
          <w:rFonts w:ascii="Arial" w:hAnsi="Arial" w:cs="Arial"/>
          <w:iCs/>
          <w:sz w:val="24"/>
          <w:szCs w:val="24"/>
        </w:rPr>
        <w:t xml:space="preserve">Physical Accessibility in Primary Health Care Settings: Results from California On-site Reviews,” </w:t>
      </w:r>
      <w:r w:rsidRPr="00810A1D">
        <w:rPr>
          <w:rFonts w:ascii="Arial" w:hAnsi="Arial" w:cs="Arial"/>
          <w:i/>
          <w:sz w:val="24"/>
          <w:szCs w:val="24"/>
        </w:rPr>
        <w:t>Disability and Health Journal</w:t>
      </w:r>
      <w:r w:rsidRPr="003F4FCE">
        <w:rPr>
          <w:rFonts w:ascii="Arial" w:hAnsi="Arial" w:cs="Arial"/>
          <w:sz w:val="24"/>
          <w:szCs w:val="24"/>
        </w:rPr>
        <w:t xml:space="preserve"> 5, no. 3 (2012): 159–67; T. Kroll et al., “</w:t>
      </w:r>
      <w:r w:rsidRPr="003F4FCE">
        <w:rPr>
          <w:rFonts w:ascii="Arial" w:hAnsi="Arial" w:cs="Arial"/>
          <w:iCs/>
          <w:sz w:val="24"/>
          <w:szCs w:val="24"/>
        </w:rPr>
        <w:t xml:space="preserve">Barriers and Strategies Affecting the Utilisation of Primary Preventive Services for People with Physical Disabilities: A Qualitative Inquiry,” </w:t>
      </w:r>
      <w:r w:rsidRPr="00810A1D">
        <w:rPr>
          <w:rFonts w:ascii="Arial" w:hAnsi="Arial" w:cs="Arial"/>
          <w:i/>
          <w:iCs/>
          <w:sz w:val="24"/>
          <w:szCs w:val="24"/>
        </w:rPr>
        <w:t>Health and Social Care in the Community</w:t>
      </w:r>
      <w:r w:rsidRPr="003F4FCE">
        <w:rPr>
          <w:rFonts w:ascii="Arial" w:hAnsi="Arial" w:cs="Arial"/>
          <w:sz w:val="24"/>
          <w:szCs w:val="24"/>
        </w:rPr>
        <w:t xml:space="preserve"> 14, no. 4 (2006): 284–93.</w:t>
      </w:r>
    </w:p>
  </w:endnote>
  <w:endnote w:id="30">
    <w:p w14:paraId="3089EF0B" w14:textId="15B49837" w:rsidR="00760F6D" w:rsidRPr="003F4FCE" w:rsidRDefault="00760F6D" w:rsidP="003F4FCE">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vertAlign w:val="superscript"/>
        </w:rPr>
        <w:t xml:space="preserve"> </w:t>
      </w:r>
      <w:r w:rsidRPr="003F4FCE">
        <w:rPr>
          <w:rFonts w:ascii="Arial" w:hAnsi="Arial" w:cs="Arial"/>
          <w:sz w:val="24"/>
          <w:szCs w:val="24"/>
        </w:rPr>
        <w:t>G. Gimm, E. Wood, and P. Zanwar, “</w:t>
      </w:r>
      <w:r w:rsidRPr="003F4FCE">
        <w:rPr>
          <w:rFonts w:ascii="Arial" w:hAnsi="Arial" w:cs="Arial"/>
          <w:iCs/>
          <w:sz w:val="24"/>
          <w:szCs w:val="24"/>
        </w:rPr>
        <w:t>Access to Preventive Services for Working-Age Adults with Physical Limitations,”</w:t>
      </w:r>
      <w:r w:rsidRPr="003F4FCE">
        <w:rPr>
          <w:rFonts w:ascii="Arial" w:hAnsi="Arial" w:cs="Arial"/>
          <w:sz w:val="24"/>
          <w:szCs w:val="24"/>
        </w:rPr>
        <w:t xml:space="preserve"> </w:t>
      </w:r>
      <w:r w:rsidRPr="00810A1D">
        <w:rPr>
          <w:rFonts w:ascii="Arial" w:hAnsi="Arial" w:cs="Arial"/>
          <w:i/>
          <w:iCs/>
          <w:sz w:val="24"/>
          <w:szCs w:val="24"/>
        </w:rPr>
        <w:t>Archives of Physical Medicine and Rehabilitation</w:t>
      </w:r>
      <w:r w:rsidRPr="003F4FCE">
        <w:rPr>
          <w:rFonts w:ascii="Arial" w:hAnsi="Arial" w:cs="Arial"/>
          <w:sz w:val="24"/>
          <w:szCs w:val="24"/>
        </w:rPr>
        <w:t xml:space="preserve"> 98, no. 12 (2017): 2442–48; F. M. Chevarley et al., “</w:t>
      </w:r>
      <w:r w:rsidRPr="003F4FCE">
        <w:rPr>
          <w:rFonts w:ascii="Arial" w:hAnsi="Arial" w:cs="Arial"/>
          <w:iCs/>
          <w:sz w:val="24"/>
          <w:szCs w:val="24"/>
        </w:rPr>
        <w:t xml:space="preserve">Health, Preventive Health Care, and Health Care Access Among Women with Disabilities in the 1994–1995 National Health Interview Survey, Supplement on Disability,” </w:t>
      </w:r>
      <w:r w:rsidRPr="00810A1D">
        <w:rPr>
          <w:rFonts w:ascii="Arial" w:hAnsi="Arial" w:cs="Arial"/>
          <w:i/>
          <w:iCs/>
          <w:sz w:val="24"/>
          <w:szCs w:val="24"/>
        </w:rPr>
        <w:t>Women’s Health Issues</w:t>
      </w:r>
      <w:r w:rsidRPr="003F4FCE">
        <w:rPr>
          <w:rFonts w:ascii="Arial" w:hAnsi="Arial" w:cs="Arial"/>
          <w:sz w:val="24"/>
          <w:szCs w:val="24"/>
        </w:rPr>
        <w:t xml:space="preserve"> 16, no. 6 (2006): 297–312; W. Horner-Johnson et al., “</w:t>
      </w:r>
      <w:r w:rsidRPr="003F4FCE">
        <w:rPr>
          <w:rFonts w:ascii="Arial" w:hAnsi="Arial" w:cs="Arial"/>
          <w:iCs/>
          <w:sz w:val="24"/>
          <w:szCs w:val="24"/>
        </w:rPr>
        <w:t xml:space="preserve">Disparities in Health Care Access and Receipt of Preventive Services by Disability Type: Analysis of the Medical Expenditure Panel Survey,” </w:t>
      </w:r>
      <w:r w:rsidRPr="00810A1D">
        <w:rPr>
          <w:rFonts w:ascii="Arial" w:hAnsi="Arial" w:cs="Arial"/>
          <w:i/>
          <w:iCs/>
          <w:sz w:val="24"/>
          <w:szCs w:val="24"/>
        </w:rPr>
        <w:t>Health Services Research</w:t>
      </w:r>
      <w:r w:rsidRPr="003F4FCE">
        <w:rPr>
          <w:rFonts w:ascii="Arial" w:hAnsi="Arial" w:cs="Arial"/>
          <w:sz w:val="24"/>
          <w:szCs w:val="24"/>
        </w:rPr>
        <w:t xml:space="preserve"> 49, no. 6 (2014): 1980–99.</w:t>
      </w:r>
    </w:p>
  </w:endnote>
  <w:endnote w:id="31">
    <w:p w14:paraId="36A4566F"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A. </w:t>
      </w:r>
      <w:r w:rsidRPr="003F4FCE">
        <w:rPr>
          <w:rFonts w:cs="Arial"/>
          <w:noProof/>
          <w:szCs w:val="24"/>
        </w:rPr>
        <w:t>Lofters et al., “</w:t>
      </w:r>
      <w:r w:rsidRPr="003F4FCE">
        <w:rPr>
          <w:rFonts w:cs="Arial"/>
          <w:iCs/>
          <w:noProof/>
          <w:szCs w:val="24"/>
        </w:rPr>
        <w:t xml:space="preserve">Patients Living with Disabilities: The Need for High-Quality Primary Care,” </w:t>
      </w:r>
      <w:r w:rsidRPr="00810A1D">
        <w:rPr>
          <w:rFonts w:cs="Arial"/>
          <w:i/>
          <w:noProof/>
          <w:szCs w:val="24"/>
        </w:rPr>
        <w:t>Canadian Family Physician</w:t>
      </w:r>
      <w:r w:rsidRPr="003F4FCE">
        <w:rPr>
          <w:rFonts w:cs="Arial"/>
          <w:noProof/>
          <w:szCs w:val="24"/>
        </w:rPr>
        <w:t xml:space="preserve"> 62, no. 8 (2016): e457–64.</w:t>
      </w:r>
    </w:p>
  </w:endnote>
  <w:endnote w:id="32">
    <w:p w14:paraId="34CB1383" w14:textId="325DF75D" w:rsidR="00760F6D" w:rsidRPr="003F4FCE" w:rsidRDefault="00760F6D" w:rsidP="003F4FCE">
      <w:pPr>
        <w:pStyle w:val="EndNoteBibliography"/>
        <w:spacing w:after="200"/>
        <w:rPr>
          <w:rFonts w:ascii="Arial" w:hAnsi="Arial" w:cs="Arial"/>
          <w:sz w:val="24"/>
          <w:szCs w:val="24"/>
        </w:rPr>
      </w:pPr>
      <w:r w:rsidRPr="003F4FCE">
        <w:rPr>
          <w:rFonts w:ascii="Arial" w:hAnsi="Arial" w:cs="Arial"/>
          <w:sz w:val="24"/>
          <w:szCs w:val="24"/>
          <w:vertAlign w:val="superscript"/>
        </w:rPr>
        <w:t xml:space="preserve">21 </w:t>
      </w:r>
      <w:r w:rsidRPr="003F4FCE">
        <w:rPr>
          <w:rFonts w:ascii="Arial" w:hAnsi="Arial" w:cs="Arial"/>
          <w:sz w:val="24"/>
          <w:szCs w:val="24"/>
        </w:rPr>
        <w:t>T. Lagu et al., “</w:t>
      </w:r>
      <w:r w:rsidRPr="003F4FCE">
        <w:rPr>
          <w:rFonts w:ascii="Arial" w:hAnsi="Arial" w:cs="Arial"/>
          <w:iCs/>
          <w:sz w:val="24"/>
          <w:szCs w:val="24"/>
        </w:rPr>
        <w:t xml:space="preserve">Access to Subspecialty Care for Patients with Mobility Impairment: A Survey,” </w:t>
      </w:r>
      <w:r w:rsidRPr="00810A1D">
        <w:rPr>
          <w:rFonts w:ascii="Arial" w:hAnsi="Arial" w:cs="Arial"/>
          <w:i/>
          <w:sz w:val="24"/>
          <w:szCs w:val="24"/>
        </w:rPr>
        <w:t>Annals of Internal Medicine</w:t>
      </w:r>
      <w:r w:rsidRPr="003F4FCE">
        <w:rPr>
          <w:rFonts w:ascii="Arial" w:hAnsi="Arial" w:cs="Arial"/>
          <w:sz w:val="24"/>
          <w:szCs w:val="24"/>
        </w:rPr>
        <w:t xml:space="preserve"> 158, no. 6 (2013): 441–46.</w:t>
      </w:r>
    </w:p>
  </w:endnote>
  <w:endnote w:id="33">
    <w:p w14:paraId="56F258A1" w14:textId="59E76AB3"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A. </w:t>
      </w:r>
      <w:r w:rsidRPr="003F4FCE">
        <w:rPr>
          <w:rFonts w:cs="Arial"/>
          <w:noProof/>
          <w:szCs w:val="24"/>
        </w:rPr>
        <w:t>Reichard et al., “</w:t>
      </w:r>
      <w:r w:rsidRPr="003F4FCE">
        <w:rPr>
          <w:rFonts w:cs="Arial"/>
          <w:iCs/>
          <w:noProof/>
          <w:szCs w:val="24"/>
        </w:rPr>
        <w:t>Prevalence and Reasons for Delaying and Foregoing Necessary Care by the Presence and Type of Disability Among Working-Age Adults,”</w:t>
      </w:r>
      <w:r w:rsidRPr="003F4FCE">
        <w:rPr>
          <w:rFonts w:cs="Arial"/>
          <w:noProof/>
          <w:szCs w:val="24"/>
        </w:rPr>
        <w:t xml:space="preserve"> </w:t>
      </w:r>
      <w:r w:rsidRPr="00810A1D">
        <w:rPr>
          <w:rFonts w:cs="Arial"/>
          <w:i/>
          <w:iCs/>
          <w:noProof/>
          <w:szCs w:val="24"/>
        </w:rPr>
        <w:t>Disability and Health Journal</w:t>
      </w:r>
      <w:r w:rsidRPr="003F4FCE">
        <w:rPr>
          <w:rFonts w:cs="Arial"/>
          <w:noProof/>
          <w:szCs w:val="24"/>
        </w:rPr>
        <w:t xml:space="preserve"> 10, no. 1 (2017): 39–47.</w:t>
      </w:r>
    </w:p>
  </w:endnote>
  <w:endnote w:id="34">
    <w:p w14:paraId="4EEB6F45" w14:textId="1DF52C8C" w:rsidR="00760F6D" w:rsidRPr="003F4FCE" w:rsidRDefault="00760F6D" w:rsidP="003F4FCE">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E. Mahmoudi and M. A. Meade, “</w:t>
      </w:r>
      <w:r w:rsidRPr="003F4FCE">
        <w:rPr>
          <w:rFonts w:ascii="Arial" w:hAnsi="Arial" w:cs="Arial"/>
          <w:iCs/>
          <w:sz w:val="24"/>
          <w:szCs w:val="24"/>
        </w:rPr>
        <w:t xml:space="preserve">Disparities in Access to Health Care Among Adults with Physical Disabilities: Analysis of a Representative National Sample for a Ten-Year Period,” </w:t>
      </w:r>
      <w:r w:rsidRPr="00810A1D">
        <w:rPr>
          <w:rFonts w:ascii="Arial" w:hAnsi="Arial" w:cs="Arial"/>
          <w:i/>
          <w:iCs/>
          <w:sz w:val="24"/>
          <w:szCs w:val="24"/>
        </w:rPr>
        <w:t>Disability and Health Journal</w:t>
      </w:r>
      <w:r w:rsidRPr="003F4FCE">
        <w:rPr>
          <w:rFonts w:ascii="Arial" w:hAnsi="Arial" w:cs="Arial"/>
          <w:sz w:val="24"/>
          <w:szCs w:val="24"/>
        </w:rPr>
        <w:t xml:space="preserve"> 8, no. 2 (2015): 182–90; D. Goodridge et al., “</w:t>
      </w:r>
      <w:r w:rsidRPr="003F4FCE">
        <w:rPr>
          <w:rFonts w:ascii="Arial" w:hAnsi="Arial" w:cs="Arial"/>
          <w:iCs/>
          <w:sz w:val="24"/>
          <w:szCs w:val="24"/>
        </w:rPr>
        <w:t xml:space="preserve">Access to Health and Support Services: Perspectives of People Living with a Long-Term Traumatic Spinal Cord Injury in Rural and Urban Areas,” </w:t>
      </w:r>
      <w:r w:rsidRPr="00810A1D">
        <w:rPr>
          <w:rFonts w:ascii="Arial" w:hAnsi="Arial" w:cs="Arial"/>
          <w:i/>
          <w:iCs/>
          <w:sz w:val="24"/>
          <w:szCs w:val="24"/>
        </w:rPr>
        <w:t>Disability and Rehabilitation</w:t>
      </w:r>
      <w:r w:rsidRPr="003F4FCE">
        <w:rPr>
          <w:rFonts w:ascii="Arial" w:hAnsi="Arial" w:cs="Arial"/>
          <w:sz w:val="24"/>
          <w:szCs w:val="24"/>
        </w:rPr>
        <w:t xml:space="preserve"> 37, no. 16 (2015): 1401–10.</w:t>
      </w:r>
    </w:p>
  </w:endnote>
  <w:endnote w:id="35">
    <w:p w14:paraId="7C722DFC" w14:textId="7A86E24F" w:rsidR="00760F6D" w:rsidRPr="003F4FCE" w:rsidRDefault="00760F6D" w:rsidP="00A51D3A">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vertAlign w:val="superscript"/>
        </w:rPr>
        <w:t xml:space="preserve"> </w:t>
      </w:r>
      <w:r w:rsidRPr="003F4FCE">
        <w:rPr>
          <w:rFonts w:ascii="Arial" w:hAnsi="Arial" w:cs="Arial"/>
          <w:sz w:val="24"/>
          <w:szCs w:val="24"/>
        </w:rPr>
        <w:t xml:space="preserve">L. I. Iezzoni, “Public Health Goals for Persons with Disabilities: Looking Ahead to 2020,” </w:t>
      </w:r>
      <w:r w:rsidRPr="00810A1D">
        <w:rPr>
          <w:rFonts w:ascii="Arial" w:hAnsi="Arial" w:cs="Arial"/>
          <w:i/>
          <w:iCs/>
          <w:sz w:val="24"/>
          <w:szCs w:val="24"/>
        </w:rPr>
        <w:t>Disability and Health Journal</w:t>
      </w:r>
      <w:r w:rsidRPr="003F4FCE">
        <w:rPr>
          <w:rFonts w:ascii="Arial" w:hAnsi="Arial" w:cs="Arial"/>
          <w:sz w:val="24"/>
          <w:szCs w:val="24"/>
        </w:rPr>
        <w:t xml:space="preserve"> 2, no. 3 (2009): 111–15; L. I. Iezzoni, “Eliminating Health and Health Care Disparities Among the Growing Population of People with Disabilities,” </w:t>
      </w:r>
      <w:r w:rsidRPr="00810A1D">
        <w:rPr>
          <w:rFonts w:ascii="Arial" w:hAnsi="Arial" w:cs="Arial"/>
          <w:i/>
          <w:iCs/>
          <w:sz w:val="24"/>
          <w:szCs w:val="24"/>
        </w:rPr>
        <w:t>Health Affairs</w:t>
      </w:r>
      <w:r w:rsidRPr="003F4FCE">
        <w:rPr>
          <w:rFonts w:ascii="Arial" w:hAnsi="Arial" w:cs="Arial"/>
          <w:sz w:val="24"/>
          <w:szCs w:val="24"/>
        </w:rPr>
        <w:t xml:space="preserve"> 30, no. 10 (2011): 1947–54.</w:t>
      </w:r>
    </w:p>
  </w:endnote>
  <w:endnote w:id="36">
    <w:p w14:paraId="188A8D96" w14:textId="23A4EE95" w:rsidR="00760F6D" w:rsidRPr="003F4FCE" w:rsidRDefault="00760F6D" w:rsidP="00A51D3A">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M. Rowland et al., “</w:t>
      </w:r>
      <w:r w:rsidRPr="003F4FCE">
        <w:rPr>
          <w:rFonts w:ascii="Arial" w:hAnsi="Arial" w:cs="Arial"/>
          <w:iCs/>
          <w:sz w:val="24"/>
          <w:szCs w:val="24"/>
        </w:rPr>
        <w:t xml:space="preserve">Health Outcome Disparities Among Subgroups of People with Disabilities: A Scoping Review,” </w:t>
      </w:r>
      <w:r w:rsidRPr="00810A1D">
        <w:rPr>
          <w:rFonts w:ascii="Arial" w:hAnsi="Arial" w:cs="Arial"/>
          <w:i/>
          <w:sz w:val="24"/>
          <w:szCs w:val="24"/>
        </w:rPr>
        <w:t>Disability and Health Journal</w:t>
      </w:r>
      <w:r w:rsidRPr="003F4FCE">
        <w:rPr>
          <w:rFonts w:ascii="Arial" w:hAnsi="Arial" w:cs="Arial"/>
          <w:iCs/>
          <w:sz w:val="24"/>
          <w:szCs w:val="24"/>
        </w:rPr>
        <w:t xml:space="preserve"> 7, no. 2 (2014): 136–50; J. Panko Reis et al., </w:t>
      </w:r>
      <w:r w:rsidRPr="00810A1D">
        <w:rPr>
          <w:rFonts w:ascii="Arial" w:hAnsi="Arial" w:cs="Arial"/>
          <w:i/>
          <w:sz w:val="24"/>
          <w:szCs w:val="24"/>
        </w:rPr>
        <w:t>It Takes More Than Ramps to Solve the Crisis in Healthcare for People with Disabilities</w:t>
      </w:r>
      <w:r w:rsidRPr="003F4FCE">
        <w:rPr>
          <w:rFonts w:ascii="Arial" w:hAnsi="Arial" w:cs="Arial"/>
          <w:iCs/>
          <w:sz w:val="24"/>
          <w:szCs w:val="24"/>
        </w:rPr>
        <w:t xml:space="preserve"> (Chicago, IL: Rehabilitation Institute of Chicago; 2004, 2005)</w:t>
      </w:r>
      <w:r w:rsidRPr="003F4FCE">
        <w:rPr>
          <w:rFonts w:ascii="Arial" w:hAnsi="Arial" w:cs="Arial"/>
          <w:sz w:val="24"/>
          <w:szCs w:val="24"/>
        </w:rPr>
        <w:t>.</w:t>
      </w:r>
    </w:p>
  </w:endnote>
  <w:endnote w:id="37">
    <w:p w14:paraId="74B0C56C" w14:textId="67C26C46" w:rsidR="00760F6D" w:rsidRPr="003F4FCE" w:rsidRDefault="00760F6D" w:rsidP="00A51D3A">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vertAlign w:val="superscript"/>
        </w:rPr>
        <w:t xml:space="preserve"> </w:t>
      </w:r>
      <w:r w:rsidRPr="003F4FCE">
        <w:rPr>
          <w:rFonts w:ascii="Arial" w:hAnsi="Arial" w:cs="Arial"/>
          <w:sz w:val="24"/>
          <w:szCs w:val="24"/>
        </w:rPr>
        <w:t>D. L. Brucker and A. J. Houtenville, “</w:t>
      </w:r>
      <w:r w:rsidRPr="003F4FCE">
        <w:rPr>
          <w:rFonts w:ascii="Arial" w:hAnsi="Arial" w:cs="Arial"/>
          <w:iCs/>
          <w:sz w:val="24"/>
          <w:szCs w:val="24"/>
        </w:rPr>
        <w:t xml:space="preserve">People with Disabilities in the United States,” </w:t>
      </w:r>
      <w:r w:rsidRPr="00810A1D">
        <w:rPr>
          <w:rFonts w:ascii="Arial" w:hAnsi="Arial" w:cs="Arial"/>
          <w:i/>
          <w:sz w:val="24"/>
          <w:szCs w:val="24"/>
        </w:rPr>
        <w:t>Archives of Physical Medicine and Rehabilitation</w:t>
      </w:r>
      <w:r w:rsidRPr="003F4FCE">
        <w:rPr>
          <w:rFonts w:ascii="Arial" w:hAnsi="Arial" w:cs="Arial"/>
          <w:sz w:val="24"/>
          <w:szCs w:val="24"/>
        </w:rPr>
        <w:t xml:space="preserve"> 96, no. 5 (2015): 771–74; Cornell University, Disability Statistics: Online Resource for U.S. Disability Statistics, 2016, </w:t>
      </w:r>
      <w:hyperlink r:id="rId8" w:tooltip="https://disabilitystatistics.org/" w:history="1">
        <w:r w:rsidRPr="004E1594">
          <w:rPr>
            <w:rStyle w:val="Hyperlink"/>
            <w:rFonts w:cs="Arial"/>
            <w:szCs w:val="24"/>
          </w:rPr>
          <w:t>https://disabilitystatistics.org/</w:t>
        </w:r>
      </w:hyperlink>
      <w:r w:rsidRPr="003F4FCE">
        <w:rPr>
          <w:rFonts w:ascii="Arial" w:hAnsi="Arial" w:cs="Arial"/>
          <w:sz w:val="24"/>
          <w:szCs w:val="24"/>
        </w:rPr>
        <w:t xml:space="preserve">. </w:t>
      </w:r>
    </w:p>
  </w:endnote>
  <w:endnote w:id="38">
    <w:p w14:paraId="63CB076B" w14:textId="7D026AA2" w:rsidR="00760F6D" w:rsidRPr="003F4FCE" w:rsidRDefault="00760F6D" w:rsidP="00A51D3A">
      <w:pPr>
        <w:tabs>
          <w:tab w:val="left" w:pos="90"/>
          <w:tab w:val="left" w:pos="630"/>
        </w:tabs>
        <w:spacing w:after="200" w:line="240" w:lineRule="auto"/>
        <w:rPr>
          <w:rFonts w:ascii="Arial" w:hAnsi="Arial" w:cs="Arial"/>
          <w:szCs w:val="24"/>
        </w:rPr>
      </w:pPr>
      <w:r w:rsidRPr="003F4FCE">
        <w:rPr>
          <w:rStyle w:val="EndnoteReference"/>
          <w:rFonts w:cs="Arial"/>
          <w:szCs w:val="24"/>
        </w:rPr>
        <w:endnoteRef/>
      </w:r>
      <w:r w:rsidRPr="003F4FCE">
        <w:rPr>
          <w:rFonts w:ascii="Arial" w:hAnsi="Arial" w:cs="Arial"/>
          <w:szCs w:val="24"/>
        </w:rPr>
        <w:t xml:space="preserve"> L. I. </w:t>
      </w:r>
      <w:proofErr w:type="spellStart"/>
      <w:r w:rsidRPr="003F4FCE">
        <w:rPr>
          <w:rFonts w:ascii="Arial" w:hAnsi="Arial" w:cs="Arial"/>
          <w:szCs w:val="24"/>
        </w:rPr>
        <w:t>Iezzoni</w:t>
      </w:r>
      <w:proofErr w:type="spellEnd"/>
      <w:r w:rsidRPr="003F4FCE">
        <w:rPr>
          <w:rFonts w:ascii="Arial" w:hAnsi="Arial" w:cs="Arial"/>
          <w:szCs w:val="24"/>
        </w:rPr>
        <w:t xml:space="preserve">, “Eliminating Health and Health Care Disparities Among the Growing Population of People with Disabilities,” </w:t>
      </w:r>
      <w:r w:rsidRPr="00810A1D">
        <w:rPr>
          <w:rFonts w:ascii="Arial" w:hAnsi="Arial" w:cs="Arial"/>
          <w:i/>
          <w:szCs w:val="24"/>
        </w:rPr>
        <w:t>Health Affairs</w:t>
      </w:r>
      <w:r w:rsidRPr="003F4FCE">
        <w:rPr>
          <w:rFonts w:ascii="Arial" w:hAnsi="Arial" w:cs="Arial"/>
          <w:szCs w:val="24"/>
        </w:rPr>
        <w:t xml:space="preserve"> 30, no. 10 (2011): 1947–54; L. I. </w:t>
      </w:r>
      <w:proofErr w:type="spellStart"/>
      <w:r w:rsidRPr="003F4FCE">
        <w:rPr>
          <w:rFonts w:ascii="Arial" w:hAnsi="Arial" w:cs="Arial"/>
          <w:szCs w:val="24"/>
        </w:rPr>
        <w:t>Iezzoni</w:t>
      </w:r>
      <w:proofErr w:type="spellEnd"/>
      <w:r w:rsidRPr="003F4FCE">
        <w:rPr>
          <w:rFonts w:ascii="Arial" w:hAnsi="Arial" w:cs="Arial"/>
          <w:szCs w:val="24"/>
        </w:rPr>
        <w:t xml:space="preserve"> et al., “Trends in U.S. Adult Chronic Disability Rates Over Time,” </w:t>
      </w:r>
      <w:r w:rsidRPr="00810A1D">
        <w:rPr>
          <w:rFonts w:ascii="Arial" w:hAnsi="Arial" w:cs="Arial"/>
          <w:i/>
          <w:szCs w:val="24"/>
        </w:rPr>
        <w:t>Disability and Health Journal</w:t>
      </w:r>
      <w:r w:rsidRPr="003F4FCE">
        <w:rPr>
          <w:rFonts w:ascii="Arial" w:hAnsi="Arial" w:cs="Arial"/>
          <w:szCs w:val="24"/>
        </w:rPr>
        <w:t xml:space="preserve"> 7, no. 4 (2014): 402–12. </w:t>
      </w:r>
    </w:p>
  </w:endnote>
  <w:endnote w:id="39">
    <w:p w14:paraId="3A96D94F" w14:textId="60C1B1D3" w:rsidR="00760F6D" w:rsidRPr="003F4FCE" w:rsidRDefault="00760F6D" w:rsidP="00A51D3A">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J. Kennedy, E. G. Wood, and L. Frieden, “</w:t>
      </w:r>
      <w:r w:rsidRPr="003F4FCE">
        <w:rPr>
          <w:rFonts w:ascii="Arial" w:hAnsi="Arial" w:cs="Arial"/>
          <w:iCs/>
          <w:sz w:val="24"/>
          <w:szCs w:val="24"/>
        </w:rPr>
        <w:t xml:space="preserve">Disparities in Insurance Coverage, Health Services Use, and Access Following Implementation of the Affordable Care Act: A Comparison of Disabled and Nondisabled Working-Age Adults,” </w:t>
      </w:r>
      <w:r w:rsidRPr="00810A1D">
        <w:rPr>
          <w:rFonts w:ascii="Arial" w:hAnsi="Arial" w:cs="Arial"/>
          <w:i/>
          <w:sz w:val="24"/>
          <w:szCs w:val="24"/>
        </w:rPr>
        <w:t>INQUIRY: Journal of Health Care Organization, Provision, and Financing</w:t>
      </w:r>
      <w:r w:rsidRPr="003F4FCE">
        <w:rPr>
          <w:rFonts w:ascii="Arial" w:hAnsi="Arial" w:cs="Arial"/>
          <w:sz w:val="24"/>
          <w:szCs w:val="24"/>
        </w:rPr>
        <w:t xml:space="preserve"> 54 (2017): 46958017734031.</w:t>
      </w:r>
    </w:p>
  </w:endnote>
  <w:endnote w:id="40">
    <w:p w14:paraId="6254D703" w14:textId="01CFD7EE" w:rsidR="00760F6D" w:rsidRPr="00810A1D" w:rsidRDefault="00760F6D" w:rsidP="00A51D3A">
      <w:pPr>
        <w:pStyle w:val="EndNoteBibliography"/>
        <w:spacing w:after="200"/>
        <w:rPr>
          <w:rFonts w:ascii="Arial" w:hAnsi="Arial" w:cs="Arial"/>
          <w:i/>
          <w:sz w:val="24"/>
          <w:szCs w:val="24"/>
        </w:rPr>
      </w:pPr>
      <w:r w:rsidRPr="003F4FCE">
        <w:rPr>
          <w:rStyle w:val="EndnoteReference"/>
          <w:rFonts w:cs="Arial"/>
          <w:szCs w:val="24"/>
        </w:rPr>
        <w:endnoteRef/>
      </w:r>
      <w:r w:rsidRPr="003F4FCE">
        <w:rPr>
          <w:rFonts w:ascii="Arial" w:hAnsi="Arial" w:cs="Arial"/>
          <w:sz w:val="24"/>
          <w:szCs w:val="24"/>
        </w:rPr>
        <w:t xml:space="preserve"> L. I. Iezzoni, S. G. Kurtz, and S. R. Rao, “</w:t>
      </w:r>
      <w:r w:rsidRPr="003F4FCE">
        <w:rPr>
          <w:rFonts w:ascii="Arial" w:hAnsi="Arial" w:cs="Arial"/>
          <w:iCs/>
          <w:sz w:val="24"/>
          <w:szCs w:val="24"/>
        </w:rPr>
        <w:t xml:space="preserve">Trends in U.S. Adult Chronic Disability Rates Over Time,” </w:t>
      </w:r>
      <w:r w:rsidRPr="00810A1D">
        <w:rPr>
          <w:rFonts w:ascii="Arial" w:hAnsi="Arial" w:cs="Arial"/>
          <w:i/>
          <w:sz w:val="24"/>
          <w:szCs w:val="24"/>
        </w:rPr>
        <w:t>Disability and Health Journal</w:t>
      </w:r>
      <w:r w:rsidRPr="003F4FCE">
        <w:rPr>
          <w:rFonts w:ascii="Arial" w:hAnsi="Arial" w:cs="Arial"/>
          <w:iCs/>
          <w:sz w:val="24"/>
          <w:szCs w:val="24"/>
        </w:rPr>
        <w:t xml:space="preserve"> 7, no. 4 (2014): 402–12.</w:t>
      </w:r>
    </w:p>
  </w:endnote>
  <w:endnote w:id="41">
    <w:p w14:paraId="29799D90" w14:textId="1D9B64A2"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E. </w:t>
      </w:r>
      <w:proofErr w:type="spellStart"/>
      <w:r w:rsidRPr="003F4FCE">
        <w:rPr>
          <w:rFonts w:cs="Arial"/>
          <w:szCs w:val="24"/>
        </w:rPr>
        <w:t>Mahmoudi</w:t>
      </w:r>
      <w:proofErr w:type="spellEnd"/>
      <w:r w:rsidRPr="003F4FCE">
        <w:rPr>
          <w:rFonts w:cs="Arial"/>
          <w:szCs w:val="24"/>
        </w:rPr>
        <w:t xml:space="preserve"> et al., “Disparities in Access to Health Care </w:t>
      </w:r>
      <w:proofErr w:type="gramStart"/>
      <w:r w:rsidRPr="003F4FCE">
        <w:rPr>
          <w:rFonts w:cs="Arial"/>
          <w:szCs w:val="24"/>
        </w:rPr>
        <w:t>Among</w:t>
      </w:r>
      <w:proofErr w:type="gramEnd"/>
      <w:r w:rsidRPr="003F4FCE">
        <w:rPr>
          <w:rFonts w:cs="Arial"/>
          <w:szCs w:val="24"/>
        </w:rPr>
        <w:t xml:space="preserve"> Adults with Physical Disabilities: Analysis of a Representative National Sample for a Ten-Year Period,” </w:t>
      </w:r>
      <w:r w:rsidRPr="00810A1D">
        <w:rPr>
          <w:rFonts w:cs="Arial"/>
          <w:i/>
          <w:iCs/>
          <w:szCs w:val="24"/>
        </w:rPr>
        <w:t>Disability and Health Journal</w:t>
      </w:r>
      <w:r w:rsidRPr="003F4FCE">
        <w:rPr>
          <w:rFonts w:cs="Arial"/>
          <w:szCs w:val="24"/>
        </w:rPr>
        <w:t xml:space="preserve"> 8, no. 2 (2015): 182–90.</w:t>
      </w:r>
    </w:p>
  </w:endnote>
  <w:endnote w:id="42">
    <w:p w14:paraId="399E78A7"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M. D. </w:t>
      </w:r>
      <w:proofErr w:type="spellStart"/>
      <w:r w:rsidRPr="003F4FCE">
        <w:rPr>
          <w:rFonts w:cs="Arial"/>
          <w:szCs w:val="24"/>
        </w:rPr>
        <w:t>Stillman</w:t>
      </w:r>
      <w:proofErr w:type="spellEnd"/>
      <w:r w:rsidRPr="003F4FCE">
        <w:rPr>
          <w:rFonts w:cs="Arial"/>
          <w:szCs w:val="24"/>
        </w:rPr>
        <w:t xml:space="preserve"> et al., “Healthcare Utilization and Associated Barriers Experienced by Wheelchair Users: A Pilot Study,” </w:t>
      </w:r>
      <w:r w:rsidRPr="00810A1D">
        <w:rPr>
          <w:rFonts w:cs="Arial"/>
          <w:i/>
          <w:iCs/>
          <w:szCs w:val="24"/>
        </w:rPr>
        <w:t xml:space="preserve">Disability and Health Journal </w:t>
      </w:r>
      <w:r w:rsidRPr="003F4FCE">
        <w:rPr>
          <w:rFonts w:cs="Arial"/>
          <w:szCs w:val="24"/>
        </w:rPr>
        <w:t>10, no. 4 (2017): 502–8.</w:t>
      </w:r>
    </w:p>
  </w:endnote>
  <w:endnote w:id="43">
    <w:p w14:paraId="57D12B4F"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S. M. </w:t>
      </w:r>
      <w:proofErr w:type="spellStart"/>
      <w:r w:rsidRPr="003F4FCE">
        <w:rPr>
          <w:rFonts w:cs="Arial"/>
          <w:szCs w:val="24"/>
        </w:rPr>
        <w:t>Havercamp</w:t>
      </w:r>
      <w:proofErr w:type="spellEnd"/>
      <w:r w:rsidRPr="003F4FCE">
        <w:rPr>
          <w:rFonts w:cs="Arial"/>
          <w:szCs w:val="24"/>
        </w:rPr>
        <w:t xml:space="preserve"> and H. M. Scott, “National Health Surveillance of Adults with Disabilities, Adults with Intellectual and Developmental Disabilities, and Adults with No Disabilities,” </w:t>
      </w:r>
      <w:r w:rsidRPr="00810A1D">
        <w:rPr>
          <w:rFonts w:cs="Arial"/>
          <w:i/>
          <w:iCs/>
          <w:szCs w:val="24"/>
        </w:rPr>
        <w:t xml:space="preserve">Disability and Health Journal </w:t>
      </w:r>
      <w:r w:rsidRPr="003F4FCE">
        <w:rPr>
          <w:rFonts w:cs="Arial"/>
          <w:szCs w:val="24"/>
        </w:rPr>
        <w:t>8, no. 2 (2015): 165–72.</w:t>
      </w:r>
    </w:p>
  </w:endnote>
  <w:endnote w:id="44">
    <w:p w14:paraId="119519EC" w14:textId="307383FD"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vertAlign w:val="superscript"/>
        </w:rPr>
        <w:t xml:space="preserve"> </w:t>
      </w:r>
      <w:r w:rsidRPr="003F4FCE">
        <w:rPr>
          <w:rFonts w:cs="Arial"/>
          <w:szCs w:val="24"/>
        </w:rPr>
        <w:t xml:space="preserve">S. Yee et al., </w:t>
      </w:r>
      <w:r w:rsidRPr="00810A1D">
        <w:rPr>
          <w:rFonts w:cs="Arial"/>
          <w:i/>
          <w:iCs/>
          <w:szCs w:val="24"/>
        </w:rPr>
        <w:t>Compounded Disparities: Health Equity at the Intersection of Disability, Race, and Ethnicity</w:t>
      </w:r>
      <w:r w:rsidRPr="003F4FCE">
        <w:rPr>
          <w:rFonts w:cs="Arial"/>
          <w:szCs w:val="24"/>
        </w:rPr>
        <w:t xml:space="preserve"> (Washington, DC: National Academies of Sciences, Engineering, and Medicine, April 13, 2018), </w:t>
      </w:r>
      <w:hyperlink r:id="rId9" w:tooltip="https://dredf.org/wp-content/uploads/2018/01/Compounded-Disparities-Intersection-of-Disabilities-Race-and-Ethnicity.pdf" w:history="1">
        <w:r w:rsidRPr="004E1594">
          <w:rPr>
            <w:rStyle w:val="Hyperlink"/>
            <w:rFonts w:cs="Arial"/>
            <w:szCs w:val="24"/>
          </w:rPr>
          <w:t>https://dredf.org/wp-content/uploads/2018/01/Compounded-Disparities-Intersection-of-Disabilities-Race-and-Ethnicity.pdf</w:t>
        </w:r>
      </w:hyperlink>
      <w:r w:rsidRPr="003F4FCE">
        <w:rPr>
          <w:rFonts w:cs="Arial"/>
          <w:szCs w:val="24"/>
        </w:rPr>
        <w:t>.</w:t>
      </w:r>
    </w:p>
  </w:endnote>
  <w:endnote w:id="45">
    <w:p w14:paraId="25FE5E25" w14:textId="6D7063E8"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810A1D">
        <w:rPr>
          <w:rFonts w:cs="Arial"/>
          <w:i/>
          <w:iCs/>
          <w:szCs w:val="24"/>
        </w:rPr>
        <w:t>2013 National Healthcare Disparities Report</w:t>
      </w:r>
      <w:r w:rsidRPr="003F4FCE">
        <w:rPr>
          <w:rFonts w:cs="Arial"/>
          <w:szCs w:val="24"/>
        </w:rPr>
        <w:t xml:space="preserve">, AHRQ publication no. 14-0006 (Rockville, MD: Agency for Healthcare Research and Quality, May 2014), </w:t>
      </w:r>
      <w:hyperlink r:id="rId10" w:history="1">
        <w:r w:rsidRPr="004E1594">
          <w:rPr>
            <w:rStyle w:val="Hyperlink"/>
            <w:rFonts w:cs="Arial"/>
            <w:szCs w:val="24"/>
          </w:rPr>
          <w:t>https://archive.ahrq.gov/research/findings/nhqrdr/nhdr13/index.html</w:t>
        </w:r>
      </w:hyperlink>
      <w:hyperlink w:history="1"/>
      <w:r w:rsidRPr="003F4FCE">
        <w:rPr>
          <w:rFonts w:cs="Arial"/>
          <w:szCs w:val="24"/>
        </w:rPr>
        <w:t>.</w:t>
      </w:r>
    </w:p>
  </w:endnote>
  <w:endnote w:id="46">
    <w:p w14:paraId="2A6E7F12"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S. M. </w:t>
      </w:r>
      <w:r w:rsidRPr="003F4FCE">
        <w:rPr>
          <w:rFonts w:cs="Arial"/>
          <w:noProof/>
          <w:szCs w:val="24"/>
        </w:rPr>
        <w:t xml:space="preserve">Schüssler-Fiorenza Rose et al., “Potentially Avoidable Hospitalizations Among People at Different Activity of Daily Living Limitation Stages,” </w:t>
      </w:r>
      <w:r w:rsidRPr="00810A1D">
        <w:rPr>
          <w:rFonts w:cs="Arial"/>
          <w:i/>
          <w:iCs/>
          <w:noProof/>
          <w:szCs w:val="24"/>
        </w:rPr>
        <w:t>Health Services Research</w:t>
      </w:r>
      <w:r w:rsidRPr="003F4FCE">
        <w:rPr>
          <w:rFonts w:cs="Arial"/>
          <w:noProof/>
          <w:szCs w:val="24"/>
        </w:rPr>
        <w:t xml:space="preserve"> 52, no. 1 (2017): 132–55.</w:t>
      </w:r>
    </w:p>
  </w:endnote>
  <w:endnote w:id="47">
    <w:p w14:paraId="19E722F5" w14:textId="29CE1796"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 xml:space="preserve">ADA National Network, </w:t>
      </w:r>
      <w:r w:rsidRPr="00810A1D">
        <w:rPr>
          <w:rFonts w:cs="Arial"/>
          <w:i/>
          <w:iCs/>
          <w:szCs w:val="24"/>
        </w:rPr>
        <w:t>Health Care and the Americans with Disabilities Act</w:t>
      </w:r>
      <w:r w:rsidRPr="003F4FCE">
        <w:rPr>
          <w:rFonts w:cs="Arial"/>
          <w:szCs w:val="24"/>
        </w:rPr>
        <w:t xml:space="preserve">, 2020, </w:t>
      </w:r>
      <w:hyperlink r:id="rId11" w:tooltip="https://adata.org/sites/adata.org/files/files/Health%20Care%20and%20the%20ADA%20FINAL%202-11-2020.pdf" w:history="1">
        <w:r w:rsidRPr="004E1594">
          <w:rPr>
            <w:rStyle w:val="Hyperlink"/>
            <w:rFonts w:cs="Arial"/>
            <w:szCs w:val="24"/>
          </w:rPr>
          <w:t>https://adata.org/sites/adata.org/files/files/Health%20Care%20and%20the%20ADA%20FINAL%202-11-2020.pdf</w:t>
        </w:r>
      </w:hyperlink>
      <w:r w:rsidRPr="004E1594">
        <w:rPr>
          <w:rStyle w:val="Hyperlink"/>
          <w:rFonts w:cs="Arial"/>
          <w:szCs w:val="24"/>
        </w:rPr>
        <w:t>.</w:t>
      </w:r>
      <w:proofErr w:type="gramEnd"/>
    </w:p>
  </w:endnote>
  <w:endnote w:id="48">
    <w:p w14:paraId="2DCF2CEA" w14:textId="542BA9B5" w:rsidR="00760F6D" w:rsidRPr="003F4FCE" w:rsidRDefault="00760F6D" w:rsidP="00A51D3A">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vertAlign w:val="superscript"/>
        </w:rPr>
        <w:t xml:space="preserve"> </w:t>
      </w:r>
      <w:r w:rsidRPr="003F4FCE">
        <w:rPr>
          <w:rFonts w:ascii="Arial" w:hAnsi="Arial" w:cs="Arial"/>
          <w:sz w:val="24"/>
          <w:szCs w:val="24"/>
        </w:rPr>
        <w:t xml:space="preserve">E. Mahmoudi and M. A. Meade, “Disparities in Access to Health Care Among Adults with Physical Disabilities: Analysis of a Representative National Sample for a Ten-Year Period,” </w:t>
      </w:r>
      <w:r w:rsidRPr="00810A1D">
        <w:rPr>
          <w:rFonts w:ascii="Arial" w:hAnsi="Arial" w:cs="Arial"/>
          <w:i/>
          <w:iCs/>
          <w:sz w:val="24"/>
          <w:szCs w:val="24"/>
        </w:rPr>
        <w:t>Disability and Health Journal</w:t>
      </w:r>
      <w:r w:rsidRPr="003F4FCE">
        <w:rPr>
          <w:rFonts w:ascii="Arial" w:hAnsi="Arial" w:cs="Arial"/>
          <w:sz w:val="24"/>
          <w:szCs w:val="24"/>
        </w:rPr>
        <w:t xml:space="preserve"> 8, no. 2 (2015): 182–90; G. L. Krahn, D. K. Walker, and R. Correa-De-Araujo, “Persons with Disabilities as an Unrecognized Health Disparity Population,” </w:t>
      </w:r>
      <w:r w:rsidRPr="00810A1D">
        <w:rPr>
          <w:rFonts w:ascii="Arial" w:hAnsi="Arial" w:cs="Arial"/>
          <w:i/>
          <w:iCs/>
          <w:sz w:val="24"/>
          <w:szCs w:val="24"/>
        </w:rPr>
        <w:t>American Journal of Public Health</w:t>
      </w:r>
      <w:r w:rsidRPr="003F4FCE">
        <w:rPr>
          <w:rFonts w:ascii="Arial" w:hAnsi="Arial" w:cs="Arial"/>
          <w:sz w:val="24"/>
          <w:szCs w:val="24"/>
        </w:rPr>
        <w:t xml:space="preserve"> 105, no. S2 (2015): S198–206.</w:t>
      </w:r>
    </w:p>
  </w:endnote>
  <w:endnote w:id="49">
    <w:p w14:paraId="5301B7D8" w14:textId="2A1A79F2" w:rsidR="00760F6D" w:rsidRPr="003F4FCE" w:rsidRDefault="00760F6D" w:rsidP="003F4FCE">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W. Horner-Johnson et al., “Disparities in Health Care Access and Receipt of Preventive Services by Disability Type: Analysis of the Medical Expenditure Panel Survey,” </w:t>
      </w:r>
      <w:r w:rsidRPr="00810A1D">
        <w:rPr>
          <w:rFonts w:ascii="Arial" w:hAnsi="Arial" w:cs="Arial"/>
          <w:i/>
          <w:iCs/>
          <w:sz w:val="24"/>
          <w:szCs w:val="24"/>
        </w:rPr>
        <w:t>Health Services Research</w:t>
      </w:r>
      <w:r w:rsidRPr="003F4FCE">
        <w:rPr>
          <w:rFonts w:ascii="Arial" w:hAnsi="Arial" w:cs="Arial"/>
          <w:sz w:val="24"/>
          <w:szCs w:val="24"/>
        </w:rPr>
        <w:t xml:space="preserve"> 49, no. 6 (2014): 1980–99; L. Ramjan et al., “Barriers to Breast and Cervical Cancer Screening for Women with Physical Disability: A Review,” </w:t>
      </w:r>
      <w:r w:rsidRPr="00810A1D">
        <w:rPr>
          <w:rFonts w:ascii="Arial" w:hAnsi="Arial" w:cs="Arial"/>
          <w:i/>
          <w:iCs/>
          <w:sz w:val="24"/>
          <w:szCs w:val="24"/>
        </w:rPr>
        <w:t>Women and Health</w:t>
      </w:r>
      <w:r w:rsidRPr="003F4FCE">
        <w:rPr>
          <w:rFonts w:ascii="Arial" w:hAnsi="Arial" w:cs="Arial"/>
          <w:sz w:val="24"/>
          <w:szCs w:val="24"/>
        </w:rPr>
        <w:t xml:space="preserve"> 56, no. 2 (2016): 141–56.</w:t>
      </w:r>
    </w:p>
  </w:endnote>
  <w:endnote w:id="50">
    <w:p w14:paraId="2DF2C536" w14:textId="0235600B" w:rsidR="00760F6D" w:rsidRPr="003F4FCE" w:rsidRDefault="00760F6D" w:rsidP="004016E2">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vertAlign w:val="superscript"/>
        </w:rPr>
        <w:t xml:space="preserve"> </w:t>
      </w:r>
      <w:r w:rsidRPr="003F4FCE">
        <w:rPr>
          <w:rFonts w:ascii="Arial" w:hAnsi="Arial" w:cs="Arial"/>
          <w:sz w:val="24"/>
          <w:szCs w:val="24"/>
        </w:rPr>
        <w:t xml:space="preserve">M. F. Story, E. Schwier, and J. I. Kailes, “Perspectives of Patients with Disabilities on the Accessibility of Medical Equipment: Examination Tables, Imaging Equipment, Medical Chairs, and Weight Scales,” </w:t>
      </w:r>
      <w:r w:rsidRPr="00810A1D">
        <w:rPr>
          <w:rFonts w:ascii="Arial" w:hAnsi="Arial" w:cs="Arial"/>
          <w:i/>
          <w:iCs/>
          <w:sz w:val="24"/>
          <w:szCs w:val="24"/>
        </w:rPr>
        <w:t>Disability and Health Journal</w:t>
      </w:r>
      <w:r w:rsidRPr="003F4FCE">
        <w:rPr>
          <w:rFonts w:ascii="Arial" w:hAnsi="Arial" w:cs="Arial"/>
          <w:sz w:val="24"/>
          <w:szCs w:val="24"/>
        </w:rPr>
        <w:t xml:space="preserve"> 2, no. 4 (2009): 169–79.e1.</w:t>
      </w:r>
    </w:p>
  </w:endnote>
  <w:endnote w:id="51">
    <w:p w14:paraId="575F963E" w14:textId="54B22611" w:rsidR="00760F6D" w:rsidRPr="003F4FCE" w:rsidRDefault="00760F6D" w:rsidP="004016E2">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N. R. Mudrick et al., “Physical Accessibility in Primary Health Care Settings: Results from California On-site Reviews,” </w:t>
      </w:r>
      <w:r w:rsidRPr="00810A1D">
        <w:rPr>
          <w:rFonts w:ascii="Arial" w:hAnsi="Arial" w:cs="Arial"/>
          <w:i/>
          <w:iCs/>
          <w:sz w:val="24"/>
          <w:szCs w:val="24"/>
        </w:rPr>
        <w:t>Disability and Health Journal</w:t>
      </w:r>
      <w:r w:rsidRPr="003F4FCE">
        <w:rPr>
          <w:rFonts w:ascii="Arial" w:hAnsi="Arial" w:cs="Arial"/>
          <w:sz w:val="24"/>
          <w:szCs w:val="24"/>
        </w:rPr>
        <w:t xml:space="preserve"> 5, no. 3 (2012): 159–67.</w:t>
      </w:r>
    </w:p>
  </w:endnote>
  <w:endnote w:id="52">
    <w:p w14:paraId="55592CA4" w14:textId="516B2A20" w:rsidR="00760F6D" w:rsidRPr="003F4FCE" w:rsidRDefault="00760F6D" w:rsidP="004016E2">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N. Agaronnik et al., “Accessibility of Medical Diagnostic Equipment for Patients with Disability: Observations from Physicians,” </w:t>
      </w:r>
      <w:r w:rsidRPr="00810A1D">
        <w:rPr>
          <w:rFonts w:ascii="Arial" w:hAnsi="Arial" w:cs="Arial"/>
          <w:i/>
          <w:iCs/>
          <w:sz w:val="24"/>
          <w:szCs w:val="24"/>
        </w:rPr>
        <w:t>Archives of Physical Medicine and Rehabilitation</w:t>
      </w:r>
      <w:r w:rsidRPr="003F4FCE">
        <w:rPr>
          <w:rFonts w:ascii="Arial" w:hAnsi="Arial" w:cs="Arial"/>
          <w:sz w:val="24"/>
          <w:szCs w:val="24"/>
        </w:rPr>
        <w:t xml:space="preserve"> 100, no. 11 (2019): 2032–38.</w:t>
      </w:r>
    </w:p>
  </w:endnote>
  <w:endnote w:id="53">
    <w:p w14:paraId="32F878D2" w14:textId="173BF734" w:rsidR="00760F6D" w:rsidRPr="003F4FCE" w:rsidRDefault="00760F6D" w:rsidP="004016E2">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vertAlign w:val="superscript"/>
        </w:rPr>
        <w:t xml:space="preserve"> </w:t>
      </w:r>
      <w:r w:rsidRPr="003F4FCE">
        <w:rPr>
          <w:rFonts w:ascii="Arial" w:hAnsi="Arial" w:cs="Arial"/>
          <w:sz w:val="24"/>
          <w:szCs w:val="24"/>
        </w:rPr>
        <w:t xml:space="preserve">M. D. Stillman et al., “Health Care Utilization and Barriers Experienced by Individuals with Spinal Cord Injury,” </w:t>
      </w:r>
      <w:r w:rsidRPr="00810A1D">
        <w:rPr>
          <w:rFonts w:ascii="Arial" w:hAnsi="Arial" w:cs="Arial"/>
          <w:i/>
          <w:iCs/>
          <w:sz w:val="24"/>
          <w:szCs w:val="24"/>
        </w:rPr>
        <w:t>Archives of Physical Medicine and Rehabilitation</w:t>
      </w:r>
      <w:r w:rsidRPr="003F4FCE">
        <w:rPr>
          <w:rFonts w:ascii="Arial" w:hAnsi="Arial" w:cs="Arial"/>
          <w:sz w:val="24"/>
          <w:szCs w:val="24"/>
        </w:rPr>
        <w:t xml:space="preserve"> 95, no. 6 (2014): 1114–26; J. L. Wong et al., “Identification of Targets for Improving Access to Care in Persons with Long Term Physical Disabilities,” </w:t>
      </w:r>
      <w:r w:rsidRPr="00810A1D">
        <w:rPr>
          <w:rFonts w:ascii="Arial" w:hAnsi="Arial" w:cs="Arial"/>
          <w:i/>
          <w:iCs/>
          <w:sz w:val="24"/>
          <w:szCs w:val="24"/>
        </w:rPr>
        <w:t>Disability and Health Journal</w:t>
      </w:r>
      <w:r w:rsidRPr="003F4FCE">
        <w:rPr>
          <w:rFonts w:ascii="Arial" w:hAnsi="Arial" w:cs="Arial"/>
          <w:sz w:val="24"/>
          <w:szCs w:val="24"/>
        </w:rPr>
        <w:t xml:space="preserve"> 12, no. 3 (2019): 366–74.</w:t>
      </w:r>
    </w:p>
  </w:endnote>
  <w:endnote w:id="54">
    <w:p w14:paraId="08962D3D" w14:textId="728736BE"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vertAlign w:val="superscript"/>
        </w:rPr>
        <w:t xml:space="preserve"> </w:t>
      </w:r>
      <w:r w:rsidRPr="003F4FCE">
        <w:rPr>
          <w:rFonts w:cs="Arial"/>
          <w:szCs w:val="24"/>
        </w:rPr>
        <w:t xml:space="preserve">C. G. </w:t>
      </w:r>
      <w:r w:rsidRPr="003F4FCE">
        <w:rPr>
          <w:rFonts w:cs="Arial"/>
          <w:noProof/>
          <w:szCs w:val="24"/>
        </w:rPr>
        <w:t xml:space="preserve">Basas, “Advocacy Fatigue: Self-Care, Protest, and Educational Equity,” </w:t>
      </w:r>
      <w:r w:rsidRPr="00810A1D">
        <w:rPr>
          <w:rFonts w:cs="Arial"/>
          <w:i/>
          <w:iCs/>
          <w:noProof/>
          <w:szCs w:val="24"/>
        </w:rPr>
        <w:t xml:space="preserve">Windsor Yearbook of Access to Justice </w:t>
      </w:r>
      <w:r w:rsidRPr="003F4FCE">
        <w:rPr>
          <w:rFonts w:cs="Arial"/>
          <w:noProof/>
          <w:szCs w:val="24"/>
        </w:rPr>
        <w:t>32 (2015): 37.</w:t>
      </w:r>
    </w:p>
  </w:endnote>
  <w:endnote w:id="55">
    <w:p w14:paraId="5F51C3B3" w14:textId="484C0159"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A. </w:t>
      </w:r>
      <w:r w:rsidRPr="003F4FCE">
        <w:rPr>
          <w:rFonts w:cs="Arial"/>
          <w:noProof/>
          <w:szCs w:val="24"/>
        </w:rPr>
        <w:t xml:space="preserve">Reichard et al., “Prevalence and Reasons for Delaying and Foregoing Necessary Care by the Presence and Type of Disability Among Working-Age Adults,” </w:t>
      </w:r>
      <w:r w:rsidRPr="00810A1D">
        <w:rPr>
          <w:rFonts w:cs="Arial"/>
          <w:i/>
          <w:iCs/>
          <w:noProof/>
          <w:szCs w:val="24"/>
        </w:rPr>
        <w:t>Disability and Health Journal</w:t>
      </w:r>
      <w:r w:rsidRPr="003F4FCE">
        <w:rPr>
          <w:rFonts w:cs="Arial"/>
          <w:noProof/>
          <w:szCs w:val="24"/>
        </w:rPr>
        <w:t xml:space="preserve"> 10, no. 1 (2017): 39–47; W. Horner-Johnson et al., “Disparities in Health Care Access and Receipt of Preventive Services by Disability Type: Analysis of the Medical Expenditure Panel Survey,” </w:t>
      </w:r>
      <w:r w:rsidRPr="00810A1D">
        <w:rPr>
          <w:rFonts w:cs="Arial"/>
          <w:i/>
          <w:iCs/>
          <w:noProof/>
          <w:szCs w:val="24"/>
        </w:rPr>
        <w:t>Health Services Research</w:t>
      </w:r>
      <w:r w:rsidRPr="003F4FCE">
        <w:rPr>
          <w:rFonts w:cs="Arial"/>
          <w:noProof/>
          <w:szCs w:val="24"/>
        </w:rPr>
        <w:t xml:space="preserve"> 49, no. 6 (2014): 1980–99.</w:t>
      </w:r>
    </w:p>
  </w:endnote>
  <w:endnote w:id="56">
    <w:p w14:paraId="5ECD87E0"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A. L. </w:t>
      </w:r>
      <w:r w:rsidRPr="003F4FCE">
        <w:rPr>
          <w:rFonts w:cs="Arial"/>
          <w:noProof/>
          <w:szCs w:val="24"/>
        </w:rPr>
        <w:t xml:space="preserve">Siu, “Screening for Breast Cancer: US Preventive Services Task Force Recommendation Statement,” </w:t>
      </w:r>
      <w:r w:rsidRPr="00810A1D">
        <w:rPr>
          <w:rFonts w:cs="Arial"/>
          <w:i/>
          <w:iCs/>
          <w:noProof/>
          <w:szCs w:val="24"/>
        </w:rPr>
        <w:t>Annals of Internal Medicine</w:t>
      </w:r>
      <w:r w:rsidRPr="003F4FCE">
        <w:rPr>
          <w:rFonts w:cs="Arial"/>
          <w:noProof/>
          <w:szCs w:val="24"/>
        </w:rPr>
        <w:t xml:space="preserve"> 164, no. 4 (2016): 279–96.</w:t>
      </w:r>
    </w:p>
  </w:endnote>
  <w:endnote w:id="57">
    <w:p w14:paraId="7EC636BA" w14:textId="26DC8395" w:rsidR="00760F6D" w:rsidRPr="003F4FCE" w:rsidRDefault="00760F6D" w:rsidP="004016E2">
      <w:pPr>
        <w:pStyle w:val="EndNoteBibliography"/>
        <w:spacing w:after="200"/>
        <w:rPr>
          <w:rFonts w:ascii="Arial" w:hAnsi="Arial" w:cs="Arial"/>
          <w:iCs/>
          <w:sz w:val="24"/>
          <w:szCs w:val="24"/>
        </w:rPr>
      </w:pPr>
      <w:r w:rsidRPr="003F4FCE">
        <w:rPr>
          <w:rStyle w:val="EndnoteReference"/>
          <w:rFonts w:cs="Arial"/>
          <w:szCs w:val="24"/>
        </w:rPr>
        <w:endnoteRef/>
      </w:r>
      <w:r w:rsidRPr="003F4FCE">
        <w:rPr>
          <w:rFonts w:ascii="Arial" w:hAnsi="Arial" w:cs="Arial"/>
          <w:sz w:val="24"/>
          <w:szCs w:val="24"/>
        </w:rPr>
        <w:t xml:space="preserve"> S. Magasi et al., “</w:t>
      </w:r>
      <w:r w:rsidRPr="003F4FCE">
        <w:rPr>
          <w:rFonts w:ascii="Arial" w:hAnsi="Arial" w:cs="Arial"/>
          <w:iCs/>
          <w:sz w:val="24"/>
          <w:szCs w:val="24"/>
        </w:rPr>
        <w:t xml:space="preserve">ScreenABLE: Breast Cancer Screening Among Women with Disabilities from Community Identified Challenges to Community-Based Programs,” </w:t>
      </w:r>
      <w:r w:rsidRPr="00810A1D">
        <w:rPr>
          <w:rFonts w:ascii="Arial" w:hAnsi="Arial" w:cs="Arial"/>
          <w:i/>
          <w:sz w:val="24"/>
          <w:szCs w:val="24"/>
        </w:rPr>
        <w:t xml:space="preserve">Progress in Community Health Partnerships: Research, Education, and Action </w:t>
      </w:r>
      <w:r w:rsidRPr="003F4FCE">
        <w:rPr>
          <w:rFonts w:ascii="Arial" w:hAnsi="Arial" w:cs="Arial"/>
          <w:iCs/>
          <w:sz w:val="24"/>
          <w:szCs w:val="24"/>
        </w:rPr>
        <w:t>13, no. 5 (2019): 61–69.</w:t>
      </w:r>
    </w:p>
  </w:endnote>
  <w:endnote w:id="58">
    <w:p w14:paraId="320978C9" w14:textId="74B0B335" w:rsidR="00760F6D" w:rsidRPr="003F4FCE" w:rsidRDefault="00760F6D" w:rsidP="003F4FCE">
      <w:pPr>
        <w:pStyle w:val="EndnoteText"/>
        <w:rPr>
          <w:rFonts w:cs="Arial"/>
          <w:iCs/>
          <w:szCs w:val="24"/>
        </w:rPr>
      </w:pPr>
      <w:r w:rsidRPr="003F4FCE">
        <w:rPr>
          <w:rStyle w:val="EndnoteReference"/>
          <w:rFonts w:cs="Arial"/>
          <w:iCs/>
          <w:szCs w:val="24"/>
        </w:rPr>
        <w:endnoteRef/>
      </w:r>
      <w:r w:rsidRPr="003F4FCE">
        <w:rPr>
          <w:rFonts w:cs="Arial"/>
          <w:iCs/>
          <w:szCs w:val="24"/>
        </w:rPr>
        <w:t xml:space="preserve"> A. </w:t>
      </w:r>
      <w:r w:rsidRPr="003F4FCE">
        <w:rPr>
          <w:rFonts w:cs="Arial"/>
          <w:iCs/>
          <w:noProof/>
          <w:szCs w:val="24"/>
        </w:rPr>
        <w:t xml:space="preserve">Yassi and T. Hancock, “Patient Safety–Worker Safety: Building a Culture of Safety to Improve Healthcare Worker and Patient Well-Being,” </w:t>
      </w:r>
      <w:r w:rsidRPr="00810A1D">
        <w:rPr>
          <w:rFonts w:cs="Arial"/>
          <w:i/>
          <w:noProof/>
          <w:szCs w:val="24"/>
        </w:rPr>
        <w:t>Healthcare Quarterly</w:t>
      </w:r>
      <w:r w:rsidRPr="003F4FCE">
        <w:rPr>
          <w:rFonts w:cs="Arial"/>
          <w:iCs/>
          <w:noProof/>
          <w:szCs w:val="24"/>
        </w:rPr>
        <w:t xml:space="preserve"> 8, no. 32 (2005): 8.</w:t>
      </w:r>
    </w:p>
  </w:endnote>
  <w:endnote w:id="59">
    <w:p w14:paraId="306B7284" w14:textId="77777777" w:rsidR="00760F6D" w:rsidRPr="003F4FCE" w:rsidRDefault="00760F6D" w:rsidP="003F4FCE">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B. Hunter, M. Branson, and D. Davenport, “Saving Costs, Saving Health Care Providers’ Backs, and Creating a Safe Patient Environment,” </w:t>
      </w:r>
      <w:r w:rsidRPr="00810A1D">
        <w:rPr>
          <w:rFonts w:ascii="Arial" w:hAnsi="Arial" w:cs="Arial"/>
          <w:i/>
          <w:iCs/>
          <w:sz w:val="24"/>
          <w:szCs w:val="24"/>
        </w:rPr>
        <w:t>Nursing Economic$</w:t>
      </w:r>
      <w:r w:rsidRPr="003F4FCE">
        <w:rPr>
          <w:rFonts w:ascii="Arial" w:hAnsi="Arial" w:cs="Arial"/>
          <w:sz w:val="24"/>
          <w:szCs w:val="24"/>
        </w:rPr>
        <w:t xml:space="preserve"> 28 (2010): 130–4; R. Edlich et al., “Devastating Injuries in Healthcare Workers: Description of the Crisis and Legislative Solution to the Epidemic of Back Injury from Patient Lifting,” </w:t>
      </w:r>
      <w:r w:rsidRPr="00810A1D">
        <w:rPr>
          <w:rFonts w:ascii="Arial" w:hAnsi="Arial" w:cs="Arial"/>
          <w:i/>
          <w:iCs/>
          <w:sz w:val="24"/>
          <w:szCs w:val="24"/>
        </w:rPr>
        <w:t xml:space="preserve">Journal of Long-Term Effects of Medical Implants </w:t>
      </w:r>
      <w:r w:rsidRPr="003F4FCE">
        <w:rPr>
          <w:rFonts w:ascii="Arial" w:hAnsi="Arial" w:cs="Arial"/>
          <w:sz w:val="24"/>
          <w:szCs w:val="24"/>
        </w:rPr>
        <w:t>15, no. 2 (2005): 225–41.</w:t>
      </w:r>
    </w:p>
  </w:endnote>
  <w:endnote w:id="60">
    <w:p w14:paraId="2514EDF9" w14:textId="77777777" w:rsidR="00760F6D" w:rsidRPr="003F4FCE" w:rsidRDefault="00760F6D" w:rsidP="003F4FCE">
      <w:pPr>
        <w:pStyle w:val="NormalWeb"/>
        <w:shd w:val="clear" w:color="auto" w:fill="FFFFFF"/>
        <w:spacing w:before="0" w:beforeAutospacing="0" w:after="200" w:afterAutospacing="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H.R. 4266, the Nurse and Health Care Worker Protection Act, was introduced to the House on December 12, 2015. The bill was referred to the Subcommittee on Workforce Protections on March 23, 2016. No further action was taken.</w:t>
      </w:r>
    </w:p>
  </w:endnote>
  <w:endnote w:id="61">
    <w:p w14:paraId="4F0C0DC7" w14:textId="39D7EE6B"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S. 2406, the Nurse and Health Care Worker Protection Act of 2015, was introduced to the Senate on December 16, 2015, and referred to the Committee on Health, Education, Labor, and Pensions. No further action was taken.</w:t>
      </w:r>
    </w:p>
  </w:endnote>
  <w:endnote w:id="62">
    <w:p w14:paraId="7712C791" w14:textId="2BE24395" w:rsidR="00760F6D" w:rsidRPr="003F4FCE" w:rsidRDefault="00760F6D" w:rsidP="004016E2">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D. R. Thomas et al., </w:t>
      </w:r>
      <w:r w:rsidRPr="00810A1D">
        <w:rPr>
          <w:rFonts w:ascii="Arial" w:hAnsi="Arial" w:cs="Arial"/>
          <w:i/>
          <w:iCs/>
          <w:sz w:val="24"/>
          <w:szCs w:val="24"/>
        </w:rPr>
        <w:t xml:space="preserve">Assessing the Costs and Benefits of Moving and Handling Programmes </w:t>
      </w:r>
      <w:r w:rsidRPr="003F4FCE">
        <w:rPr>
          <w:rFonts w:ascii="Arial" w:hAnsi="Arial" w:cs="Arial"/>
          <w:sz w:val="24"/>
          <w:szCs w:val="24"/>
        </w:rPr>
        <w:t>(Wellington, New Zealand: ACC</w:t>
      </w:r>
      <w:r w:rsidRPr="006E5BC4">
        <w:rPr>
          <w:rFonts w:ascii="Arial" w:hAnsi="Arial" w:cs="Arial"/>
          <w:iCs/>
          <w:sz w:val="24"/>
          <w:szCs w:val="24"/>
        </w:rPr>
        <w:t>,</w:t>
      </w:r>
      <w:r w:rsidRPr="003F4FCE">
        <w:rPr>
          <w:rFonts w:ascii="Arial" w:hAnsi="Arial" w:cs="Arial"/>
          <w:sz w:val="24"/>
          <w:szCs w:val="24"/>
        </w:rPr>
        <w:t xml:space="preserve"> 2012); S. Hinrichs, </w:t>
      </w:r>
      <w:r w:rsidRPr="00810A1D">
        <w:rPr>
          <w:rFonts w:ascii="Arial" w:hAnsi="Arial" w:cs="Arial"/>
          <w:i/>
          <w:iCs/>
          <w:sz w:val="24"/>
          <w:szCs w:val="24"/>
        </w:rPr>
        <w:t xml:space="preserve">A Systems Approach to Improving Patient Safety Through Medical Device Purchasing </w:t>
      </w:r>
      <w:r w:rsidRPr="003F4FCE">
        <w:rPr>
          <w:rFonts w:ascii="Arial" w:hAnsi="Arial" w:cs="Arial"/>
          <w:sz w:val="24"/>
          <w:szCs w:val="24"/>
        </w:rPr>
        <w:t xml:space="preserve">(Cambridge, UK: University of Cambridge, 2009); M. Campo et al., “Effect of a Safe Patient Handling Program on Rehabilitation Outcomes,” </w:t>
      </w:r>
      <w:r w:rsidRPr="00810A1D">
        <w:rPr>
          <w:rFonts w:ascii="Arial" w:hAnsi="Arial" w:cs="Arial"/>
          <w:i/>
          <w:iCs/>
          <w:sz w:val="24"/>
          <w:szCs w:val="24"/>
        </w:rPr>
        <w:t>Archives of Physical Medicine and Rehabilitation</w:t>
      </w:r>
      <w:r w:rsidRPr="003F4FCE">
        <w:rPr>
          <w:rFonts w:ascii="Arial" w:hAnsi="Arial" w:cs="Arial"/>
          <w:sz w:val="24"/>
          <w:szCs w:val="24"/>
        </w:rPr>
        <w:t xml:space="preserve"> 94, no. 1 (2013): 17–22.</w:t>
      </w:r>
    </w:p>
  </w:endnote>
  <w:endnote w:id="63">
    <w:p w14:paraId="6EAA6198" w14:textId="22477443" w:rsidR="00760F6D" w:rsidRPr="003F4FCE" w:rsidRDefault="00760F6D" w:rsidP="003F4FCE">
      <w:pPr>
        <w:pStyle w:val="EndnoteText"/>
        <w:rPr>
          <w:rFonts w:cs="Arial"/>
          <w:iCs/>
          <w:szCs w:val="24"/>
        </w:rPr>
      </w:pPr>
      <w:r w:rsidRPr="003F4FCE">
        <w:rPr>
          <w:rStyle w:val="EndnoteReference"/>
          <w:rFonts w:cs="Arial"/>
          <w:szCs w:val="24"/>
        </w:rPr>
        <w:endnoteRef/>
      </w:r>
      <w:r w:rsidRPr="003F4FCE">
        <w:rPr>
          <w:rFonts w:cs="Arial"/>
          <w:szCs w:val="24"/>
        </w:rPr>
        <w:t xml:space="preserve"> Report published by the Agency for Healthcare Research and Quality (AHRQ). K. </w:t>
      </w:r>
      <w:r w:rsidRPr="003F4FCE">
        <w:rPr>
          <w:rFonts w:cs="Arial"/>
          <w:noProof/>
          <w:szCs w:val="24"/>
        </w:rPr>
        <w:t xml:space="preserve">Siddharthan et al., </w:t>
      </w:r>
      <w:r w:rsidRPr="00810A1D">
        <w:rPr>
          <w:rFonts w:cs="Arial"/>
          <w:i/>
          <w:noProof/>
          <w:szCs w:val="24"/>
        </w:rPr>
        <w:t xml:space="preserve">Cost Effectiveness of a Multifaceted Program for Safe Patient Handling </w:t>
      </w:r>
      <w:r w:rsidRPr="003F4FCE">
        <w:rPr>
          <w:rFonts w:cs="Arial"/>
          <w:iCs/>
          <w:noProof/>
          <w:szCs w:val="24"/>
        </w:rPr>
        <w:t xml:space="preserve">(Rockville, MD: AHRQ, 2005). </w:t>
      </w:r>
    </w:p>
  </w:endnote>
  <w:endnote w:id="64">
    <w:p w14:paraId="5060338E" w14:textId="2A43EC9B" w:rsidR="00760F6D" w:rsidRPr="00810A1D" w:rsidRDefault="00760F6D" w:rsidP="003F4FCE">
      <w:pPr>
        <w:pStyle w:val="EndnoteText"/>
        <w:rPr>
          <w:rFonts w:cs="Arial"/>
          <w:i/>
          <w:iCs/>
          <w:szCs w:val="24"/>
        </w:rPr>
      </w:pPr>
      <w:r w:rsidRPr="003F4FCE">
        <w:rPr>
          <w:rStyle w:val="EndnoteReference"/>
          <w:rFonts w:cs="Arial"/>
          <w:szCs w:val="24"/>
        </w:rPr>
        <w:endnoteRef/>
      </w:r>
      <w:r w:rsidRPr="003F4FCE">
        <w:rPr>
          <w:rFonts w:cs="Arial"/>
          <w:szCs w:val="24"/>
        </w:rPr>
        <w:t xml:space="preserve"> </w:t>
      </w:r>
      <w:r w:rsidRPr="00810A1D">
        <w:rPr>
          <w:rFonts w:cs="Arial"/>
          <w:i/>
          <w:iCs/>
          <w:szCs w:val="24"/>
        </w:rPr>
        <w:t>Id.</w:t>
      </w:r>
    </w:p>
  </w:endnote>
  <w:endnote w:id="65">
    <w:p w14:paraId="382A71A8" w14:textId="0AD8CDFA"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S. </w:t>
      </w:r>
      <w:r w:rsidRPr="003F4FCE">
        <w:rPr>
          <w:rFonts w:cs="Arial"/>
          <w:noProof/>
          <w:szCs w:val="24"/>
        </w:rPr>
        <w:t xml:space="preserve">Lahiri et al., “An Economic Analysis of a Safe Resident Handling Program in Nursing Homes,” </w:t>
      </w:r>
      <w:r w:rsidRPr="00810A1D">
        <w:rPr>
          <w:rFonts w:cs="Arial"/>
          <w:i/>
          <w:iCs/>
          <w:noProof/>
          <w:szCs w:val="24"/>
        </w:rPr>
        <w:t>American Journal of Industrial Medicine</w:t>
      </w:r>
      <w:r w:rsidRPr="003F4FCE">
        <w:rPr>
          <w:rFonts w:cs="Arial"/>
          <w:noProof/>
          <w:szCs w:val="24"/>
        </w:rPr>
        <w:t xml:space="preserve"> 56, no. 4 (2013): 469–78.</w:t>
      </w:r>
    </w:p>
  </w:endnote>
  <w:endnote w:id="66">
    <w:p w14:paraId="4F56FC6B"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M. F. Story et al., “Focus Groups on Accessibility of Medical Instrumentation,” in </w:t>
      </w:r>
      <w:r w:rsidRPr="00810A1D">
        <w:rPr>
          <w:rFonts w:cs="Arial"/>
          <w:i/>
          <w:iCs/>
          <w:szCs w:val="24"/>
        </w:rPr>
        <w:t>Proceedings of RESNA 28th Annual Conference</w:t>
      </w:r>
      <w:r w:rsidRPr="003F4FCE">
        <w:rPr>
          <w:rFonts w:cs="Arial"/>
          <w:szCs w:val="24"/>
        </w:rPr>
        <w:t xml:space="preserve"> (Washington, DC: RESNA, 2005), The Rehabilitation Engineering Research Center on Accessible Medical Instrumentation was created by a five-year grant in 2002 from the U.S. Department of Education’s National Institute on Disability and Rehabilitation Research.</w:t>
      </w:r>
    </w:p>
  </w:endnote>
  <w:endnote w:id="67">
    <w:p w14:paraId="36E5C77E" w14:textId="3A62B73A"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shd w:val="clear" w:color="auto" w:fill="FFFFFF"/>
        </w:rPr>
        <w:t>110 Cong. Rec. S. 1070, 2007; 110 Cong. Rec. H.R. 3294, 2007.</w:t>
      </w:r>
      <w:proofErr w:type="gramEnd"/>
      <w:r w:rsidRPr="003F4FCE">
        <w:rPr>
          <w:rFonts w:cs="Arial"/>
          <w:szCs w:val="24"/>
          <w:shd w:val="clear" w:color="auto" w:fill="FFFFFF"/>
        </w:rPr>
        <w:t xml:space="preserve"> The proposed legislation also called for the Secretary of Health and Human Services (</w:t>
      </w:r>
      <w:proofErr w:type="spellStart"/>
      <w:r w:rsidRPr="003F4FCE">
        <w:rPr>
          <w:rFonts w:cs="Arial"/>
          <w:szCs w:val="24"/>
          <w:shd w:val="clear" w:color="auto" w:fill="FFFFFF"/>
        </w:rPr>
        <w:t>i</w:t>
      </w:r>
      <w:proofErr w:type="spellEnd"/>
      <w:r w:rsidRPr="003F4FCE">
        <w:rPr>
          <w:rFonts w:cs="Arial"/>
          <w:szCs w:val="24"/>
          <w:shd w:val="clear" w:color="auto" w:fill="FFFFFF"/>
        </w:rPr>
        <w:t>) to make grants for programs to promote good health, disease prevention, and wellness for individuals with disabilities and prevent secondary conditions in such individuals; (ii) to establish a National Advisory Committee on Wellness for Individuals with Disabilities to set priorities to carry out such programs, review grant proposals, make recommendations for funding, and annually evaluate the progress of such programs in implementing the priorities; and (iii) to provide for training programs to improve competency and clinical skills for providing health care and communicating with patients with disabilities through training integrated into the core curriculum and patient interaction in community-based settings. These bills were later incorporated into the ACA as Section 4203, “Removing Barriers and Improving Access to Wellness for Individuals with Disabilities.”</w:t>
      </w:r>
    </w:p>
  </w:endnote>
  <w:endnote w:id="68">
    <w:p w14:paraId="5F1B50BD"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shd w:val="clear" w:color="auto" w:fill="FFFFFF"/>
        </w:rPr>
        <w:t>29 U.S.C. § 794f.</w:t>
      </w:r>
      <w:proofErr w:type="gramEnd"/>
    </w:p>
  </w:endnote>
  <w:endnote w:id="69">
    <w:p w14:paraId="6C8474F3" w14:textId="3476F14C"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3F4FCE">
        <w:rPr>
          <w:rFonts w:cs="Arial"/>
          <w:szCs w:val="24"/>
          <w:shd w:val="clear" w:color="auto" w:fill="FFFFFF"/>
        </w:rPr>
        <w:t>U.S. Access Board, </w:t>
      </w:r>
      <w:r w:rsidRPr="00810A1D">
        <w:rPr>
          <w:rStyle w:val="Emphasis"/>
          <w:rFonts w:cs="Arial"/>
          <w:szCs w:val="24"/>
          <w:shd w:val="clear" w:color="auto" w:fill="FFFFFF"/>
        </w:rPr>
        <w:t>Advancing Equal Access to Diagnostic Services: Recommendations on Standards for the Design of Medical Diagnostic Equipment for Adults with Disabilities. The Final Report of the Medical Diagnostic Equipment Accessibility Standards Advisory Committee</w:t>
      </w:r>
      <w:r w:rsidRPr="003F4FCE">
        <w:rPr>
          <w:rFonts w:cs="Arial"/>
          <w:szCs w:val="24"/>
          <w:shd w:val="clear" w:color="auto" w:fill="FFFFFF"/>
        </w:rPr>
        <w:t xml:space="preserve">, December 6, 2013. </w:t>
      </w:r>
      <w:hyperlink r:id="rId12" w:tooltip="https://www.regulations.gov/document/ATBCB-2013-0009-0001" w:history="1">
        <w:r w:rsidRPr="004E1594">
          <w:rPr>
            <w:rStyle w:val="Hyperlink"/>
            <w:rFonts w:cs="Arial"/>
            <w:szCs w:val="24"/>
            <w:shd w:val="clear" w:color="auto" w:fill="FFFFFF"/>
          </w:rPr>
          <w:t>https://www.regulations.gov/document/ATBCB-2013-0009-0001</w:t>
        </w:r>
      </w:hyperlink>
      <w:r w:rsidRPr="003F4FCE">
        <w:rPr>
          <w:rFonts w:cs="Arial"/>
          <w:szCs w:val="24"/>
          <w:shd w:val="clear" w:color="auto" w:fill="FFFFFF"/>
        </w:rPr>
        <w:t>.</w:t>
      </w:r>
    </w:p>
  </w:endnote>
  <w:endnote w:id="70">
    <w:p w14:paraId="30876FC3"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vertAlign w:val="superscript"/>
        </w:rPr>
        <w:t xml:space="preserve"> </w:t>
      </w:r>
      <w:r w:rsidRPr="00810A1D">
        <w:rPr>
          <w:rStyle w:val="Emphasis"/>
          <w:rFonts w:cs="Arial"/>
          <w:szCs w:val="24"/>
          <w:shd w:val="clear" w:color="auto" w:fill="FFFFFF"/>
        </w:rPr>
        <w:t>Id. </w:t>
      </w:r>
      <w:r w:rsidRPr="003F4FCE">
        <w:rPr>
          <w:rFonts w:cs="Arial"/>
          <w:szCs w:val="24"/>
          <w:shd w:val="clear" w:color="auto" w:fill="FFFFFF"/>
        </w:rPr>
        <w:t>Other reasons for quality shortfalls identified were clinicians’ failures to understand the values, preferences, needs, and expectations of people with disabilities for their health care; financial barriers caused by insufficient or missing health insurance coverage; and inaccessible buildings.</w:t>
      </w:r>
    </w:p>
  </w:endnote>
  <w:endnote w:id="71">
    <w:p w14:paraId="099212C3" w14:textId="2E9F460F"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810A1D">
        <w:rPr>
          <w:rFonts w:cs="Arial"/>
          <w:i/>
          <w:iCs/>
          <w:szCs w:val="24"/>
          <w:shd w:val="clear" w:color="auto" w:fill="FFFFFF"/>
        </w:rPr>
        <w:t>Id., </w:t>
      </w:r>
      <w:r w:rsidRPr="003F4FCE">
        <w:rPr>
          <w:rFonts w:cs="Arial"/>
          <w:szCs w:val="24"/>
          <w:shd w:val="clear" w:color="auto" w:fill="FFFFFF"/>
        </w:rPr>
        <w:t xml:space="preserve">at Section 2, Background, </w:t>
      </w:r>
      <w:hyperlink r:id="rId13" w:tooltip="https://www.regulations.gov/document/ATBCB-2013-0009-0001" w:history="1">
        <w:r w:rsidRPr="004E1594">
          <w:rPr>
            <w:rStyle w:val="Hyperlink"/>
            <w:rFonts w:cs="Arial"/>
            <w:szCs w:val="24"/>
            <w:shd w:val="clear" w:color="auto" w:fill="FFFFFF"/>
          </w:rPr>
          <w:t>https://www.regulations.gov/document/ATBCB-2013-0009-0001</w:t>
        </w:r>
      </w:hyperlink>
      <w:r w:rsidRPr="003F4FCE">
        <w:rPr>
          <w:rFonts w:cs="Arial"/>
          <w:szCs w:val="24"/>
          <w:shd w:val="clear" w:color="auto" w:fill="FFFFFF"/>
        </w:rPr>
        <w:t>.</w:t>
      </w:r>
      <w:proofErr w:type="gramEnd"/>
    </w:p>
  </w:endnote>
  <w:endnote w:id="72">
    <w:p w14:paraId="43E68108" w14:textId="486F7194"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 xml:space="preserve">National Council on Disability, </w:t>
      </w:r>
      <w:r w:rsidRPr="00810A1D">
        <w:rPr>
          <w:rFonts w:cs="Arial"/>
          <w:i/>
          <w:iCs/>
          <w:szCs w:val="24"/>
        </w:rPr>
        <w:t>The Current State of Health Care for People with Disabilities</w:t>
      </w:r>
      <w:r w:rsidRPr="003F4FCE">
        <w:rPr>
          <w:rFonts w:cs="Arial"/>
          <w:szCs w:val="24"/>
        </w:rPr>
        <w:t xml:space="preserve">, 2009, </w:t>
      </w:r>
      <w:hyperlink r:id="rId14" w:tooltip="http://www.ncd.gov/publications/2009/Sept302009" w:history="1">
        <w:r w:rsidRPr="004E1594">
          <w:rPr>
            <w:rStyle w:val="Hyperlink"/>
            <w:rFonts w:cs="Arial"/>
            <w:szCs w:val="24"/>
          </w:rPr>
          <w:t>http://www.ncd.gov/publications/2009/Sept302009</w:t>
        </w:r>
      </w:hyperlink>
      <w:r w:rsidRPr="003F4FCE">
        <w:rPr>
          <w:rFonts w:cs="Arial"/>
          <w:szCs w:val="24"/>
        </w:rPr>
        <w:t>.</w:t>
      </w:r>
      <w:proofErr w:type="gramEnd"/>
    </w:p>
  </w:endnote>
  <w:endnote w:id="73">
    <w:p w14:paraId="3FE565D6" w14:textId="32B80C82"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3F4FCE">
        <w:rPr>
          <w:rFonts w:cs="Arial"/>
          <w:szCs w:val="24"/>
          <w:shd w:val="clear" w:color="auto" w:fill="FFFFFF"/>
        </w:rPr>
        <w:t xml:space="preserve">U.S. Department of Health and Human Services, </w:t>
      </w:r>
      <w:r w:rsidRPr="00810A1D">
        <w:rPr>
          <w:rStyle w:val="Emphasis"/>
          <w:rFonts w:cs="Arial"/>
          <w:szCs w:val="24"/>
          <w:shd w:val="clear" w:color="auto" w:fill="FFFFFF"/>
        </w:rPr>
        <w:t>Healthy People 2010:</w:t>
      </w:r>
      <w:r w:rsidRPr="003F4FCE">
        <w:rPr>
          <w:rFonts w:cs="Arial"/>
          <w:szCs w:val="24"/>
          <w:shd w:val="clear" w:color="auto" w:fill="FFFFFF"/>
        </w:rPr>
        <w:t xml:space="preserve"> </w:t>
      </w:r>
      <w:r w:rsidRPr="00810A1D">
        <w:rPr>
          <w:rFonts w:cs="Arial"/>
          <w:i/>
          <w:iCs/>
          <w:szCs w:val="24"/>
          <w:shd w:val="clear" w:color="auto" w:fill="FFFFFF"/>
        </w:rPr>
        <w:t>Understanding and Improving Health</w:t>
      </w:r>
      <w:r w:rsidRPr="003F4FCE">
        <w:rPr>
          <w:rFonts w:cs="Arial"/>
          <w:szCs w:val="24"/>
          <w:shd w:val="clear" w:color="auto" w:fill="FFFFFF"/>
        </w:rPr>
        <w:t xml:space="preserve"> (Vol. 1) and </w:t>
      </w:r>
      <w:r w:rsidRPr="00810A1D">
        <w:rPr>
          <w:rFonts w:cs="Arial"/>
          <w:i/>
          <w:iCs/>
          <w:szCs w:val="24"/>
          <w:shd w:val="clear" w:color="auto" w:fill="FFFFFF"/>
        </w:rPr>
        <w:t>Objectives for Improving Health</w:t>
      </w:r>
      <w:r w:rsidRPr="003F4FCE">
        <w:rPr>
          <w:rFonts w:cs="Arial"/>
          <w:szCs w:val="24"/>
          <w:shd w:val="clear" w:color="auto" w:fill="FFFFFF"/>
        </w:rPr>
        <w:t xml:space="preserve"> (Vol. 2), 2nd ed. (Washington, DC: U.S. Government Printing Office, 2000), </w:t>
      </w:r>
      <w:hyperlink r:id="rId15" w:tgtFrame="_blank" w:tooltip="https://www.healthypeople.gov/2010/?visit=1" w:history="1">
        <w:r w:rsidRPr="004E1594">
          <w:rPr>
            <w:rStyle w:val="Hyperlink"/>
            <w:rFonts w:cs="Arial"/>
            <w:szCs w:val="24"/>
            <w:shd w:val="clear" w:color="auto" w:fill="FFFFFF"/>
          </w:rPr>
          <w:t>https://www.healthypeople.gov/2010/?visit=1</w:t>
        </w:r>
      </w:hyperlink>
      <w:r w:rsidRPr="004E1594">
        <w:rPr>
          <w:rStyle w:val="Hyperlink"/>
          <w:rFonts w:cs="Arial"/>
          <w:szCs w:val="24"/>
          <w:shd w:val="clear" w:color="auto" w:fill="FFFFFF"/>
        </w:rPr>
        <w:t>.</w:t>
      </w:r>
    </w:p>
  </w:endnote>
  <w:endnote w:id="74">
    <w:p w14:paraId="078DCB99"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3F4FCE">
        <w:rPr>
          <w:rFonts w:cs="Arial"/>
          <w:szCs w:val="24"/>
          <w:shd w:val="clear" w:color="auto" w:fill="FFFFFF"/>
        </w:rPr>
        <w:t xml:space="preserve">U.S. Department of Health and Human Services, </w:t>
      </w:r>
      <w:r w:rsidRPr="00810A1D">
        <w:rPr>
          <w:rFonts w:cs="Arial"/>
          <w:i/>
          <w:iCs/>
          <w:szCs w:val="24"/>
          <w:shd w:val="clear" w:color="auto" w:fill="FFFFFF"/>
        </w:rPr>
        <w:t>The Surgeon General’s Call to Action to Improve the Health and Wellness of Persons with Disabilities</w:t>
      </w:r>
      <w:r w:rsidRPr="003F4FCE">
        <w:rPr>
          <w:rFonts w:cs="Arial"/>
          <w:szCs w:val="24"/>
          <w:shd w:val="clear" w:color="auto" w:fill="FFFFFF"/>
        </w:rPr>
        <w:t xml:space="preserve"> (Washington, DC: Public Health Service, Office of the Surgeon General, 2005).</w:t>
      </w:r>
    </w:p>
  </w:endnote>
  <w:endnote w:id="75">
    <w:p w14:paraId="5222BC3E" w14:textId="6367339F"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vertAlign w:val="superscript"/>
        </w:rPr>
        <w:t xml:space="preserve"> </w:t>
      </w:r>
      <w:r w:rsidRPr="003F4FCE">
        <w:rPr>
          <w:rFonts w:cs="Arial"/>
          <w:szCs w:val="24"/>
        </w:rPr>
        <w:t xml:space="preserve">B. </w:t>
      </w:r>
      <w:r w:rsidRPr="003F4FCE">
        <w:rPr>
          <w:rFonts w:cs="Arial"/>
          <w:szCs w:val="24"/>
          <w:shd w:val="clear" w:color="auto" w:fill="FFFFFF"/>
        </w:rPr>
        <w:t xml:space="preserve">Altman and A. Bernstein, </w:t>
      </w:r>
      <w:r w:rsidRPr="00810A1D">
        <w:rPr>
          <w:rStyle w:val="Emphasis"/>
          <w:rFonts w:cs="Arial"/>
          <w:szCs w:val="24"/>
          <w:shd w:val="clear" w:color="auto" w:fill="FFFFFF"/>
        </w:rPr>
        <w:t>Disability and Health in the United States, 2001–2005</w:t>
      </w:r>
      <w:r w:rsidRPr="003F4FCE">
        <w:rPr>
          <w:rFonts w:cs="Arial"/>
          <w:szCs w:val="24"/>
          <w:shd w:val="clear" w:color="auto" w:fill="FFFFFF"/>
        </w:rPr>
        <w:t xml:space="preserve"> (Hyattsville, MD: National Center for Health Statistics, 2008), </w:t>
      </w:r>
      <w:hyperlink r:id="rId16" w:tgtFrame="_blank" w:tooltip="https://www.cdc.gov/nchs/data/misc/disability2001-2005.pdf" w:history="1">
        <w:r w:rsidRPr="004E1594">
          <w:rPr>
            <w:rStyle w:val="Hyperlink"/>
            <w:rFonts w:cs="Arial"/>
            <w:szCs w:val="24"/>
            <w:shd w:val="clear" w:color="auto" w:fill="FFFFFF"/>
          </w:rPr>
          <w:t>https://www.cdc.gov/nchs/data/misc/disability2001-2005.pdf</w:t>
        </w:r>
      </w:hyperlink>
      <w:r w:rsidRPr="004E1594">
        <w:rPr>
          <w:rStyle w:val="Hyperlink"/>
          <w:rFonts w:cs="Arial"/>
          <w:szCs w:val="24"/>
          <w:shd w:val="clear" w:color="auto" w:fill="FFFFFF"/>
        </w:rPr>
        <w:t>.</w:t>
      </w:r>
    </w:p>
  </w:endnote>
  <w:endnote w:id="76">
    <w:p w14:paraId="22DCE275"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vertAlign w:val="superscript"/>
        </w:rPr>
        <w:t xml:space="preserve"> </w:t>
      </w:r>
      <w:r w:rsidRPr="003F4FCE">
        <w:rPr>
          <w:rFonts w:cs="Arial"/>
          <w:szCs w:val="24"/>
          <w:shd w:val="clear" w:color="auto" w:fill="FFFFFF"/>
        </w:rPr>
        <w:t xml:space="preserve">Agency for Healthcare Research and Quality, </w:t>
      </w:r>
      <w:r w:rsidRPr="00810A1D">
        <w:rPr>
          <w:rStyle w:val="Emphasis"/>
          <w:rFonts w:cs="Arial"/>
          <w:szCs w:val="24"/>
          <w:shd w:val="clear" w:color="auto" w:fill="FFFFFF"/>
        </w:rPr>
        <w:t>2009 and 2010 National Healthcare Disparities Report</w:t>
      </w:r>
      <w:r w:rsidRPr="003F4FCE">
        <w:rPr>
          <w:rFonts w:cs="Arial"/>
          <w:szCs w:val="24"/>
          <w:shd w:val="clear" w:color="auto" w:fill="FFFFFF"/>
        </w:rPr>
        <w:t>, AHRQ Publication No. 10-0004 and 10-0005 (Rockville, MD: U.S. Department of Health and Human Services, 2010, 2011).</w:t>
      </w:r>
    </w:p>
  </w:endnote>
  <w:endnote w:id="77">
    <w:p w14:paraId="053F6CF1" w14:textId="257A8E9A"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vertAlign w:val="superscript"/>
        </w:rPr>
        <w:t xml:space="preserve"> </w:t>
      </w:r>
      <w:proofErr w:type="gramStart"/>
      <w:r w:rsidRPr="003F4FCE">
        <w:rPr>
          <w:rFonts w:cs="Arial"/>
          <w:szCs w:val="24"/>
          <w:shd w:val="clear" w:color="auto" w:fill="FFFFFF"/>
        </w:rPr>
        <w:t>U.S. Department of Health and Human Services.</w:t>
      </w:r>
      <w:proofErr w:type="gramEnd"/>
      <w:r w:rsidRPr="003F4FCE">
        <w:rPr>
          <w:rFonts w:cs="Arial"/>
          <w:szCs w:val="24"/>
          <w:shd w:val="clear" w:color="auto" w:fill="FFFFFF"/>
        </w:rPr>
        <w:t> </w:t>
      </w:r>
      <w:r w:rsidRPr="00810A1D">
        <w:rPr>
          <w:rStyle w:val="Emphasis"/>
          <w:rFonts w:cs="Arial"/>
          <w:szCs w:val="24"/>
          <w:shd w:val="clear" w:color="auto" w:fill="FFFFFF"/>
        </w:rPr>
        <w:t xml:space="preserve">Healthy People 2020: </w:t>
      </w:r>
      <w:r w:rsidRPr="00810A1D">
        <w:rPr>
          <w:rFonts w:cs="Arial"/>
          <w:i/>
          <w:iCs/>
          <w:szCs w:val="24"/>
        </w:rPr>
        <w:t xml:space="preserve">Understanding and Improving Health </w:t>
      </w:r>
      <w:r w:rsidRPr="003F4FCE">
        <w:rPr>
          <w:rFonts w:cs="Arial"/>
          <w:szCs w:val="24"/>
        </w:rPr>
        <w:t xml:space="preserve">(Vol. 1) and </w:t>
      </w:r>
      <w:r w:rsidRPr="00810A1D">
        <w:rPr>
          <w:rFonts w:cs="Arial"/>
          <w:i/>
          <w:iCs/>
          <w:szCs w:val="24"/>
        </w:rPr>
        <w:t>Objectives for Improving Health</w:t>
      </w:r>
      <w:r w:rsidRPr="003F4FCE">
        <w:rPr>
          <w:rFonts w:cs="Arial"/>
          <w:szCs w:val="24"/>
          <w:shd w:val="clear" w:color="auto" w:fill="FFFFFF"/>
        </w:rPr>
        <w:t xml:space="preserve"> (Vol. 2), 2nd ed. (Washington, DC: U.S. Government Printing Office, 2000), </w:t>
      </w:r>
      <w:hyperlink r:id="rId17" w:tgtFrame="_blank" w:tooltip="https://www.healthypeople.gov/" w:history="1">
        <w:r w:rsidRPr="004E1594">
          <w:rPr>
            <w:rStyle w:val="Hyperlink"/>
            <w:rFonts w:cs="Arial"/>
            <w:szCs w:val="24"/>
            <w:shd w:val="clear" w:color="auto" w:fill="FFFFFF"/>
          </w:rPr>
          <w:t>https://www.healthypeople.gov/</w:t>
        </w:r>
      </w:hyperlink>
      <w:r w:rsidRPr="004E1594">
        <w:rPr>
          <w:rStyle w:val="Hyperlink"/>
          <w:rFonts w:cs="Arial"/>
          <w:szCs w:val="24"/>
          <w:shd w:val="clear" w:color="auto" w:fill="FFFFFF"/>
        </w:rPr>
        <w:t>.</w:t>
      </w:r>
    </w:p>
  </w:endnote>
  <w:endnote w:id="78">
    <w:p w14:paraId="091DA340" w14:textId="69D93AD3"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3F4FCE">
        <w:rPr>
          <w:rFonts w:cs="Arial"/>
          <w:szCs w:val="24"/>
          <w:shd w:val="clear" w:color="auto" w:fill="FFFFFF"/>
        </w:rPr>
        <w:t xml:space="preserve">The research publications and studies reviewed included R. </w:t>
      </w:r>
      <w:proofErr w:type="spellStart"/>
      <w:r w:rsidRPr="003F4FCE">
        <w:rPr>
          <w:rFonts w:cs="Arial"/>
          <w:szCs w:val="24"/>
          <w:shd w:val="clear" w:color="auto" w:fill="FFFFFF"/>
        </w:rPr>
        <w:t>Andriacchi</w:t>
      </w:r>
      <w:proofErr w:type="spellEnd"/>
      <w:r w:rsidRPr="003F4FCE">
        <w:rPr>
          <w:rFonts w:cs="Arial"/>
          <w:szCs w:val="24"/>
          <w:shd w:val="clear" w:color="auto" w:fill="FFFFFF"/>
        </w:rPr>
        <w:t>, “</w:t>
      </w:r>
      <w:r w:rsidRPr="006E5BC4">
        <w:rPr>
          <w:rStyle w:val="Emphasis"/>
          <w:rFonts w:cs="Arial"/>
          <w:i w:val="0"/>
          <w:szCs w:val="24"/>
          <w:shd w:val="clear" w:color="auto" w:fill="FFFFFF"/>
        </w:rPr>
        <w:t>Primary Care for Persons with Disabilities: The Internal Medicine Perspective</w:t>
      </w:r>
      <w:r w:rsidRPr="003F4FCE">
        <w:rPr>
          <w:rFonts w:cs="Arial"/>
          <w:szCs w:val="24"/>
          <w:shd w:val="clear" w:color="auto" w:fill="FFFFFF"/>
        </w:rPr>
        <w:t xml:space="preserve">,” </w:t>
      </w:r>
      <w:r w:rsidRPr="00810A1D">
        <w:rPr>
          <w:rFonts w:cs="Arial"/>
          <w:i/>
          <w:iCs/>
          <w:szCs w:val="24"/>
          <w:shd w:val="clear" w:color="auto" w:fill="FFFFFF"/>
        </w:rPr>
        <w:t>American Journal of Physical Medicine and Rehabilitation</w:t>
      </w:r>
      <w:r w:rsidRPr="003F4FCE">
        <w:rPr>
          <w:rFonts w:cs="Arial"/>
          <w:szCs w:val="24"/>
          <w:shd w:val="clear" w:color="auto" w:fill="FFFFFF"/>
        </w:rPr>
        <w:t xml:space="preserve"> 76, no. 3 (1997): S17–20; L. </w:t>
      </w:r>
      <w:proofErr w:type="spellStart"/>
      <w:r w:rsidRPr="003F4FCE">
        <w:rPr>
          <w:rFonts w:cs="Arial"/>
          <w:szCs w:val="24"/>
          <w:shd w:val="clear" w:color="auto" w:fill="FFFFFF"/>
        </w:rPr>
        <w:t>Iezzoni</w:t>
      </w:r>
      <w:proofErr w:type="spellEnd"/>
      <w:r w:rsidRPr="003F4FCE">
        <w:rPr>
          <w:rFonts w:cs="Arial"/>
          <w:szCs w:val="24"/>
          <w:shd w:val="clear" w:color="auto" w:fill="FFFFFF"/>
        </w:rPr>
        <w:t>, “</w:t>
      </w:r>
      <w:r w:rsidRPr="0013753D">
        <w:rPr>
          <w:rStyle w:val="Emphasis"/>
          <w:rFonts w:cs="Arial"/>
          <w:i w:val="0"/>
          <w:szCs w:val="24"/>
          <w:shd w:val="clear" w:color="auto" w:fill="FFFFFF"/>
        </w:rPr>
        <w:t>Blocked</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3F4FCE">
        <w:rPr>
          <w:rFonts w:cs="Arial"/>
          <w:szCs w:val="24"/>
          <w:shd w:val="clear" w:color="auto" w:fill="FFFFFF"/>
        </w:rPr>
        <w:t xml:space="preserve"> </w:t>
      </w:r>
      <w:r w:rsidRPr="00810A1D">
        <w:rPr>
          <w:rFonts w:cs="Arial"/>
          <w:i/>
          <w:iCs/>
          <w:szCs w:val="24"/>
          <w:shd w:val="clear" w:color="auto" w:fill="FFFFFF"/>
        </w:rPr>
        <w:t>Health Affairs (Millwood)</w:t>
      </w:r>
      <w:r w:rsidRPr="003F4FCE">
        <w:rPr>
          <w:rFonts w:cs="Arial"/>
          <w:szCs w:val="24"/>
          <w:shd w:val="clear" w:color="auto" w:fill="FFFFFF"/>
        </w:rPr>
        <w:t xml:space="preserve"> 27, no. 1 (2008): 203–9; K. </w:t>
      </w:r>
      <w:proofErr w:type="spellStart"/>
      <w:r w:rsidRPr="003F4FCE">
        <w:rPr>
          <w:rFonts w:cs="Arial"/>
          <w:szCs w:val="24"/>
          <w:shd w:val="clear" w:color="auto" w:fill="FFFFFF"/>
        </w:rPr>
        <w:t>Kirschner</w:t>
      </w:r>
      <w:proofErr w:type="spellEnd"/>
      <w:r w:rsidR="007A55EC">
        <w:rPr>
          <w:rFonts w:cs="Arial"/>
          <w:szCs w:val="24"/>
          <w:shd w:val="clear" w:color="auto" w:fill="FFFFFF"/>
        </w:rPr>
        <w:br/>
      </w:r>
      <w:r w:rsidRPr="003F4FCE">
        <w:rPr>
          <w:rFonts w:cs="Arial"/>
          <w:szCs w:val="24"/>
          <w:shd w:val="clear" w:color="auto" w:fill="FFFFFF"/>
        </w:rPr>
        <w:t>et al., “</w:t>
      </w:r>
      <w:r w:rsidRPr="0013753D">
        <w:rPr>
          <w:rStyle w:val="Emphasis"/>
          <w:rFonts w:cs="Arial"/>
          <w:i w:val="0"/>
          <w:szCs w:val="24"/>
          <w:shd w:val="clear" w:color="auto" w:fill="FFFFFF"/>
        </w:rPr>
        <w:t>Structural Impairments that Limit Access to Health Care for Patients with Disabilities</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3F4FCE">
        <w:rPr>
          <w:rFonts w:cs="Arial"/>
          <w:szCs w:val="24"/>
          <w:shd w:val="clear" w:color="auto" w:fill="FFFFFF"/>
        </w:rPr>
        <w:t> </w:t>
      </w:r>
      <w:r w:rsidRPr="00810A1D">
        <w:rPr>
          <w:rFonts w:cs="Arial"/>
          <w:i/>
          <w:iCs/>
          <w:szCs w:val="24"/>
          <w:shd w:val="clear" w:color="auto" w:fill="FFFFFF"/>
        </w:rPr>
        <w:t>JAMA</w:t>
      </w:r>
      <w:r w:rsidRPr="003F4FCE">
        <w:rPr>
          <w:rFonts w:cs="Arial"/>
          <w:szCs w:val="24"/>
          <w:shd w:val="clear" w:color="auto" w:fill="FFFFFF"/>
        </w:rPr>
        <w:t xml:space="preserve"> 297, no. 10 (2007): 1121–25; M. </w:t>
      </w:r>
      <w:proofErr w:type="spellStart"/>
      <w:r w:rsidRPr="003F4FCE">
        <w:rPr>
          <w:rFonts w:cs="Arial"/>
          <w:szCs w:val="24"/>
          <w:shd w:val="clear" w:color="auto" w:fill="FFFFFF"/>
        </w:rPr>
        <w:t>Drainoni</w:t>
      </w:r>
      <w:proofErr w:type="spellEnd"/>
      <w:r w:rsidRPr="003F4FCE">
        <w:rPr>
          <w:rFonts w:cs="Arial"/>
          <w:szCs w:val="24"/>
          <w:shd w:val="clear" w:color="auto" w:fill="FFFFFF"/>
        </w:rPr>
        <w:t xml:space="preserve"> et al., “</w:t>
      </w:r>
      <w:r w:rsidRPr="0013753D">
        <w:rPr>
          <w:rStyle w:val="Emphasis"/>
          <w:rFonts w:cs="Arial"/>
          <w:i w:val="0"/>
          <w:szCs w:val="24"/>
          <w:shd w:val="clear" w:color="auto" w:fill="FFFFFF"/>
        </w:rPr>
        <w:t>Cross-Disability Experience of Barriers to Health-Care Access: Consumer Perspectives</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810A1D">
        <w:rPr>
          <w:rStyle w:val="Emphasis"/>
          <w:rFonts w:cs="Arial"/>
          <w:szCs w:val="24"/>
          <w:shd w:val="clear" w:color="auto" w:fill="FFFFFF"/>
        </w:rPr>
        <w:t> </w:t>
      </w:r>
      <w:r w:rsidRPr="00810A1D">
        <w:rPr>
          <w:rFonts w:cs="Arial"/>
          <w:i/>
          <w:iCs/>
          <w:szCs w:val="24"/>
          <w:shd w:val="clear" w:color="auto" w:fill="FFFFFF"/>
        </w:rPr>
        <w:t>Journal of Disability Policy Studies</w:t>
      </w:r>
      <w:r w:rsidRPr="003F4FCE">
        <w:rPr>
          <w:rFonts w:cs="Arial"/>
          <w:szCs w:val="24"/>
          <w:shd w:val="clear" w:color="auto" w:fill="FFFFFF"/>
        </w:rPr>
        <w:t xml:space="preserve"> 17, no. 2 (2006): 101–15; L. </w:t>
      </w:r>
      <w:proofErr w:type="spellStart"/>
      <w:r w:rsidRPr="003F4FCE">
        <w:rPr>
          <w:rFonts w:cs="Arial"/>
          <w:szCs w:val="24"/>
          <w:shd w:val="clear" w:color="auto" w:fill="FFFFFF"/>
        </w:rPr>
        <w:t>Iezzoni</w:t>
      </w:r>
      <w:proofErr w:type="spellEnd"/>
      <w:r w:rsidRPr="003F4FCE">
        <w:rPr>
          <w:rFonts w:cs="Arial"/>
          <w:szCs w:val="24"/>
          <w:shd w:val="clear" w:color="auto" w:fill="FFFFFF"/>
        </w:rPr>
        <w:t xml:space="preserve"> et al., “</w:t>
      </w:r>
      <w:r w:rsidRPr="0013753D">
        <w:rPr>
          <w:rStyle w:val="Emphasis"/>
          <w:rFonts w:cs="Arial"/>
          <w:i w:val="0"/>
          <w:szCs w:val="24"/>
          <w:shd w:val="clear" w:color="auto" w:fill="FFFFFF"/>
        </w:rPr>
        <w:t>Physical Access Barriers to Care for Diagnosis and Treatment of Breast Cancer Among Women with Mobility Impairments</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810A1D">
        <w:rPr>
          <w:rStyle w:val="Emphasis"/>
          <w:rFonts w:cs="Arial"/>
          <w:szCs w:val="24"/>
          <w:shd w:val="clear" w:color="auto" w:fill="FFFFFF"/>
        </w:rPr>
        <w:t xml:space="preserve"> </w:t>
      </w:r>
      <w:r w:rsidRPr="00810A1D">
        <w:rPr>
          <w:rFonts w:cs="Arial"/>
          <w:i/>
          <w:iCs/>
          <w:szCs w:val="24"/>
          <w:shd w:val="clear" w:color="auto" w:fill="FFFFFF"/>
        </w:rPr>
        <w:t>Oncology Nursing Forum</w:t>
      </w:r>
      <w:r w:rsidRPr="003F4FCE">
        <w:rPr>
          <w:rFonts w:cs="Arial"/>
          <w:szCs w:val="24"/>
          <w:shd w:val="clear" w:color="auto" w:fill="FFFFFF"/>
        </w:rPr>
        <w:t xml:space="preserve"> 37, no. 6 (2010): 711–17; L. </w:t>
      </w:r>
      <w:proofErr w:type="spellStart"/>
      <w:r w:rsidRPr="003F4FCE">
        <w:rPr>
          <w:rFonts w:cs="Arial"/>
          <w:szCs w:val="24"/>
          <w:shd w:val="clear" w:color="auto" w:fill="FFFFFF"/>
        </w:rPr>
        <w:t>Iezzoni</w:t>
      </w:r>
      <w:proofErr w:type="spellEnd"/>
      <w:r w:rsidR="007A55EC">
        <w:rPr>
          <w:rFonts w:cs="Arial"/>
          <w:szCs w:val="24"/>
          <w:shd w:val="clear" w:color="auto" w:fill="FFFFFF"/>
        </w:rPr>
        <w:br/>
      </w:r>
      <w:r w:rsidRPr="003F4FCE">
        <w:rPr>
          <w:rFonts w:cs="Arial"/>
          <w:szCs w:val="24"/>
          <w:shd w:val="clear" w:color="auto" w:fill="FFFFFF"/>
        </w:rPr>
        <w:t>et al., “</w:t>
      </w:r>
      <w:r w:rsidRPr="0013753D">
        <w:rPr>
          <w:rStyle w:val="Emphasis"/>
          <w:rFonts w:cs="Arial"/>
          <w:i w:val="0"/>
          <w:szCs w:val="24"/>
          <w:shd w:val="clear" w:color="auto" w:fill="FFFFFF"/>
        </w:rPr>
        <w:t>Rural Residents with Disabilities Confront Substantial Barriers to Obtaining Primary Care</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3F4FCE">
        <w:rPr>
          <w:rFonts w:cs="Arial"/>
          <w:szCs w:val="24"/>
          <w:shd w:val="clear" w:color="auto" w:fill="FFFFFF"/>
        </w:rPr>
        <w:t xml:space="preserve"> </w:t>
      </w:r>
      <w:r w:rsidRPr="00810A1D">
        <w:rPr>
          <w:rFonts w:cs="Arial"/>
          <w:i/>
          <w:iCs/>
          <w:szCs w:val="24"/>
          <w:shd w:val="clear" w:color="auto" w:fill="FFFFFF"/>
        </w:rPr>
        <w:t>Health Services Research</w:t>
      </w:r>
      <w:r w:rsidRPr="003F4FCE">
        <w:rPr>
          <w:rFonts w:cs="Arial"/>
          <w:szCs w:val="24"/>
          <w:shd w:val="clear" w:color="auto" w:fill="FFFFFF"/>
        </w:rPr>
        <w:t xml:space="preserve"> 41, no. 4 (2006): 1258–75; L. </w:t>
      </w:r>
      <w:proofErr w:type="spellStart"/>
      <w:r w:rsidRPr="003F4FCE">
        <w:rPr>
          <w:rFonts w:cs="Arial"/>
          <w:szCs w:val="24"/>
          <w:shd w:val="clear" w:color="auto" w:fill="FFFFFF"/>
        </w:rPr>
        <w:t>Iezzoni</w:t>
      </w:r>
      <w:proofErr w:type="spellEnd"/>
      <w:r w:rsidRPr="003F4FCE">
        <w:rPr>
          <w:rFonts w:cs="Arial"/>
          <w:szCs w:val="24"/>
          <w:shd w:val="clear" w:color="auto" w:fill="FFFFFF"/>
        </w:rPr>
        <w:t xml:space="preserve"> et al., </w:t>
      </w:r>
      <w:r w:rsidRPr="00810A1D">
        <w:rPr>
          <w:rStyle w:val="Emphasis"/>
          <w:rFonts w:cs="Arial"/>
          <w:szCs w:val="24"/>
          <w:shd w:val="clear" w:color="auto" w:fill="FFFFFF"/>
        </w:rPr>
        <w:t>More than Ramps. A Guide to Improving Health Care Quality and Access for People with Disabilities</w:t>
      </w:r>
      <w:r w:rsidRPr="003F4FCE">
        <w:rPr>
          <w:rFonts w:cs="Arial"/>
          <w:szCs w:val="24"/>
          <w:shd w:val="clear" w:color="auto" w:fill="FFFFFF"/>
        </w:rPr>
        <w:t xml:space="preserve"> (New York, NY: Oxford University Press, 2006); L. </w:t>
      </w:r>
      <w:proofErr w:type="spellStart"/>
      <w:r w:rsidRPr="003F4FCE">
        <w:rPr>
          <w:rFonts w:cs="Arial"/>
          <w:szCs w:val="24"/>
          <w:shd w:val="clear" w:color="auto" w:fill="FFFFFF"/>
        </w:rPr>
        <w:t>Iezzoni</w:t>
      </w:r>
      <w:proofErr w:type="spellEnd"/>
      <w:r w:rsidRPr="003F4FCE">
        <w:rPr>
          <w:rFonts w:cs="Arial"/>
          <w:szCs w:val="24"/>
          <w:shd w:val="clear" w:color="auto" w:fill="FFFFFF"/>
        </w:rPr>
        <w:t xml:space="preserve"> et al., “</w:t>
      </w:r>
      <w:r w:rsidRPr="0013753D">
        <w:rPr>
          <w:rStyle w:val="Emphasis"/>
          <w:rFonts w:cs="Arial"/>
          <w:i w:val="0"/>
          <w:szCs w:val="24"/>
          <w:shd w:val="clear" w:color="auto" w:fill="FFFFFF"/>
        </w:rPr>
        <w:t>Implications of Mobility Impairment on the Diagnosis and Treatment of Breast Cancer</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810A1D">
        <w:rPr>
          <w:rStyle w:val="Emphasis"/>
          <w:rFonts w:cs="Arial"/>
          <w:szCs w:val="24"/>
          <w:shd w:val="clear" w:color="auto" w:fill="FFFFFF"/>
        </w:rPr>
        <w:t xml:space="preserve"> Journal of Women’s Health</w:t>
      </w:r>
      <w:r w:rsidRPr="003F4FCE">
        <w:rPr>
          <w:rFonts w:cs="Arial"/>
          <w:szCs w:val="24"/>
          <w:shd w:val="clear" w:color="auto" w:fill="FFFFFF"/>
        </w:rPr>
        <w:t xml:space="preserve"> 20, no. 1 (2011): 45–52; T. Kroll et al., “</w:t>
      </w:r>
      <w:r w:rsidRPr="0013753D">
        <w:rPr>
          <w:rStyle w:val="Emphasis"/>
          <w:rFonts w:cs="Arial"/>
          <w:i w:val="0"/>
          <w:szCs w:val="24"/>
          <w:shd w:val="clear" w:color="auto" w:fill="FFFFFF"/>
        </w:rPr>
        <w:t xml:space="preserve">Barriers and Strategies Affecting the </w:t>
      </w:r>
      <w:proofErr w:type="spellStart"/>
      <w:r w:rsidRPr="0013753D">
        <w:rPr>
          <w:rStyle w:val="Emphasis"/>
          <w:rFonts w:cs="Arial"/>
          <w:i w:val="0"/>
          <w:szCs w:val="24"/>
          <w:shd w:val="clear" w:color="auto" w:fill="FFFFFF"/>
        </w:rPr>
        <w:t>Utilisation</w:t>
      </w:r>
      <w:proofErr w:type="spellEnd"/>
      <w:r w:rsidRPr="0013753D">
        <w:rPr>
          <w:rStyle w:val="Emphasis"/>
          <w:rFonts w:cs="Arial"/>
          <w:i w:val="0"/>
          <w:szCs w:val="24"/>
          <w:shd w:val="clear" w:color="auto" w:fill="FFFFFF"/>
        </w:rPr>
        <w:t xml:space="preserve"> of Primary Preventive Services for People with Physical Disabilities: A Qualitative Inquiry</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3F4FCE">
        <w:rPr>
          <w:rFonts w:cs="Arial"/>
          <w:szCs w:val="24"/>
          <w:shd w:val="clear" w:color="auto" w:fill="FFFFFF"/>
        </w:rPr>
        <w:t xml:space="preserve"> </w:t>
      </w:r>
      <w:r w:rsidRPr="00810A1D">
        <w:rPr>
          <w:rFonts w:cs="Arial"/>
          <w:i/>
          <w:iCs/>
          <w:szCs w:val="24"/>
          <w:shd w:val="clear" w:color="auto" w:fill="FFFFFF"/>
        </w:rPr>
        <w:t>Health and Social Care in the Community</w:t>
      </w:r>
      <w:r w:rsidRPr="003F4FCE">
        <w:rPr>
          <w:rFonts w:cs="Arial"/>
          <w:szCs w:val="24"/>
          <w:shd w:val="clear" w:color="auto" w:fill="FFFFFF"/>
        </w:rPr>
        <w:t xml:space="preserve"> 14, no. 4 (2006): 284–93; D. M. </w:t>
      </w:r>
      <w:proofErr w:type="spellStart"/>
      <w:r w:rsidRPr="003F4FCE">
        <w:rPr>
          <w:rFonts w:cs="Arial"/>
          <w:szCs w:val="24"/>
          <w:shd w:val="clear" w:color="auto" w:fill="FFFFFF"/>
        </w:rPr>
        <w:t>Lishner</w:t>
      </w:r>
      <w:proofErr w:type="spellEnd"/>
      <w:r w:rsidRPr="003F4FCE">
        <w:rPr>
          <w:rFonts w:cs="Arial"/>
          <w:szCs w:val="24"/>
          <w:shd w:val="clear" w:color="auto" w:fill="FFFFFF"/>
        </w:rPr>
        <w:t xml:space="preserve"> et al., “</w:t>
      </w:r>
      <w:r w:rsidRPr="0013753D">
        <w:rPr>
          <w:rStyle w:val="Emphasis"/>
          <w:rFonts w:cs="Arial"/>
          <w:i w:val="0"/>
          <w:szCs w:val="24"/>
          <w:shd w:val="clear" w:color="auto" w:fill="FFFFFF"/>
        </w:rPr>
        <w:t>Access to Primary Health Care Among Persons with Disabilities in Rural Areas: A Summary of the Literature</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810A1D">
        <w:rPr>
          <w:rStyle w:val="Emphasis"/>
          <w:rFonts w:cs="Arial"/>
          <w:szCs w:val="24"/>
          <w:shd w:val="clear" w:color="auto" w:fill="FFFFFF"/>
        </w:rPr>
        <w:t xml:space="preserve"> Journal of Rural Health</w:t>
      </w:r>
      <w:r w:rsidRPr="003F4FCE">
        <w:rPr>
          <w:rFonts w:cs="Arial"/>
          <w:szCs w:val="24"/>
          <w:shd w:val="clear" w:color="auto" w:fill="FFFFFF"/>
        </w:rPr>
        <w:t xml:space="preserve"> 12, no. 1 (1996): 45–53; N. </w:t>
      </w:r>
      <w:proofErr w:type="spellStart"/>
      <w:r w:rsidRPr="003F4FCE">
        <w:rPr>
          <w:rFonts w:cs="Arial"/>
          <w:szCs w:val="24"/>
          <w:shd w:val="clear" w:color="auto" w:fill="FFFFFF"/>
        </w:rPr>
        <w:t>Mele</w:t>
      </w:r>
      <w:proofErr w:type="spellEnd"/>
      <w:r w:rsidRPr="003F4FCE">
        <w:rPr>
          <w:rFonts w:cs="Arial"/>
          <w:szCs w:val="24"/>
          <w:shd w:val="clear" w:color="auto" w:fill="FFFFFF"/>
        </w:rPr>
        <w:t xml:space="preserve"> et al., “</w:t>
      </w:r>
      <w:r w:rsidRPr="0013753D">
        <w:rPr>
          <w:rStyle w:val="Emphasis"/>
          <w:rFonts w:cs="Arial"/>
          <w:i w:val="0"/>
          <w:szCs w:val="24"/>
          <w:shd w:val="clear" w:color="auto" w:fill="FFFFFF"/>
        </w:rPr>
        <w:t>Access to Breast Cancer Screening Services for Women with Disabilities</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3F4FCE">
        <w:rPr>
          <w:rFonts w:cs="Arial"/>
          <w:szCs w:val="24"/>
          <w:shd w:val="clear" w:color="auto" w:fill="FFFFFF"/>
        </w:rPr>
        <w:t xml:space="preserve"> </w:t>
      </w:r>
      <w:r w:rsidRPr="00810A1D">
        <w:rPr>
          <w:rFonts w:cs="Arial"/>
          <w:i/>
          <w:iCs/>
          <w:szCs w:val="24"/>
          <w:shd w:val="clear" w:color="auto" w:fill="FFFFFF"/>
        </w:rPr>
        <w:t>Journal of Obstetric, Gynecologic, and Neonatal Nursing</w:t>
      </w:r>
      <w:r w:rsidRPr="003F4FCE">
        <w:rPr>
          <w:rFonts w:cs="Arial"/>
          <w:szCs w:val="24"/>
          <w:shd w:val="clear" w:color="auto" w:fill="FFFFFF"/>
        </w:rPr>
        <w:t xml:space="preserve"> 34, no. 4 (2005): 453–64; E. H. Morrison et al., “</w:t>
      </w:r>
      <w:r w:rsidRPr="0013753D">
        <w:rPr>
          <w:rStyle w:val="Emphasis"/>
          <w:rFonts w:cs="Arial"/>
          <w:i w:val="0"/>
          <w:szCs w:val="24"/>
          <w:shd w:val="clear" w:color="auto" w:fill="FFFFFF"/>
        </w:rPr>
        <w:t>Primary Care for Adults with Physical Disabilities: Perceptions from Consumer and Provider Focus Groups</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3F4FCE">
        <w:rPr>
          <w:rFonts w:cs="Arial"/>
          <w:szCs w:val="24"/>
          <w:shd w:val="clear" w:color="auto" w:fill="FFFFFF"/>
        </w:rPr>
        <w:t> </w:t>
      </w:r>
      <w:r w:rsidRPr="00810A1D">
        <w:rPr>
          <w:rFonts w:cs="Arial"/>
          <w:i/>
          <w:iCs/>
          <w:szCs w:val="24"/>
          <w:shd w:val="clear" w:color="auto" w:fill="FFFFFF"/>
        </w:rPr>
        <w:t>Family Medicine</w:t>
      </w:r>
      <w:r w:rsidRPr="003F4FCE">
        <w:rPr>
          <w:rFonts w:cs="Arial"/>
          <w:szCs w:val="24"/>
          <w:shd w:val="clear" w:color="auto" w:fill="FFFFFF"/>
        </w:rPr>
        <w:t xml:space="preserve"> 40, no. 9 (2008): 645–51; J. M. </w:t>
      </w:r>
      <w:proofErr w:type="spellStart"/>
      <w:r w:rsidRPr="003F4FCE">
        <w:rPr>
          <w:rFonts w:cs="Arial"/>
          <w:szCs w:val="24"/>
          <w:shd w:val="clear" w:color="auto" w:fill="FFFFFF"/>
        </w:rPr>
        <w:t>Scheer</w:t>
      </w:r>
      <w:proofErr w:type="spellEnd"/>
      <w:r w:rsidRPr="003F4FCE">
        <w:rPr>
          <w:rFonts w:cs="Arial"/>
          <w:szCs w:val="24"/>
          <w:shd w:val="clear" w:color="auto" w:fill="FFFFFF"/>
        </w:rPr>
        <w:t xml:space="preserve"> et al., “</w:t>
      </w:r>
      <w:r w:rsidRPr="0013753D">
        <w:rPr>
          <w:rStyle w:val="Emphasis"/>
          <w:rFonts w:cs="Arial"/>
          <w:i w:val="0"/>
          <w:szCs w:val="24"/>
          <w:shd w:val="clear" w:color="auto" w:fill="FFFFFF"/>
        </w:rPr>
        <w:t>Access Barriers for Persons with Disabilities: The Consumer’s Perspective</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3F4FCE">
        <w:rPr>
          <w:rFonts w:cs="Arial"/>
          <w:szCs w:val="24"/>
          <w:shd w:val="clear" w:color="auto" w:fill="FFFFFF"/>
        </w:rPr>
        <w:t> </w:t>
      </w:r>
      <w:r w:rsidRPr="00810A1D">
        <w:rPr>
          <w:rFonts w:cs="Arial"/>
          <w:i/>
          <w:iCs/>
          <w:szCs w:val="24"/>
          <w:shd w:val="clear" w:color="auto" w:fill="FFFFFF"/>
        </w:rPr>
        <w:t>Journal of Disability Policy Studies</w:t>
      </w:r>
      <w:r w:rsidRPr="003F4FCE">
        <w:rPr>
          <w:rFonts w:cs="Arial"/>
          <w:szCs w:val="24"/>
          <w:shd w:val="clear" w:color="auto" w:fill="FFFFFF"/>
        </w:rPr>
        <w:t xml:space="preserve"> 14, no. 4 (2003): 221–30; S. C. </w:t>
      </w:r>
      <w:proofErr w:type="spellStart"/>
      <w:r w:rsidRPr="003F4FCE">
        <w:rPr>
          <w:rFonts w:cs="Arial"/>
          <w:szCs w:val="24"/>
          <w:shd w:val="clear" w:color="auto" w:fill="FFFFFF"/>
        </w:rPr>
        <w:t>Smeltzer</w:t>
      </w:r>
      <w:proofErr w:type="spellEnd"/>
      <w:r w:rsidRPr="003F4FCE">
        <w:rPr>
          <w:rFonts w:cs="Arial"/>
          <w:szCs w:val="24"/>
          <w:shd w:val="clear" w:color="auto" w:fill="FFFFFF"/>
        </w:rPr>
        <w:t xml:space="preserve"> et al., “</w:t>
      </w:r>
      <w:r w:rsidRPr="0013753D">
        <w:rPr>
          <w:rStyle w:val="Emphasis"/>
          <w:rFonts w:cs="Arial"/>
          <w:i w:val="0"/>
          <w:szCs w:val="24"/>
          <w:shd w:val="clear" w:color="auto" w:fill="FFFFFF"/>
        </w:rPr>
        <w:t>Perspectives of Women with Disabilities on Reaching Those Who Are Hard to Reach</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3F4FCE">
        <w:rPr>
          <w:rFonts w:cs="Arial"/>
          <w:szCs w:val="24"/>
          <w:shd w:val="clear" w:color="auto" w:fill="FFFFFF"/>
        </w:rPr>
        <w:t> </w:t>
      </w:r>
      <w:r w:rsidRPr="00810A1D">
        <w:rPr>
          <w:rFonts w:cs="Arial"/>
          <w:i/>
          <w:iCs/>
          <w:szCs w:val="24"/>
          <w:shd w:val="clear" w:color="auto" w:fill="FFFFFF"/>
        </w:rPr>
        <w:t>Journal of Neuroscience Nursing</w:t>
      </w:r>
      <w:r w:rsidRPr="003F4FCE">
        <w:rPr>
          <w:rFonts w:cs="Arial"/>
          <w:szCs w:val="24"/>
          <w:shd w:val="clear" w:color="auto" w:fill="FFFFFF"/>
        </w:rPr>
        <w:t xml:space="preserve"> 39, no. 3 (2007): 163–71; M. F. Story et al., “</w:t>
      </w:r>
      <w:r w:rsidRPr="0013753D">
        <w:rPr>
          <w:rStyle w:val="Emphasis"/>
          <w:rFonts w:cs="Arial"/>
          <w:i w:val="0"/>
          <w:szCs w:val="24"/>
          <w:shd w:val="clear" w:color="auto" w:fill="FFFFFF"/>
        </w:rPr>
        <w:t>Perspectives of Patients with Disabilities on the Accessibility of Medical Equipment: Examination Tables, Imaging Equipment, Medical Chairs, and Weight Scales</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810A1D">
        <w:rPr>
          <w:rStyle w:val="Emphasis"/>
          <w:rFonts w:cs="Arial"/>
          <w:szCs w:val="24"/>
          <w:shd w:val="clear" w:color="auto" w:fill="FFFFFF"/>
        </w:rPr>
        <w:t xml:space="preserve"> </w:t>
      </w:r>
      <w:r w:rsidRPr="00810A1D">
        <w:rPr>
          <w:rFonts w:cs="Arial"/>
          <w:i/>
          <w:iCs/>
          <w:szCs w:val="24"/>
          <w:shd w:val="clear" w:color="auto" w:fill="FFFFFF"/>
        </w:rPr>
        <w:t>Disability and Health Journal</w:t>
      </w:r>
      <w:r w:rsidRPr="003F4FCE">
        <w:rPr>
          <w:rFonts w:cs="Arial"/>
          <w:szCs w:val="24"/>
          <w:shd w:val="clear" w:color="auto" w:fill="FFFFFF"/>
        </w:rPr>
        <w:t xml:space="preserve"> 2, no. 4 (2009): 169–79.e1; S. S. Bachman et al., “</w:t>
      </w:r>
      <w:r w:rsidRPr="0013753D">
        <w:rPr>
          <w:rStyle w:val="Emphasis"/>
          <w:rFonts w:cs="Arial"/>
          <w:i w:val="0"/>
          <w:szCs w:val="24"/>
          <w:shd w:val="clear" w:color="auto" w:fill="FFFFFF"/>
        </w:rPr>
        <w:t>Provider Perceptions of Their Capacity to Offer Accessible Health Care for People with Disabilities</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3F4FCE">
        <w:rPr>
          <w:rFonts w:cs="Arial"/>
          <w:szCs w:val="24"/>
          <w:shd w:val="clear" w:color="auto" w:fill="FFFFFF"/>
        </w:rPr>
        <w:t xml:space="preserve"> </w:t>
      </w:r>
      <w:r w:rsidRPr="00810A1D">
        <w:rPr>
          <w:rFonts w:cs="Arial"/>
          <w:i/>
          <w:iCs/>
          <w:szCs w:val="24"/>
          <w:shd w:val="clear" w:color="auto" w:fill="FFFFFF"/>
        </w:rPr>
        <w:t>Journal of Disability Policy Studies</w:t>
      </w:r>
      <w:r w:rsidRPr="003F4FCE">
        <w:rPr>
          <w:rFonts w:cs="Arial"/>
          <w:szCs w:val="24"/>
          <w:shd w:val="clear" w:color="auto" w:fill="FFFFFF"/>
        </w:rPr>
        <w:t xml:space="preserve"> 17, no. 3 (2006): 130–36; Centers for Disease Control and Prevention, “</w:t>
      </w:r>
      <w:r w:rsidRPr="0013753D">
        <w:rPr>
          <w:rStyle w:val="Emphasis"/>
          <w:rFonts w:cs="Arial"/>
          <w:szCs w:val="24"/>
          <w:shd w:val="clear" w:color="auto" w:fill="FFFFFF"/>
        </w:rPr>
        <w:t>Environmental Barriers to Health Care Among Persons with Disabilities</w:t>
      </w:r>
      <w:r w:rsidRPr="0013753D">
        <w:rPr>
          <w:rFonts w:cs="Arial"/>
          <w:szCs w:val="24"/>
          <w:shd w:val="clear" w:color="auto" w:fill="FFFFFF"/>
        </w:rPr>
        <w:t>, Los Angeles County, California, 2002–2003</w:t>
      </w:r>
      <w:r w:rsidRPr="003F4FCE">
        <w:rPr>
          <w:rFonts w:cs="Arial"/>
          <w:szCs w:val="24"/>
          <w:shd w:val="clear" w:color="auto" w:fill="FFFFFF"/>
        </w:rPr>
        <w:t xml:space="preserve">,” </w:t>
      </w:r>
      <w:r w:rsidRPr="00810A1D">
        <w:rPr>
          <w:rFonts w:cs="Arial"/>
          <w:i/>
          <w:iCs/>
          <w:szCs w:val="24"/>
          <w:shd w:val="clear" w:color="auto" w:fill="FFFFFF"/>
        </w:rPr>
        <w:t xml:space="preserve">Morbidity and Mortality Weekly Report </w:t>
      </w:r>
      <w:r w:rsidRPr="003F4FCE">
        <w:rPr>
          <w:rFonts w:cs="Arial"/>
          <w:szCs w:val="24"/>
          <w:shd w:val="clear" w:color="auto" w:fill="FFFFFF"/>
        </w:rPr>
        <w:t xml:space="preserve">55, no. 48 (2006): 1300–3; N. </w:t>
      </w:r>
      <w:proofErr w:type="spellStart"/>
      <w:r w:rsidRPr="003F4FCE">
        <w:rPr>
          <w:rFonts w:cs="Arial"/>
          <w:szCs w:val="24"/>
          <w:shd w:val="clear" w:color="auto" w:fill="FFFFFF"/>
        </w:rPr>
        <w:t>Mudrick</w:t>
      </w:r>
      <w:proofErr w:type="spellEnd"/>
      <w:r w:rsidRPr="003F4FCE">
        <w:rPr>
          <w:rFonts w:cs="Arial"/>
          <w:szCs w:val="24"/>
          <w:shd w:val="clear" w:color="auto" w:fill="FFFFFF"/>
        </w:rPr>
        <w:t xml:space="preserve"> et al., “</w:t>
      </w:r>
      <w:r w:rsidRPr="0013753D">
        <w:rPr>
          <w:rStyle w:val="Emphasis"/>
          <w:rFonts w:cs="Arial"/>
          <w:i w:val="0"/>
          <w:szCs w:val="24"/>
          <w:shd w:val="clear" w:color="auto" w:fill="FFFFFF"/>
        </w:rPr>
        <w:t>Physical Accessibility in Primary Health Care Settings: Results from California On-site Reviews</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3F4FCE">
        <w:rPr>
          <w:rFonts w:cs="Arial"/>
          <w:szCs w:val="24"/>
          <w:shd w:val="clear" w:color="auto" w:fill="FFFFFF"/>
        </w:rPr>
        <w:t> </w:t>
      </w:r>
      <w:r w:rsidRPr="00810A1D">
        <w:rPr>
          <w:rFonts w:cs="Arial"/>
          <w:i/>
          <w:iCs/>
          <w:szCs w:val="24"/>
          <w:shd w:val="clear" w:color="auto" w:fill="FFFFFF"/>
        </w:rPr>
        <w:t>Disability and Health Journal</w:t>
      </w:r>
      <w:r w:rsidRPr="003F4FCE">
        <w:rPr>
          <w:rFonts w:cs="Arial"/>
          <w:szCs w:val="24"/>
          <w:shd w:val="clear" w:color="auto" w:fill="FFFFFF"/>
        </w:rPr>
        <w:t xml:space="preserve"> 5, no. 3 (2012): 159–67; T. </w:t>
      </w:r>
      <w:proofErr w:type="spellStart"/>
      <w:r w:rsidRPr="003F4FCE">
        <w:rPr>
          <w:rFonts w:cs="Arial"/>
          <w:szCs w:val="24"/>
          <w:shd w:val="clear" w:color="auto" w:fill="FFFFFF"/>
        </w:rPr>
        <w:t>Lagu</w:t>
      </w:r>
      <w:proofErr w:type="spellEnd"/>
      <w:r w:rsidRPr="003F4FCE">
        <w:rPr>
          <w:rFonts w:cs="Arial"/>
          <w:szCs w:val="24"/>
          <w:shd w:val="clear" w:color="auto" w:fill="FFFFFF"/>
        </w:rPr>
        <w:t xml:space="preserve"> et al., “</w:t>
      </w:r>
      <w:r w:rsidRPr="0013753D">
        <w:rPr>
          <w:rStyle w:val="Emphasis"/>
          <w:rFonts w:cs="Arial"/>
          <w:i w:val="0"/>
          <w:szCs w:val="24"/>
          <w:shd w:val="clear" w:color="auto" w:fill="FFFFFF"/>
        </w:rPr>
        <w:t>Access to Subspecialty Care for Patients with Mobility Impairment: A Survey</w:t>
      </w:r>
      <w:r w:rsidRPr="00810A1D">
        <w:rPr>
          <w:rStyle w:val="Emphasis"/>
          <w:rFonts w:cs="Arial"/>
          <w:szCs w:val="24"/>
          <w:shd w:val="clear" w:color="auto" w:fill="FFFFFF"/>
        </w:rPr>
        <w:t>,</w:t>
      </w:r>
      <w:r w:rsidRPr="00616DF5">
        <w:rPr>
          <w:rStyle w:val="Emphasis"/>
          <w:rFonts w:cs="Arial"/>
          <w:i w:val="0"/>
          <w:szCs w:val="24"/>
          <w:shd w:val="clear" w:color="auto" w:fill="FFFFFF"/>
        </w:rPr>
        <w:t>”</w:t>
      </w:r>
      <w:r w:rsidRPr="00810A1D">
        <w:rPr>
          <w:rStyle w:val="Emphasis"/>
          <w:rFonts w:cs="Arial"/>
          <w:szCs w:val="24"/>
          <w:shd w:val="clear" w:color="auto" w:fill="FFFFFF"/>
        </w:rPr>
        <w:t> </w:t>
      </w:r>
      <w:r w:rsidRPr="00810A1D">
        <w:rPr>
          <w:rFonts w:cs="Arial"/>
          <w:i/>
          <w:iCs/>
          <w:szCs w:val="24"/>
          <w:shd w:val="clear" w:color="auto" w:fill="FFFFFF"/>
        </w:rPr>
        <w:t>Annals of Internal Medicine</w:t>
      </w:r>
      <w:r w:rsidRPr="003F4FCE">
        <w:rPr>
          <w:rFonts w:cs="Arial"/>
          <w:szCs w:val="24"/>
          <w:shd w:val="clear" w:color="auto" w:fill="FFFFFF"/>
        </w:rPr>
        <w:t xml:space="preserve"> 158, no. 6 (2013): 441–46.</w:t>
      </w:r>
    </w:p>
  </w:endnote>
  <w:endnote w:id="79">
    <w:p w14:paraId="65A90775" w14:textId="0D31DBC6"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Nondiscrimination on the Basis of Disability by State and Local Governments and Places of Public Accommodation; Equipment and Furniture, 75 Fed.</w:t>
      </w:r>
      <w:proofErr w:type="gramEnd"/>
      <w:r w:rsidRPr="003F4FCE">
        <w:rPr>
          <w:rFonts w:cs="Arial"/>
          <w:szCs w:val="24"/>
        </w:rPr>
        <w:t xml:space="preserve"> Reg. 43452 (July 26, 2010).</w:t>
      </w:r>
    </w:p>
  </w:endnote>
  <w:endnote w:id="80">
    <w:p w14:paraId="51F1FCB1" w14:textId="4CC8E15E"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 xml:space="preserve">Standards for Accessible Medical Diagnostic Equipment, </w:t>
      </w:r>
      <w:r w:rsidRPr="003F4FCE">
        <w:rPr>
          <w:rFonts w:cs="Arial"/>
          <w:szCs w:val="24"/>
          <w:shd w:val="clear" w:color="auto" w:fill="FFFFFF"/>
        </w:rPr>
        <w:t>82 Fed.</w:t>
      </w:r>
      <w:proofErr w:type="gramEnd"/>
      <w:r w:rsidRPr="003F4FCE">
        <w:rPr>
          <w:rFonts w:cs="Arial"/>
          <w:szCs w:val="24"/>
          <w:shd w:val="clear" w:color="auto" w:fill="FFFFFF"/>
        </w:rPr>
        <w:t xml:space="preserve"> Reg. 2810 (January 9, 2017).</w:t>
      </w:r>
    </w:p>
  </w:endnote>
  <w:endnote w:id="81">
    <w:p w14:paraId="55BBAF71" w14:textId="517AB3F4"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810A1D">
        <w:rPr>
          <w:rFonts w:cs="Arial"/>
          <w:i/>
          <w:iCs/>
          <w:szCs w:val="24"/>
        </w:rPr>
        <w:t>Id</w:t>
      </w:r>
      <w:r w:rsidRPr="003F4FCE">
        <w:rPr>
          <w:rFonts w:cs="Arial"/>
          <w:szCs w:val="24"/>
        </w:rPr>
        <w:t>.</w:t>
      </w:r>
    </w:p>
  </w:endnote>
  <w:endnote w:id="82">
    <w:p w14:paraId="560E7FA8" w14:textId="6B568B8D"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810A1D">
        <w:rPr>
          <w:rFonts w:cs="Arial"/>
          <w:i/>
          <w:iCs/>
          <w:szCs w:val="24"/>
        </w:rPr>
        <w:t>Id</w:t>
      </w:r>
      <w:r w:rsidRPr="003F4FCE">
        <w:rPr>
          <w:rFonts w:cs="Arial"/>
          <w:szCs w:val="24"/>
        </w:rPr>
        <w:t>. at 2810.</w:t>
      </w:r>
      <w:proofErr w:type="gramEnd"/>
    </w:p>
  </w:endnote>
  <w:endnote w:id="83">
    <w:p w14:paraId="26515BCB" w14:textId="7234A059"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810A1D">
        <w:rPr>
          <w:rFonts w:cs="Arial"/>
          <w:i/>
          <w:iCs/>
          <w:szCs w:val="24"/>
        </w:rPr>
        <w:t>Id</w:t>
      </w:r>
      <w:r w:rsidRPr="003F4FCE">
        <w:rPr>
          <w:rFonts w:cs="Arial"/>
          <w:szCs w:val="24"/>
        </w:rPr>
        <w:t>. at 2810.</w:t>
      </w:r>
      <w:proofErr w:type="gramEnd"/>
    </w:p>
  </w:endnote>
  <w:endnote w:id="84">
    <w:p w14:paraId="1A3B41EE"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810A1D">
        <w:rPr>
          <w:rFonts w:cs="Arial"/>
          <w:i/>
          <w:iCs/>
          <w:szCs w:val="24"/>
        </w:rPr>
        <w:t>Id</w:t>
      </w:r>
      <w:r w:rsidRPr="003F4FCE">
        <w:rPr>
          <w:rFonts w:cs="Arial"/>
          <w:szCs w:val="24"/>
        </w:rPr>
        <w:t>. at 2811.</w:t>
      </w:r>
      <w:proofErr w:type="gramEnd"/>
    </w:p>
  </w:endnote>
  <w:endnote w:id="85">
    <w:p w14:paraId="3DD3100B" w14:textId="67F86766"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A. </w:t>
      </w:r>
      <w:r w:rsidRPr="003F4FCE">
        <w:rPr>
          <w:rFonts w:cs="Arial"/>
          <w:noProof/>
          <w:szCs w:val="24"/>
        </w:rPr>
        <w:t xml:space="preserve">Chatterjee et al., </w:t>
      </w:r>
      <w:r w:rsidRPr="00810A1D">
        <w:rPr>
          <w:rFonts w:cs="Arial"/>
          <w:i/>
          <w:noProof/>
          <w:szCs w:val="24"/>
        </w:rPr>
        <w:t>Checkup Time: Chronic Disease and Wellness in America</w:t>
      </w:r>
      <w:r w:rsidRPr="003F4FCE">
        <w:rPr>
          <w:rFonts w:cs="Arial"/>
          <w:noProof/>
          <w:szCs w:val="24"/>
        </w:rPr>
        <w:t xml:space="preserve"> (Santa Monica, CA: Milken Institute, 2014).</w:t>
      </w:r>
    </w:p>
  </w:endnote>
  <w:endnote w:id="86">
    <w:p w14:paraId="651B3C47" w14:textId="0F20C18D" w:rsidR="00760F6D" w:rsidRPr="003F4FCE" w:rsidRDefault="00760F6D" w:rsidP="003F4FCE">
      <w:pPr>
        <w:shd w:val="clear" w:color="auto" w:fill="FFFFFF"/>
        <w:spacing w:after="200" w:line="240" w:lineRule="auto"/>
        <w:rPr>
          <w:rFonts w:ascii="Arial" w:hAnsi="Arial" w:cs="Arial"/>
          <w:szCs w:val="24"/>
        </w:rPr>
      </w:pPr>
      <w:r w:rsidRPr="003F4FCE">
        <w:rPr>
          <w:rStyle w:val="EndnoteReference"/>
          <w:rFonts w:cs="Arial"/>
          <w:szCs w:val="24"/>
        </w:rPr>
        <w:endnoteRef/>
      </w:r>
      <w:r w:rsidRPr="003F4FCE">
        <w:rPr>
          <w:rFonts w:ascii="Arial" w:hAnsi="Arial" w:cs="Arial"/>
          <w:szCs w:val="24"/>
        </w:rPr>
        <w:t xml:space="preserve"> </w:t>
      </w:r>
      <w:proofErr w:type="gramStart"/>
      <w:r w:rsidRPr="003F4FCE">
        <w:rPr>
          <w:rFonts w:ascii="Arial" w:hAnsi="Arial" w:cs="Arial"/>
          <w:szCs w:val="24"/>
        </w:rPr>
        <w:t xml:space="preserve">Centers for Disease Control and Prevention, Disability and Health Data System (DHDS), </w:t>
      </w:r>
      <w:hyperlink r:id="rId18" w:tooltip="http://dhds.cdc.gov/" w:history="1">
        <w:r w:rsidRPr="004E1594">
          <w:rPr>
            <w:rStyle w:val="Hyperlink"/>
            <w:rFonts w:cs="Arial"/>
            <w:szCs w:val="24"/>
          </w:rPr>
          <w:t>http://dhds.cdc.gov</w:t>
        </w:r>
      </w:hyperlink>
      <w:r w:rsidRPr="004E1594">
        <w:rPr>
          <w:rStyle w:val="Hyperlink"/>
          <w:rFonts w:cs="Arial"/>
          <w:szCs w:val="24"/>
        </w:rPr>
        <w:t>.</w:t>
      </w:r>
      <w:proofErr w:type="gramEnd"/>
    </w:p>
  </w:endnote>
  <w:endnote w:id="87">
    <w:p w14:paraId="60E46F2B" w14:textId="0BA69B6D"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hyperlink r:id="rId19" w:tooltip="https://www.uspreventiveservicestaskforce.org/uspstf/about-uspstf" w:history="1">
        <w:proofErr w:type="gramStart"/>
        <w:r w:rsidRPr="004E1594">
          <w:rPr>
            <w:rStyle w:val="Hyperlink"/>
            <w:rFonts w:cs="Arial"/>
            <w:szCs w:val="24"/>
          </w:rPr>
          <w:t>https://www.uspreventiveservicestaskforce.org/uspstf/about-uspstf</w:t>
        </w:r>
      </w:hyperlink>
      <w:r w:rsidRPr="003F4FCE">
        <w:rPr>
          <w:rFonts w:cs="Arial"/>
          <w:szCs w:val="24"/>
        </w:rPr>
        <w:t xml:space="preserve">; </w:t>
      </w:r>
      <w:hyperlink r:id="rId20" w:history="1">
        <w:r w:rsidRPr="004E1594">
          <w:rPr>
            <w:rStyle w:val="Hyperlink"/>
            <w:rFonts w:cs="Arial"/>
            <w:szCs w:val="24"/>
          </w:rPr>
          <w:t>https://www.uspreventiveservicestaskforce.org/uspstf/topic_search_results?topic_status=P&amp;grades%5B%5D=A&amp;grades%5B%5D=B&amp;searchterm=</w:t>
        </w:r>
      </w:hyperlink>
      <w:r w:rsidRPr="004E1594">
        <w:rPr>
          <w:rStyle w:val="Hyperlink"/>
          <w:rFonts w:cs="Arial"/>
          <w:szCs w:val="24"/>
        </w:rPr>
        <w:t>.</w:t>
      </w:r>
      <w:proofErr w:type="gramEnd"/>
    </w:p>
  </w:endnote>
  <w:endnote w:id="88">
    <w:p w14:paraId="5D1A324A"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Id. </w:t>
      </w:r>
    </w:p>
  </w:endnote>
  <w:endnote w:id="89">
    <w:p w14:paraId="51083159"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Section 504 applies to “any program or activity receiving Federal financial assistance or under any program or activity conducted by any Executive agency,” 29 U.S.C. 794(a). Section 1557 applies to “any health program or activity, any part of which is receiving Federal financial assistance (including credits, subsidies, or contracts of insurance) provided by the U.S. Department of Health and Human Services; or under any program or activity administered by the Department under such Title; or under any program or activity administered by any entity established under such Title,” 45. </w:t>
      </w:r>
      <w:proofErr w:type="gramStart"/>
      <w:r w:rsidRPr="003F4FCE">
        <w:rPr>
          <w:rFonts w:cs="Arial"/>
          <w:szCs w:val="24"/>
        </w:rPr>
        <w:t>C.F.R. 92.2(a).</w:t>
      </w:r>
      <w:proofErr w:type="gramEnd"/>
      <w:r w:rsidRPr="003F4FCE">
        <w:rPr>
          <w:rFonts w:cs="Arial"/>
          <w:szCs w:val="24"/>
        </w:rPr>
        <w:t xml:space="preserve"> Title II of the ADA applies to public entities, including any state or local government and any department, agency, special-purpose district, or other instrumentality of a state or states or local government, 42 U.S.C. 12131(1). Title III of the ADA covers “any place of public accommodation by any private entity who owns, leases (or leases to), or operates a place of public accommodation,” 28 C.F.R. 36.201(a).</w:t>
      </w:r>
    </w:p>
  </w:endnote>
  <w:endnote w:id="90">
    <w:p w14:paraId="1504081C"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810A1D">
        <w:rPr>
          <w:rStyle w:val="Emphasis"/>
          <w:rFonts w:cs="Arial"/>
          <w:szCs w:val="24"/>
          <w:shd w:val="clear" w:color="auto" w:fill="FFFFFF"/>
        </w:rPr>
        <w:t>See also</w:t>
      </w:r>
      <w:r w:rsidRPr="003F4FCE">
        <w:rPr>
          <w:rFonts w:cs="Arial"/>
          <w:szCs w:val="24"/>
          <w:shd w:val="clear" w:color="auto" w:fill="FFFFFF"/>
        </w:rPr>
        <w:t xml:space="preserve">, N. R. </w:t>
      </w:r>
      <w:proofErr w:type="spellStart"/>
      <w:r w:rsidRPr="003F4FCE">
        <w:rPr>
          <w:rFonts w:cs="Arial"/>
          <w:szCs w:val="24"/>
          <w:shd w:val="clear" w:color="auto" w:fill="FFFFFF"/>
        </w:rPr>
        <w:t>Mudrick</w:t>
      </w:r>
      <w:proofErr w:type="spellEnd"/>
      <w:r w:rsidRPr="003F4FCE">
        <w:rPr>
          <w:rFonts w:cs="Arial"/>
          <w:szCs w:val="24"/>
          <w:shd w:val="clear" w:color="auto" w:fill="FFFFFF"/>
        </w:rPr>
        <w:t xml:space="preserve"> et al., </w:t>
      </w:r>
      <w:r w:rsidRPr="00616DF5">
        <w:rPr>
          <w:rFonts w:cs="Arial"/>
          <w:iCs/>
          <w:szCs w:val="24"/>
          <w:shd w:val="clear" w:color="auto" w:fill="FFFFFF"/>
        </w:rPr>
        <w:t>“</w:t>
      </w:r>
      <w:r w:rsidRPr="00F053DF">
        <w:rPr>
          <w:rStyle w:val="Emphasis"/>
          <w:rFonts w:cs="Arial"/>
          <w:i w:val="0"/>
          <w:szCs w:val="24"/>
          <w:shd w:val="clear" w:color="auto" w:fill="FFFFFF"/>
        </w:rPr>
        <w:t xml:space="preserve">Health Care </w:t>
      </w:r>
      <w:proofErr w:type="gramStart"/>
      <w:r w:rsidRPr="00F053DF">
        <w:rPr>
          <w:rStyle w:val="Emphasis"/>
          <w:rFonts w:cs="Arial"/>
          <w:i w:val="0"/>
          <w:szCs w:val="24"/>
          <w:shd w:val="clear" w:color="auto" w:fill="FFFFFF"/>
        </w:rPr>
        <w:t>Under</w:t>
      </w:r>
      <w:proofErr w:type="gramEnd"/>
      <w:r w:rsidRPr="00F053DF">
        <w:rPr>
          <w:rStyle w:val="Emphasis"/>
          <w:rFonts w:cs="Arial"/>
          <w:i w:val="0"/>
          <w:szCs w:val="24"/>
          <w:shd w:val="clear" w:color="auto" w:fill="FFFFFF"/>
        </w:rPr>
        <w:t xml:space="preserve"> the ADA: A Vision or a Mirage</w:t>
      </w:r>
      <w:r w:rsidRPr="00616DF5">
        <w:rPr>
          <w:rFonts w:cs="Arial"/>
          <w:szCs w:val="24"/>
          <w:shd w:val="clear" w:color="auto" w:fill="FFFFFF"/>
        </w:rPr>
        <w:t>?”</w:t>
      </w:r>
      <w:r w:rsidRPr="00F053DF">
        <w:rPr>
          <w:rFonts w:cs="Arial"/>
          <w:i/>
          <w:szCs w:val="24"/>
          <w:shd w:val="clear" w:color="auto" w:fill="FFFFFF"/>
        </w:rPr>
        <w:t xml:space="preserve"> </w:t>
      </w:r>
      <w:r w:rsidRPr="00810A1D">
        <w:rPr>
          <w:rFonts w:cs="Arial"/>
          <w:i/>
          <w:iCs/>
          <w:szCs w:val="24"/>
          <w:shd w:val="clear" w:color="auto" w:fill="FFFFFF"/>
        </w:rPr>
        <w:t>Disability and Health Journal</w:t>
      </w:r>
      <w:r w:rsidRPr="003F4FCE">
        <w:rPr>
          <w:rFonts w:cs="Arial"/>
          <w:szCs w:val="24"/>
          <w:shd w:val="clear" w:color="auto" w:fill="FFFFFF"/>
        </w:rPr>
        <w:t>, 3, no. 4 (2010): 233–39; S. Yee et al.,</w:t>
      </w:r>
      <w:r w:rsidRPr="00810A1D">
        <w:rPr>
          <w:rFonts w:cs="Arial"/>
          <w:i/>
          <w:iCs/>
          <w:szCs w:val="24"/>
          <w:shd w:val="clear" w:color="auto" w:fill="FFFFFF"/>
        </w:rPr>
        <w:t> </w:t>
      </w:r>
      <w:r w:rsidRPr="00616DF5">
        <w:rPr>
          <w:rFonts w:cs="Arial"/>
          <w:szCs w:val="24"/>
          <w:shd w:val="clear" w:color="auto" w:fill="FFFFFF"/>
        </w:rPr>
        <w:t>“</w:t>
      </w:r>
      <w:r w:rsidRPr="00F053DF">
        <w:rPr>
          <w:rStyle w:val="Emphasis"/>
          <w:rFonts w:cs="Arial"/>
          <w:i w:val="0"/>
          <w:szCs w:val="24"/>
          <w:shd w:val="clear" w:color="auto" w:fill="FFFFFF"/>
        </w:rPr>
        <w:t>Achieving Accessible Health Care for People with Disabilities: Why the ADA Is Only Part of the Solution,”</w:t>
      </w:r>
      <w:r w:rsidRPr="00810A1D">
        <w:rPr>
          <w:rFonts w:cs="Arial"/>
          <w:i/>
          <w:iCs/>
          <w:szCs w:val="24"/>
          <w:shd w:val="clear" w:color="auto" w:fill="FFFFFF"/>
        </w:rPr>
        <w:t xml:space="preserve"> Disability and Health Journal </w:t>
      </w:r>
      <w:r w:rsidRPr="003F4FCE">
        <w:rPr>
          <w:rFonts w:cs="Arial"/>
          <w:szCs w:val="24"/>
          <w:shd w:val="clear" w:color="auto" w:fill="FFFFFF"/>
        </w:rPr>
        <w:t>3, no. 4 (2010): 253–61.</w:t>
      </w:r>
    </w:p>
  </w:endnote>
  <w:endnote w:id="91">
    <w:p w14:paraId="6810A02B"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For example, 28 C.F.R. 35.130(a); 28 C.F.R. 35.130(b</w:t>
      </w:r>
      <w:proofErr w:type="gramStart"/>
      <w:r w:rsidRPr="003F4FCE">
        <w:rPr>
          <w:rFonts w:cs="Arial"/>
          <w:szCs w:val="24"/>
        </w:rPr>
        <w:t>)(</w:t>
      </w:r>
      <w:proofErr w:type="gramEnd"/>
      <w:r w:rsidRPr="003F4FCE">
        <w:rPr>
          <w:rFonts w:cs="Arial"/>
          <w:szCs w:val="24"/>
        </w:rPr>
        <w:t>1)(iv); 28 C.F.R. 35.130(b)(7); 28 C.F.R. 36.302 and 36.304; 45 C.F.R. 92.2 and 92.105.</w:t>
      </w:r>
    </w:p>
  </w:endnote>
  <w:endnote w:id="92">
    <w:p w14:paraId="09D7745D" w14:textId="3FA391A4"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Department of Justice, “Justice Department Announces Americans with Disabilities Act Barrier-Free Health Care Initiative by US Attorney’s Offices Nationwide,” 2012, https://www.justice.gov/opa/pr/justice-department-announces-americans-disabilities-act-barrier-free-health-care-initiative.</w:t>
      </w:r>
    </w:p>
  </w:endnote>
  <w:endnote w:id="93">
    <w:p w14:paraId="3DEF7095" w14:textId="12BAFFEF"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Tufts Medical Center (2/28/20); Thomas Jefferson University Hospitals, Inc. Settlement Agreement (4/18/19); and Charlotte Radiology Settlement Agreement (8/13/18) can be accessed at </w:t>
      </w:r>
      <w:hyperlink r:id="rId21" w:tooltip="https://www.ada.gov/usao-agreements.htm" w:history="1">
        <w:r w:rsidRPr="004E1594">
          <w:rPr>
            <w:rStyle w:val="Hyperlink"/>
            <w:rFonts w:cs="Arial"/>
            <w:szCs w:val="24"/>
          </w:rPr>
          <w:t>https://www.ada.gov/usao-agreements.htm</w:t>
        </w:r>
      </w:hyperlink>
      <w:r w:rsidRPr="003F4FCE">
        <w:rPr>
          <w:rFonts w:cs="Arial"/>
          <w:szCs w:val="24"/>
        </w:rPr>
        <w:t xml:space="preserve">. The DOJ corrective actions regarding medical equipment that it took prior to the establishment of its 2012 Initiative: Washington Hospital Center (11/2/05); Valley Radiologists Medical Group, Inc. (11/2/05); Exodus Women's Center (3/26/05); and Dr. </w:t>
      </w:r>
      <w:proofErr w:type="spellStart"/>
      <w:r w:rsidRPr="003F4FCE">
        <w:rPr>
          <w:rFonts w:cs="Arial"/>
          <w:szCs w:val="24"/>
        </w:rPr>
        <w:t>Robila</w:t>
      </w:r>
      <w:proofErr w:type="spellEnd"/>
      <w:r w:rsidRPr="003F4FCE">
        <w:rPr>
          <w:rFonts w:cs="Arial"/>
          <w:szCs w:val="24"/>
        </w:rPr>
        <w:t xml:space="preserve"> </w:t>
      </w:r>
      <w:proofErr w:type="spellStart"/>
      <w:r w:rsidRPr="003F4FCE">
        <w:rPr>
          <w:rFonts w:cs="Arial"/>
          <w:szCs w:val="24"/>
        </w:rPr>
        <w:t>Ashfaq</w:t>
      </w:r>
      <w:proofErr w:type="spellEnd"/>
      <w:r w:rsidRPr="003F4FCE">
        <w:rPr>
          <w:rFonts w:cs="Arial"/>
          <w:szCs w:val="24"/>
        </w:rPr>
        <w:t xml:space="preserve"> (1/12/05).</w:t>
      </w:r>
    </w:p>
  </w:endnote>
  <w:endnote w:id="94">
    <w:p w14:paraId="25BEDB92"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The HHS OCR has had five corrective action cases where alleged discrimination regarding inaccessible medical equipment was remedied. Those complaints include the following: (1) Complainant, a wheelchair user, alleged that she was discriminated against based on her mobility disability because her physician’s office failed to provide accessible medical equipment. The practice took voluntary actions, including ordering equipment to assist with patient transfers to and from a wheelchair to an examination table and training staff on safe patient transfer techniques (resolved in 2021); (2) Complainant, a wheelchair user, alleged that a staff person stated that she could not be treated if she did not provide her own Hoyer lift and a person who could assist her to transfer her to the examination table. The practice acquired a Hoyer lift and trained its staff on its use (resolved in 2018); (3) Complainant, a wheelchair user, alleged that she informed the physician’s office that she was paralyzed and would need assistance to transfer to an examination table, and that staff told her that arrangements were made for a lift. On the day of her appointment, she was told there was no lift, and if she needed a lift, she should bring one and an aide to manage the lift. The practice voluntarily purchased a slide/transfer board and agreed to train its direct patient care staff on the use of such board from a variety of devices to the examination table. It also offered to see Complainant at a different office that had height-adjustable examination tables (resolved in 2018); (4) Complainant, a wheelchair user, alleged that her gynecologist did not have accessible examination tables and made discriminatory remarks including that if she could not get on the examination table independently, she would not be treated, and that she needed to find a new physician who could work with the Complainant’s disability. The practice took voluntary actions, including purchasing a height-adjustable examination table; appointing a Section 504 coordinator; adopting grievance procedures for allegations under Section 504; and drafting a reasonable accommodation policy regarding patients with mobility disabilities (resolved in 2016); and, (5) Complainant, a wheelchair user, alleged that during a visit to her physician’s office, she had to be physically lifted onto an examination table because there was no examination table accessible for individuals with physical disabilities. The practice took voluntary actions, including procuring an adjustable examination table; creating policy guidelines regarding patients with special needs; training staff on the guidelines and in assisting patients with physical disabilities, and began providing patients with the option to seek assistance from their own personal attendants (resolved in 2013). </w:t>
      </w:r>
    </w:p>
  </w:endnote>
  <w:endnote w:id="95">
    <w:p w14:paraId="0DCBB018"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Nondiscrimination on the Basis of Disability by State and Local Governments and Places of Public Accommodation; Equipment and Furniture, </w:t>
      </w:r>
      <w:proofErr w:type="gramStart"/>
      <w:r w:rsidRPr="003F4FCE">
        <w:rPr>
          <w:rFonts w:cs="Arial"/>
          <w:szCs w:val="24"/>
        </w:rPr>
        <w:t xml:space="preserve">75 </w:t>
      </w:r>
      <w:proofErr w:type="spellStart"/>
      <w:r w:rsidRPr="003F4FCE">
        <w:rPr>
          <w:rFonts w:cs="Arial"/>
          <w:szCs w:val="24"/>
        </w:rPr>
        <w:t>Fed.Reg</w:t>
      </w:r>
      <w:proofErr w:type="spellEnd"/>
      <w:proofErr w:type="gramEnd"/>
      <w:r w:rsidRPr="003F4FCE">
        <w:rPr>
          <w:rFonts w:cs="Arial"/>
          <w:szCs w:val="24"/>
        </w:rPr>
        <w:t>. 43452 (July 26, 2010).</w:t>
      </w:r>
    </w:p>
  </w:endnote>
  <w:endnote w:id="96">
    <w:p w14:paraId="635B625B"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810A1D">
        <w:rPr>
          <w:rFonts w:cs="Arial"/>
          <w:i/>
          <w:iCs/>
          <w:szCs w:val="24"/>
        </w:rPr>
        <w:t>Id</w:t>
      </w:r>
      <w:r w:rsidRPr="003F4FCE">
        <w:rPr>
          <w:rFonts w:cs="Arial"/>
          <w:szCs w:val="24"/>
        </w:rPr>
        <w:t>.</w:t>
      </w:r>
      <w:r w:rsidRPr="00810A1D">
        <w:rPr>
          <w:rFonts w:cs="Arial"/>
          <w:i/>
          <w:iCs/>
          <w:szCs w:val="24"/>
        </w:rPr>
        <w:t xml:space="preserve"> </w:t>
      </w:r>
      <w:r w:rsidRPr="003F4FCE">
        <w:rPr>
          <w:rFonts w:cs="Arial"/>
          <w:szCs w:val="24"/>
        </w:rPr>
        <w:t>at 43455.</w:t>
      </w:r>
      <w:proofErr w:type="gramEnd"/>
    </w:p>
  </w:endnote>
  <w:endnote w:id="97">
    <w:p w14:paraId="7F103085" w14:textId="0ECF0713"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April 20, 2017, U.S. Access Board Bulletin: “VA Adopts New Standard’s for Medical Diagnostic Equipment,” articulating the VA’s health care network’s commitment to require that new equipment meet the MDE Standards across its 152 medical centers, nearly 800 community-based outpatient clinics, and over 125 nursing homes, </w:t>
      </w:r>
      <w:hyperlink r:id="rId22" w:tooltip="https://content.govdelivery.com/accounts/USACCESS/bulletins/19450a9" w:history="1">
        <w:r w:rsidRPr="004E1594">
          <w:rPr>
            <w:rStyle w:val="Hyperlink"/>
            <w:rFonts w:cs="Arial"/>
            <w:szCs w:val="24"/>
          </w:rPr>
          <w:t>https://content.govdelivery.com/accounts/USACCESS/bulletins/19450a9</w:t>
        </w:r>
      </w:hyperlink>
      <w:r w:rsidRPr="003F4FCE">
        <w:rPr>
          <w:rFonts w:cs="Arial"/>
          <w:szCs w:val="24"/>
        </w:rPr>
        <w:t>.</w:t>
      </w:r>
    </w:p>
  </w:endnote>
  <w:endnote w:id="98">
    <w:p w14:paraId="5DF8E3DC" w14:textId="2F053BD1"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B82520">
        <w:rPr>
          <w:rStyle w:val="Emphasis"/>
          <w:rFonts w:cs="Arial"/>
          <w:i w:val="0"/>
          <w:szCs w:val="24"/>
          <w:shd w:val="clear" w:color="auto" w:fill="FFFFFF"/>
        </w:rPr>
        <w:t>See DOJ</w:t>
      </w:r>
      <w:r w:rsidRPr="00810A1D">
        <w:rPr>
          <w:rStyle w:val="Emphasis"/>
          <w:rFonts w:cs="Arial"/>
          <w:szCs w:val="24"/>
          <w:shd w:val="clear" w:color="auto" w:fill="FFFFFF"/>
        </w:rPr>
        <w:t>, Access to Medical Care for Individuals with Mobility Disabilities, </w:t>
      </w:r>
      <w:r w:rsidRPr="003F4FCE">
        <w:rPr>
          <w:rFonts w:cs="Arial"/>
          <w:szCs w:val="24"/>
          <w:shd w:val="clear" w:color="auto" w:fill="FFFFFF"/>
        </w:rPr>
        <w:t xml:space="preserve">July 2010, </w:t>
      </w:r>
      <w:hyperlink r:id="rId23" w:tooltip="http://www.ada.gov/medcare_ta.htm" w:history="1">
        <w:r w:rsidRPr="004E1594">
          <w:rPr>
            <w:rStyle w:val="Hyperlink"/>
            <w:rFonts w:cs="Arial"/>
            <w:szCs w:val="24"/>
            <w:shd w:val="clear" w:color="auto" w:fill="FFFFFF"/>
          </w:rPr>
          <w:t>http://www.ada.gov/medcare_ta.htm</w:t>
        </w:r>
      </w:hyperlink>
      <w:r w:rsidRPr="004E1594">
        <w:rPr>
          <w:rStyle w:val="Hyperlink"/>
          <w:rFonts w:cs="Arial"/>
          <w:szCs w:val="24"/>
          <w:shd w:val="clear" w:color="auto" w:fill="FFFFFF"/>
        </w:rPr>
        <w:t>.</w:t>
      </w:r>
    </w:p>
  </w:endnote>
  <w:endnote w:id="99">
    <w:p w14:paraId="31739D5C"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T. </w:t>
      </w:r>
      <w:r w:rsidRPr="003F4FCE">
        <w:rPr>
          <w:rFonts w:cs="Arial"/>
          <w:noProof/>
          <w:szCs w:val="24"/>
        </w:rPr>
        <w:t xml:space="preserve">Kroll et al., “Barriers and Strategies Affecting the Utilisation of Primary Preventive Services for People with Physical Disabilities: A Qualitative Inquiry,” </w:t>
      </w:r>
      <w:r w:rsidRPr="00810A1D">
        <w:rPr>
          <w:rFonts w:cs="Arial"/>
          <w:i/>
          <w:iCs/>
          <w:noProof/>
          <w:szCs w:val="24"/>
        </w:rPr>
        <w:t>Health and Social Care in the Community</w:t>
      </w:r>
      <w:r w:rsidRPr="003F4FCE">
        <w:rPr>
          <w:rFonts w:cs="Arial"/>
          <w:noProof/>
          <w:szCs w:val="24"/>
        </w:rPr>
        <w:t xml:space="preserve"> 14, no. 4 (2006): 284–93.</w:t>
      </w:r>
    </w:p>
  </w:endnote>
  <w:endnote w:id="100">
    <w:p w14:paraId="5659EF8E" w14:textId="6D9CB535" w:rsidR="00760F6D" w:rsidRPr="003F4FCE" w:rsidRDefault="00760F6D" w:rsidP="004016E2">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L. I. Iezzoni, K. Kilbridge, and E. R. Park, “Physical Access Barriers to Care for Diagnosis and Treatment of Breast Cancer Among Women with Mobility Impairments,” </w:t>
      </w:r>
      <w:r w:rsidRPr="00810A1D">
        <w:rPr>
          <w:rFonts w:ascii="Arial" w:hAnsi="Arial" w:cs="Arial"/>
          <w:i/>
          <w:iCs/>
          <w:sz w:val="24"/>
          <w:szCs w:val="24"/>
        </w:rPr>
        <w:t>Oncology Nursing Forum</w:t>
      </w:r>
      <w:r w:rsidRPr="003F4FCE">
        <w:rPr>
          <w:rFonts w:ascii="Arial" w:hAnsi="Arial" w:cs="Arial"/>
          <w:sz w:val="24"/>
          <w:szCs w:val="24"/>
        </w:rPr>
        <w:t xml:space="preserve"> 37, no. 6 (2010): 711–17.</w:t>
      </w:r>
    </w:p>
  </w:endnote>
  <w:endnote w:id="101">
    <w:p w14:paraId="09D212C6" w14:textId="2FE09337" w:rsidR="00760F6D" w:rsidRPr="003F4FCE" w:rsidRDefault="00760F6D" w:rsidP="004016E2">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L. I. Iezzoni et al., “Physical Accessibility of Routine Prenatal Care for Women with Mobility Disability,” </w:t>
      </w:r>
      <w:r w:rsidRPr="00810A1D">
        <w:rPr>
          <w:rFonts w:ascii="Arial" w:hAnsi="Arial" w:cs="Arial"/>
          <w:i/>
          <w:iCs/>
          <w:sz w:val="24"/>
          <w:szCs w:val="24"/>
        </w:rPr>
        <w:t>Journal of Women’s Health</w:t>
      </w:r>
      <w:r w:rsidRPr="003F4FCE">
        <w:rPr>
          <w:rFonts w:ascii="Arial" w:hAnsi="Arial" w:cs="Arial"/>
          <w:sz w:val="24"/>
          <w:szCs w:val="24"/>
        </w:rPr>
        <w:t xml:space="preserve"> 24, no. 12 (2015): 1006–12.</w:t>
      </w:r>
    </w:p>
  </w:endnote>
  <w:endnote w:id="102">
    <w:p w14:paraId="0016FDF9" w14:textId="557C65A5" w:rsidR="00760F6D" w:rsidRPr="00810A1D" w:rsidRDefault="00760F6D" w:rsidP="004016E2">
      <w:pPr>
        <w:shd w:val="clear" w:color="auto" w:fill="FFFFFF"/>
        <w:spacing w:after="200" w:line="240" w:lineRule="auto"/>
        <w:rPr>
          <w:rFonts w:ascii="Arial" w:hAnsi="Arial" w:cs="Arial"/>
          <w:i/>
          <w:iCs/>
          <w:szCs w:val="24"/>
        </w:rPr>
      </w:pPr>
      <w:r w:rsidRPr="003F4FCE">
        <w:rPr>
          <w:rStyle w:val="EndnoteReference"/>
          <w:rFonts w:cs="Arial"/>
          <w:szCs w:val="24"/>
        </w:rPr>
        <w:endnoteRef/>
      </w:r>
      <w:r w:rsidRPr="003F4FCE">
        <w:rPr>
          <w:rFonts w:ascii="Arial" w:hAnsi="Arial" w:cs="Arial"/>
          <w:szCs w:val="24"/>
        </w:rPr>
        <w:t xml:space="preserve"> In 2009, the Institute of Medicine issued revised guidelines for monitoring weight during pregnancy. These guidelines recommend routine charting of women’s weight and weight gain throughout pregnancy to guard against complications associated with both too much and too little weight gain during pregnancy.</w:t>
      </w:r>
      <w:r w:rsidRPr="00810A1D">
        <w:rPr>
          <w:rFonts w:ascii="Arial" w:hAnsi="Arial" w:cs="Arial"/>
          <w:i/>
          <w:iCs/>
          <w:szCs w:val="24"/>
        </w:rPr>
        <w:t xml:space="preserve"> </w:t>
      </w:r>
      <w:r w:rsidRPr="003F4FCE">
        <w:rPr>
          <w:rFonts w:ascii="Arial" w:eastAsia="Times New Roman" w:hAnsi="Arial" w:cs="Arial"/>
          <w:szCs w:val="24"/>
        </w:rPr>
        <w:t>Institute of Medicine and National Research Council, </w:t>
      </w:r>
      <w:r w:rsidRPr="00810A1D">
        <w:rPr>
          <w:rFonts w:ascii="Arial" w:eastAsia="Times New Roman" w:hAnsi="Arial" w:cs="Arial"/>
          <w:i/>
          <w:iCs/>
          <w:szCs w:val="24"/>
        </w:rPr>
        <w:t xml:space="preserve">Weight Gain </w:t>
      </w:r>
      <w:proofErr w:type="gramStart"/>
      <w:r w:rsidRPr="00810A1D">
        <w:rPr>
          <w:rFonts w:ascii="Arial" w:eastAsia="Times New Roman" w:hAnsi="Arial" w:cs="Arial"/>
          <w:i/>
          <w:iCs/>
          <w:szCs w:val="24"/>
        </w:rPr>
        <w:t>During</w:t>
      </w:r>
      <w:proofErr w:type="gramEnd"/>
      <w:r w:rsidRPr="00810A1D">
        <w:rPr>
          <w:rFonts w:ascii="Arial" w:eastAsia="Times New Roman" w:hAnsi="Arial" w:cs="Arial"/>
          <w:i/>
          <w:iCs/>
          <w:szCs w:val="24"/>
        </w:rPr>
        <w:t xml:space="preserve"> Pregnancy: Reexamining the Guidelines</w:t>
      </w:r>
      <w:r w:rsidRPr="003F4FCE">
        <w:rPr>
          <w:rFonts w:ascii="Arial" w:eastAsia="Times New Roman" w:hAnsi="Arial" w:cs="Arial"/>
          <w:szCs w:val="24"/>
        </w:rPr>
        <w:t xml:space="preserve"> (Washington, DC: National Academies Press, 2009).</w:t>
      </w:r>
    </w:p>
  </w:endnote>
  <w:endnote w:id="103">
    <w:p w14:paraId="36642158" w14:textId="20543B6B" w:rsidR="00760F6D" w:rsidRPr="003F4FCE" w:rsidRDefault="00760F6D" w:rsidP="004016E2">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C. Kalpakjian et al., “Perspectives on Gynecological and Reproductive Health from Women with Physical Disabilties,” </w:t>
      </w:r>
      <w:r w:rsidRPr="00810A1D">
        <w:rPr>
          <w:rFonts w:ascii="Arial" w:hAnsi="Arial" w:cs="Arial"/>
          <w:i/>
          <w:iCs/>
          <w:sz w:val="24"/>
          <w:szCs w:val="24"/>
        </w:rPr>
        <w:t>Archives of Physical Medicine and Rehabilitation</w:t>
      </w:r>
      <w:r w:rsidRPr="003F4FCE">
        <w:rPr>
          <w:rFonts w:ascii="Arial" w:hAnsi="Arial" w:cs="Arial"/>
          <w:sz w:val="24"/>
          <w:szCs w:val="24"/>
        </w:rPr>
        <w:t xml:space="preserve"> 97, no. 10 (2016): e127.</w:t>
      </w:r>
    </w:p>
  </w:endnote>
  <w:endnote w:id="104">
    <w:p w14:paraId="3A5FFB97"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A. </w:t>
      </w:r>
      <w:r w:rsidRPr="003F4FCE">
        <w:rPr>
          <w:rFonts w:cs="Arial"/>
          <w:noProof/>
          <w:szCs w:val="24"/>
        </w:rPr>
        <w:t xml:space="preserve">Ordway et al., “Health Care Access and the Americans with Disabilities Act: A Mixed Methods Study,” </w:t>
      </w:r>
      <w:r w:rsidRPr="00810A1D">
        <w:rPr>
          <w:rFonts w:cs="Arial"/>
          <w:i/>
          <w:iCs/>
          <w:noProof/>
          <w:szCs w:val="24"/>
        </w:rPr>
        <w:t>Disability and Health Journal</w:t>
      </w:r>
      <w:r w:rsidRPr="003F4FCE">
        <w:rPr>
          <w:rFonts w:cs="Arial"/>
          <w:noProof/>
          <w:szCs w:val="24"/>
        </w:rPr>
        <w:t xml:space="preserve"> 14, no. 1 (2021): 100967.</w:t>
      </w:r>
    </w:p>
  </w:endnote>
  <w:endnote w:id="105">
    <w:p w14:paraId="2E008F4F"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810A1D">
        <w:rPr>
          <w:rFonts w:cs="Arial"/>
          <w:i/>
          <w:iCs/>
          <w:szCs w:val="24"/>
        </w:rPr>
        <w:t>Id</w:t>
      </w:r>
      <w:r w:rsidRPr="003F4FCE">
        <w:rPr>
          <w:rFonts w:cs="Arial"/>
          <w:szCs w:val="24"/>
        </w:rPr>
        <w:t>.</w:t>
      </w:r>
    </w:p>
  </w:endnote>
  <w:endnote w:id="106">
    <w:p w14:paraId="417A6D8F" w14:textId="5A782E7E"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J. L. </w:t>
      </w:r>
      <w:r w:rsidRPr="003F4FCE">
        <w:rPr>
          <w:rFonts w:cs="Arial"/>
          <w:noProof/>
          <w:szCs w:val="24"/>
        </w:rPr>
        <w:t xml:space="preserve">Wong et al., “Identification of Targets for Improving Access to Care in Persons with Long Term Physical Disabilities,” </w:t>
      </w:r>
      <w:r w:rsidRPr="00810A1D">
        <w:rPr>
          <w:rFonts w:cs="Arial"/>
          <w:i/>
          <w:iCs/>
          <w:noProof/>
          <w:szCs w:val="24"/>
        </w:rPr>
        <w:t>Disability and Health Journal</w:t>
      </w:r>
      <w:r w:rsidRPr="003F4FCE">
        <w:rPr>
          <w:rFonts w:cs="Arial"/>
          <w:noProof/>
          <w:szCs w:val="24"/>
        </w:rPr>
        <w:t xml:space="preserve"> 12, no. 3 (2019): 366–74.</w:t>
      </w:r>
    </w:p>
  </w:endnote>
  <w:endnote w:id="107">
    <w:p w14:paraId="2D3A061D" w14:textId="4F9C8192"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M. D. </w:t>
      </w:r>
      <w:r w:rsidRPr="003F4FCE">
        <w:rPr>
          <w:rFonts w:cs="Arial"/>
          <w:noProof/>
          <w:szCs w:val="24"/>
        </w:rPr>
        <w:t xml:space="preserve">Stillman et al., “Health Care Utilization and Barriers Experienced by Individuals with Spinal Cord Injury,” </w:t>
      </w:r>
      <w:r w:rsidRPr="00810A1D">
        <w:rPr>
          <w:rFonts w:cs="Arial"/>
          <w:i/>
          <w:iCs/>
          <w:noProof/>
          <w:szCs w:val="24"/>
        </w:rPr>
        <w:t>Archives of Physical Medicine and Rehabilitation</w:t>
      </w:r>
      <w:r w:rsidRPr="003F4FCE">
        <w:rPr>
          <w:rFonts w:cs="Arial"/>
          <w:noProof/>
          <w:szCs w:val="24"/>
        </w:rPr>
        <w:t xml:space="preserve"> 95, no. 6 (2014): 1114–26.</w:t>
      </w:r>
    </w:p>
  </w:endnote>
  <w:endnote w:id="108">
    <w:p w14:paraId="26095D27"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810A1D">
        <w:rPr>
          <w:rFonts w:cs="Arial"/>
          <w:i/>
          <w:iCs/>
          <w:szCs w:val="24"/>
        </w:rPr>
        <w:t>Id</w:t>
      </w:r>
      <w:r w:rsidRPr="003F4FCE">
        <w:rPr>
          <w:rFonts w:cs="Arial"/>
          <w:szCs w:val="24"/>
        </w:rPr>
        <w:t>.</w:t>
      </w:r>
    </w:p>
  </w:endnote>
  <w:endnote w:id="109">
    <w:p w14:paraId="61244EF3"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A. L. </w:t>
      </w:r>
      <w:r w:rsidRPr="003F4FCE">
        <w:rPr>
          <w:rFonts w:cs="Arial"/>
          <w:noProof/>
          <w:szCs w:val="24"/>
        </w:rPr>
        <w:t xml:space="preserve">Harrington et al., “Assessment of Primary Care Services and Perceived Barriers to Care in Persons with Disabilities,” </w:t>
      </w:r>
      <w:r w:rsidRPr="00810A1D">
        <w:rPr>
          <w:rFonts w:cs="Arial"/>
          <w:i/>
          <w:iCs/>
          <w:noProof/>
          <w:szCs w:val="24"/>
        </w:rPr>
        <w:t>American Journal of Physical Medicine and Rehabilitation</w:t>
      </w:r>
      <w:r w:rsidRPr="003F4FCE">
        <w:rPr>
          <w:rFonts w:cs="Arial"/>
          <w:noProof/>
          <w:szCs w:val="24"/>
        </w:rPr>
        <w:t xml:space="preserve"> 88, no. 10 (2009): 852–63.</w:t>
      </w:r>
    </w:p>
  </w:endnote>
  <w:endnote w:id="110">
    <w:p w14:paraId="2EE370E7" w14:textId="4223AA29"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J. R. </w:t>
      </w:r>
      <w:r w:rsidRPr="003F4FCE">
        <w:rPr>
          <w:rFonts w:cs="Arial"/>
          <w:noProof/>
          <w:szCs w:val="24"/>
        </w:rPr>
        <w:t xml:space="preserve">Pharr, “Accommodations for Patients with Disabilities in Primary Care: A Mixed Methods Study of Practice Administrators,” </w:t>
      </w:r>
      <w:r w:rsidRPr="00810A1D">
        <w:rPr>
          <w:rFonts w:cs="Arial"/>
          <w:i/>
          <w:iCs/>
          <w:noProof/>
          <w:szCs w:val="24"/>
        </w:rPr>
        <w:t>Global Journal of Health Science</w:t>
      </w:r>
      <w:r w:rsidRPr="003F4FCE">
        <w:rPr>
          <w:rFonts w:cs="Arial"/>
          <w:noProof/>
          <w:szCs w:val="24"/>
        </w:rPr>
        <w:t xml:space="preserve"> 6, no. 1 (2014): 23.</w:t>
      </w:r>
    </w:p>
  </w:endnote>
  <w:endnote w:id="111">
    <w:p w14:paraId="666F2AFA"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K. L. </w:t>
      </w:r>
      <w:r w:rsidRPr="003F4FCE">
        <w:rPr>
          <w:rFonts w:cs="Arial"/>
          <w:noProof/>
          <w:szCs w:val="24"/>
        </w:rPr>
        <w:t xml:space="preserve">Frost et al., “Accessibility of Outpatient Healthcare Providers for Wheelchair Users: Pilot Study,” </w:t>
      </w:r>
      <w:r w:rsidRPr="00810A1D">
        <w:rPr>
          <w:rFonts w:cs="Arial"/>
          <w:i/>
          <w:iCs/>
          <w:noProof/>
          <w:szCs w:val="24"/>
        </w:rPr>
        <w:t>Journal of Rehabilitation Research and Development</w:t>
      </w:r>
      <w:r w:rsidRPr="003F4FCE">
        <w:rPr>
          <w:rFonts w:cs="Arial"/>
          <w:noProof/>
          <w:szCs w:val="24"/>
        </w:rPr>
        <w:t xml:space="preserve"> 52, no. 6 (2015): 653–62.</w:t>
      </w:r>
    </w:p>
  </w:endnote>
  <w:endnote w:id="112">
    <w:p w14:paraId="4D06C77E" w14:textId="2A103FB0"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The purpose of the ADA Accessibility Guidelines is to provide scoping and technical requirements for accessibility of buildings and facilities, including health care facilities. The guidelines do not specifically cover </w:t>
      </w:r>
      <w:proofErr w:type="spellStart"/>
      <w:r w:rsidRPr="003F4FCE">
        <w:rPr>
          <w:rFonts w:cs="Arial"/>
          <w:szCs w:val="24"/>
        </w:rPr>
        <w:t>nonfixed</w:t>
      </w:r>
      <w:proofErr w:type="spellEnd"/>
      <w:r w:rsidRPr="003F4FCE">
        <w:rPr>
          <w:rFonts w:cs="Arial"/>
          <w:szCs w:val="24"/>
        </w:rPr>
        <w:t xml:space="preserve"> equipment and furniture, such as accessible MDE. </w:t>
      </w:r>
      <w:hyperlink r:id="rId24" w:tooltip="https://www.access-board.gov/guidelines-and-standards/buildings-and-sites/about-the-ada-standards/background/adaag" w:history="1">
        <w:r w:rsidRPr="004E1594">
          <w:rPr>
            <w:rStyle w:val="Hyperlink"/>
            <w:rFonts w:cs="Arial"/>
            <w:szCs w:val="24"/>
          </w:rPr>
          <w:t>https://www.access-board.gov/guidelines-and-standards/buildings-and-sites/about-the-ada-standards/background/adaag</w:t>
        </w:r>
      </w:hyperlink>
      <w:r w:rsidRPr="003F4FCE">
        <w:rPr>
          <w:rFonts w:cs="Arial"/>
          <w:szCs w:val="24"/>
        </w:rPr>
        <w:t xml:space="preserve">. </w:t>
      </w:r>
    </w:p>
  </w:endnote>
  <w:endnote w:id="113">
    <w:p w14:paraId="2056FEF3" w14:textId="77777777" w:rsidR="00760F6D" w:rsidRPr="003F4FCE" w:rsidRDefault="00760F6D" w:rsidP="003F4FCE">
      <w:pPr>
        <w:pStyle w:val="EndnoteText"/>
        <w:rPr>
          <w:rFonts w:cs="Arial"/>
          <w:bCs/>
          <w:szCs w:val="24"/>
        </w:rPr>
      </w:pPr>
      <w:r w:rsidRPr="003F4FCE">
        <w:rPr>
          <w:rStyle w:val="EndnoteReference"/>
          <w:rFonts w:cs="Arial"/>
          <w:szCs w:val="24"/>
        </w:rPr>
        <w:endnoteRef/>
      </w:r>
      <w:r w:rsidRPr="003F4FCE">
        <w:rPr>
          <w:rFonts w:cs="Arial"/>
          <w:szCs w:val="24"/>
        </w:rPr>
        <w:t xml:space="preserve"> C. L. </w:t>
      </w:r>
      <w:r w:rsidRPr="003F4FCE">
        <w:rPr>
          <w:rFonts w:cs="Arial"/>
          <w:noProof/>
          <w:szCs w:val="24"/>
        </w:rPr>
        <w:t>Graham and J.R. Mann, “Accessibility of Primary Care Physician Practice Sites in South Carolina for People with Disabilities,”</w:t>
      </w:r>
      <w:r w:rsidRPr="00810A1D">
        <w:rPr>
          <w:rFonts w:cs="Arial"/>
          <w:i/>
          <w:noProof/>
          <w:szCs w:val="24"/>
        </w:rPr>
        <w:t xml:space="preserve"> Disability and Health Journal</w:t>
      </w:r>
      <w:r w:rsidRPr="003F4FCE">
        <w:rPr>
          <w:rFonts w:cs="Arial"/>
          <w:noProof/>
          <w:szCs w:val="24"/>
        </w:rPr>
        <w:t xml:space="preserve"> 1, no. 4 (2008</w:t>
      </w:r>
      <w:r w:rsidRPr="003F4FCE">
        <w:rPr>
          <w:rFonts w:cs="Arial"/>
          <w:bCs/>
          <w:noProof/>
          <w:szCs w:val="24"/>
        </w:rPr>
        <w:t>): 209–14.</w:t>
      </w:r>
    </w:p>
  </w:endnote>
  <w:endnote w:id="114">
    <w:p w14:paraId="6941D0D5"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While economic considerations are important to acknowledge, especially among small health care providers, they do not constitute a valid rationale for noncompliance; indeed, the ADA sets out requirements that are not limited by cost concerns. The ADA does, however, have provisions to guard against undue burden in the implementation of ADA compliance, </w:t>
      </w:r>
      <w:r w:rsidRPr="003F4FCE">
        <w:rPr>
          <w:rFonts w:eastAsia="Times New Roman" w:cs="Arial"/>
          <w:szCs w:val="24"/>
        </w:rPr>
        <w:t>28 CFR § 35.150(a) (fundamental alteration and undue burden).</w:t>
      </w:r>
    </w:p>
  </w:endnote>
  <w:endnote w:id="115">
    <w:p w14:paraId="70C146D8" w14:textId="6D43C4DA" w:rsidR="00760F6D" w:rsidRPr="003F4FCE" w:rsidRDefault="00760F6D" w:rsidP="004016E2">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N. R. Mudrick, L. C. Swager, and M. L. Breslin, “</w:t>
      </w:r>
      <w:r w:rsidRPr="003F4FCE">
        <w:rPr>
          <w:rFonts w:ascii="Arial" w:hAnsi="Arial" w:cs="Arial"/>
          <w:iCs/>
          <w:sz w:val="24"/>
          <w:szCs w:val="24"/>
        </w:rPr>
        <w:t xml:space="preserve">Presence of Accessible Equipment and Interior Elements in Primary Care Offices,” </w:t>
      </w:r>
      <w:r w:rsidRPr="00810A1D">
        <w:rPr>
          <w:rFonts w:ascii="Arial" w:hAnsi="Arial" w:cs="Arial"/>
          <w:i/>
          <w:iCs/>
          <w:sz w:val="24"/>
          <w:szCs w:val="24"/>
        </w:rPr>
        <w:t>Health Equity</w:t>
      </w:r>
      <w:r w:rsidRPr="003F4FCE">
        <w:rPr>
          <w:rFonts w:ascii="Arial" w:hAnsi="Arial" w:cs="Arial"/>
          <w:sz w:val="24"/>
          <w:szCs w:val="24"/>
        </w:rPr>
        <w:t xml:space="preserve"> 3, no. 1 (2019): 275–79.</w:t>
      </w:r>
    </w:p>
  </w:endnote>
  <w:endnote w:id="116">
    <w:p w14:paraId="251E4109" w14:textId="5BE3D6DB"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810A1D">
        <w:rPr>
          <w:rFonts w:cs="Arial"/>
          <w:i/>
          <w:iCs/>
          <w:szCs w:val="24"/>
        </w:rPr>
        <w:t>Id</w:t>
      </w:r>
      <w:r w:rsidRPr="003F4FCE">
        <w:rPr>
          <w:rFonts w:cs="Arial"/>
          <w:szCs w:val="24"/>
        </w:rPr>
        <w:t>.</w:t>
      </w:r>
    </w:p>
  </w:endnote>
  <w:endnote w:id="117">
    <w:p w14:paraId="004DE49B" w14:textId="4EB66C8B"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N. R. </w:t>
      </w:r>
      <w:r w:rsidRPr="003F4FCE">
        <w:rPr>
          <w:rFonts w:cs="Arial"/>
          <w:noProof/>
          <w:szCs w:val="24"/>
        </w:rPr>
        <w:t>Mudrick et al., “</w:t>
      </w:r>
      <w:r w:rsidRPr="003F4FCE">
        <w:rPr>
          <w:rFonts w:cs="Arial"/>
          <w:iCs/>
          <w:noProof/>
          <w:szCs w:val="24"/>
        </w:rPr>
        <w:t>Physical Accessibility in Primary Health Care Settings: Results from California On-site Reviews,”</w:t>
      </w:r>
      <w:r w:rsidRPr="003F4FCE">
        <w:rPr>
          <w:rFonts w:cs="Arial"/>
          <w:noProof/>
          <w:szCs w:val="24"/>
        </w:rPr>
        <w:t xml:space="preserve"> </w:t>
      </w:r>
      <w:r w:rsidRPr="00810A1D">
        <w:rPr>
          <w:rFonts w:cs="Arial"/>
          <w:i/>
          <w:iCs/>
          <w:noProof/>
          <w:szCs w:val="24"/>
        </w:rPr>
        <w:t>Disability and Health Journal</w:t>
      </w:r>
      <w:r w:rsidRPr="003F4FCE">
        <w:rPr>
          <w:rFonts w:cs="Arial"/>
          <w:noProof/>
          <w:szCs w:val="24"/>
        </w:rPr>
        <w:t xml:space="preserve"> 5, no. 3 (2012): 159–67.</w:t>
      </w:r>
    </w:p>
  </w:endnote>
  <w:endnote w:id="118">
    <w:p w14:paraId="23EE0FB5" w14:textId="476EFA4B"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J. R. </w:t>
      </w:r>
      <w:r w:rsidRPr="003F4FCE">
        <w:rPr>
          <w:rFonts w:cs="Arial"/>
          <w:noProof/>
          <w:szCs w:val="24"/>
        </w:rPr>
        <w:t xml:space="preserve">Pharr, T. James, and Y. -L. Yeung, “Accessibility and Accommodations for Patients with Mobility Disabilities in a Large Healthcare System: How Are We Doing?” </w:t>
      </w:r>
      <w:r w:rsidRPr="00810A1D">
        <w:rPr>
          <w:rFonts w:cs="Arial"/>
          <w:i/>
          <w:iCs/>
          <w:noProof/>
          <w:szCs w:val="24"/>
        </w:rPr>
        <w:t>Disability and Health Journal</w:t>
      </w:r>
      <w:r w:rsidRPr="003F4FCE">
        <w:rPr>
          <w:rFonts w:cs="Arial"/>
          <w:noProof/>
          <w:szCs w:val="24"/>
        </w:rPr>
        <w:t xml:space="preserve"> 12, no. 4 (2019): 679–84.</w:t>
      </w:r>
    </w:p>
  </w:endnote>
  <w:endnote w:id="119">
    <w:p w14:paraId="0D658E5F" w14:textId="1D9D57CA"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T. </w:t>
      </w:r>
      <w:r w:rsidRPr="003F4FCE">
        <w:rPr>
          <w:rFonts w:cs="Arial"/>
          <w:noProof/>
          <w:szCs w:val="24"/>
        </w:rPr>
        <w:t xml:space="preserve">Lagu et al., “Access to Subspecialty Care for Patients with Mobility Impairment: A Survey,” </w:t>
      </w:r>
      <w:r w:rsidRPr="00810A1D">
        <w:rPr>
          <w:rFonts w:cs="Arial"/>
          <w:i/>
          <w:iCs/>
          <w:noProof/>
          <w:szCs w:val="24"/>
        </w:rPr>
        <w:t>Annals of Internal Medicine</w:t>
      </w:r>
      <w:r w:rsidRPr="003F4FCE">
        <w:rPr>
          <w:rFonts w:cs="Arial"/>
          <w:noProof/>
          <w:szCs w:val="24"/>
        </w:rPr>
        <w:t xml:space="preserve"> 158, no. 6 (2013): 441–46.</w:t>
      </w:r>
    </w:p>
  </w:endnote>
  <w:endnote w:id="120">
    <w:p w14:paraId="64E8427E" w14:textId="383D95A8"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N. R. </w:t>
      </w:r>
      <w:r w:rsidRPr="003F4FCE">
        <w:rPr>
          <w:rFonts w:cs="Arial"/>
          <w:noProof/>
          <w:szCs w:val="24"/>
        </w:rPr>
        <w:t>Mudrick et al., “</w:t>
      </w:r>
      <w:r w:rsidRPr="003F4FCE">
        <w:rPr>
          <w:rFonts w:cs="Arial"/>
          <w:iCs/>
          <w:noProof/>
          <w:szCs w:val="24"/>
        </w:rPr>
        <w:t>The Geographic Distribution of Disability-Accessible Offices of Medicaid Managed Care Plan Physicians in Los Angeles County” (poster presented at the 2019 American Public Health Association Annual Conference: Creating the Healthiest Nation: For science. For action. For health, Ph</w:t>
      </w:r>
      <w:r w:rsidRPr="003F4FCE">
        <w:rPr>
          <w:rFonts w:cs="Arial"/>
          <w:noProof/>
          <w:szCs w:val="24"/>
        </w:rPr>
        <w:t>ildelphia, PA, 2019).</w:t>
      </w:r>
    </w:p>
  </w:endnote>
  <w:endnote w:id="121">
    <w:p w14:paraId="2003F15C" w14:textId="69E83B6C"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D. R. Williams and C. Collins, “Racial Residential Segregation: A Fundamental Cause of Racial Disparities in Health,” </w:t>
      </w:r>
      <w:r w:rsidRPr="00810A1D">
        <w:rPr>
          <w:rFonts w:cs="Arial"/>
          <w:i/>
          <w:iCs/>
          <w:szCs w:val="24"/>
        </w:rPr>
        <w:t>Public Health Reports</w:t>
      </w:r>
      <w:r w:rsidRPr="003F4FCE">
        <w:rPr>
          <w:rFonts w:cs="Arial"/>
          <w:szCs w:val="24"/>
        </w:rPr>
        <w:t xml:space="preserve"> 116, no. 5 (2001): 404–16.</w:t>
      </w:r>
    </w:p>
  </w:endnote>
  <w:endnote w:id="122">
    <w:p w14:paraId="3FF32EEE" w14:textId="359267C2"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The Disabled Access Credit is a nonrefundable credit for small businesses that incur expenditures related to providing access to people with disabilities. The Barrier Removal Tax Deduction is designed to encourage businesses of any size to remove architectural and transportation barriers to the mobility of people with disabilities and older adults. Details on both these tax benefits are available at: </w:t>
      </w:r>
      <w:hyperlink r:id="rId25" w:tooltip="https://www.irs.gov/businesses/small-businesses-self-employed/tax-benefits-for-businesses-who-have-employees-with-disabilities" w:history="1">
        <w:r w:rsidRPr="004E1594">
          <w:rPr>
            <w:rStyle w:val="Hyperlink"/>
            <w:rFonts w:cs="Arial"/>
            <w:szCs w:val="24"/>
          </w:rPr>
          <w:t>https://www.irs.gov/businesses/small-businesses-self-employed/tax-benefits-for-businesses-who-have-employees-with-disabilities</w:t>
        </w:r>
      </w:hyperlink>
      <w:r w:rsidRPr="004E1594">
        <w:rPr>
          <w:rStyle w:val="Hyperlink"/>
          <w:rFonts w:cs="Arial"/>
          <w:szCs w:val="24"/>
        </w:rPr>
        <w:t>.</w:t>
      </w:r>
    </w:p>
  </w:endnote>
  <w:endnote w:id="123">
    <w:p w14:paraId="4029EE2A" w14:textId="6829F0C8" w:rsidR="00760F6D" w:rsidRPr="003F4FCE" w:rsidRDefault="00760F6D" w:rsidP="006C4915">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J. Pharr, “Accessible Medical Equipment for Patients with Disabilities in Primary Care Clinics: Why Is It Lacking?” </w:t>
      </w:r>
      <w:r w:rsidRPr="00810A1D">
        <w:rPr>
          <w:rFonts w:ascii="Arial" w:hAnsi="Arial" w:cs="Arial"/>
          <w:i/>
          <w:iCs/>
          <w:sz w:val="24"/>
          <w:szCs w:val="24"/>
        </w:rPr>
        <w:t>Disability and Health Journal</w:t>
      </w:r>
      <w:r w:rsidRPr="003F4FCE">
        <w:rPr>
          <w:rFonts w:ascii="Arial" w:hAnsi="Arial" w:cs="Arial"/>
          <w:sz w:val="24"/>
          <w:szCs w:val="24"/>
        </w:rPr>
        <w:t xml:space="preserve"> 6, no. 2 (2013): 124–32.</w:t>
      </w:r>
    </w:p>
  </w:endnote>
  <w:endnote w:id="124">
    <w:p w14:paraId="2CCC464B" w14:textId="2C071AB3" w:rsidR="00760F6D" w:rsidRPr="00810A1D" w:rsidRDefault="00760F6D" w:rsidP="003F4FCE">
      <w:pPr>
        <w:pStyle w:val="EndnoteText"/>
        <w:rPr>
          <w:rFonts w:cs="Arial"/>
          <w:i/>
          <w:iCs/>
          <w:szCs w:val="24"/>
        </w:rPr>
      </w:pPr>
      <w:r w:rsidRPr="003F4FCE">
        <w:rPr>
          <w:rStyle w:val="EndnoteReference"/>
          <w:rFonts w:cs="Arial"/>
          <w:szCs w:val="24"/>
        </w:rPr>
        <w:endnoteRef/>
      </w:r>
      <w:r w:rsidRPr="003F4FCE">
        <w:rPr>
          <w:rFonts w:cs="Arial"/>
          <w:szCs w:val="24"/>
        </w:rPr>
        <w:t xml:space="preserve"> </w:t>
      </w:r>
      <w:r w:rsidRPr="00810A1D">
        <w:rPr>
          <w:rFonts w:cs="Arial"/>
          <w:i/>
          <w:iCs/>
          <w:szCs w:val="24"/>
        </w:rPr>
        <w:t>Id</w:t>
      </w:r>
      <w:r w:rsidRPr="003F4FCE">
        <w:rPr>
          <w:rFonts w:cs="Arial"/>
          <w:szCs w:val="24"/>
        </w:rPr>
        <w:t>.</w:t>
      </w:r>
    </w:p>
  </w:endnote>
  <w:endnote w:id="125">
    <w:p w14:paraId="3C4B6EAA" w14:textId="27980A0A"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J. R. </w:t>
      </w:r>
      <w:r w:rsidRPr="003F4FCE">
        <w:rPr>
          <w:rFonts w:cs="Arial"/>
          <w:noProof/>
          <w:szCs w:val="24"/>
        </w:rPr>
        <w:t>Pharr, T. James, and Y. -L. Yeung, “</w:t>
      </w:r>
      <w:r w:rsidRPr="003F4FCE">
        <w:rPr>
          <w:rFonts w:cs="Arial"/>
          <w:iCs/>
          <w:noProof/>
          <w:szCs w:val="24"/>
        </w:rPr>
        <w:t>Accessibility and Accommodations for Patients with Mobility Disabilities in a Large Healthcare System: How Are We Doing?”</w:t>
      </w:r>
      <w:r w:rsidRPr="003F4FCE">
        <w:rPr>
          <w:rFonts w:cs="Arial"/>
          <w:noProof/>
          <w:szCs w:val="24"/>
        </w:rPr>
        <w:t xml:space="preserve"> </w:t>
      </w:r>
      <w:r w:rsidRPr="00810A1D">
        <w:rPr>
          <w:rFonts w:cs="Arial"/>
          <w:i/>
          <w:iCs/>
          <w:noProof/>
          <w:szCs w:val="24"/>
        </w:rPr>
        <w:t>Disability and Health Journal</w:t>
      </w:r>
      <w:r w:rsidRPr="003F4FCE">
        <w:rPr>
          <w:rFonts w:cs="Arial"/>
          <w:noProof/>
          <w:szCs w:val="24"/>
        </w:rPr>
        <w:t xml:space="preserve"> 12, no. 4 (2019): 679–84.</w:t>
      </w:r>
    </w:p>
  </w:endnote>
  <w:endnote w:id="126">
    <w:p w14:paraId="41C00508" w14:textId="0EC5E04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3F4FCE">
        <w:rPr>
          <w:rFonts w:cs="Arial"/>
          <w:noProof/>
          <w:szCs w:val="24"/>
        </w:rPr>
        <w:t xml:space="preserve">Merritt Hawkins Team, </w:t>
      </w:r>
      <w:r w:rsidRPr="00810A1D">
        <w:rPr>
          <w:rFonts w:cs="Arial"/>
          <w:i/>
          <w:noProof/>
          <w:szCs w:val="24"/>
        </w:rPr>
        <w:t>Survey of Physician Appointment Wait Times and Medicare and Medicaid Acceptance Rates</w:t>
      </w:r>
      <w:r w:rsidRPr="003F4FCE">
        <w:rPr>
          <w:rFonts w:cs="Arial"/>
          <w:iCs/>
          <w:noProof/>
          <w:szCs w:val="24"/>
        </w:rPr>
        <w:t xml:space="preserve"> (Dallas, TX: Merritt Hawkins, September 22, </w:t>
      </w:r>
      <w:r w:rsidRPr="003F4FCE">
        <w:rPr>
          <w:rFonts w:cs="Arial"/>
          <w:noProof/>
          <w:szCs w:val="24"/>
        </w:rPr>
        <w:t>2017).</w:t>
      </w:r>
    </w:p>
  </w:endnote>
  <w:endnote w:id="127">
    <w:p w14:paraId="21645260" w14:textId="62BA268B"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Meaningful use standards delineate a core set of clinical and demographic variables that must be included in the electronic health record with the goal of promoting interoperability of electronic health records throughout the U.S. health care delivery system. Information on meaningful use is available at: </w:t>
      </w:r>
      <w:hyperlink r:id="rId26" w:tooltip="https://www.healthit.gov/" w:history="1">
        <w:r w:rsidRPr="004E1594">
          <w:rPr>
            <w:rStyle w:val="Hyperlink"/>
            <w:rFonts w:cs="Arial"/>
            <w:szCs w:val="24"/>
          </w:rPr>
          <w:t>https://www.HealthIT.gov</w:t>
        </w:r>
      </w:hyperlink>
      <w:r w:rsidRPr="003F4FCE">
        <w:rPr>
          <w:rFonts w:cs="Arial"/>
          <w:szCs w:val="24"/>
        </w:rPr>
        <w:t xml:space="preserve"> and </w:t>
      </w:r>
      <w:hyperlink r:id="rId27" w:tooltip="https://www.cdc.gov/ehrmeaningfuluse/introduction.html" w:history="1">
        <w:r w:rsidRPr="004E1594">
          <w:rPr>
            <w:rStyle w:val="Hyperlink"/>
            <w:rFonts w:cs="Arial"/>
            <w:szCs w:val="24"/>
          </w:rPr>
          <w:t>https://www.cdc.gov/ehrmeaningfuluse/introduction.html</w:t>
        </w:r>
      </w:hyperlink>
      <w:r w:rsidRPr="004E1594">
        <w:rPr>
          <w:rStyle w:val="Hyperlink"/>
          <w:rFonts w:cs="Arial"/>
          <w:szCs w:val="24"/>
        </w:rPr>
        <w:t>.</w:t>
      </w:r>
      <w:r w:rsidRPr="003F4FCE">
        <w:rPr>
          <w:rFonts w:cs="Arial"/>
          <w:szCs w:val="24"/>
        </w:rPr>
        <w:t xml:space="preserve"> The Office of the National Coordinator for Health Information Technology and the Centers for Disease Control and Prevention are entities with the U.S. Department of Health and Human Services.</w:t>
      </w:r>
    </w:p>
  </w:endnote>
  <w:endnote w:id="128">
    <w:p w14:paraId="7091E235" w14:textId="2A8E7BA6"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The California Department of Health Services requires </w:t>
      </w:r>
      <w:proofErr w:type="spellStart"/>
      <w:r w:rsidRPr="003F4FCE">
        <w:rPr>
          <w:rFonts w:cs="Arial"/>
          <w:szCs w:val="24"/>
        </w:rPr>
        <w:t>Medi</w:t>
      </w:r>
      <w:proofErr w:type="spellEnd"/>
      <w:r w:rsidRPr="003F4FCE">
        <w:rPr>
          <w:rFonts w:cs="Arial"/>
          <w:szCs w:val="24"/>
        </w:rPr>
        <w:t xml:space="preserve">-Cal participants complete a Facility Site Review, as well as a Physical Accessibility Survey during the initial contracting along with periodic site reviews. More Information is available at: </w:t>
      </w:r>
      <w:hyperlink r:id="rId28" w:tooltip="http://www.partnershiphp.org/Providers/Quality/Pages/PSSiteReview.aspx" w:history="1">
        <w:r w:rsidRPr="004E1594">
          <w:rPr>
            <w:rStyle w:val="Hyperlink"/>
            <w:rFonts w:cs="Arial"/>
            <w:szCs w:val="24"/>
          </w:rPr>
          <w:t>http://www.partnershiphp.org/Providers/Quality/Pages/PSSiteReview.aspx</w:t>
        </w:r>
      </w:hyperlink>
      <w:r w:rsidRPr="003F4FCE">
        <w:rPr>
          <w:rFonts w:cs="Arial"/>
          <w:szCs w:val="24"/>
        </w:rPr>
        <w:t xml:space="preserve"> and </w:t>
      </w:r>
      <w:hyperlink r:id="rId29" w:tooltip="https://www.dhcs.ca.gov/provgovpart/Documents/Site%20Review%20Survey%20Guidelines.pdf" w:history="1">
        <w:r w:rsidRPr="004E1594">
          <w:rPr>
            <w:rStyle w:val="Hyperlink"/>
            <w:rFonts w:cs="Arial"/>
            <w:szCs w:val="24"/>
          </w:rPr>
          <w:t>https://www.dhcs.ca.gov/provgovpart/Documents/Site%20Review%20Survey%20Guidelines.pdf</w:t>
        </w:r>
      </w:hyperlink>
      <w:r w:rsidRPr="003F4FCE">
        <w:rPr>
          <w:rFonts w:cs="Arial"/>
          <w:szCs w:val="24"/>
        </w:rPr>
        <w:t>.</w:t>
      </w:r>
    </w:p>
  </w:endnote>
  <w:endnote w:id="129">
    <w:p w14:paraId="4143607E" w14:textId="1006F35D" w:rsidR="00760F6D" w:rsidRPr="003F4FCE" w:rsidRDefault="00760F6D" w:rsidP="006C4915">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G. Fragala, “</w:t>
      </w:r>
      <w:r w:rsidRPr="003F4FCE">
        <w:rPr>
          <w:rFonts w:ascii="Arial" w:hAnsi="Arial" w:cs="Arial"/>
          <w:iCs/>
          <w:sz w:val="24"/>
          <w:szCs w:val="24"/>
        </w:rPr>
        <w:t xml:space="preserve">Reducing Occupational Risk to Ambulatory Caregivers,” </w:t>
      </w:r>
      <w:r w:rsidRPr="00810A1D">
        <w:rPr>
          <w:rFonts w:ascii="Arial" w:hAnsi="Arial" w:cs="Arial"/>
          <w:i/>
          <w:iCs/>
          <w:sz w:val="24"/>
          <w:szCs w:val="24"/>
        </w:rPr>
        <w:t xml:space="preserve">Workplace Health and Safety </w:t>
      </w:r>
      <w:r w:rsidRPr="003F4FCE">
        <w:rPr>
          <w:rFonts w:ascii="Arial" w:hAnsi="Arial" w:cs="Arial"/>
          <w:sz w:val="24"/>
          <w:szCs w:val="24"/>
        </w:rPr>
        <w:t>64, no. 9 (2016): 414–19.</w:t>
      </w:r>
    </w:p>
  </w:endnote>
  <w:endnote w:id="130">
    <w:p w14:paraId="4844BB6C" w14:textId="75B2E889"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G. </w:t>
      </w:r>
      <w:r w:rsidRPr="003F4FCE">
        <w:rPr>
          <w:rFonts w:cs="Arial"/>
          <w:noProof/>
          <w:szCs w:val="24"/>
        </w:rPr>
        <w:t xml:space="preserve">Fragala, M. Labreche, and P. Wawzynieki, “Benefits Achieved for Patients Through Application of Height-Adjustable Examination Tables,” </w:t>
      </w:r>
      <w:r w:rsidRPr="00810A1D">
        <w:rPr>
          <w:rFonts w:cs="Arial"/>
          <w:i/>
          <w:iCs/>
          <w:noProof/>
          <w:szCs w:val="24"/>
        </w:rPr>
        <w:t xml:space="preserve">Journal of Patient Experience </w:t>
      </w:r>
      <w:r w:rsidRPr="003F4FCE">
        <w:rPr>
          <w:rFonts w:cs="Arial"/>
          <w:noProof/>
          <w:szCs w:val="24"/>
        </w:rPr>
        <w:t>4, no. 3 (2017): 138–43.</w:t>
      </w:r>
    </w:p>
  </w:endnote>
  <w:endnote w:id="131">
    <w:p w14:paraId="43B8B0EE" w14:textId="6B8FC0FC"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M. A. </w:t>
      </w:r>
      <w:r w:rsidRPr="003F4FCE">
        <w:rPr>
          <w:rFonts w:cs="Arial"/>
          <w:noProof/>
          <w:szCs w:val="24"/>
        </w:rPr>
        <w:t xml:space="preserve">Morris et al., “Use of Accessible Examination Tables in the Primary Care Setting: A Survey of Physical Evaluations and Patient Attitudes,” </w:t>
      </w:r>
      <w:r w:rsidRPr="00810A1D">
        <w:rPr>
          <w:rFonts w:cs="Arial"/>
          <w:i/>
          <w:iCs/>
          <w:noProof/>
          <w:szCs w:val="24"/>
        </w:rPr>
        <w:t>Journal of General Internal Medicine</w:t>
      </w:r>
      <w:r w:rsidRPr="003F4FCE">
        <w:rPr>
          <w:rFonts w:cs="Arial"/>
          <w:noProof/>
          <w:szCs w:val="24"/>
        </w:rPr>
        <w:t xml:space="preserve"> 32, no. 12 (2017): 1342–48.</w:t>
      </w:r>
    </w:p>
  </w:endnote>
  <w:endnote w:id="132">
    <w:p w14:paraId="1F6870EE"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N. </w:t>
      </w:r>
      <w:r w:rsidRPr="003F4FCE">
        <w:rPr>
          <w:rFonts w:cs="Arial"/>
          <w:noProof/>
          <w:szCs w:val="24"/>
        </w:rPr>
        <w:t xml:space="preserve">Agaronnik et al., “Accessibility of Medical Diagnostic Equipment for Patients with Disability: Observations from Physicians,” </w:t>
      </w:r>
      <w:r w:rsidRPr="00810A1D">
        <w:rPr>
          <w:rFonts w:cs="Arial"/>
          <w:i/>
          <w:iCs/>
          <w:noProof/>
          <w:szCs w:val="24"/>
        </w:rPr>
        <w:t>Archives of Physical Medicine and Rehabilitation</w:t>
      </w:r>
      <w:r w:rsidRPr="003F4FCE">
        <w:rPr>
          <w:rFonts w:cs="Arial"/>
          <w:noProof/>
          <w:szCs w:val="24"/>
        </w:rPr>
        <w:t xml:space="preserve"> 100, no. 11 (2019): 2032–38.</w:t>
      </w:r>
    </w:p>
  </w:endnote>
  <w:endnote w:id="133">
    <w:p w14:paraId="00C71941" w14:textId="77777777" w:rsidR="00760F6D" w:rsidRPr="00810A1D" w:rsidRDefault="00760F6D" w:rsidP="003F4FCE">
      <w:pPr>
        <w:pStyle w:val="EndnoteText"/>
        <w:rPr>
          <w:rFonts w:cs="Arial"/>
          <w:i/>
          <w:iCs/>
          <w:szCs w:val="24"/>
        </w:rPr>
      </w:pPr>
      <w:r w:rsidRPr="003F4FCE">
        <w:rPr>
          <w:rStyle w:val="EndnoteReference"/>
          <w:rFonts w:cs="Arial"/>
          <w:szCs w:val="24"/>
        </w:rPr>
        <w:endnoteRef/>
      </w:r>
      <w:r w:rsidRPr="003F4FCE">
        <w:rPr>
          <w:rFonts w:cs="Arial"/>
          <w:szCs w:val="24"/>
        </w:rPr>
        <w:t xml:space="preserve"> </w:t>
      </w:r>
      <w:r w:rsidRPr="00810A1D">
        <w:rPr>
          <w:rFonts w:cs="Arial"/>
          <w:i/>
          <w:iCs/>
          <w:szCs w:val="24"/>
        </w:rPr>
        <w:t>Id</w:t>
      </w:r>
      <w:r w:rsidRPr="003F4FCE">
        <w:rPr>
          <w:rFonts w:cs="Arial"/>
          <w:szCs w:val="24"/>
        </w:rPr>
        <w:t>.</w:t>
      </w:r>
    </w:p>
  </w:endnote>
  <w:endnote w:id="134">
    <w:p w14:paraId="05D4750B" w14:textId="04EB6F13" w:rsidR="00760F6D" w:rsidRPr="003F4FCE" w:rsidRDefault="00760F6D" w:rsidP="006C4915">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w:t>
      </w:r>
      <w:r w:rsidRPr="00810A1D">
        <w:rPr>
          <w:rFonts w:ascii="Arial" w:hAnsi="Arial" w:cs="Arial"/>
          <w:i/>
          <w:iCs/>
          <w:sz w:val="24"/>
          <w:szCs w:val="24"/>
        </w:rPr>
        <w:t>Id</w:t>
      </w:r>
      <w:r w:rsidRPr="003F4FCE">
        <w:rPr>
          <w:rFonts w:ascii="Arial" w:hAnsi="Arial" w:cs="Arial"/>
          <w:sz w:val="24"/>
          <w:szCs w:val="24"/>
        </w:rPr>
        <w:t>. at note 136.</w:t>
      </w:r>
    </w:p>
  </w:endnote>
  <w:endnote w:id="135">
    <w:p w14:paraId="497FC858" w14:textId="31436EF6"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The Provider Accessibility Initiative is </w:t>
      </w:r>
      <w:proofErr w:type="gramStart"/>
      <w:r w:rsidRPr="003F4FCE">
        <w:rPr>
          <w:rFonts w:cs="Arial"/>
          <w:szCs w:val="24"/>
        </w:rPr>
        <w:t>a collaboration</w:t>
      </w:r>
      <w:proofErr w:type="gramEnd"/>
      <w:r w:rsidRPr="003F4FCE">
        <w:rPr>
          <w:rFonts w:cs="Arial"/>
          <w:szCs w:val="24"/>
        </w:rPr>
        <w:t xml:space="preserve"> between the National Council on Independent Living and the </w:t>
      </w:r>
      <w:proofErr w:type="spellStart"/>
      <w:r w:rsidRPr="003F4FCE">
        <w:rPr>
          <w:rFonts w:cs="Arial"/>
          <w:szCs w:val="24"/>
        </w:rPr>
        <w:t>Centene</w:t>
      </w:r>
      <w:proofErr w:type="spellEnd"/>
      <w:r w:rsidRPr="003F4FCE">
        <w:rPr>
          <w:rFonts w:cs="Arial"/>
          <w:szCs w:val="24"/>
        </w:rPr>
        <w:t xml:space="preserve"> Corporation to offer competitive funding to health providers within the </w:t>
      </w:r>
      <w:proofErr w:type="spellStart"/>
      <w:r w:rsidRPr="003F4FCE">
        <w:rPr>
          <w:rFonts w:cs="Arial"/>
          <w:szCs w:val="24"/>
        </w:rPr>
        <w:t>Centene</w:t>
      </w:r>
      <w:proofErr w:type="spellEnd"/>
      <w:r w:rsidRPr="003F4FCE">
        <w:rPr>
          <w:rFonts w:cs="Arial"/>
          <w:szCs w:val="24"/>
        </w:rPr>
        <w:t xml:space="preserve"> system to increase programmatic and physical accessibility. Information is available at: </w:t>
      </w:r>
      <w:hyperlink r:id="rId30" w:tooltip="https://ncil.org/provider-accessibility-initiative/" w:history="1">
        <w:r w:rsidRPr="004E1594">
          <w:rPr>
            <w:rStyle w:val="Hyperlink"/>
            <w:rFonts w:cs="Arial"/>
            <w:szCs w:val="24"/>
          </w:rPr>
          <w:t>https://ncil.org/provider-accessibility-initiative/</w:t>
        </w:r>
      </w:hyperlink>
      <w:r w:rsidRPr="003F4FCE">
        <w:rPr>
          <w:rFonts w:cs="Arial"/>
          <w:szCs w:val="24"/>
        </w:rPr>
        <w:t>.</w:t>
      </w:r>
    </w:p>
  </w:endnote>
  <w:endnote w:id="136">
    <w:p w14:paraId="165A73B5" w14:textId="278D7F63"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 xml:space="preserve">IRS, About Form 8826, Disabled Access Credit, </w:t>
      </w:r>
      <w:hyperlink r:id="rId31" w:tooltip="https://www.irs.gov/forms-pubs/about-form-8826" w:history="1">
        <w:r w:rsidRPr="004E1594">
          <w:rPr>
            <w:rStyle w:val="Hyperlink"/>
            <w:rFonts w:cs="Arial"/>
            <w:szCs w:val="24"/>
          </w:rPr>
          <w:t>https://www.irs.gov/forms-pubs/about-form-8826</w:t>
        </w:r>
      </w:hyperlink>
      <w:r w:rsidRPr="004E1594">
        <w:rPr>
          <w:rStyle w:val="Hyperlink"/>
          <w:rFonts w:cs="Arial"/>
          <w:szCs w:val="24"/>
        </w:rPr>
        <w:t>.</w:t>
      </w:r>
      <w:proofErr w:type="gramEnd"/>
    </w:p>
  </w:endnote>
  <w:endnote w:id="137">
    <w:p w14:paraId="060395FE" w14:textId="2E9C8A2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Since July 2008, CMS has made available Prolonged Services Current Procedural Terminology (CPT) Codes (Codes 99354–99359) for delivery of face-to-face patient contact services that substantially exceed typical time units. Detailed information is available at: </w:t>
      </w:r>
      <w:hyperlink r:id="rId32" w:tooltip="https://www.cms.gov/outreach-and-education/medicare-learning-network-mln/mlnmattersarticles/downloads/mm5972.pdf" w:history="1">
        <w:r w:rsidRPr="004E1594">
          <w:rPr>
            <w:rStyle w:val="Hyperlink"/>
            <w:rFonts w:cs="Arial"/>
            <w:szCs w:val="24"/>
          </w:rPr>
          <w:t>https://www.cms.gov/outreach-and-education/medicare-learning-network-mln/mlnmattersarticles/downloads/mm5972.pdf</w:t>
        </w:r>
      </w:hyperlink>
      <w:r w:rsidRPr="003F4FCE">
        <w:rPr>
          <w:rFonts w:cs="Arial"/>
          <w:szCs w:val="24"/>
        </w:rPr>
        <w:t>.</w:t>
      </w:r>
    </w:p>
  </w:endnote>
  <w:endnote w:id="138">
    <w:p w14:paraId="0F4640F3" w14:textId="1C813CCF"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shd w:val="clear" w:color="auto" w:fill="FFFFFF"/>
        </w:rPr>
        <w:t>42 U.S.C. § 12131 (Title II); 42 U.S.C. § 12181 (Title III).</w:t>
      </w:r>
      <w:proofErr w:type="gramEnd"/>
    </w:p>
  </w:endnote>
  <w:endnote w:id="139">
    <w:p w14:paraId="635E13C6" w14:textId="2506A2F3"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shd w:val="clear" w:color="auto" w:fill="FFFFFF"/>
        </w:rPr>
        <w:t>29 U.S.C. § 794.</w:t>
      </w:r>
      <w:proofErr w:type="gramEnd"/>
    </w:p>
  </w:endnote>
  <w:endnote w:id="140">
    <w:p w14:paraId="7060E62C" w14:textId="0AA5FE4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42 U.S.C. § 18116.</w:t>
      </w:r>
      <w:proofErr w:type="gramEnd"/>
    </w:p>
  </w:endnote>
  <w:endnote w:id="141">
    <w:p w14:paraId="506B2B82" w14:textId="12EAFFC0"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Executive Order 13771, Reducing Regulation and Controlling Regulatory Costs, 82 Fed.</w:t>
      </w:r>
      <w:proofErr w:type="gramEnd"/>
      <w:r w:rsidRPr="003F4FCE">
        <w:rPr>
          <w:rFonts w:cs="Arial"/>
          <w:szCs w:val="24"/>
        </w:rPr>
        <w:t xml:space="preserve"> Reg. 9339 (February 3, 2017). </w:t>
      </w:r>
      <w:r w:rsidRPr="00B82520">
        <w:rPr>
          <w:rFonts w:cs="Arial"/>
          <w:szCs w:val="24"/>
        </w:rPr>
        <w:t>E.O. 13771 was revoked by President Biden on January 20, 2021</w:t>
      </w:r>
      <w:r w:rsidRPr="00810A1D">
        <w:rPr>
          <w:rFonts w:cs="Arial"/>
          <w:i/>
          <w:szCs w:val="24"/>
        </w:rPr>
        <w:t xml:space="preserve">. </w:t>
      </w:r>
      <w:hyperlink r:id="rId33" w:tooltip="https://www.whitehouse.gov/briefing-room/presidential-actions/2021/01/20/executive-order-revocation-of-certain-executive-orders-concerning-federal-regulation/" w:history="1">
        <w:r w:rsidRPr="004E1594">
          <w:rPr>
            <w:rStyle w:val="Hyperlink"/>
            <w:rFonts w:cs="Arial"/>
            <w:szCs w:val="24"/>
          </w:rPr>
          <w:t>https://www.whitehouse.gov/briefing-room/presidential-actions/2021/01/20/executive-order-revocation-of-certain-executive-orders-concerning-federal-regulation/</w:t>
        </w:r>
      </w:hyperlink>
    </w:p>
  </w:endnote>
  <w:endnote w:id="142">
    <w:p w14:paraId="187E56CD" w14:textId="5632D094"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The Alliance for Disability in Health Care Education is a not-for-profit organization of health care educators who are working to integrate disability-related content and experiences into health care education and training programs. They have developed a set of CORE Competencies on Disability for Health Care Education, available at: </w:t>
      </w:r>
      <w:hyperlink r:id="rId34" w:tooltip="http://www.adhce.org/resources/" w:history="1">
        <w:r w:rsidRPr="004E1594">
          <w:rPr>
            <w:rStyle w:val="Hyperlink"/>
            <w:rFonts w:cs="Arial"/>
            <w:szCs w:val="24"/>
          </w:rPr>
          <w:t>http://www.adhce.org/resources/</w:t>
        </w:r>
      </w:hyperlink>
      <w:r w:rsidRPr="004E1594">
        <w:rPr>
          <w:rStyle w:val="Hyperlink"/>
          <w:rFonts w:cs="Arial"/>
          <w:szCs w:val="24"/>
        </w:rPr>
        <w:t>.</w:t>
      </w:r>
    </w:p>
  </w:endnote>
  <w:endnote w:id="143">
    <w:p w14:paraId="18C78716" w14:textId="51FA8CE5"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Effective July 1, 2020, the Commission on Dental Accreditation (CODA) requires dental schools train their students in managing treatment of patients with intellectual and developmental disabilities. While this is not an exclusive focus on people with mobility disabilities, many people with intellectual and developmental disabilities have co-occurring physical impairments, and as such, this represents a positive model for other educational programs and accrediting bodies. </w:t>
      </w:r>
    </w:p>
  </w:endnote>
  <w:endnote w:id="144">
    <w:p w14:paraId="4F020DE6" w14:textId="13FC1C03"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D. </w:t>
      </w:r>
      <w:proofErr w:type="spellStart"/>
      <w:r w:rsidRPr="003F4FCE">
        <w:rPr>
          <w:rFonts w:cs="Arial"/>
          <w:szCs w:val="24"/>
        </w:rPr>
        <w:t>Guistini</w:t>
      </w:r>
      <w:proofErr w:type="spellEnd"/>
      <w:r w:rsidRPr="003F4FCE">
        <w:rPr>
          <w:rFonts w:cs="Arial"/>
          <w:szCs w:val="24"/>
        </w:rPr>
        <w:t xml:space="preserve"> et al., “Effective Uses of Social Media in Public Health and Medicine: A Systematic Review of Systematic Reviews,” </w:t>
      </w:r>
      <w:r w:rsidRPr="00810A1D">
        <w:rPr>
          <w:rFonts w:cs="Arial"/>
          <w:i/>
          <w:iCs/>
          <w:szCs w:val="24"/>
        </w:rPr>
        <w:t>Online Journal of Public Health Informatics</w:t>
      </w:r>
      <w:r w:rsidRPr="003F4FCE">
        <w:rPr>
          <w:rFonts w:cs="Arial"/>
          <w:szCs w:val="24"/>
        </w:rPr>
        <w:t xml:space="preserve"> 10, no. 2 (2018): e215. A review of 42 high-quality systematic reviews found that social media’s effectiveness in public health and medicine was minimal. Health professionals reaped some professional benefits from peer-to-peer communications and lifelong learning. </w:t>
      </w:r>
    </w:p>
  </w:endnote>
  <w:endnote w:id="145">
    <w:p w14:paraId="421A0442" w14:textId="69F5C07C"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The National Institute on Disability, Independent Living, and Rehabilitation Research is the federal government’s primary disability research agency with an explicit mission to “generate new knowledge and to promote its effective use to improve the abilities of individuals with disabilities to perform activities of their choice in the community, and to expand society’s capacity to provide full opportunities and accommodations for its citizens with disabilities.” Available at: </w:t>
      </w:r>
      <w:hyperlink r:id="rId35" w:tooltip="https://acl.gov/about-acl/about-national-institute-disability-independent-living-and-rehabilitation-research" w:history="1">
        <w:r w:rsidRPr="004E1594">
          <w:rPr>
            <w:rStyle w:val="Hyperlink"/>
            <w:rFonts w:cs="Arial"/>
            <w:szCs w:val="24"/>
          </w:rPr>
          <w:t>https://acl.gov/about-acl/about-national-institute-disability-independent-living-and-rehabilitation-research</w:t>
        </w:r>
      </w:hyperlink>
      <w:r w:rsidRPr="003F4FCE">
        <w:rPr>
          <w:rFonts w:cs="Arial"/>
          <w:szCs w:val="24"/>
        </w:rPr>
        <w:t>.</w:t>
      </w:r>
    </w:p>
  </w:endnote>
  <w:endnote w:id="146">
    <w:p w14:paraId="699333F5" w14:textId="1BE2CB8B"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See, for example, M. A. </w:t>
      </w:r>
      <w:r w:rsidRPr="003F4FCE">
        <w:rPr>
          <w:rFonts w:cs="Arial"/>
          <w:noProof/>
          <w:szCs w:val="24"/>
        </w:rPr>
        <w:t xml:space="preserve">Morris et al., “Use of Accessible Examination Tables in the Primary Care Setting: A Survey of Physical Evaluations and Patient Attitudes,” </w:t>
      </w:r>
      <w:r w:rsidRPr="00810A1D">
        <w:rPr>
          <w:rFonts w:cs="Arial"/>
          <w:i/>
          <w:iCs/>
          <w:noProof/>
          <w:szCs w:val="24"/>
        </w:rPr>
        <w:t>Journal of General Internal Medicine</w:t>
      </w:r>
      <w:r w:rsidRPr="003F4FCE">
        <w:rPr>
          <w:rFonts w:cs="Arial"/>
          <w:noProof/>
          <w:szCs w:val="24"/>
        </w:rPr>
        <w:t xml:space="preserve"> 32, no. 12 (2017): 1342–48; N. Agaronnik et al., “</w:t>
      </w:r>
      <w:r w:rsidRPr="003F4FCE">
        <w:rPr>
          <w:rFonts w:cs="Arial"/>
          <w:iCs/>
          <w:noProof/>
          <w:szCs w:val="24"/>
        </w:rPr>
        <w:t xml:space="preserve">Accessibility of Medical Diagnostic Equipment for Patients with Disability: Observations from Physicians,” </w:t>
      </w:r>
      <w:r w:rsidRPr="00810A1D">
        <w:rPr>
          <w:rFonts w:cs="Arial"/>
          <w:i/>
          <w:iCs/>
          <w:noProof/>
          <w:szCs w:val="24"/>
        </w:rPr>
        <w:t>Archives of Physical Medicine and Rehabilitation</w:t>
      </w:r>
      <w:r w:rsidRPr="003F4FCE">
        <w:rPr>
          <w:rFonts w:cs="Arial"/>
          <w:noProof/>
          <w:szCs w:val="24"/>
        </w:rPr>
        <w:t xml:space="preserve"> 100, no. 11 (2019): 2032–38.</w:t>
      </w:r>
    </w:p>
  </w:endnote>
  <w:endnote w:id="147">
    <w:p w14:paraId="7A465768" w14:textId="3CD5D38C"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L. </w:t>
      </w:r>
      <w:proofErr w:type="spellStart"/>
      <w:r w:rsidRPr="003F4FCE">
        <w:rPr>
          <w:rFonts w:cs="Arial"/>
          <w:szCs w:val="24"/>
        </w:rPr>
        <w:t>VanPuymbrouck</w:t>
      </w:r>
      <w:proofErr w:type="spellEnd"/>
      <w:r w:rsidRPr="003F4FCE">
        <w:rPr>
          <w:rFonts w:cs="Arial"/>
          <w:szCs w:val="24"/>
        </w:rPr>
        <w:t xml:space="preserve"> et al., “Explicit and Implicit Disability Attitudes of Healthcare Providers,” </w:t>
      </w:r>
      <w:r w:rsidRPr="00810A1D">
        <w:rPr>
          <w:rFonts w:cs="Arial"/>
          <w:i/>
          <w:iCs/>
          <w:szCs w:val="24"/>
        </w:rPr>
        <w:t>Rehabilitation</w:t>
      </w:r>
      <w:r w:rsidRPr="003F4FCE">
        <w:rPr>
          <w:rFonts w:cs="Arial"/>
          <w:szCs w:val="24"/>
        </w:rPr>
        <w:t xml:space="preserve"> </w:t>
      </w:r>
      <w:r w:rsidRPr="00810A1D">
        <w:rPr>
          <w:rFonts w:cs="Arial"/>
          <w:i/>
          <w:iCs/>
          <w:szCs w:val="24"/>
        </w:rPr>
        <w:t>Psychology</w:t>
      </w:r>
      <w:r w:rsidRPr="003F4FCE">
        <w:rPr>
          <w:rFonts w:cs="Arial"/>
          <w:szCs w:val="24"/>
        </w:rPr>
        <w:t xml:space="preserve"> 65, no. 2 (2020): 101–12.</w:t>
      </w:r>
    </w:p>
  </w:endnote>
  <w:endnote w:id="148">
    <w:p w14:paraId="0B44C401" w14:textId="4FBA140D"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Illinois General Assembly, Public Act 097-0122, </w:t>
      </w:r>
      <w:hyperlink r:id="rId36" w:tooltip="https://www.ilga.gov/legislation/publicacts/fulltext.asp?Name=097-0122" w:history="1">
        <w:r w:rsidRPr="004E1594">
          <w:rPr>
            <w:rStyle w:val="Hyperlink"/>
            <w:rFonts w:cs="Arial"/>
            <w:szCs w:val="24"/>
          </w:rPr>
          <w:t>https://www.ilga.gov/legislation/publicacts/fulltext.asp?Name=097-0122</w:t>
        </w:r>
      </w:hyperlink>
      <w:r w:rsidRPr="003F4FCE">
        <w:rPr>
          <w:rFonts w:cs="Arial"/>
          <w:szCs w:val="24"/>
        </w:rPr>
        <w:t>.</w:t>
      </w:r>
    </w:p>
  </w:endnote>
  <w:endnote w:id="149">
    <w:p w14:paraId="68201195" w14:textId="11099E1F"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D41CC7">
        <w:rPr>
          <w:rFonts w:cs="Arial"/>
          <w:szCs w:val="24"/>
        </w:rPr>
        <w:t>E.O. 13771 was revoked by President Biden on January 20, 2021.</w:t>
      </w:r>
      <w:r w:rsidRPr="00810A1D">
        <w:rPr>
          <w:rFonts w:cs="Arial"/>
          <w:i/>
          <w:szCs w:val="24"/>
        </w:rPr>
        <w:t xml:space="preserve"> </w:t>
      </w:r>
      <w:hyperlink r:id="rId37" w:tooltip="https://www.whitehouse.gov/briefing-room/presidential-actions/2021/01/20/executive-order-revocation-of-certain-executive-orders-concerning-federal-regulation/" w:history="1">
        <w:r w:rsidRPr="004E1594">
          <w:rPr>
            <w:rStyle w:val="Hyperlink"/>
            <w:rFonts w:cs="Arial"/>
            <w:szCs w:val="24"/>
          </w:rPr>
          <w:t>https://www.whitehouse.gov/briefing-room/presidential-actions/2021/01/20/executive-order-revocation-of-certain-executive-orders-concerning-federal-regulation/</w:t>
        </w:r>
      </w:hyperlink>
      <w:r w:rsidRPr="003F4FCE">
        <w:rPr>
          <w:rFonts w:cs="Arial"/>
          <w:szCs w:val="24"/>
        </w:rPr>
        <w:t>.</w:t>
      </w:r>
    </w:p>
  </w:endnote>
  <w:endnote w:id="150">
    <w:p w14:paraId="314F7C50"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A. </w:t>
      </w:r>
      <w:r w:rsidRPr="003F4FCE">
        <w:rPr>
          <w:rFonts w:cs="Arial"/>
          <w:noProof/>
          <w:szCs w:val="24"/>
        </w:rPr>
        <w:t xml:space="preserve">Chatterjee et al., </w:t>
      </w:r>
      <w:r w:rsidRPr="00810A1D">
        <w:rPr>
          <w:rFonts w:cs="Arial"/>
          <w:i/>
          <w:noProof/>
          <w:szCs w:val="24"/>
        </w:rPr>
        <w:t xml:space="preserve">Checkup Time: Chronic Disease and Wellness in America </w:t>
      </w:r>
      <w:r w:rsidRPr="003F4FCE">
        <w:rPr>
          <w:rFonts w:cs="Arial"/>
          <w:iCs/>
          <w:noProof/>
          <w:szCs w:val="24"/>
        </w:rPr>
        <w:t>(</w:t>
      </w:r>
      <w:r w:rsidRPr="003F4FCE">
        <w:rPr>
          <w:rFonts w:cs="Arial"/>
          <w:noProof/>
          <w:szCs w:val="24"/>
        </w:rPr>
        <w:t>Santa Monica, CA: Milken Institute, 2014).</w:t>
      </w:r>
    </w:p>
  </w:endnote>
  <w:endnote w:id="151">
    <w:p w14:paraId="21DB2CAD" w14:textId="3A48610C"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 xml:space="preserve">IRS, Tax Benefits for Businesses Who Have Employees with Disabilities, </w:t>
      </w:r>
      <w:hyperlink r:id="rId38" w:tooltip="https://www.irs.gov/businesses/small-businesses-self-employed/tax-benefits-for-businesses-who-have-employees-with-disabilities" w:history="1">
        <w:r w:rsidRPr="004E1594">
          <w:rPr>
            <w:rStyle w:val="Hyperlink"/>
            <w:rFonts w:cs="Arial"/>
            <w:szCs w:val="24"/>
          </w:rPr>
          <w:t>https://www.irs.gov/businesses/small-businesses-self-employed/tax-benefits-for-businesses-who-have-employees-with-disabilities</w:t>
        </w:r>
      </w:hyperlink>
      <w:r w:rsidRPr="003F4FCE">
        <w:rPr>
          <w:rFonts w:cs="Arial"/>
          <w:szCs w:val="24"/>
        </w:rPr>
        <w:t>.</w:t>
      </w:r>
      <w:proofErr w:type="gramEnd"/>
    </w:p>
  </w:endnote>
  <w:endnote w:id="152">
    <w:p w14:paraId="70F399F6" w14:textId="31C03A55"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 xml:space="preserve">CMS, MLN Matters, Prolonged Services (Codes 99354–99359), </w:t>
      </w:r>
      <w:hyperlink r:id="rId39" w:tooltip="https://www.cms.gov/outreach-and-education/medicare-learning-network-mln/mlnmattersarticles/downloads/mm5972.pdf" w:history="1">
        <w:r w:rsidRPr="004E1594">
          <w:rPr>
            <w:rStyle w:val="Hyperlink"/>
            <w:rFonts w:cs="Arial"/>
            <w:szCs w:val="24"/>
          </w:rPr>
          <w:t>https://www.cms.gov/outreach-and-education/medicare-learning-network-mln/mlnmattersarticles/downloads/mm5972.pdf</w:t>
        </w:r>
      </w:hyperlink>
      <w:r w:rsidRPr="003F4FCE">
        <w:rPr>
          <w:rFonts w:cs="Arial"/>
          <w:szCs w:val="24"/>
        </w:rPr>
        <w:t>.</w:t>
      </w:r>
      <w:proofErr w:type="gramEnd"/>
    </w:p>
  </w:endnote>
  <w:endnote w:id="153">
    <w:p w14:paraId="10C7A27B" w14:textId="3981D58D"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 xml:space="preserve">National Council on Independent Living, Provider Accessibility Initiative, </w:t>
      </w:r>
      <w:hyperlink r:id="rId40" w:tooltip="https://ncil.org/provider-accessibility-initiative/" w:history="1">
        <w:r w:rsidRPr="004E1594">
          <w:rPr>
            <w:rStyle w:val="Hyperlink"/>
            <w:rFonts w:cs="Arial"/>
            <w:szCs w:val="24"/>
          </w:rPr>
          <w:t>https://ncil.org/provider-accessibility-initiative/</w:t>
        </w:r>
      </w:hyperlink>
      <w:r w:rsidRPr="004E1594">
        <w:rPr>
          <w:rStyle w:val="Hyperlink"/>
          <w:rFonts w:cs="Arial"/>
          <w:szCs w:val="24"/>
        </w:rPr>
        <w:t>.</w:t>
      </w:r>
      <w:proofErr w:type="gramEnd"/>
    </w:p>
  </w:endnote>
  <w:endnote w:id="154">
    <w:p w14:paraId="012E296D" w14:textId="0384B7B7" w:rsidR="00760F6D" w:rsidRPr="003F4FCE" w:rsidRDefault="00760F6D" w:rsidP="006C4915">
      <w:pPr>
        <w:pStyle w:val="EndNoteBibliography"/>
        <w:spacing w:after="200"/>
        <w:rPr>
          <w:rFonts w:ascii="Arial" w:hAnsi="Arial" w:cs="Arial"/>
          <w:sz w:val="24"/>
          <w:szCs w:val="24"/>
        </w:rPr>
      </w:pPr>
      <w:r w:rsidRPr="003F4FCE">
        <w:rPr>
          <w:rStyle w:val="EndnoteReference"/>
          <w:rFonts w:cs="Arial"/>
          <w:szCs w:val="24"/>
        </w:rPr>
        <w:endnoteRef/>
      </w:r>
      <w:r w:rsidRPr="003F4FCE">
        <w:rPr>
          <w:rFonts w:ascii="Arial" w:hAnsi="Arial" w:cs="Arial"/>
          <w:sz w:val="24"/>
          <w:szCs w:val="24"/>
        </w:rPr>
        <w:t xml:space="preserve"> M. A. Morris et al., “Use of Accessible Examination Tables in the Primary Care Setting: A Survey of Physical Evaluations and Patient Attitudes,” </w:t>
      </w:r>
      <w:r w:rsidRPr="00810A1D">
        <w:rPr>
          <w:rFonts w:ascii="Arial" w:hAnsi="Arial" w:cs="Arial"/>
          <w:i/>
          <w:iCs/>
          <w:sz w:val="24"/>
          <w:szCs w:val="24"/>
        </w:rPr>
        <w:t>Journal of General Internal Medicine</w:t>
      </w:r>
      <w:r w:rsidRPr="003F4FCE">
        <w:rPr>
          <w:rFonts w:ascii="Arial" w:hAnsi="Arial" w:cs="Arial"/>
          <w:sz w:val="24"/>
          <w:szCs w:val="24"/>
        </w:rPr>
        <w:t xml:space="preserve"> 32, no. 12 (2017): 1342–48; N. Agaronnik et al., “Accessibility of Medical Diagnostic Equipment for Patients with Disability: Observations from Physicians,” </w:t>
      </w:r>
      <w:r w:rsidRPr="00810A1D">
        <w:rPr>
          <w:rFonts w:ascii="Arial" w:hAnsi="Arial" w:cs="Arial"/>
          <w:i/>
          <w:iCs/>
          <w:sz w:val="24"/>
          <w:szCs w:val="24"/>
        </w:rPr>
        <w:t>Archives of Physical Medicine and Rehabilitation</w:t>
      </w:r>
      <w:r w:rsidRPr="003F4FCE">
        <w:rPr>
          <w:rFonts w:ascii="Arial" w:hAnsi="Arial" w:cs="Arial"/>
          <w:sz w:val="24"/>
          <w:szCs w:val="24"/>
        </w:rPr>
        <w:t xml:space="preserve"> 100, no. 11 (2019): 2032–38.</w:t>
      </w:r>
    </w:p>
  </w:endnote>
  <w:endnote w:id="155">
    <w:p w14:paraId="62F7E1DC"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r w:rsidRPr="003F4FCE">
        <w:rPr>
          <w:rFonts w:cs="Arial"/>
          <w:noProof/>
          <w:szCs w:val="24"/>
        </w:rPr>
        <w:t xml:space="preserve">Merritt Hawkins Team, </w:t>
      </w:r>
      <w:r w:rsidRPr="00810A1D">
        <w:rPr>
          <w:rFonts w:cs="Arial"/>
          <w:i/>
          <w:noProof/>
          <w:szCs w:val="24"/>
        </w:rPr>
        <w:t xml:space="preserve">Survey of Physician Appointment Wait Times and Medicare and Medicaid Acceptance Rates </w:t>
      </w:r>
      <w:r w:rsidRPr="003F4FCE">
        <w:rPr>
          <w:rFonts w:cs="Arial"/>
          <w:iCs/>
          <w:noProof/>
          <w:szCs w:val="24"/>
        </w:rPr>
        <w:t xml:space="preserve">(Dallas, TX: Merritt Hawkins, </w:t>
      </w:r>
      <w:r w:rsidRPr="003F4FCE">
        <w:rPr>
          <w:rFonts w:cs="Arial"/>
          <w:noProof/>
          <w:szCs w:val="24"/>
        </w:rPr>
        <w:t>2017).</w:t>
      </w:r>
    </w:p>
  </w:endnote>
  <w:endnote w:id="156">
    <w:p w14:paraId="5AA095A7" w14:textId="77777777" w:rsidR="00760F6D" w:rsidRPr="003F4FCE" w:rsidRDefault="00760F6D" w:rsidP="003F4FCE">
      <w:pPr>
        <w:pStyle w:val="EndnoteText"/>
        <w:rPr>
          <w:rFonts w:cs="Arial"/>
          <w:szCs w:val="24"/>
        </w:rPr>
      </w:pPr>
      <w:r w:rsidRPr="003F4FCE">
        <w:rPr>
          <w:rStyle w:val="EndnoteReference"/>
          <w:rFonts w:cs="Arial"/>
          <w:szCs w:val="24"/>
        </w:rPr>
        <w:endnoteRef/>
      </w:r>
      <w:r w:rsidRPr="003F4FCE">
        <w:rPr>
          <w:rFonts w:cs="Arial"/>
          <w:szCs w:val="24"/>
        </w:rPr>
        <w:t xml:space="preserve"> </w:t>
      </w:r>
      <w:proofErr w:type="gramStart"/>
      <w:r w:rsidRPr="003F4FCE">
        <w:rPr>
          <w:rFonts w:cs="Arial"/>
          <w:szCs w:val="24"/>
        </w:rPr>
        <w:t xml:space="preserve">A. C. </w:t>
      </w:r>
      <w:proofErr w:type="spellStart"/>
      <w:r w:rsidRPr="003F4FCE">
        <w:rPr>
          <w:rFonts w:cs="Arial"/>
          <w:szCs w:val="24"/>
        </w:rPr>
        <w:t>Tricco</w:t>
      </w:r>
      <w:proofErr w:type="spellEnd"/>
      <w:r w:rsidRPr="003F4FCE">
        <w:rPr>
          <w:rFonts w:cs="Arial"/>
          <w:szCs w:val="24"/>
        </w:rPr>
        <w:t xml:space="preserve">, E. V. </w:t>
      </w:r>
      <w:proofErr w:type="spellStart"/>
      <w:r w:rsidRPr="003F4FCE">
        <w:rPr>
          <w:rFonts w:cs="Arial"/>
          <w:szCs w:val="24"/>
        </w:rPr>
        <w:t>Langlois</w:t>
      </w:r>
      <w:proofErr w:type="spellEnd"/>
      <w:r w:rsidRPr="003F4FCE">
        <w:rPr>
          <w:rFonts w:cs="Arial"/>
          <w:szCs w:val="24"/>
        </w:rPr>
        <w:t>, and S. E. Straus.</w:t>
      </w:r>
      <w:proofErr w:type="gramEnd"/>
      <w:r w:rsidRPr="003F4FCE">
        <w:rPr>
          <w:rFonts w:cs="Arial"/>
          <w:szCs w:val="24"/>
        </w:rPr>
        <w:t xml:space="preserve"> </w:t>
      </w:r>
      <w:r w:rsidRPr="00810A1D">
        <w:rPr>
          <w:rFonts w:cs="Arial"/>
          <w:i/>
          <w:szCs w:val="24"/>
        </w:rPr>
        <w:t>Rapid Reviews to Strengthen Health Policy and Systems: A Practical Guide</w:t>
      </w:r>
      <w:r w:rsidRPr="003F4FCE">
        <w:rPr>
          <w:rFonts w:cs="Arial"/>
          <w:szCs w:val="24"/>
        </w:rPr>
        <w:t xml:space="preserve"> (Geneva, Switzerland: World Health Organization,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Helvetica Neue">
    <w:altName w:val="Arial"/>
    <w:charset w:val="00"/>
    <w:family w:val="roman"/>
    <w:pitch w:val="default"/>
  </w:font>
  <w:font w:name="Helvetica">
    <w:panose1 w:val="020B0604020202020204"/>
    <w:charset w:val="00"/>
    <w:family w:val="modern"/>
    <w:notTrueType/>
    <w:pitch w:val="variable"/>
    <w:sig w:usb0="00000007" w:usb1="00000000" w:usb2="00000000" w:usb3="00000000" w:csb0="00000011" w:csb1="00000000"/>
  </w:font>
  <w:font w:name="Franklin Gothic Book">
    <w:panose1 w:val="020B0503020102020204"/>
    <w:charset w:val="00"/>
    <w:family w:val="swiss"/>
    <w:pitch w:val="variable"/>
    <w:sig w:usb0="00000287" w:usb1="00000000" w:usb2="00000000" w:usb3="00000000" w:csb0="0000009F" w:csb1="00000000"/>
  </w:font>
  <w:font w:name="ITCFranklinGothicStd-Book">
    <w:altName w:val="Calibri"/>
    <w:panose1 w:val="00000000000000000000"/>
    <w:charset w:val="4D"/>
    <w:family w:val="auto"/>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ITCFranklinGothicStd-Demi">
    <w:altName w:val="Calibri"/>
    <w:panose1 w:val="00000000000000000000"/>
    <w:charset w:val="4D"/>
    <w:family w:val="auto"/>
    <w:notTrueType/>
    <w:pitch w:val="default"/>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adeGothic Bold">
    <w:altName w:val="Calibri"/>
    <w:panose1 w:val="00000000000000000000"/>
    <w:charset w:val="00"/>
    <w:family w:val="swiss"/>
    <w:notTrueType/>
    <w:pitch w:val="default"/>
    <w:sig w:usb0="00000003" w:usb1="00000000" w:usb2="00000000" w:usb3="00000000" w:csb0="00000001" w:csb1="00000000"/>
  </w:font>
  <w:font w:name="TradeGothic Light">
    <w:altName w:val="Calibri"/>
    <w:panose1 w:val="00000000000000000000"/>
    <w:charset w:val="00"/>
    <w:family w:val="swiss"/>
    <w:notTrueType/>
    <w:pitch w:val="default"/>
    <w:sig w:usb0="00000003" w:usb1="00000000" w:usb2="00000000" w:usb3="00000000" w:csb0="00000001" w:csb1="00000000"/>
  </w:font>
  <w:font w:name="Univers LT Std 45 Light">
    <w:panose1 w:val="020B07030305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Univers 45 Light">
    <w:panose1 w:val="00000000000000000000"/>
    <w:charset w:val="00"/>
    <w:family w:val="swiss"/>
    <w:notTrueType/>
    <w:pitch w:val="variable"/>
    <w:sig w:usb0="00000003" w:usb1="00000000" w:usb2="00000000" w:usb3="00000000" w:csb0="00000001" w:csb1="00000000"/>
  </w:font>
  <w:font w:name="MinionPro-Regular">
    <w:altName w:val="Yu Gothic"/>
    <w:panose1 w:val="02040503050306020203"/>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760F6D" w:rsidRPr="002B54BE" w:rsidRDefault="00760F6D"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BA76A2">
          <w:rPr>
            <w:noProof/>
            <w:szCs w:val="24"/>
          </w:rPr>
          <w:t>87</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B5991" w14:textId="77777777" w:rsidR="0022589E" w:rsidRDefault="0022589E" w:rsidP="00841C72">
      <w:pPr>
        <w:spacing w:after="0" w:line="240" w:lineRule="auto"/>
      </w:pPr>
      <w:r>
        <w:separator/>
      </w:r>
    </w:p>
  </w:footnote>
  <w:footnote w:type="continuationSeparator" w:id="0">
    <w:p w14:paraId="5BEA5DB8" w14:textId="77777777" w:rsidR="0022589E" w:rsidRDefault="0022589E" w:rsidP="00841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E3A2825E"/>
    <w:lvl w:ilvl="0">
      <w:start w:val="1"/>
      <w:numFmt w:val="bullet"/>
      <w:lvlText w:val=""/>
      <w:lvlJc w:val="left"/>
      <w:pPr>
        <w:tabs>
          <w:tab w:val="num" w:pos="1440"/>
        </w:tabs>
        <w:ind w:left="1440" w:hanging="360"/>
      </w:pPr>
      <w:rPr>
        <w:rFonts w:ascii="Symbol" w:hAnsi="Symbol" w:hint="default"/>
      </w:rPr>
    </w:lvl>
  </w:abstractNum>
  <w:abstractNum w:abstractNumId="1">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3765D7"/>
    <w:multiLevelType w:val="hybridMultilevel"/>
    <w:tmpl w:val="85582B06"/>
    <w:styleLink w:val="ImportedStyle8"/>
    <w:lvl w:ilvl="0" w:tplc="102CC2F4">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7AD67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3A540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A738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92247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CE357E">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6A0255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743DD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D92437A">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34C2E01"/>
    <w:multiLevelType w:val="hybridMultilevel"/>
    <w:tmpl w:val="0DB073EA"/>
    <w:styleLink w:val="ImportedStyle9"/>
    <w:lvl w:ilvl="0" w:tplc="FFFFFFFF">
      <w:start w:val="1"/>
      <w:numFmt w:val="lowerRoman"/>
      <w:lvlText w:val="%1."/>
      <w:lvlJc w:val="left"/>
      <w:pPr>
        <w:ind w:left="1080" w:hanging="72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B8A455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3C01A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58AD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0D84BE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0C65E2">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FA6F6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4C0C0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462B2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9786867"/>
    <w:multiLevelType w:val="hybridMultilevel"/>
    <w:tmpl w:val="2DD4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481E01"/>
    <w:multiLevelType w:val="hybridMultilevel"/>
    <w:tmpl w:val="6912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C7416"/>
    <w:multiLevelType w:val="multilevel"/>
    <w:tmpl w:val="AFE436C8"/>
    <w:styleLink w:val="Level1Bulle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0D2B6558"/>
    <w:multiLevelType w:val="hybridMultilevel"/>
    <w:tmpl w:val="7DDAA8DA"/>
    <w:styleLink w:val="ImportedStyle10"/>
    <w:lvl w:ilvl="0" w:tplc="4A306CF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5CA29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49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D4EB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888B7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56E6B3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12636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326C4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A8499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20C56378"/>
    <w:multiLevelType w:val="hybridMultilevel"/>
    <w:tmpl w:val="8064FFC6"/>
    <w:styleLink w:val="ImportedStyle12"/>
    <w:lvl w:ilvl="0" w:tplc="EFDA2F84">
      <w:start w:val="1"/>
      <w:numFmt w:val="decimal"/>
      <w:lvlText w:val="%1."/>
      <w:lvlJc w:val="left"/>
      <w:pPr>
        <w:ind w:left="108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60D33E">
      <w:start w:val="1"/>
      <w:numFmt w:val="upperLetter"/>
      <w:lvlText w:val="%2."/>
      <w:lvlJc w:val="left"/>
      <w:pPr>
        <w:ind w:left="180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90AABC">
      <w:start w:val="1"/>
      <w:numFmt w:val="upperLetter"/>
      <w:lvlText w:val="%3."/>
      <w:lvlJc w:val="left"/>
      <w:pPr>
        <w:ind w:left="25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6CEFEA">
      <w:start w:val="1"/>
      <w:numFmt w:val="upperLetter"/>
      <w:lvlText w:val="%4."/>
      <w:lvlJc w:val="left"/>
      <w:pPr>
        <w:ind w:left="32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1F0383C">
      <w:start w:val="1"/>
      <w:numFmt w:val="decimal"/>
      <w:lvlText w:val="%5."/>
      <w:lvlJc w:val="left"/>
      <w:pPr>
        <w:tabs>
          <w:tab w:val="left" w:pos="3240"/>
        </w:tabs>
        <w:ind w:left="39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E2BC84">
      <w:start w:val="1"/>
      <w:numFmt w:val="decimal"/>
      <w:lvlText w:val="%6."/>
      <w:lvlJc w:val="left"/>
      <w:pPr>
        <w:tabs>
          <w:tab w:val="left" w:pos="3240"/>
        </w:tabs>
        <w:ind w:left="46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0682D6">
      <w:start w:val="1"/>
      <w:numFmt w:val="decimal"/>
      <w:lvlText w:val="%7."/>
      <w:lvlJc w:val="left"/>
      <w:pPr>
        <w:tabs>
          <w:tab w:val="left" w:pos="3240"/>
        </w:tabs>
        <w:ind w:left="54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64B05C">
      <w:start w:val="1"/>
      <w:numFmt w:val="decimal"/>
      <w:lvlText w:val="%8."/>
      <w:lvlJc w:val="left"/>
      <w:pPr>
        <w:tabs>
          <w:tab w:val="left" w:pos="3240"/>
        </w:tabs>
        <w:ind w:left="61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503C56">
      <w:start w:val="1"/>
      <w:numFmt w:val="decimal"/>
      <w:lvlText w:val="%9."/>
      <w:lvlJc w:val="left"/>
      <w:pPr>
        <w:tabs>
          <w:tab w:val="left" w:pos="3240"/>
        </w:tabs>
        <w:ind w:left="68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3FC2975"/>
    <w:multiLevelType w:val="hybridMultilevel"/>
    <w:tmpl w:val="3E9C7364"/>
    <w:styleLink w:val="ImportedStyle18"/>
    <w:lvl w:ilvl="0" w:tplc="26E466F0">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02B712">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36922C">
      <w:start w:val="1"/>
      <w:numFmt w:val="lowerRoman"/>
      <w:lvlText w:val="%3."/>
      <w:lvlJc w:val="left"/>
      <w:pPr>
        <w:ind w:left="180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DEE7EE">
      <w:start w:val="1"/>
      <w:numFmt w:val="decimal"/>
      <w:lvlText w:val="%4."/>
      <w:lvlJc w:val="left"/>
      <w:pPr>
        <w:tabs>
          <w:tab w:val="left" w:pos="1800"/>
        </w:tabs>
        <w:ind w:left="252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E907F7E">
      <w:start w:val="1"/>
      <w:numFmt w:val="lowerLetter"/>
      <w:lvlText w:val="%5."/>
      <w:lvlJc w:val="left"/>
      <w:pPr>
        <w:tabs>
          <w:tab w:val="left" w:pos="1800"/>
        </w:tabs>
        <w:ind w:left="324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3EA61E">
      <w:start w:val="1"/>
      <w:numFmt w:val="lowerRoman"/>
      <w:lvlText w:val="%6."/>
      <w:lvlJc w:val="left"/>
      <w:pPr>
        <w:tabs>
          <w:tab w:val="left" w:pos="1800"/>
        </w:tabs>
        <w:ind w:left="396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30F4BA">
      <w:start w:val="1"/>
      <w:numFmt w:val="decimal"/>
      <w:lvlText w:val="%7."/>
      <w:lvlJc w:val="left"/>
      <w:pPr>
        <w:tabs>
          <w:tab w:val="left" w:pos="1800"/>
        </w:tabs>
        <w:ind w:left="468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DC676F6">
      <w:start w:val="1"/>
      <w:numFmt w:val="lowerLetter"/>
      <w:lvlText w:val="%8."/>
      <w:lvlJc w:val="left"/>
      <w:pPr>
        <w:tabs>
          <w:tab w:val="left" w:pos="1800"/>
        </w:tabs>
        <w:ind w:left="540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027E98">
      <w:start w:val="1"/>
      <w:numFmt w:val="lowerRoman"/>
      <w:lvlText w:val="%9."/>
      <w:lvlJc w:val="left"/>
      <w:pPr>
        <w:tabs>
          <w:tab w:val="left" w:pos="1800"/>
        </w:tabs>
        <w:ind w:left="612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255B431B"/>
    <w:multiLevelType w:val="hybridMultilevel"/>
    <w:tmpl w:val="609A57F4"/>
    <w:styleLink w:val="ImportedStyle17"/>
    <w:lvl w:ilvl="0" w:tplc="8C227DB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F66634">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288A2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E2CF8F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E690C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6E9C8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4C06E6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372BFC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70A26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256421D3"/>
    <w:multiLevelType w:val="hybridMultilevel"/>
    <w:tmpl w:val="A96C3DBC"/>
    <w:styleLink w:val="ImportedStyle11"/>
    <w:lvl w:ilvl="0" w:tplc="ABAECEB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800FF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AC968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062DA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BA53E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781F5C">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EE9CB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B4913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C29EA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26930914"/>
    <w:multiLevelType w:val="hybridMultilevel"/>
    <w:tmpl w:val="01904092"/>
    <w:lvl w:ilvl="0" w:tplc="72D01182">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21BB7"/>
    <w:multiLevelType w:val="multilevel"/>
    <w:tmpl w:val="E84AFAF0"/>
    <w:styleLink w:val="List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5">
    <w:nsid w:val="278D147B"/>
    <w:multiLevelType w:val="hybridMultilevel"/>
    <w:tmpl w:val="CECACF42"/>
    <w:styleLink w:val="ImportedStyle7"/>
    <w:lvl w:ilvl="0" w:tplc="9782DA2E">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DA401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CC8170">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EC200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AE5C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B2B8D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7822A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383EF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C69E2C">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96408FA"/>
    <w:multiLevelType w:val="hybridMultilevel"/>
    <w:tmpl w:val="3E76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46314C"/>
    <w:multiLevelType w:val="hybridMultilevel"/>
    <w:tmpl w:val="B980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B43727"/>
    <w:multiLevelType w:val="hybridMultilevel"/>
    <w:tmpl w:val="F948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B70C70"/>
    <w:multiLevelType w:val="hybridMultilevel"/>
    <w:tmpl w:val="AF3049C4"/>
    <w:lvl w:ilvl="0" w:tplc="A70ABE70">
      <w:start w:val="1"/>
      <w:numFmt w:val="decimal"/>
      <w:pStyle w:val="NCDExtractNumbered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DDC4FDA"/>
    <w:multiLevelType w:val="hybridMultilevel"/>
    <w:tmpl w:val="9BA0C10E"/>
    <w:lvl w:ilvl="0" w:tplc="B638321C">
      <w:start w:val="1"/>
      <w:numFmt w:val="decimal"/>
      <w:pStyle w:val="TableNumbering"/>
      <w:lvlText w:val="%1."/>
      <w:lvlJc w:val="left"/>
      <w:pPr>
        <w:ind w:left="360" w:hanging="360"/>
      </w:pPr>
      <w:rPr>
        <w:rFonts w:ascii="Arial" w:hAnsi="Arial" w:cstheme="minorHAnsi" w:hint="default"/>
        <w:b w:val="0"/>
        <w:bCs w:val="0"/>
        <w:i w:val="0"/>
        <w:iCs w:val="0"/>
        <w:caps w:val="0"/>
        <w:strike w:val="0"/>
        <w:dstrike w:val="0"/>
        <w:vanish w:val="0"/>
        <w:color w:val="auto"/>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1016B2"/>
    <w:multiLevelType w:val="hybridMultilevel"/>
    <w:tmpl w:val="AC0E4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6E07AF"/>
    <w:multiLevelType w:val="hybridMultilevel"/>
    <w:tmpl w:val="0524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64679D"/>
    <w:multiLevelType w:val="multilevel"/>
    <w:tmpl w:val="61A20E64"/>
    <w:styleLink w:val="List2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24">
    <w:nsid w:val="42587471"/>
    <w:multiLevelType w:val="multilevel"/>
    <w:tmpl w:val="B73E6D4A"/>
    <w:styleLink w:val="List0"/>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5">
    <w:nsid w:val="43206BE4"/>
    <w:multiLevelType w:val="hybridMultilevel"/>
    <w:tmpl w:val="9656CDDE"/>
    <w:lvl w:ilvl="0" w:tplc="5A586B32">
      <w:start w:val="1"/>
      <w:numFmt w:val="bullet"/>
      <w:pStyle w:val="NCDBulletsLevel2"/>
      <w:lvlText w:val="o"/>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A5798C"/>
    <w:multiLevelType w:val="multilevel"/>
    <w:tmpl w:val="846A5BFE"/>
    <w:styleLink w:val="List31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27">
    <w:nsid w:val="4A072237"/>
    <w:multiLevelType w:val="multilevel"/>
    <w:tmpl w:val="FD58C45E"/>
    <w:lvl w:ilvl="0">
      <w:start w:val="1"/>
      <w:numFmt w:val="bullet"/>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B1117EB"/>
    <w:multiLevelType w:val="multilevel"/>
    <w:tmpl w:val="8EB416CC"/>
    <w:styleLink w:val="Bullet"/>
    <w:lvl w:ilvl="0">
      <w:numFmt w:val="bullet"/>
      <w:lvlText w:val="•"/>
      <w:lvlJc w:val="left"/>
      <w:pPr>
        <w:tabs>
          <w:tab w:val="num" w:pos="196"/>
        </w:tabs>
        <w:ind w:left="1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abstractNum w:abstractNumId="29">
    <w:nsid w:val="51950CB3"/>
    <w:multiLevelType w:val="hybridMultilevel"/>
    <w:tmpl w:val="AD1E0CD6"/>
    <w:lvl w:ilvl="0" w:tplc="F2F2F7A4">
      <w:start w:val="1"/>
      <w:numFmt w:val="bullet"/>
      <w:pStyle w:val="NCDTextBox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31">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32">
    <w:nsid w:val="55E85F89"/>
    <w:multiLevelType w:val="hybridMultilevel"/>
    <w:tmpl w:val="C5A62942"/>
    <w:lvl w:ilvl="0" w:tplc="258606F2">
      <w:start w:val="1"/>
      <w:numFmt w:val="decimal"/>
      <w:pStyle w:val="NCDNumberedLevel1"/>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A87DBC"/>
    <w:multiLevelType w:val="hybridMultilevel"/>
    <w:tmpl w:val="B134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062710"/>
    <w:multiLevelType w:val="multilevel"/>
    <w:tmpl w:val="B8FAC3FC"/>
    <w:styleLink w:val="List31"/>
    <w:lvl w:ilvl="0">
      <w:numFmt w:val="bullet"/>
      <w:lvlText w:val="▪"/>
      <w:lvlJc w:val="left"/>
      <w:rPr>
        <w:rFonts w:ascii="Arial" w:eastAsia="Arial" w:hAnsi="Arial" w:cs="Arial"/>
        <w:color w:val="1F497D"/>
        <w:spacing w:val="0"/>
        <w:position w:val="0"/>
      </w:rPr>
    </w:lvl>
    <w:lvl w:ilvl="1">
      <w:start w:val="1"/>
      <w:numFmt w:val="bullet"/>
      <w:lvlText w:val="o"/>
      <w:lvlJc w:val="left"/>
      <w:rPr>
        <w:rFonts w:ascii="Arial" w:eastAsia="Arial" w:hAnsi="Arial" w:cs="Arial"/>
        <w:color w:val="1F497D"/>
        <w:spacing w:val="0"/>
        <w:position w:val="0"/>
      </w:rPr>
    </w:lvl>
    <w:lvl w:ilvl="2">
      <w:start w:val="1"/>
      <w:numFmt w:val="bullet"/>
      <w:lvlText w:val="▪"/>
      <w:lvlJc w:val="left"/>
      <w:rPr>
        <w:rFonts w:ascii="Arial" w:eastAsia="Arial" w:hAnsi="Arial" w:cs="Arial"/>
        <w:color w:val="1F497D"/>
        <w:spacing w:val="0"/>
        <w:position w:val="0"/>
      </w:rPr>
    </w:lvl>
    <w:lvl w:ilvl="3">
      <w:start w:val="1"/>
      <w:numFmt w:val="bullet"/>
      <w:lvlText w:val="•"/>
      <w:lvlJc w:val="left"/>
      <w:rPr>
        <w:rFonts w:ascii="Arial" w:eastAsia="Arial" w:hAnsi="Arial" w:cs="Arial"/>
        <w:color w:val="1F497D"/>
        <w:spacing w:val="0"/>
        <w:position w:val="0"/>
      </w:rPr>
    </w:lvl>
    <w:lvl w:ilvl="4">
      <w:start w:val="1"/>
      <w:numFmt w:val="bullet"/>
      <w:lvlText w:val="o"/>
      <w:lvlJc w:val="left"/>
      <w:rPr>
        <w:rFonts w:ascii="Arial" w:eastAsia="Arial" w:hAnsi="Arial" w:cs="Arial"/>
        <w:color w:val="1F497D"/>
        <w:spacing w:val="0"/>
        <w:position w:val="0"/>
      </w:rPr>
    </w:lvl>
    <w:lvl w:ilvl="5">
      <w:start w:val="1"/>
      <w:numFmt w:val="bullet"/>
      <w:lvlText w:val="▪"/>
      <w:lvlJc w:val="left"/>
      <w:rPr>
        <w:rFonts w:ascii="Arial" w:eastAsia="Arial" w:hAnsi="Arial" w:cs="Arial"/>
        <w:color w:val="1F497D"/>
        <w:spacing w:val="0"/>
        <w:position w:val="0"/>
      </w:rPr>
    </w:lvl>
    <w:lvl w:ilvl="6">
      <w:start w:val="1"/>
      <w:numFmt w:val="bullet"/>
      <w:lvlText w:val="•"/>
      <w:lvlJc w:val="left"/>
      <w:rPr>
        <w:rFonts w:ascii="Arial" w:eastAsia="Arial" w:hAnsi="Arial" w:cs="Arial"/>
        <w:color w:val="1F497D"/>
        <w:spacing w:val="0"/>
        <w:position w:val="0"/>
      </w:rPr>
    </w:lvl>
    <w:lvl w:ilvl="7">
      <w:start w:val="1"/>
      <w:numFmt w:val="bullet"/>
      <w:lvlText w:val="o"/>
      <w:lvlJc w:val="left"/>
      <w:rPr>
        <w:rFonts w:ascii="Arial" w:eastAsia="Arial" w:hAnsi="Arial" w:cs="Arial"/>
        <w:color w:val="1F497D"/>
        <w:spacing w:val="0"/>
        <w:position w:val="0"/>
      </w:rPr>
    </w:lvl>
    <w:lvl w:ilvl="8">
      <w:start w:val="1"/>
      <w:numFmt w:val="bullet"/>
      <w:lvlText w:val="▪"/>
      <w:lvlJc w:val="left"/>
      <w:rPr>
        <w:rFonts w:ascii="Arial" w:eastAsia="Arial" w:hAnsi="Arial" w:cs="Arial"/>
        <w:color w:val="1F497D"/>
        <w:spacing w:val="0"/>
        <w:position w:val="0"/>
      </w:rPr>
    </w:lvl>
  </w:abstractNum>
  <w:abstractNum w:abstractNumId="35">
    <w:nsid w:val="5AF233AF"/>
    <w:multiLevelType w:val="multilevel"/>
    <w:tmpl w:val="F8E89D94"/>
    <w:styleLink w:val="Level2Bullet"/>
    <w:lvl w:ilvl="0">
      <w:start w:val="1"/>
      <w:numFmt w:val="bullet"/>
      <w:lvlText w:val=""/>
      <w:lvlJc w:val="left"/>
      <w:pPr>
        <w:tabs>
          <w:tab w:val="num" w:pos="1080"/>
        </w:tabs>
        <w:ind w:left="108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5DA141AC"/>
    <w:multiLevelType w:val="hybridMultilevel"/>
    <w:tmpl w:val="E056D2D8"/>
    <w:lvl w:ilvl="0" w:tplc="D88E7D56">
      <w:start w:val="1"/>
      <w:numFmt w:val="bullet"/>
      <w:pStyle w:val="Bullet3"/>
      <w:lvlText w:val="■"/>
      <w:lvlJc w:val="left"/>
      <w:pPr>
        <w:ind w:left="108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DB81B9B"/>
    <w:multiLevelType w:val="multilevel"/>
    <w:tmpl w:val="03C2830E"/>
    <w:lvl w:ilvl="0">
      <w:start w:val="1"/>
      <w:numFmt w:val="bullet"/>
      <w:pStyle w:val="Bullet10"/>
      <w:lvlText w:val="●"/>
      <w:lvlJc w:val="left"/>
      <w:pPr>
        <w:ind w:left="360" w:hanging="360"/>
      </w:pPr>
      <w:rPr>
        <w:rFonts w:ascii="Times New Roman" w:hAnsi="Times New Roman" w:cs="Times New Roman" w:hint="default"/>
        <w:b w:val="0"/>
        <w:i w:val="0"/>
        <w:color w:val="002C5F"/>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2D54585"/>
    <w:multiLevelType w:val="hybridMultilevel"/>
    <w:tmpl w:val="892CEA5E"/>
    <w:styleLink w:val="ImportedStyle16"/>
    <w:lvl w:ilvl="0" w:tplc="BECABBE6">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CC635C">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122A72">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ECA5EC">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CAC6E4">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A41A14">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5E6CAC">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EED4B4">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B5E3A28">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63311B78"/>
    <w:multiLevelType w:val="hybridMultilevel"/>
    <w:tmpl w:val="18967498"/>
    <w:styleLink w:val="ImportedStyle1"/>
    <w:lvl w:ilvl="0" w:tplc="8884A27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DA19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D6E5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B2C8F2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0A64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36A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67222C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9C49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1040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6B723E00"/>
    <w:multiLevelType w:val="hybridMultilevel"/>
    <w:tmpl w:val="72B4D5D4"/>
    <w:lvl w:ilvl="0" w:tplc="C19E5DEA">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524AED"/>
    <w:multiLevelType w:val="hybridMultilevel"/>
    <w:tmpl w:val="0FE2B82C"/>
    <w:lvl w:ilvl="0" w:tplc="1CD45966">
      <w:start w:val="1"/>
      <w:numFmt w:val="bullet"/>
      <w:pStyle w:val="TableBullet1"/>
      <w:lvlText w:val="●"/>
      <w:lvlJc w:val="left"/>
      <w:pPr>
        <w:ind w:left="360" w:hanging="360"/>
      </w:pPr>
      <w:rPr>
        <w:rFonts w:ascii="Arial" w:hAnsi="Arial" w:hint="default"/>
        <w:color w:val="002C5F"/>
        <w:sz w:val="20"/>
      </w:rPr>
    </w:lvl>
    <w:lvl w:ilvl="1" w:tplc="E79A92C0">
      <w:start w:val="1"/>
      <w:numFmt w:val="bullet"/>
      <w:lvlText w:val=""/>
      <w:lvlJc w:val="left"/>
      <w:pPr>
        <w:ind w:left="1440" w:hanging="360"/>
      </w:pPr>
      <w:rPr>
        <w:rFonts w:ascii="Wingdings" w:hAnsi="Wingdings" w:hint="default"/>
        <w:color w:val="4B76A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652776"/>
    <w:multiLevelType w:val="hybridMultilevel"/>
    <w:tmpl w:val="06CE804C"/>
    <w:styleLink w:val="ImportedStyle2"/>
    <w:lvl w:ilvl="0" w:tplc="52A01FD8">
      <w:start w:val="1"/>
      <w:numFmt w:val="bullet"/>
      <w:lvlText w:val="·"/>
      <w:lvlJc w:val="left"/>
      <w:pPr>
        <w:tabs>
          <w:tab w:val="left" w:pos="144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5C92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FC3202">
      <w:start w:val="1"/>
      <w:numFmt w:val="bullet"/>
      <w:lvlText w:val="▪"/>
      <w:lvlJc w:val="left"/>
      <w:pPr>
        <w:tabs>
          <w:tab w:val="left" w:pos="144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E4DE08">
      <w:start w:val="1"/>
      <w:numFmt w:val="bullet"/>
      <w:lvlText w:val="·"/>
      <w:lvlJc w:val="left"/>
      <w:pPr>
        <w:tabs>
          <w:tab w:val="left" w:pos="144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0A2684">
      <w:start w:val="1"/>
      <w:numFmt w:val="bullet"/>
      <w:lvlText w:val="o"/>
      <w:lvlJc w:val="left"/>
      <w:pPr>
        <w:tabs>
          <w:tab w:val="left" w:pos="144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A2E70">
      <w:start w:val="1"/>
      <w:numFmt w:val="bullet"/>
      <w:lvlText w:val="▪"/>
      <w:lvlJc w:val="left"/>
      <w:pPr>
        <w:tabs>
          <w:tab w:val="left" w:pos="144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208E74">
      <w:start w:val="1"/>
      <w:numFmt w:val="bullet"/>
      <w:lvlText w:val="·"/>
      <w:lvlJc w:val="left"/>
      <w:pPr>
        <w:tabs>
          <w:tab w:val="left" w:pos="144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A2FB44">
      <w:start w:val="1"/>
      <w:numFmt w:val="bullet"/>
      <w:lvlText w:val="o"/>
      <w:lvlJc w:val="left"/>
      <w:pPr>
        <w:tabs>
          <w:tab w:val="left" w:pos="144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88AB70">
      <w:start w:val="1"/>
      <w:numFmt w:val="bullet"/>
      <w:lvlText w:val="▪"/>
      <w:lvlJc w:val="left"/>
      <w:pPr>
        <w:tabs>
          <w:tab w:val="left" w:pos="144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nsid w:val="7F257E84"/>
    <w:multiLevelType w:val="hybridMultilevel"/>
    <w:tmpl w:val="A924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827045"/>
    <w:multiLevelType w:val="hybridMultilevel"/>
    <w:tmpl w:val="52C49188"/>
    <w:lvl w:ilvl="0" w:tplc="2B8887C0">
      <w:start w:val="1"/>
      <w:numFmt w:val="bullet"/>
      <w:pStyle w:val="TableBullet2"/>
      <w:lvlText w:val="–"/>
      <w:lvlJc w:val="left"/>
      <w:pPr>
        <w:ind w:left="63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5"/>
  </w:num>
  <w:num w:numId="2">
    <w:abstractNumId w:val="2"/>
  </w:num>
  <w:num w:numId="3">
    <w:abstractNumId w:val="1"/>
  </w:num>
  <w:num w:numId="4">
    <w:abstractNumId w:val="27"/>
  </w:num>
  <w:num w:numId="5">
    <w:abstractNumId w:val="32"/>
  </w:num>
  <w:num w:numId="6">
    <w:abstractNumId w:val="39"/>
  </w:num>
  <w:num w:numId="7">
    <w:abstractNumId w:val="42"/>
  </w:num>
  <w:num w:numId="8">
    <w:abstractNumId w:val="15"/>
  </w:num>
  <w:num w:numId="9">
    <w:abstractNumId w:val="3"/>
  </w:num>
  <w:num w:numId="10">
    <w:abstractNumId w:val="4"/>
  </w:num>
  <w:num w:numId="11">
    <w:abstractNumId w:val="8"/>
  </w:num>
  <w:num w:numId="12">
    <w:abstractNumId w:val="12"/>
  </w:num>
  <w:num w:numId="13">
    <w:abstractNumId w:val="9"/>
  </w:num>
  <w:num w:numId="14">
    <w:abstractNumId w:val="38"/>
  </w:num>
  <w:num w:numId="15">
    <w:abstractNumId w:val="11"/>
  </w:num>
  <w:num w:numId="16">
    <w:abstractNumId w:val="10"/>
  </w:num>
  <w:num w:numId="17">
    <w:abstractNumId w:val="13"/>
  </w:num>
  <w:num w:numId="18">
    <w:abstractNumId w:val="19"/>
  </w:num>
  <w:num w:numId="19">
    <w:abstractNumId w:val="30"/>
  </w:num>
  <w:num w:numId="20">
    <w:abstractNumId w:val="31"/>
  </w:num>
  <w:num w:numId="21">
    <w:abstractNumId w:val="29"/>
  </w:num>
  <w:num w:numId="22">
    <w:abstractNumId w:val="24"/>
  </w:num>
  <w:num w:numId="23">
    <w:abstractNumId w:val="26"/>
  </w:num>
  <w:num w:numId="24">
    <w:abstractNumId w:val="14"/>
  </w:num>
  <w:num w:numId="25">
    <w:abstractNumId w:val="28"/>
  </w:num>
  <w:num w:numId="26">
    <w:abstractNumId w:val="23"/>
  </w:num>
  <w:num w:numId="27">
    <w:abstractNumId w:val="34"/>
  </w:num>
  <w:num w:numId="28">
    <w:abstractNumId w:val="37"/>
  </w:num>
  <w:num w:numId="29">
    <w:abstractNumId w:val="36"/>
  </w:num>
  <w:num w:numId="30">
    <w:abstractNumId w:val="7"/>
  </w:num>
  <w:num w:numId="31">
    <w:abstractNumId w:val="35"/>
  </w:num>
  <w:num w:numId="32">
    <w:abstractNumId w:val="40"/>
  </w:num>
  <w:num w:numId="33">
    <w:abstractNumId w:val="41"/>
  </w:num>
  <w:num w:numId="34">
    <w:abstractNumId w:val="44"/>
  </w:num>
  <w:num w:numId="35">
    <w:abstractNumId w:val="20"/>
  </w:num>
  <w:num w:numId="36">
    <w:abstractNumId w:val="18"/>
  </w:num>
  <w:num w:numId="37">
    <w:abstractNumId w:val="21"/>
  </w:num>
  <w:num w:numId="38">
    <w:abstractNumId w:val="43"/>
  </w:num>
  <w:num w:numId="39">
    <w:abstractNumId w:val="6"/>
  </w:num>
  <w:num w:numId="40">
    <w:abstractNumId w:val="17"/>
  </w:num>
  <w:num w:numId="41">
    <w:abstractNumId w:val="33"/>
  </w:num>
  <w:num w:numId="42">
    <w:abstractNumId w:val="22"/>
  </w:num>
  <w:num w:numId="43">
    <w:abstractNumId w:val="5"/>
  </w:num>
  <w:num w:numId="44">
    <w:abstractNumId w:val="16"/>
  </w:num>
  <w:num w:numId="45">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17F4"/>
    <w:rsid w:val="00002065"/>
    <w:rsid w:val="00002B3D"/>
    <w:rsid w:val="00002EA0"/>
    <w:rsid w:val="0000426B"/>
    <w:rsid w:val="000049C9"/>
    <w:rsid w:val="00004B76"/>
    <w:rsid w:val="000051FC"/>
    <w:rsid w:val="00006306"/>
    <w:rsid w:val="00006E2F"/>
    <w:rsid w:val="0000737A"/>
    <w:rsid w:val="0000737D"/>
    <w:rsid w:val="0000758E"/>
    <w:rsid w:val="000102E5"/>
    <w:rsid w:val="00010376"/>
    <w:rsid w:val="00010434"/>
    <w:rsid w:val="00011289"/>
    <w:rsid w:val="000113A7"/>
    <w:rsid w:val="000118A8"/>
    <w:rsid w:val="00011DF9"/>
    <w:rsid w:val="000123CC"/>
    <w:rsid w:val="000130C1"/>
    <w:rsid w:val="000157C6"/>
    <w:rsid w:val="00015C6D"/>
    <w:rsid w:val="00015D1A"/>
    <w:rsid w:val="00016385"/>
    <w:rsid w:val="00016C6D"/>
    <w:rsid w:val="00016EDA"/>
    <w:rsid w:val="000207D7"/>
    <w:rsid w:val="00020F4D"/>
    <w:rsid w:val="00021130"/>
    <w:rsid w:val="00021261"/>
    <w:rsid w:val="00021D35"/>
    <w:rsid w:val="000228BA"/>
    <w:rsid w:val="00022B50"/>
    <w:rsid w:val="00022D03"/>
    <w:rsid w:val="00023527"/>
    <w:rsid w:val="00024031"/>
    <w:rsid w:val="000257F6"/>
    <w:rsid w:val="00026495"/>
    <w:rsid w:val="00030D8D"/>
    <w:rsid w:val="0003136B"/>
    <w:rsid w:val="00031901"/>
    <w:rsid w:val="00031B19"/>
    <w:rsid w:val="00032A5A"/>
    <w:rsid w:val="000332BD"/>
    <w:rsid w:val="000332FA"/>
    <w:rsid w:val="00034D45"/>
    <w:rsid w:val="00035F81"/>
    <w:rsid w:val="00036014"/>
    <w:rsid w:val="00036C45"/>
    <w:rsid w:val="00037559"/>
    <w:rsid w:val="000378E0"/>
    <w:rsid w:val="00037AA7"/>
    <w:rsid w:val="00037AD9"/>
    <w:rsid w:val="00037C02"/>
    <w:rsid w:val="000406D9"/>
    <w:rsid w:val="000412D9"/>
    <w:rsid w:val="00041BE1"/>
    <w:rsid w:val="00041DDA"/>
    <w:rsid w:val="000424A3"/>
    <w:rsid w:val="00042638"/>
    <w:rsid w:val="00043682"/>
    <w:rsid w:val="00043A14"/>
    <w:rsid w:val="00044DDB"/>
    <w:rsid w:val="000456A0"/>
    <w:rsid w:val="00045C50"/>
    <w:rsid w:val="00046181"/>
    <w:rsid w:val="00046301"/>
    <w:rsid w:val="00047948"/>
    <w:rsid w:val="00047954"/>
    <w:rsid w:val="000479DD"/>
    <w:rsid w:val="00047ED2"/>
    <w:rsid w:val="00050306"/>
    <w:rsid w:val="00051AF8"/>
    <w:rsid w:val="0005287D"/>
    <w:rsid w:val="00052C1C"/>
    <w:rsid w:val="00053876"/>
    <w:rsid w:val="00053889"/>
    <w:rsid w:val="0005564F"/>
    <w:rsid w:val="00055991"/>
    <w:rsid w:val="00055F44"/>
    <w:rsid w:val="00060097"/>
    <w:rsid w:val="000603EC"/>
    <w:rsid w:val="00060B27"/>
    <w:rsid w:val="000612BA"/>
    <w:rsid w:val="000613DA"/>
    <w:rsid w:val="0006161A"/>
    <w:rsid w:val="000616DC"/>
    <w:rsid w:val="00061781"/>
    <w:rsid w:val="0006189F"/>
    <w:rsid w:val="0006234C"/>
    <w:rsid w:val="000623FB"/>
    <w:rsid w:val="00062AEE"/>
    <w:rsid w:val="000634E4"/>
    <w:rsid w:val="000636E8"/>
    <w:rsid w:val="000638E5"/>
    <w:rsid w:val="00063CCD"/>
    <w:rsid w:val="00064095"/>
    <w:rsid w:val="000651DF"/>
    <w:rsid w:val="00065257"/>
    <w:rsid w:val="00065E65"/>
    <w:rsid w:val="00067464"/>
    <w:rsid w:val="0006755F"/>
    <w:rsid w:val="0007082D"/>
    <w:rsid w:val="00071569"/>
    <w:rsid w:val="000716B0"/>
    <w:rsid w:val="0007179A"/>
    <w:rsid w:val="00071CA3"/>
    <w:rsid w:val="00072E09"/>
    <w:rsid w:val="00072EA3"/>
    <w:rsid w:val="00072EEE"/>
    <w:rsid w:val="0007302C"/>
    <w:rsid w:val="000735A4"/>
    <w:rsid w:val="000753AA"/>
    <w:rsid w:val="000757BC"/>
    <w:rsid w:val="00075911"/>
    <w:rsid w:val="00075CE1"/>
    <w:rsid w:val="000760A2"/>
    <w:rsid w:val="00080E6A"/>
    <w:rsid w:val="00081F8F"/>
    <w:rsid w:val="0008276F"/>
    <w:rsid w:val="00086051"/>
    <w:rsid w:val="000861F9"/>
    <w:rsid w:val="00086BA4"/>
    <w:rsid w:val="0008750C"/>
    <w:rsid w:val="00087734"/>
    <w:rsid w:val="00087899"/>
    <w:rsid w:val="00087964"/>
    <w:rsid w:val="0009010A"/>
    <w:rsid w:val="0009035D"/>
    <w:rsid w:val="00090511"/>
    <w:rsid w:val="00090A5F"/>
    <w:rsid w:val="00090D16"/>
    <w:rsid w:val="000913CA"/>
    <w:rsid w:val="00091790"/>
    <w:rsid w:val="000918AA"/>
    <w:rsid w:val="00091DFB"/>
    <w:rsid w:val="000945D9"/>
    <w:rsid w:val="000960AA"/>
    <w:rsid w:val="00096A46"/>
    <w:rsid w:val="000A031B"/>
    <w:rsid w:val="000A0388"/>
    <w:rsid w:val="000A06A6"/>
    <w:rsid w:val="000A07C7"/>
    <w:rsid w:val="000A0928"/>
    <w:rsid w:val="000A2367"/>
    <w:rsid w:val="000A2731"/>
    <w:rsid w:val="000A2944"/>
    <w:rsid w:val="000A2B4D"/>
    <w:rsid w:val="000A36DB"/>
    <w:rsid w:val="000A4259"/>
    <w:rsid w:val="000A5988"/>
    <w:rsid w:val="000A6577"/>
    <w:rsid w:val="000A6921"/>
    <w:rsid w:val="000B0109"/>
    <w:rsid w:val="000B073C"/>
    <w:rsid w:val="000B07B2"/>
    <w:rsid w:val="000B0E0F"/>
    <w:rsid w:val="000B0E38"/>
    <w:rsid w:val="000B0F7F"/>
    <w:rsid w:val="000B1EB1"/>
    <w:rsid w:val="000B1F14"/>
    <w:rsid w:val="000B23C8"/>
    <w:rsid w:val="000B3398"/>
    <w:rsid w:val="000B3E4A"/>
    <w:rsid w:val="000B448E"/>
    <w:rsid w:val="000B4969"/>
    <w:rsid w:val="000B4EF4"/>
    <w:rsid w:val="000B585C"/>
    <w:rsid w:val="000B5C37"/>
    <w:rsid w:val="000B602A"/>
    <w:rsid w:val="000B6815"/>
    <w:rsid w:val="000B6A13"/>
    <w:rsid w:val="000B6F46"/>
    <w:rsid w:val="000B722C"/>
    <w:rsid w:val="000B7574"/>
    <w:rsid w:val="000C09D8"/>
    <w:rsid w:val="000C1248"/>
    <w:rsid w:val="000C1C23"/>
    <w:rsid w:val="000C1EE4"/>
    <w:rsid w:val="000C213B"/>
    <w:rsid w:val="000C3B97"/>
    <w:rsid w:val="000C4388"/>
    <w:rsid w:val="000C5511"/>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4B45"/>
    <w:rsid w:val="000D5BC9"/>
    <w:rsid w:val="000D5E4F"/>
    <w:rsid w:val="000D6605"/>
    <w:rsid w:val="000D750E"/>
    <w:rsid w:val="000D7F1E"/>
    <w:rsid w:val="000E05BB"/>
    <w:rsid w:val="000E0D03"/>
    <w:rsid w:val="000E1075"/>
    <w:rsid w:val="000E1340"/>
    <w:rsid w:val="000E3520"/>
    <w:rsid w:val="000E3BA7"/>
    <w:rsid w:val="000E50B0"/>
    <w:rsid w:val="000E6112"/>
    <w:rsid w:val="000E62C8"/>
    <w:rsid w:val="000E65A2"/>
    <w:rsid w:val="000E6AC0"/>
    <w:rsid w:val="000E6ED6"/>
    <w:rsid w:val="000E70CC"/>
    <w:rsid w:val="000E75CB"/>
    <w:rsid w:val="000E7A32"/>
    <w:rsid w:val="000E7B26"/>
    <w:rsid w:val="000E7B6B"/>
    <w:rsid w:val="000F0DDC"/>
    <w:rsid w:val="000F11EE"/>
    <w:rsid w:val="000F16E4"/>
    <w:rsid w:val="000F1993"/>
    <w:rsid w:val="000F1ADA"/>
    <w:rsid w:val="000F31FE"/>
    <w:rsid w:val="000F398E"/>
    <w:rsid w:val="000F438F"/>
    <w:rsid w:val="000F4632"/>
    <w:rsid w:val="000F4992"/>
    <w:rsid w:val="000F5764"/>
    <w:rsid w:val="000F5905"/>
    <w:rsid w:val="000F6463"/>
    <w:rsid w:val="000F7181"/>
    <w:rsid w:val="000F7A59"/>
    <w:rsid w:val="000F7EFB"/>
    <w:rsid w:val="00100044"/>
    <w:rsid w:val="00100051"/>
    <w:rsid w:val="001003DE"/>
    <w:rsid w:val="00101B24"/>
    <w:rsid w:val="00101EAF"/>
    <w:rsid w:val="0010557E"/>
    <w:rsid w:val="001057D8"/>
    <w:rsid w:val="00105AD2"/>
    <w:rsid w:val="00105AE9"/>
    <w:rsid w:val="00105C64"/>
    <w:rsid w:val="0010692B"/>
    <w:rsid w:val="00106D9E"/>
    <w:rsid w:val="0011098D"/>
    <w:rsid w:val="00110BAD"/>
    <w:rsid w:val="001111B5"/>
    <w:rsid w:val="0011139E"/>
    <w:rsid w:val="00111443"/>
    <w:rsid w:val="001115C1"/>
    <w:rsid w:val="00112E8C"/>
    <w:rsid w:val="001141E6"/>
    <w:rsid w:val="00114B1E"/>
    <w:rsid w:val="00114C38"/>
    <w:rsid w:val="00114F11"/>
    <w:rsid w:val="00115A4C"/>
    <w:rsid w:val="00117041"/>
    <w:rsid w:val="001175CA"/>
    <w:rsid w:val="001177B6"/>
    <w:rsid w:val="001177CE"/>
    <w:rsid w:val="00120A98"/>
    <w:rsid w:val="00120FD2"/>
    <w:rsid w:val="00121496"/>
    <w:rsid w:val="001217ED"/>
    <w:rsid w:val="0012257A"/>
    <w:rsid w:val="00122CCF"/>
    <w:rsid w:val="00122FC3"/>
    <w:rsid w:val="001236BD"/>
    <w:rsid w:val="0012408E"/>
    <w:rsid w:val="00124BCB"/>
    <w:rsid w:val="00124FC7"/>
    <w:rsid w:val="0012682F"/>
    <w:rsid w:val="00126F74"/>
    <w:rsid w:val="0012732D"/>
    <w:rsid w:val="00127573"/>
    <w:rsid w:val="0012779F"/>
    <w:rsid w:val="00130536"/>
    <w:rsid w:val="001306F2"/>
    <w:rsid w:val="00131922"/>
    <w:rsid w:val="001322B6"/>
    <w:rsid w:val="00133E8B"/>
    <w:rsid w:val="00133F5E"/>
    <w:rsid w:val="0013480A"/>
    <w:rsid w:val="00134CEF"/>
    <w:rsid w:val="00135AA9"/>
    <w:rsid w:val="001363FF"/>
    <w:rsid w:val="00136938"/>
    <w:rsid w:val="0013753D"/>
    <w:rsid w:val="001404BF"/>
    <w:rsid w:val="001406DF"/>
    <w:rsid w:val="00140836"/>
    <w:rsid w:val="00140BDB"/>
    <w:rsid w:val="00141572"/>
    <w:rsid w:val="00141A4F"/>
    <w:rsid w:val="00141FA8"/>
    <w:rsid w:val="001428F4"/>
    <w:rsid w:val="001428F5"/>
    <w:rsid w:val="00142BBF"/>
    <w:rsid w:val="00142D2A"/>
    <w:rsid w:val="00143048"/>
    <w:rsid w:val="001436F9"/>
    <w:rsid w:val="00143B49"/>
    <w:rsid w:val="00143C40"/>
    <w:rsid w:val="00144230"/>
    <w:rsid w:val="001451E6"/>
    <w:rsid w:val="00145242"/>
    <w:rsid w:val="001500B4"/>
    <w:rsid w:val="001501A5"/>
    <w:rsid w:val="0015093A"/>
    <w:rsid w:val="00151197"/>
    <w:rsid w:val="0015121D"/>
    <w:rsid w:val="00151385"/>
    <w:rsid w:val="00152335"/>
    <w:rsid w:val="00154B58"/>
    <w:rsid w:val="00154B85"/>
    <w:rsid w:val="001555A9"/>
    <w:rsid w:val="00155E3C"/>
    <w:rsid w:val="0015665E"/>
    <w:rsid w:val="00157863"/>
    <w:rsid w:val="00160741"/>
    <w:rsid w:val="0016364F"/>
    <w:rsid w:val="00165169"/>
    <w:rsid w:val="001657F4"/>
    <w:rsid w:val="00165BA5"/>
    <w:rsid w:val="001670FE"/>
    <w:rsid w:val="00167A11"/>
    <w:rsid w:val="00167B8A"/>
    <w:rsid w:val="0017021D"/>
    <w:rsid w:val="001720DF"/>
    <w:rsid w:val="0017224E"/>
    <w:rsid w:val="001726CB"/>
    <w:rsid w:val="001734C3"/>
    <w:rsid w:val="00173755"/>
    <w:rsid w:val="001737D7"/>
    <w:rsid w:val="00173F52"/>
    <w:rsid w:val="00174349"/>
    <w:rsid w:val="0017544D"/>
    <w:rsid w:val="00175E12"/>
    <w:rsid w:val="00176C01"/>
    <w:rsid w:val="0017735B"/>
    <w:rsid w:val="00177766"/>
    <w:rsid w:val="00177C18"/>
    <w:rsid w:val="00177D42"/>
    <w:rsid w:val="001801D0"/>
    <w:rsid w:val="00180507"/>
    <w:rsid w:val="00180509"/>
    <w:rsid w:val="00180A58"/>
    <w:rsid w:val="001816A2"/>
    <w:rsid w:val="00181EAC"/>
    <w:rsid w:val="0018299E"/>
    <w:rsid w:val="00182C4A"/>
    <w:rsid w:val="00183FEF"/>
    <w:rsid w:val="001841C7"/>
    <w:rsid w:val="001842E2"/>
    <w:rsid w:val="0018438E"/>
    <w:rsid w:val="0018439A"/>
    <w:rsid w:val="001843C0"/>
    <w:rsid w:val="001849F2"/>
    <w:rsid w:val="0018555C"/>
    <w:rsid w:val="001868DE"/>
    <w:rsid w:val="00186F2F"/>
    <w:rsid w:val="0018711F"/>
    <w:rsid w:val="001878BF"/>
    <w:rsid w:val="001878D4"/>
    <w:rsid w:val="00187FDA"/>
    <w:rsid w:val="00190E56"/>
    <w:rsid w:val="001910C6"/>
    <w:rsid w:val="0019132C"/>
    <w:rsid w:val="0019154A"/>
    <w:rsid w:val="0019154D"/>
    <w:rsid w:val="00191627"/>
    <w:rsid w:val="00191C5F"/>
    <w:rsid w:val="00192549"/>
    <w:rsid w:val="00192B26"/>
    <w:rsid w:val="001934EE"/>
    <w:rsid w:val="00193573"/>
    <w:rsid w:val="00193809"/>
    <w:rsid w:val="00193835"/>
    <w:rsid w:val="00193933"/>
    <w:rsid w:val="00195107"/>
    <w:rsid w:val="00195490"/>
    <w:rsid w:val="001956F8"/>
    <w:rsid w:val="00195E72"/>
    <w:rsid w:val="0019617C"/>
    <w:rsid w:val="001972F8"/>
    <w:rsid w:val="00197E58"/>
    <w:rsid w:val="001A1A26"/>
    <w:rsid w:val="001A1BC9"/>
    <w:rsid w:val="001A2636"/>
    <w:rsid w:val="001A307E"/>
    <w:rsid w:val="001A3135"/>
    <w:rsid w:val="001A3145"/>
    <w:rsid w:val="001A3480"/>
    <w:rsid w:val="001A3855"/>
    <w:rsid w:val="001A456E"/>
    <w:rsid w:val="001A4950"/>
    <w:rsid w:val="001A54B0"/>
    <w:rsid w:val="001A55A7"/>
    <w:rsid w:val="001A5B3D"/>
    <w:rsid w:val="001A6223"/>
    <w:rsid w:val="001A6906"/>
    <w:rsid w:val="001A6DD3"/>
    <w:rsid w:val="001A71EF"/>
    <w:rsid w:val="001B07C9"/>
    <w:rsid w:val="001B0B60"/>
    <w:rsid w:val="001B1562"/>
    <w:rsid w:val="001B2BDB"/>
    <w:rsid w:val="001B3723"/>
    <w:rsid w:val="001B39B0"/>
    <w:rsid w:val="001B3A8D"/>
    <w:rsid w:val="001B5A77"/>
    <w:rsid w:val="001B5A8F"/>
    <w:rsid w:val="001B6815"/>
    <w:rsid w:val="001B69F3"/>
    <w:rsid w:val="001B6E59"/>
    <w:rsid w:val="001B71C6"/>
    <w:rsid w:val="001B7B84"/>
    <w:rsid w:val="001B7E46"/>
    <w:rsid w:val="001C1146"/>
    <w:rsid w:val="001C1FF8"/>
    <w:rsid w:val="001C2D00"/>
    <w:rsid w:val="001C2D5A"/>
    <w:rsid w:val="001C30D9"/>
    <w:rsid w:val="001C3345"/>
    <w:rsid w:val="001C364D"/>
    <w:rsid w:val="001C3B34"/>
    <w:rsid w:val="001C47D1"/>
    <w:rsid w:val="001C5C2B"/>
    <w:rsid w:val="001C5E43"/>
    <w:rsid w:val="001C5F72"/>
    <w:rsid w:val="001C61BF"/>
    <w:rsid w:val="001C65EB"/>
    <w:rsid w:val="001C70E4"/>
    <w:rsid w:val="001C737E"/>
    <w:rsid w:val="001D0821"/>
    <w:rsid w:val="001D0C96"/>
    <w:rsid w:val="001D18B9"/>
    <w:rsid w:val="001D1F7F"/>
    <w:rsid w:val="001D2359"/>
    <w:rsid w:val="001D3AA3"/>
    <w:rsid w:val="001D3BBE"/>
    <w:rsid w:val="001D44F6"/>
    <w:rsid w:val="001D4C99"/>
    <w:rsid w:val="001D4ECC"/>
    <w:rsid w:val="001D579E"/>
    <w:rsid w:val="001D5F59"/>
    <w:rsid w:val="001D6677"/>
    <w:rsid w:val="001D69A5"/>
    <w:rsid w:val="001D6D6B"/>
    <w:rsid w:val="001D7AF1"/>
    <w:rsid w:val="001D7F1C"/>
    <w:rsid w:val="001E100E"/>
    <w:rsid w:val="001E134E"/>
    <w:rsid w:val="001E180D"/>
    <w:rsid w:val="001E27EF"/>
    <w:rsid w:val="001E2D29"/>
    <w:rsid w:val="001E5005"/>
    <w:rsid w:val="001E5D80"/>
    <w:rsid w:val="001E5EC1"/>
    <w:rsid w:val="001E6D61"/>
    <w:rsid w:val="001E6F65"/>
    <w:rsid w:val="001F0072"/>
    <w:rsid w:val="001F14D5"/>
    <w:rsid w:val="001F158E"/>
    <w:rsid w:val="001F17A4"/>
    <w:rsid w:val="001F1BA1"/>
    <w:rsid w:val="001F1D69"/>
    <w:rsid w:val="001F1E6E"/>
    <w:rsid w:val="001F2238"/>
    <w:rsid w:val="001F4DED"/>
    <w:rsid w:val="001F4FD8"/>
    <w:rsid w:val="001F51A2"/>
    <w:rsid w:val="001F5C20"/>
    <w:rsid w:val="001F5F1D"/>
    <w:rsid w:val="001F6698"/>
    <w:rsid w:val="001F7874"/>
    <w:rsid w:val="001F7AF8"/>
    <w:rsid w:val="001F7BA7"/>
    <w:rsid w:val="001F7C9B"/>
    <w:rsid w:val="0020003D"/>
    <w:rsid w:val="002009A9"/>
    <w:rsid w:val="00200A16"/>
    <w:rsid w:val="002013A0"/>
    <w:rsid w:val="00201BB4"/>
    <w:rsid w:val="0020247B"/>
    <w:rsid w:val="0020254E"/>
    <w:rsid w:val="0020275F"/>
    <w:rsid w:val="002035FD"/>
    <w:rsid w:val="00203682"/>
    <w:rsid w:val="00204DCB"/>
    <w:rsid w:val="00205090"/>
    <w:rsid w:val="00205485"/>
    <w:rsid w:val="002058B2"/>
    <w:rsid w:val="002059E9"/>
    <w:rsid w:val="00205DEB"/>
    <w:rsid w:val="002060E5"/>
    <w:rsid w:val="00207182"/>
    <w:rsid w:val="00210226"/>
    <w:rsid w:val="0021032A"/>
    <w:rsid w:val="0021079B"/>
    <w:rsid w:val="00210ED6"/>
    <w:rsid w:val="002111A2"/>
    <w:rsid w:val="0021142D"/>
    <w:rsid w:val="00212424"/>
    <w:rsid w:val="0021255D"/>
    <w:rsid w:val="00212DD1"/>
    <w:rsid w:val="00212ECD"/>
    <w:rsid w:val="00213C95"/>
    <w:rsid w:val="00214C3C"/>
    <w:rsid w:val="00215D2C"/>
    <w:rsid w:val="00216342"/>
    <w:rsid w:val="002166B9"/>
    <w:rsid w:val="00216CEA"/>
    <w:rsid w:val="00217A34"/>
    <w:rsid w:val="00217FF8"/>
    <w:rsid w:val="00220832"/>
    <w:rsid w:val="00221354"/>
    <w:rsid w:val="00221D77"/>
    <w:rsid w:val="00222259"/>
    <w:rsid w:val="002226EA"/>
    <w:rsid w:val="002228A2"/>
    <w:rsid w:val="002230C4"/>
    <w:rsid w:val="00223D7D"/>
    <w:rsid w:val="00224FDB"/>
    <w:rsid w:val="0022533B"/>
    <w:rsid w:val="0022562E"/>
    <w:rsid w:val="00225638"/>
    <w:rsid w:val="0022589E"/>
    <w:rsid w:val="00225A0F"/>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376"/>
    <w:rsid w:val="00236149"/>
    <w:rsid w:val="0023793A"/>
    <w:rsid w:val="00237BB9"/>
    <w:rsid w:val="00237DB8"/>
    <w:rsid w:val="00240357"/>
    <w:rsid w:val="002407E0"/>
    <w:rsid w:val="0024127E"/>
    <w:rsid w:val="00241DF1"/>
    <w:rsid w:val="0024261E"/>
    <w:rsid w:val="00242AEF"/>
    <w:rsid w:val="00242B06"/>
    <w:rsid w:val="0024335B"/>
    <w:rsid w:val="00243994"/>
    <w:rsid w:val="00243BA6"/>
    <w:rsid w:val="002444E1"/>
    <w:rsid w:val="0024459D"/>
    <w:rsid w:val="0024501D"/>
    <w:rsid w:val="00245CC6"/>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70E51"/>
    <w:rsid w:val="00270FDA"/>
    <w:rsid w:val="00271387"/>
    <w:rsid w:val="0027171F"/>
    <w:rsid w:val="00271915"/>
    <w:rsid w:val="002721E7"/>
    <w:rsid w:val="00272636"/>
    <w:rsid w:val="00272A36"/>
    <w:rsid w:val="00272F64"/>
    <w:rsid w:val="002736CA"/>
    <w:rsid w:val="00273770"/>
    <w:rsid w:val="002740A5"/>
    <w:rsid w:val="002744EA"/>
    <w:rsid w:val="00274BBB"/>
    <w:rsid w:val="00274D6A"/>
    <w:rsid w:val="0027509F"/>
    <w:rsid w:val="00275104"/>
    <w:rsid w:val="00275218"/>
    <w:rsid w:val="0027537C"/>
    <w:rsid w:val="00276179"/>
    <w:rsid w:val="002764D9"/>
    <w:rsid w:val="00276843"/>
    <w:rsid w:val="00276926"/>
    <w:rsid w:val="00276B3F"/>
    <w:rsid w:val="00277A5A"/>
    <w:rsid w:val="00280077"/>
    <w:rsid w:val="00281674"/>
    <w:rsid w:val="00283241"/>
    <w:rsid w:val="00283596"/>
    <w:rsid w:val="00284024"/>
    <w:rsid w:val="00284265"/>
    <w:rsid w:val="002848F9"/>
    <w:rsid w:val="00285D74"/>
    <w:rsid w:val="002868E3"/>
    <w:rsid w:val="00286A2E"/>
    <w:rsid w:val="00287403"/>
    <w:rsid w:val="0028742B"/>
    <w:rsid w:val="002876B2"/>
    <w:rsid w:val="00287B11"/>
    <w:rsid w:val="00287BC5"/>
    <w:rsid w:val="0029338D"/>
    <w:rsid w:val="002933CA"/>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1F07"/>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D61"/>
    <w:rsid w:val="002B3029"/>
    <w:rsid w:val="002B34DD"/>
    <w:rsid w:val="002B3EC2"/>
    <w:rsid w:val="002B45B1"/>
    <w:rsid w:val="002B4829"/>
    <w:rsid w:val="002B49A0"/>
    <w:rsid w:val="002B5013"/>
    <w:rsid w:val="002B54BE"/>
    <w:rsid w:val="002B5B82"/>
    <w:rsid w:val="002B6177"/>
    <w:rsid w:val="002B6DB1"/>
    <w:rsid w:val="002B6E53"/>
    <w:rsid w:val="002B7826"/>
    <w:rsid w:val="002B78E2"/>
    <w:rsid w:val="002B7D27"/>
    <w:rsid w:val="002C083D"/>
    <w:rsid w:val="002C09BE"/>
    <w:rsid w:val="002C0D39"/>
    <w:rsid w:val="002C1087"/>
    <w:rsid w:val="002C1E9B"/>
    <w:rsid w:val="002C51C1"/>
    <w:rsid w:val="002C7C16"/>
    <w:rsid w:val="002C7E88"/>
    <w:rsid w:val="002D0469"/>
    <w:rsid w:val="002D163A"/>
    <w:rsid w:val="002D1D67"/>
    <w:rsid w:val="002D1E82"/>
    <w:rsid w:val="002D2103"/>
    <w:rsid w:val="002D27D8"/>
    <w:rsid w:val="002D3021"/>
    <w:rsid w:val="002D3ED2"/>
    <w:rsid w:val="002D5620"/>
    <w:rsid w:val="002D5C37"/>
    <w:rsid w:val="002D5D08"/>
    <w:rsid w:val="002D5F85"/>
    <w:rsid w:val="002D620F"/>
    <w:rsid w:val="002D6943"/>
    <w:rsid w:val="002D72C0"/>
    <w:rsid w:val="002D770B"/>
    <w:rsid w:val="002D7B94"/>
    <w:rsid w:val="002E0120"/>
    <w:rsid w:val="002E051F"/>
    <w:rsid w:val="002E05CC"/>
    <w:rsid w:val="002E0786"/>
    <w:rsid w:val="002E1766"/>
    <w:rsid w:val="002E18D3"/>
    <w:rsid w:val="002E2545"/>
    <w:rsid w:val="002E2C1E"/>
    <w:rsid w:val="002E3DA6"/>
    <w:rsid w:val="002E42E5"/>
    <w:rsid w:val="002E59E7"/>
    <w:rsid w:val="002E5C57"/>
    <w:rsid w:val="002E6288"/>
    <w:rsid w:val="002E63B7"/>
    <w:rsid w:val="002E67AC"/>
    <w:rsid w:val="002E6972"/>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0EB"/>
    <w:rsid w:val="002F77F9"/>
    <w:rsid w:val="002F78B9"/>
    <w:rsid w:val="002F78F8"/>
    <w:rsid w:val="00300479"/>
    <w:rsid w:val="003010C0"/>
    <w:rsid w:val="00301A2B"/>
    <w:rsid w:val="00301E6D"/>
    <w:rsid w:val="00301EB2"/>
    <w:rsid w:val="00301ECD"/>
    <w:rsid w:val="003039C5"/>
    <w:rsid w:val="00303A68"/>
    <w:rsid w:val="00303F93"/>
    <w:rsid w:val="0030441C"/>
    <w:rsid w:val="003048A7"/>
    <w:rsid w:val="00305A61"/>
    <w:rsid w:val="00305B04"/>
    <w:rsid w:val="00310225"/>
    <w:rsid w:val="0031028A"/>
    <w:rsid w:val="003103AB"/>
    <w:rsid w:val="00310DB0"/>
    <w:rsid w:val="003117F8"/>
    <w:rsid w:val="00312908"/>
    <w:rsid w:val="0031301A"/>
    <w:rsid w:val="003132D7"/>
    <w:rsid w:val="00314DB8"/>
    <w:rsid w:val="003165C7"/>
    <w:rsid w:val="003168DE"/>
    <w:rsid w:val="00316ACA"/>
    <w:rsid w:val="003170A7"/>
    <w:rsid w:val="00317350"/>
    <w:rsid w:val="00317DB6"/>
    <w:rsid w:val="00320B71"/>
    <w:rsid w:val="00321365"/>
    <w:rsid w:val="00321519"/>
    <w:rsid w:val="003225B5"/>
    <w:rsid w:val="00322ECB"/>
    <w:rsid w:val="003232B9"/>
    <w:rsid w:val="003234DC"/>
    <w:rsid w:val="00323DCF"/>
    <w:rsid w:val="003241DF"/>
    <w:rsid w:val="00324629"/>
    <w:rsid w:val="003249CD"/>
    <w:rsid w:val="00324B7D"/>
    <w:rsid w:val="00324F83"/>
    <w:rsid w:val="003251D5"/>
    <w:rsid w:val="0032549F"/>
    <w:rsid w:val="00325C5C"/>
    <w:rsid w:val="00327498"/>
    <w:rsid w:val="00327632"/>
    <w:rsid w:val="00327A28"/>
    <w:rsid w:val="00327CF5"/>
    <w:rsid w:val="003301A2"/>
    <w:rsid w:val="00330B6C"/>
    <w:rsid w:val="00330E7A"/>
    <w:rsid w:val="0033193D"/>
    <w:rsid w:val="0033221A"/>
    <w:rsid w:val="00332530"/>
    <w:rsid w:val="003326BC"/>
    <w:rsid w:val="00332D17"/>
    <w:rsid w:val="00333903"/>
    <w:rsid w:val="0033396C"/>
    <w:rsid w:val="00333C83"/>
    <w:rsid w:val="003341AB"/>
    <w:rsid w:val="003343E6"/>
    <w:rsid w:val="00334422"/>
    <w:rsid w:val="003363EC"/>
    <w:rsid w:val="00337D5B"/>
    <w:rsid w:val="00340153"/>
    <w:rsid w:val="003406D8"/>
    <w:rsid w:val="00340A90"/>
    <w:rsid w:val="00341333"/>
    <w:rsid w:val="003417D8"/>
    <w:rsid w:val="00341AA3"/>
    <w:rsid w:val="00341E51"/>
    <w:rsid w:val="003429E0"/>
    <w:rsid w:val="00342EA2"/>
    <w:rsid w:val="00343EE6"/>
    <w:rsid w:val="0034491F"/>
    <w:rsid w:val="00344D15"/>
    <w:rsid w:val="00345217"/>
    <w:rsid w:val="003458DD"/>
    <w:rsid w:val="003460F9"/>
    <w:rsid w:val="003464D7"/>
    <w:rsid w:val="0034677E"/>
    <w:rsid w:val="003471ED"/>
    <w:rsid w:val="00347BF4"/>
    <w:rsid w:val="00347C68"/>
    <w:rsid w:val="003505B5"/>
    <w:rsid w:val="003506E3"/>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6147D"/>
    <w:rsid w:val="00361A80"/>
    <w:rsid w:val="00361EEB"/>
    <w:rsid w:val="003629B9"/>
    <w:rsid w:val="00362BAA"/>
    <w:rsid w:val="00363573"/>
    <w:rsid w:val="003642C0"/>
    <w:rsid w:val="00364FC8"/>
    <w:rsid w:val="00365193"/>
    <w:rsid w:val="00365B63"/>
    <w:rsid w:val="00365D86"/>
    <w:rsid w:val="003663FC"/>
    <w:rsid w:val="00366EFB"/>
    <w:rsid w:val="00370017"/>
    <w:rsid w:val="00370A71"/>
    <w:rsid w:val="00370F6C"/>
    <w:rsid w:val="00371410"/>
    <w:rsid w:val="0037211F"/>
    <w:rsid w:val="00373051"/>
    <w:rsid w:val="0037340D"/>
    <w:rsid w:val="00374B19"/>
    <w:rsid w:val="003751AF"/>
    <w:rsid w:val="003754F6"/>
    <w:rsid w:val="003757BF"/>
    <w:rsid w:val="00377858"/>
    <w:rsid w:val="00380A88"/>
    <w:rsid w:val="0038125D"/>
    <w:rsid w:val="00382345"/>
    <w:rsid w:val="00382ABA"/>
    <w:rsid w:val="003837E2"/>
    <w:rsid w:val="00384BF0"/>
    <w:rsid w:val="00384ECD"/>
    <w:rsid w:val="00384EEC"/>
    <w:rsid w:val="00385C0E"/>
    <w:rsid w:val="003862A8"/>
    <w:rsid w:val="00387167"/>
    <w:rsid w:val="00387559"/>
    <w:rsid w:val="00387E17"/>
    <w:rsid w:val="00390069"/>
    <w:rsid w:val="003900DA"/>
    <w:rsid w:val="003904DE"/>
    <w:rsid w:val="00390773"/>
    <w:rsid w:val="003907CC"/>
    <w:rsid w:val="003909E6"/>
    <w:rsid w:val="00390B06"/>
    <w:rsid w:val="00391391"/>
    <w:rsid w:val="00391D43"/>
    <w:rsid w:val="00391EB7"/>
    <w:rsid w:val="00391FFA"/>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F53"/>
    <w:rsid w:val="003971BB"/>
    <w:rsid w:val="003A0843"/>
    <w:rsid w:val="003A0F35"/>
    <w:rsid w:val="003A149D"/>
    <w:rsid w:val="003A16F8"/>
    <w:rsid w:val="003A2308"/>
    <w:rsid w:val="003A3092"/>
    <w:rsid w:val="003A3690"/>
    <w:rsid w:val="003A511E"/>
    <w:rsid w:val="003A5487"/>
    <w:rsid w:val="003A6395"/>
    <w:rsid w:val="003A65C3"/>
    <w:rsid w:val="003A752D"/>
    <w:rsid w:val="003A7C92"/>
    <w:rsid w:val="003A7E99"/>
    <w:rsid w:val="003B00D6"/>
    <w:rsid w:val="003B0808"/>
    <w:rsid w:val="003B08EB"/>
    <w:rsid w:val="003B0A2F"/>
    <w:rsid w:val="003B0EF0"/>
    <w:rsid w:val="003B11E2"/>
    <w:rsid w:val="003B1D7E"/>
    <w:rsid w:val="003B2864"/>
    <w:rsid w:val="003B38D1"/>
    <w:rsid w:val="003B40CD"/>
    <w:rsid w:val="003B424F"/>
    <w:rsid w:val="003B4AA4"/>
    <w:rsid w:val="003B52D8"/>
    <w:rsid w:val="003B5657"/>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E89"/>
    <w:rsid w:val="003C6524"/>
    <w:rsid w:val="003C6A36"/>
    <w:rsid w:val="003C6E30"/>
    <w:rsid w:val="003C7017"/>
    <w:rsid w:val="003C70DB"/>
    <w:rsid w:val="003C7240"/>
    <w:rsid w:val="003C7C4B"/>
    <w:rsid w:val="003D00C5"/>
    <w:rsid w:val="003D1111"/>
    <w:rsid w:val="003D128E"/>
    <w:rsid w:val="003D17A3"/>
    <w:rsid w:val="003D21AF"/>
    <w:rsid w:val="003D249D"/>
    <w:rsid w:val="003D293C"/>
    <w:rsid w:val="003D36BC"/>
    <w:rsid w:val="003D40F3"/>
    <w:rsid w:val="003D4B91"/>
    <w:rsid w:val="003D4ECD"/>
    <w:rsid w:val="003D5942"/>
    <w:rsid w:val="003D5B05"/>
    <w:rsid w:val="003D5CBA"/>
    <w:rsid w:val="003D5F6A"/>
    <w:rsid w:val="003D69F9"/>
    <w:rsid w:val="003D6F40"/>
    <w:rsid w:val="003D700F"/>
    <w:rsid w:val="003D79CC"/>
    <w:rsid w:val="003E0325"/>
    <w:rsid w:val="003E18A0"/>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203"/>
    <w:rsid w:val="003F34E7"/>
    <w:rsid w:val="003F3A7E"/>
    <w:rsid w:val="003F47FC"/>
    <w:rsid w:val="003F4FCE"/>
    <w:rsid w:val="003F5998"/>
    <w:rsid w:val="003F5A39"/>
    <w:rsid w:val="003F7D39"/>
    <w:rsid w:val="0040131D"/>
    <w:rsid w:val="004016E2"/>
    <w:rsid w:val="00401FB3"/>
    <w:rsid w:val="00402166"/>
    <w:rsid w:val="00402655"/>
    <w:rsid w:val="004029ED"/>
    <w:rsid w:val="0040350B"/>
    <w:rsid w:val="0040400C"/>
    <w:rsid w:val="00405B43"/>
    <w:rsid w:val="00405E02"/>
    <w:rsid w:val="004060FB"/>
    <w:rsid w:val="004101C7"/>
    <w:rsid w:val="004107F1"/>
    <w:rsid w:val="0041089E"/>
    <w:rsid w:val="00411C98"/>
    <w:rsid w:val="00412831"/>
    <w:rsid w:val="004128BC"/>
    <w:rsid w:val="0041299B"/>
    <w:rsid w:val="00412A3B"/>
    <w:rsid w:val="00413732"/>
    <w:rsid w:val="00413B34"/>
    <w:rsid w:val="00413DAB"/>
    <w:rsid w:val="00413F78"/>
    <w:rsid w:val="00414517"/>
    <w:rsid w:val="004157F6"/>
    <w:rsid w:val="004158F9"/>
    <w:rsid w:val="00415A65"/>
    <w:rsid w:val="00415B9F"/>
    <w:rsid w:val="00416945"/>
    <w:rsid w:val="00417603"/>
    <w:rsid w:val="00417A87"/>
    <w:rsid w:val="00417B24"/>
    <w:rsid w:val="00417F86"/>
    <w:rsid w:val="00417FF6"/>
    <w:rsid w:val="00422178"/>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337"/>
    <w:rsid w:val="00430BEE"/>
    <w:rsid w:val="00431467"/>
    <w:rsid w:val="00431753"/>
    <w:rsid w:val="00431D51"/>
    <w:rsid w:val="00431EC1"/>
    <w:rsid w:val="00432E86"/>
    <w:rsid w:val="0043366F"/>
    <w:rsid w:val="00433EF6"/>
    <w:rsid w:val="00435528"/>
    <w:rsid w:val="00435B12"/>
    <w:rsid w:val="00436A7A"/>
    <w:rsid w:val="00437970"/>
    <w:rsid w:val="0044037D"/>
    <w:rsid w:val="004403CF"/>
    <w:rsid w:val="0044060B"/>
    <w:rsid w:val="0044091A"/>
    <w:rsid w:val="00440F9A"/>
    <w:rsid w:val="004418B6"/>
    <w:rsid w:val="00441CB4"/>
    <w:rsid w:val="004432B2"/>
    <w:rsid w:val="004434BC"/>
    <w:rsid w:val="00443F3F"/>
    <w:rsid w:val="004445B8"/>
    <w:rsid w:val="004446C4"/>
    <w:rsid w:val="00444926"/>
    <w:rsid w:val="0045014B"/>
    <w:rsid w:val="00451FFB"/>
    <w:rsid w:val="0045227E"/>
    <w:rsid w:val="004527F1"/>
    <w:rsid w:val="00452A86"/>
    <w:rsid w:val="0045321D"/>
    <w:rsid w:val="004534FE"/>
    <w:rsid w:val="0045399A"/>
    <w:rsid w:val="004546B5"/>
    <w:rsid w:val="00454B20"/>
    <w:rsid w:val="00454DD1"/>
    <w:rsid w:val="00455392"/>
    <w:rsid w:val="00455ECB"/>
    <w:rsid w:val="004567EA"/>
    <w:rsid w:val="00456BEB"/>
    <w:rsid w:val="00457B2A"/>
    <w:rsid w:val="0046067D"/>
    <w:rsid w:val="00460741"/>
    <w:rsid w:val="00460EF8"/>
    <w:rsid w:val="00462407"/>
    <w:rsid w:val="004628DE"/>
    <w:rsid w:val="00464243"/>
    <w:rsid w:val="00464B8D"/>
    <w:rsid w:val="0046522E"/>
    <w:rsid w:val="00465235"/>
    <w:rsid w:val="00465281"/>
    <w:rsid w:val="00465F58"/>
    <w:rsid w:val="00467543"/>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6400"/>
    <w:rsid w:val="00477A86"/>
    <w:rsid w:val="00480E31"/>
    <w:rsid w:val="004814FC"/>
    <w:rsid w:val="00481AB8"/>
    <w:rsid w:val="004820C0"/>
    <w:rsid w:val="00483F6C"/>
    <w:rsid w:val="004848D4"/>
    <w:rsid w:val="004855B1"/>
    <w:rsid w:val="004859EC"/>
    <w:rsid w:val="004870BC"/>
    <w:rsid w:val="004875B9"/>
    <w:rsid w:val="004876DE"/>
    <w:rsid w:val="004877EF"/>
    <w:rsid w:val="00487F15"/>
    <w:rsid w:val="004907F4"/>
    <w:rsid w:val="00490F8C"/>
    <w:rsid w:val="00491CB3"/>
    <w:rsid w:val="004920D2"/>
    <w:rsid w:val="00493EF1"/>
    <w:rsid w:val="00494806"/>
    <w:rsid w:val="0049498B"/>
    <w:rsid w:val="00495A75"/>
    <w:rsid w:val="00496676"/>
    <w:rsid w:val="004968E7"/>
    <w:rsid w:val="00496B84"/>
    <w:rsid w:val="004975AC"/>
    <w:rsid w:val="004A04E2"/>
    <w:rsid w:val="004A095C"/>
    <w:rsid w:val="004A15C1"/>
    <w:rsid w:val="004A1887"/>
    <w:rsid w:val="004A214A"/>
    <w:rsid w:val="004A2ADA"/>
    <w:rsid w:val="004A2FCE"/>
    <w:rsid w:val="004A3B2B"/>
    <w:rsid w:val="004A4B47"/>
    <w:rsid w:val="004A5840"/>
    <w:rsid w:val="004A71F7"/>
    <w:rsid w:val="004A749F"/>
    <w:rsid w:val="004A7915"/>
    <w:rsid w:val="004A7BC0"/>
    <w:rsid w:val="004A7D1F"/>
    <w:rsid w:val="004B0346"/>
    <w:rsid w:val="004B068B"/>
    <w:rsid w:val="004B0CB8"/>
    <w:rsid w:val="004B1670"/>
    <w:rsid w:val="004B218E"/>
    <w:rsid w:val="004B27CD"/>
    <w:rsid w:val="004B3E48"/>
    <w:rsid w:val="004B3FF5"/>
    <w:rsid w:val="004B4490"/>
    <w:rsid w:val="004B4C9D"/>
    <w:rsid w:val="004B6006"/>
    <w:rsid w:val="004B65EA"/>
    <w:rsid w:val="004B6689"/>
    <w:rsid w:val="004B6D08"/>
    <w:rsid w:val="004B6DEF"/>
    <w:rsid w:val="004B6E0D"/>
    <w:rsid w:val="004B7940"/>
    <w:rsid w:val="004C1646"/>
    <w:rsid w:val="004C3270"/>
    <w:rsid w:val="004C39B4"/>
    <w:rsid w:val="004C3D5A"/>
    <w:rsid w:val="004C4DF7"/>
    <w:rsid w:val="004C50BC"/>
    <w:rsid w:val="004C5D71"/>
    <w:rsid w:val="004C632A"/>
    <w:rsid w:val="004D03F9"/>
    <w:rsid w:val="004D09FF"/>
    <w:rsid w:val="004D14FC"/>
    <w:rsid w:val="004D179F"/>
    <w:rsid w:val="004D1CB5"/>
    <w:rsid w:val="004D2FE2"/>
    <w:rsid w:val="004D35AE"/>
    <w:rsid w:val="004D38D3"/>
    <w:rsid w:val="004D4590"/>
    <w:rsid w:val="004D4D86"/>
    <w:rsid w:val="004D5E12"/>
    <w:rsid w:val="004D6A65"/>
    <w:rsid w:val="004D6F72"/>
    <w:rsid w:val="004D7301"/>
    <w:rsid w:val="004D7443"/>
    <w:rsid w:val="004D784A"/>
    <w:rsid w:val="004E02FD"/>
    <w:rsid w:val="004E0488"/>
    <w:rsid w:val="004E1594"/>
    <w:rsid w:val="004E2C93"/>
    <w:rsid w:val="004E3A36"/>
    <w:rsid w:val="004E43EC"/>
    <w:rsid w:val="004E4589"/>
    <w:rsid w:val="004E599F"/>
    <w:rsid w:val="004E5FD5"/>
    <w:rsid w:val="004E6636"/>
    <w:rsid w:val="004E6E6F"/>
    <w:rsid w:val="004E72AC"/>
    <w:rsid w:val="004E76C1"/>
    <w:rsid w:val="004E7839"/>
    <w:rsid w:val="004E7D2E"/>
    <w:rsid w:val="004F05B8"/>
    <w:rsid w:val="004F080A"/>
    <w:rsid w:val="004F0AB6"/>
    <w:rsid w:val="004F0B32"/>
    <w:rsid w:val="004F0C8B"/>
    <w:rsid w:val="004F1394"/>
    <w:rsid w:val="004F15B5"/>
    <w:rsid w:val="004F1B11"/>
    <w:rsid w:val="004F295C"/>
    <w:rsid w:val="004F2DDA"/>
    <w:rsid w:val="004F3471"/>
    <w:rsid w:val="004F3572"/>
    <w:rsid w:val="004F48AD"/>
    <w:rsid w:val="004F52E3"/>
    <w:rsid w:val="004F6404"/>
    <w:rsid w:val="004F7F26"/>
    <w:rsid w:val="00501CB1"/>
    <w:rsid w:val="005023B3"/>
    <w:rsid w:val="005026A6"/>
    <w:rsid w:val="00502A85"/>
    <w:rsid w:val="0050335C"/>
    <w:rsid w:val="00503A82"/>
    <w:rsid w:val="00503D2F"/>
    <w:rsid w:val="0050496A"/>
    <w:rsid w:val="005060B3"/>
    <w:rsid w:val="00506DC6"/>
    <w:rsid w:val="0050751A"/>
    <w:rsid w:val="00507F4F"/>
    <w:rsid w:val="00510393"/>
    <w:rsid w:val="005104E8"/>
    <w:rsid w:val="005104ED"/>
    <w:rsid w:val="00510AA9"/>
    <w:rsid w:val="00510BDE"/>
    <w:rsid w:val="005125EA"/>
    <w:rsid w:val="00512D71"/>
    <w:rsid w:val="00512E36"/>
    <w:rsid w:val="00513B4F"/>
    <w:rsid w:val="00513BCB"/>
    <w:rsid w:val="00513CB4"/>
    <w:rsid w:val="00514672"/>
    <w:rsid w:val="00514763"/>
    <w:rsid w:val="00514792"/>
    <w:rsid w:val="005149E8"/>
    <w:rsid w:val="00514A68"/>
    <w:rsid w:val="00516B20"/>
    <w:rsid w:val="00516BAA"/>
    <w:rsid w:val="005178D2"/>
    <w:rsid w:val="005179C6"/>
    <w:rsid w:val="005207C1"/>
    <w:rsid w:val="00521351"/>
    <w:rsid w:val="00521B67"/>
    <w:rsid w:val="00521FF9"/>
    <w:rsid w:val="00522F90"/>
    <w:rsid w:val="00524087"/>
    <w:rsid w:val="00524127"/>
    <w:rsid w:val="00524B02"/>
    <w:rsid w:val="00524D4E"/>
    <w:rsid w:val="00525794"/>
    <w:rsid w:val="00526C15"/>
    <w:rsid w:val="0052730D"/>
    <w:rsid w:val="00531255"/>
    <w:rsid w:val="00531DB5"/>
    <w:rsid w:val="00531E9D"/>
    <w:rsid w:val="00531F6E"/>
    <w:rsid w:val="0053215E"/>
    <w:rsid w:val="00532263"/>
    <w:rsid w:val="00532E37"/>
    <w:rsid w:val="00533C8C"/>
    <w:rsid w:val="005341F2"/>
    <w:rsid w:val="005342E8"/>
    <w:rsid w:val="00536503"/>
    <w:rsid w:val="005377F8"/>
    <w:rsid w:val="00537B09"/>
    <w:rsid w:val="00537C07"/>
    <w:rsid w:val="00537F90"/>
    <w:rsid w:val="005405E4"/>
    <w:rsid w:val="00540655"/>
    <w:rsid w:val="00540EA2"/>
    <w:rsid w:val="00541174"/>
    <w:rsid w:val="005414C2"/>
    <w:rsid w:val="005414DC"/>
    <w:rsid w:val="00541651"/>
    <w:rsid w:val="00541E45"/>
    <w:rsid w:val="00542281"/>
    <w:rsid w:val="005422A8"/>
    <w:rsid w:val="0054232E"/>
    <w:rsid w:val="005423CC"/>
    <w:rsid w:val="0054246B"/>
    <w:rsid w:val="00543361"/>
    <w:rsid w:val="005441A4"/>
    <w:rsid w:val="00545E3A"/>
    <w:rsid w:val="00546ACD"/>
    <w:rsid w:val="00547443"/>
    <w:rsid w:val="00547481"/>
    <w:rsid w:val="00547E4F"/>
    <w:rsid w:val="00547EFD"/>
    <w:rsid w:val="00550B37"/>
    <w:rsid w:val="00550EFC"/>
    <w:rsid w:val="00551A30"/>
    <w:rsid w:val="00552958"/>
    <w:rsid w:val="00552C2A"/>
    <w:rsid w:val="005530B8"/>
    <w:rsid w:val="0055334C"/>
    <w:rsid w:val="00553E3C"/>
    <w:rsid w:val="00553E40"/>
    <w:rsid w:val="005541BF"/>
    <w:rsid w:val="00555DF6"/>
    <w:rsid w:val="005561F0"/>
    <w:rsid w:val="00556403"/>
    <w:rsid w:val="00556439"/>
    <w:rsid w:val="005574A3"/>
    <w:rsid w:val="0055780E"/>
    <w:rsid w:val="005579DD"/>
    <w:rsid w:val="00557FA1"/>
    <w:rsid w:val="00560729"/>
    <w:rsid w:val="00560B82"/>
    <w:rsid w:val="005610E9"/>
    <w:rsid w:val="00561303"/>
    <w:rsid w:val="0056188D"/>
    <w:rsid w:val="0056277B"/>
    <w:rsid w:val="00562EA3"/>
    <w:rsid w:val="00563659"/>
    <w:rsid w:val="00563E9B"/>
    <w:rsid w:val="00564756"/>
    <w:rsid w:val="00564A81"/>
    <w:rsid w:val="005653D6"/>
    <w:rsid w:val="00565EF6"/>
    <w:rsid w:val="0056626A"/>
    <w:rsid w:val="005664AA"/>
    <w:rsid w:val="005664BA"/>
    <w:rsid w:val="0056658A"/>
    <w:rsid w:val="00566703"/>
    <w:rsid w:val="0057027C"/>
    <w:rsid w:val="00570708"/>
    <w:rsid w:val="00570F1D"/>
    <w:rsid w:val="0057251B"/>
    <w:rsid w:val="00573C0E"/>
    <w:rsid w:val="005756C4"/>
    <w:rsid w:val="005756DE"/>
    <w:rsid w:val="005764EF"/>
    <w:rsid w:val="0057660E"/>
    <w:rsid w:val="005773F9"/>
    <w:rsid w:val="005779DC"/>
    <w:rsid w:val="005804E7"/>
    <w:rsid w:val="0058055E"/>
    <w:rsid w:val="00580896"/>
    <w:rsid w:val="005811AC"/>
    <w:rsid w:val="005825C8"/>
    <w:rsid w:val="0058278C"/>
    <w:rsid w:val="00584DE5"/>
    <w:rsid w:val="00584E99"/>
    <w:rsid w:val="005851C1"/>
    <w:rsid w:val="00585CEE"/>
    <w:rsid w:val="0058685F"/>
    <w:rsid w:val="00586981"/>
    <w:rsid w:val="00586C6F"/>
    <w:rsid w:val="00587345"/>
    <w:rsid w:val="00587411"/>
    <w:rsid w:val="0058757F"/>
    <w:rsid w:val="005879D2"/>
    <w:rsid w:val="005905AA"/>
    <w:rsid w:val="005908B8"/>
    <w:rsid w:val="00590C37"/>
    <w:rsid w:val="005914DF"/>
    <w:rsid w:val="00591EF1"/>
    <w:rsid w:val="00591FDF"/>
    <w:rsid w:val="00592DE1"/>
    <w:rsid w:val="00592E29"/>
    <w:rsid w:val="00592E9D"/>
    <w:rsid w:val="0059357D"/>
    <w:rsid w:val="005954E8"/>
    <w:rsid w:val="00595EE9"/>
    <w:rsid w:val="00596237"/>
    <w:rsid w:val="00596D8A"/>
    <w:rsid w:val="00597C8C"/>
    <w:rsid w:val="00597E42"/>
    <w:rsid w:val="005A0117"/>
    <w:rsid w:val="005A114F"/>
    <w:rsid w:val="005A15C7"/>
    <w:rsid w:val="005A2B23"/>
    <w:rsid w:val="005A2D9B"/>
    <w:rsid w:val="005A3BE9"/>
    <w:rsid w:val="005A49BC"/>
    <w:rsid w:val="005A515F"/>
    <w:rsid w:val="005A5E84"/>
    <w:rsid w:val="005A6ADB"/>
    <w:rsid w:val="005A6F64"/>
    <w:rsid w:val="005A77C6"/>
    <w:rsid w:val="005B0080"/>
    <w:rsid w:val="005B11DE"/>
    <w:rsid w:val="005B32E2"/>
    <w:rsid w:val="005B4A06"/>
    <w:rsid w:val="005B5670"/>
    <w:rsid w:val="005B5787"/>
    <w:rsid w:val="005B681A"/>
    <w:rsid w:val="005B7705"/>
    <w:rsid w:val="005B785E"/>
    <w:rsid w:val="005B7F6D"/>
    <w:rsid w:val="005C0107"/>
    <w:rsid w:val="005C06D0"/>
    <w:rsid w:val="005C0983"/>
    <w:rsid w:val="005C15AD"/>
    <w:rsid w:val="005C3299"/>
    <w:rsid w:val="005C360E"/>
    <w:rsid w:val="005C408E"/>
    <w:rsid w:val="005C4E9C"/>
    <w:rsid w:val="005C4F00"/>
    <w:rsid w:val="005C5160"/>
    <w:rsid w:val="005C523D"/>
    <w:rsid w:val="005C580E"/>
    <w:rsid w:val="005C5A26"/>
    <w:rsid w:val="005C6145"/>
    <w:rsid w:val="005C7710"/>
    <w:rsid w:val="005C7A61"/>
    <w:rsid w:val="005C7EF5"/>
    <w:rsid w:val="005D0330"/>
    <w:rsid w:val="005D21A8"/>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E06EC"/>
    <w:rsid w:val="005E0AF7"/>
    <w:rsid w:val="005E1201"/>
    <w:rsid w:val="005E180E"/>
    <w:rsid w:val="005E1A45"/>
    <w:rsid w:val="005E3498"/>
    <w:rsid w:val="005E37A6"/>
    <w:rsid w:val="005E38F6"/>
    <w:rsid w:val="005E4DD5"/>
    <w:rsid w:val="005E50DA"/>
    <w:rsid w:val="005E5C54"/>
    <w:rsid w:val="005E5CEF"/>
    <w:rsid w:val="005E706F"/>
    <w:rsid w:val="005E736E"/>
    <w:rsid w:val="005F03CE"/>
    <w:rsid w:val="005F0F93"/>
    <w:rsid w:val="005F15DB"/>
    <w:rsid w:val="005F1DEA"/>
    <w:rsid w:val="005F25DB"/>
    <w:rsid w:val="005F2D4D"/>
    <w:rsid w:val="005F2F49"/>
    <w:rsid w:val="005F3E7C"/>
    <w:rsid w:val="005F4385"/>
    <w:rsid w:val="005F46A1"/>
    <w:rsid w:val="005F46D7"/>
    <w:rsid w:val="005F4725"/>
    <w:rsid w:val="005F476E"/>
    <w:rsid w:val="005F545F"/>
    <w:rsid w:val="005F5539"/>
    <w:rsid w:val="005F62F7"/>
    <w:rsid w:val="005F659C"/>
    <w:rsid w:val="005F6B65"/>
    <w:rsid w:val="005F716F"/>
    <w:rsid w:val="00600673"/>
    <w:rsid w:val="0060092F"/>
    <w:rsid w:val="00600B24"/>
    <w:rsid w:val="0060133B"/>
    <w:rsid w:val="006022EE"/>
    <w:rsid w:val="00602F98"/>
    <w:rsid w:val="00604CD1"/>
    <w:rsid w:val="00605248"/>
    <w:rsid w:val="00605A2B"/>
    <w:rsid w:val="00605B86"/>
    <w:rsid w:val="006077A0"/>
    <w:rsid w:val="006102F2"/>
    <w:rsid w:val="00610609"/>
    <w:rsid w:val="00610F89"/>
    <w:rsid w:val="0061103F"/>
    <w:rsid w:val="00611117"/>
    <w:rsid w:val="00613365"/>
    <w:rsid w:val="00613C97"/>
    <w:rsid w:val="00614C69"/>
    <w:rsid w:val="00615945"/>
    <w:rsid w:val="00615C15"/>
    <w:rsid w:val="00615D4C"/>
    <w:rsid w:val="00616DF5"/>
    <w:rsid w:val="00620676"/>
    <w:rsid w:val="00621D45"/>
    <w:rsid w:val="00622929"/>
    <w:rsid w:val="006248CA"/>
    <w:rsid w:val="00624BB7"/>
    <w:rsid w:val="0062573D"/>
    <w:rsid w:val="00625850"/>
    <w:rsid w:val="00625A33"/>
    <w:rsid w:val="00626AAC"/>
    <w:rsid w:val="00627CC1"/>
    <w:rsid w:val="00627E59"/>
    <w:rsid w:val="0063081D"/>
    <w:rsid w:val="00630D1F"/>
    <w:rsid w:val="00631C03"/>
    <w:rsid w:val="00631E24"/>
    <w:rsid w:val="006339E3"/>
    <w:rsid w:val="00633E33"/>
    <w:rsid w:val="00635750"/>
    <w:rsid w:val="00635860"/>
    <w:rsid w:val="006366CC"/>
    <w:rsid w:val="00636C1A"/>
    <w:rsid w:val="00637803"/>
    <w:rsid w:val="00640493"/>
    <w:rsid w:val="006411AA"/>
    <w:rsid w:val="006436D5"/>
    <w:rsid w:val="00644A41"/>
    <w:rsid w:val="00644B6D"/>
    <w:rsid w:val="00646D51"/>
    <w:rsid w:val="00647004"/>
    <w:rsid w:val="00647291"/>
    <w:rsid w:val="006474CA"/>
    <w:rsid w:val="00647EF7"/>
    <w:rsid w:val="00650B9B"/>
    <w:rsid w:val="00651052"/>
    <w:rsid w:val="0065115D"/>
    <w:rsid w:val="0065209E"/>
    <w:rsid w:val="0065340F"/>
    <w:rsid w:val="00654600"/>
    <w:rsid w:val="006547F6"/>
    <w:rsid w:val="00655234"/>
    <w:rsid w:val="0065629D"/>
    <w:rsid w:val="006564F4"/>
    <w:rsid w:val="006569D6"/>
    <w:rsid w:val="00656EBF"/>
    <w:rsid w:val="006606F6"/>
    <w:rsid w:val="00660754"/>
    <w:rsid w:val="00661038"/>
    <w:rsid w:val="00661A3F"/>
    <w:rsid w:val="00661EB7"/>
    <w:rsid w:val="00661F22"/>
    <w:rsid w:val="00662285"/>
    <w:rsid w:val="0066264C"/>
    <w:rsid w:val="006626F2"/>
    <w:rsid w:val="006628FD"/>
    <w:rsid w:val="00662A90"/>
    <w:rsid w:val="00663008"/>
    <w:rsid w:val="00663245"/>
    <w:rsid w:val="00663550"/>
    <w:rsid w:val="00663EF7"/>
    <w:rsid w:val="0066488A"/>
    <w:rsid w:val="00664D57"/>
    <w:rsid w:val="00665A72"/>
    <w:rsid w:val="00665C48"/>
    <w:rsid w:val="00666312"/>
    <w:rsid w:val="00666A1A"/>
    <w:rsid w:val="006675D4"/>
    <w:rsid w:val="00667C07"/>
    <w:rsid w:val="00670373"/>
    <w:rsid w:val="00670DB9"/>
    <w:rsid w:val="006710E6"/>
    <w:rsid w:val="006717FB"/>
    <w:rsid w:val="00671AD7"/>
    <w:rsid w:val="00671B11"/>
    <w:rsid w:val="00671FB1"/>
    <w:rsid w:val="00672422"/>
    <w:rsid w:val="0067250D"/>
    <w:rsid w:val="00672CA4"/>
    <w:rsid w:val="00672EA0"/>
    <w:rsid w:val="00673096"/>
    <w:rsid w:val="00673356"/>
    <w:rsid w:val="00675755"/>
    <w:rsid w:val="00675BB0"/>
    <w:rsid w:val="00676450"/>
    <w:rsid w:val="0067655E"/>
    <w:rsid w:val="00676A96"/>
    <w:rsid w:val="0067776B"/>
    <w:rsid w:val="00677A23"/>
    <w:rsid w:val="00680D61"/>
    <w:rsid w:val="00680E06"/>
    <w:rsid w:val="00681415"/>
    <w:rsid w:val="00682A80"/>
    <w:rsid w:val="006835F7"/>
    <w:rsid w:val="006840E7"/>
    <w:rsid w:val="006859C6"/>
    <w:rsid w:val="00685EA2"/>
    <w:rsid w:val="0068624D"/>
    <w:rsid w:val="00686690"/>
    <w:rsid w:val="00686BA2"/>
    <w:rsid w:val="006872E3"/>
    <w:rsid w:val="00687798"/>
    <w:rsid w:val="00690FA7"/>
    <w:rsid w:val="00691F26"/>
    <w:rsid w:val="006936C7"/>
    <w:rsid w:val="0069386B"/>
    <w:rsid w:val="00693B1F"/>
    <w:rsid w:val="00695022"/>
    <w:rsid w:val="006956D7"/>
    <w:rsid w:val="00695762"/>
    <w:rsid w:val="00695CEB"/>
    <w:rsid w:val="00695ED0"/>
    <w:rsid w:val="00697E57"/>
    <w:rsid w:val="00697F24"/>
    <w:rsid w:val="006A0557"/>
    <w:rsid w:val="006A0566"/>
    <w:rsid w:val="006A18A6"/>
    <w:rsid w:val="006A19D0"/>
    <w:rsid w:val="006A1DCD"/>
    <w:rsid w:val="006A2449"/>
    <w:rsid w:val="006A2A01"/>
    <w:rsid w:val="006A302E"/>
    <w:rsid w:val="006A326C"/>
    <w:rsid w:val="006A32B1"/>
    <w:rsid w:val="006A362D"/>
    <w:rsid w:val="006A38D6"/>
    <w:rsid w:val="006A3D1C"/>
    <w:rsid w:val="006A4727"/>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931"/>
    <w:rsid w:val="006B4AE8"/>
    <w:rsid w:val="006B515F"/>
    <w:rsid w:val="006B59AF"/>
    <w:rsid w:val="006B66CB"/>
    <w:rsid w:val="006B6A6F"/>
    <w:rsid w:val="006B6D27"/>
    <w:rsid w:val="006B6F86"/>
    <w:rsid w:val="006C040F"/>
    <w:rsid w:val="006C1993"/>
    <w:rsid w:val="006C1FE1"/>
    <w:rsid w:val="006C2654"/>
    <w:rsid w:val="006C2F81"/>
    <w:rsid w:val="006C3828"/>
    <w:rsid w:val="006C4915"/>
    <w:rsid w:val="006C49E7"/>
    <w:rsid w:val="006C4B0D"/>
    <w:rsid w:val="006C4F54"/>
    <w:rsid w:val="006C54D4"/>
    <w:rsid w:val="006C59F2"/>
    <w:rsid w:val="006C5A32"/>
    <w:rsid w:val="006C6484"/>
    <w:rsid w:val="006C7616"/>
    <w:rsid w:val="006D1440"/>
    <w:rsid w:val="006D1DB8"/>
    <w:rsid w:val="006D1DED"/>
    <w:rsid w:val="006D1E04"/>
    <w:rsid w:val="006D236D"/>
    <w:rsid w:val="006D2591"/>
    <w:rsid w:val="006D2659"/>
    <w:rsid w:val="006D294D"/>
    <w:rsid w:val="006D2B9C"/>
    <w:rsid w:val="006D2F2F"/>
    <w:rsid w:val="006D4DE1"/>
    <w:rsid w:val="006D5051"/>
    <w:rsid w:val="006D53DA"/>
    <w:rsid w:val="006D5CAF"/>
    <w:rsid w:val="006D62E3"/>
    <w:rsid w:val="006D687B"/>
    <w:rsid w:val="006D6DC2"/>
    <w:rsid w:val="006D77EE"/>
    <w:rsid w:val="006E000F"/>
    <w:rsid w:val="006E0113"/>
    <w:rsid w:val="006E1438"/>
    <w:rsid w:val="006E211C"/>
    <w:rsid w:val="006E37D6"/>
    <w:rsid w:val="006E46EB"/>
    <w:rsid w:val="006E4824"/>
    <w:rsid w:val="006E484B"/>
    <w:rsid w:val="006E50DB"/>
    <w:rsid w:val="006E5BC4"/>
    <w:rsid w:val="006E5F5B"/>
    <w:rsid w:val="006E641C"/>
    <w:rsid w:val="006E6941"/>
    <w:rsid w:val="006E74C0"/>
    <w:rsid w:val="006E76B1"/>
    <w:rsid w:val="006E7A97"/>
    <w:rsid w:val="006F0A34"/>
    <w:rsid w:val="006F0B8F"/>
    <w:rsid w:val="006F10E7"/>
    <w:rsid w:val="006F1473"/>
    <w:rsid w:val="006F14CE"/>
    <w:rsid w:val="006F1EDD"/>
    <w:rsid w:val="006F28B4"/>
    <w:rsid w:val="006F2A04"/>
    <w:rsid w:val="006F4942"/>
    <w:rsid w:val="006F56D6"/>
    <w:rsid w:val="006F6E0C"/>
    <w:rsid w:val="006F7579"/>
    <w:rsid w:val="006F7B1D"/>
    <w:rsid w:val="006F7DAE"/>
    <w:rsid w:val="00700A89"/>
    <w:rsid w:val="00701679"/>
    <w:rsid w:val="00701E56"/>
    <w:rsid w:val="00702BA9"/>
    <w:rsid w:val="007039E4"/>
    <w:rsid w:val="00703EB9"/>
    <w:rsid w:val="007059F0"/>
    <w:rsid w:val="00705EFF"/>
    <w:rsid w:val="00706131"/>
    <w:rsid w:val="007070B8"/>
    <w:rsid w:val="007108B5"/>
    <w:rsid w:val="00711ED5"/>
    <w:rsid w:val="00712631"/>
    <w:rsid w:val="007140AD"/>
    <w:rsid w:val="0071444E"/>
    <w:rsid w:val="00714ECF"/>
    <w:rsid w:val="007150B1"/>
    <w:rsid w:val="00715BEE"/>
    <w:rsid w:val="00715C29"/>
    <w:rsid w:val="00715DA9"/>
    <w:rsid w:val="00716C8A"/>
    <w:rsid w:val="00716D6A"/>
    <w:rsid w:val="00717020"/>
    <w:rsid w:val="00717234"/>
    <w:rsid w:val="0071752A"/>
    <w:rsid w:val="007175BA"/>
    <w:rsid w:val="007201A8"/>
    <w:rsid w:val="007207DC"/>
    <w:rsid w:val="00721317"/>
    <w:rsid w:val="007216E2"/>
    <w:rsid w:val="00721AED"/>
    <w:rsid w:val="007221E5"/>
    <w:rsid w:val="0072244F"/>
    <w:rsid w:val="007227B8"/>
    <w:rsid w:val="00722C8A"/>
    <w:rsid w:val="00722D46"/>
    <w:rsid w:val="00723856"/>
    <w:rsid w:val="0072415B"/>
    <w:rsid w:val="00725130"/>
    <w:rsid w:val="0072531C"/>
    <w:rsid w:val="00725749"/>
    <w:rsid w:val="0072636A"/>
    <w:rsid w:val="0072670C"/>
    <w:rsid w:val="007267A0"/>
    <w:rsid w:val="007268F8"/>
    <w:rsid w:val="00726B62"/>
    <w:rsid w:val="00730BE6"/>
    <w:rsid w:val="00731C74"/>
    <w:rsid w:val="007320AD"/>
    <w:rsid w:val="00732679"/>
    <w:rsid w:val="00733874"/>
    <w:rsid w:val="007341A8"/>
    <w:rsid w:val="00735CE7"/>
    <w:rsid w:val="007364E2"/>
    <w:rsid w:val="00736AEE"/>
    <w:rsid w:val="00736C90"/>
    <w:rsid w:val="00736DA8"/>
    <w:rsid w:val="00736DB7"/>
    <w:rsid w:val="007373CA"/>
    <w:rsid w:val="00737CCC"/>
    <w:rsid w:val="007409F8"/>
    <w:rsid w:val="00740ECD"/>
    <w:rsid w:val="00740FFB"/>
    <w:rsid w:val="00741352"/>
    <w:rsid w:val="00742BF8"/>
    <w:rsid w:val="00742E48"/>
    <w:rsid w:val="0074502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4B1A"/>
    <w:rsid w:val="00754FC5"/>
    <w:rsid w:val="00755733"/>
    <w:rsid w:val="00755EEC"/>
    <w:rsid w:val="007565B5"/>
    <w:rsid w:val="00756C25"/>
    <w:rsid w:val="00756E2B"/>
    <w:rsid w:val="00756EF4"/>
    <w:rsid w:val="00757531"/>
    <w:rsid w:val="007577F0"/>
    <w:rsid w:val="007579C3"/>
    <w:rsid w:val="0076033E"/>
    <w:rsid w:val="00760EF2"/>
    <w:rsid w:val="00760F6D"/>
    <w:rsid w:val="0076190D"/>
    <w:rsid w:val="007625BF"/>
    <w:rsid w:val="00763161"/>
    <w:rsid w:val="007637CE"/>
    <w:rsid w:val="00764EED"/>
    <w:rsid w:val="00765256"/>
    <w:rsid w:val="0076564F"/>
    <w:rsid w:val="00765AC6"/>
    <w:rsid w:val="0076669A"/>
    <w:rsid w:val="00770530"/>
    <w:rsid w:val="00770986"/>
    <w:rsid w:val="00770C44"/>
    <w:rsid w:val="00771380"/>
    <w:rsid w:val="0077260B"/>
    <w:rsid w:val="00772A65"/>
    <w:rsid w:val="00772BB5"/>
    <w:rsid w:val="00772F82"/>
    <w:rsid w:val="007732EB"/>
    <w:rsid w:val="0077441E"/>
    <w:rsid w:val="007745F2"/>
    <w:rsid w:val="007746B8"/>
    <w:rsid w:val="00775507"/>
    <w:rsid w:val="00775573"/>
    <w:rsid w:val="00776091"/>
    <w:rsid w:val="0077609E"/>
    <w:rsid w:val="00776A0C"/>
    <w:rsid w:val="00780244"/>
    <w:rsid w:val="00780B85"/>
    <w:rsid w:val="00781AFE"/>
    <w:rsid w:val="00782615"/>
    <w:rsid w:val="00783040"/>
    <w:rsid w:val="007830DC"/>
    <w:rsid w:val="0078384C"/>
    <w:rsid w:val="00784B8F"/>
    <w:rsid w:val="007851FC"/>
    <w:rsid w:val="007852F1"/>
    <w:rsid w:val="00786E5D"/>
    <w:rsid w:val="007872AE"/>
    <w:rsid w:val="007906B5"/>
    <w:rsid w:val="00790F18"/>
    <w:rsid w:val="00791558"/>
    <w:rsid w:val="00791726"/>
    <w:rsid w:val="00791A84"/>
    <w:rsid w:val="00792A97"/>
    <w:rsid w:val="0079353D"/>
    <w:rsid w:val="007939DC"/>
    <w:rsid w:val="007943AF"/>
    <w:rsid w:val="007948D8"/>
    <w:rsid w:val="007954DA"/>
    <w:rsid w:val="00795DCE"/>
    <w:rsid w:val="0079611C"/>
    <w:rsid w:val="007961F7"/>
    <w:rsid w:val="007966EC"/>
    <w:rsid w:val="00796A1A"/>
    <w:rsid w:val="00796AF8"/>
    <w:rsid w:val="007978D3"/>
    <w:rsid w:val="007A0CCA"/>
    <w:rsid w:val="007A1BAD"/>
    <w:rsid w:val="007A2413"/>
    <w:rsid w:val="007A2B9D"/>
    <w:rsid w:val="007A339B"/>
    <w:rsid w:val="007A3F88"/>
    <w:rsid w:val="007A487E"/>
    <w:rsid w:val="007A5433"/>
    <w:rsid w:val="007A55EC"/>
    <w:rsid w:val="007A5E08"/>
    <w:rsid w:val="007A62AE"/>
    <w:rsid w:val="007A635F"/>
    <w:rsid w:val="007A73BA"/>
    <w:rsid w:val="007A76DC"/>
    <w:rsid w:val="007A7EC0"/>
    <w:rsid w:val="007B054B"/>
    <w:rsid w:val="007B09A6"/>
    <w:rsid w:val="007B0D88"/>
    <w:rsid w:val="007B1425"/>
    <w:rsid w:val="007B1432"/>
    <w:rsid w:val="007B14F4"/>
    <w:rsid w:val="007B239A"/>
    <w:rsid w:val="007B2704"/>
    <w:rsid w:val="007B3DAB"/>
    <w:rsid w:val="007B46D0"/>
    <w:rsid w:val="007B6D93"/>
    <w:rsid w:val="007B6FFD"/>
    <w:rsid w:val="007B71BF"/>
    <w:rsid w:val="007B7E10"/>
    <w:rsid w:val="007C0767"/>
    <w:rsid w:val="007C1AAE"/>
    <w:rsid w:val="007C1E9F"/>
    <w:rsid w:val="007C2088"/>
    <w:rsid w:val="007C29DA"/>
    <w:rsid w:val="007C3328"/>
    <w:rsid w:val="007C3774"/>
    <w:rsid w:val="007C523E"/>
    <w:rsid w:val="007C52E1"/>
    <w:rsid w:val="007C57C3"/>
    <w:rsid w:val="007C6207"/>
    <w:rsid w:val="007C62E6"/>
    <w:rsid w:val="007C6FE6"/>
    <w:rsid w:val="007C77E4"/>
    <w:rsid w:val="007C7CE3"/>
    <w:rsid w:val="007C7D25"/>
    <w:rsid w:val="007D100B"/>
    <w:rsid w:val="007D2481"/>
    <w:rsid w:val="007D3876"/>
    <w:rsid w:val="007D40A9"/>
    <w:rsid w:val="007D5059"/>
    <w:rsid w:val="007D51E3"/>
    <w:rsid w:val="007D5A15"/>
    <w:rsid w:val="007D6723"/>
    <w:rsid w:val="007D6961"/>
    <w:rsid w:val="007D791B"/>
    <w:rsid w:val="007E1175"/>
    <w:rsid w:val="007E1593"/>
    <w:rsid w:val="007E1B0D"/>
    <w:rsid w:val="007E1E66"/>
    <w:rsid w:val="007E24CD"/>
    <w:rsid w:val="007E2A3C"/>
    <w:rsid w:val="007E3C7B"/>
    <w:rsid w:val="007E56C2"/>
    <w:rsid w:val="007E6206"/>
    <w:rsid w:val="007E66DE"/>
    <w:rsid w:val="007E6E26"/>
    <w:rsid w:val="007E73BE"/>
    <w:rsid w:val="007F041B"/>
    <w:rsid w:val="007F0438"/>
    <w:rsid w:val="007F0743"/>
    <w:rsid w:val="007F0AAE"/>
    <w:rsid w:val="007F112C"/>
    <w:rsid w:val="007F1601"/>
    <w:rsid w:val="007F1883"/>
    <w:rsid w:val="007F1F67"/>
    <w:rsid w:val="007F2000"/>
    <w:rsid w:val="007F23DC"/>
    <w:rsid w:val="007F23FC"/>
    <w:rsid w:val="007F278E"/>
    <w:rsid w:val="007F290D"/>
    <w:rsid w:val="007F29DE"/>
    <w:rsid w:val="007F3016"/>
    <w:rsid w:val="007F4036"/>
    <w:rsid w:val="007F4116"/>
    <w:rsid w:val="007F41FE"/>
    <w:rsid w:val="007F597F"/>
    <w:rsid w:val="007F5B42"/>
    <w:rsid w:val="007F620E"/>
    <w:rsid w:val="007F6E50"/>
    <w:rsid w:val="007F7103"/>
    <w:rsid w:val="007F7843"/>
    <w:rsid w:val="007F7A0A"/>
    <w:rsid w:val="00800EB8"/>
    <w:rsid w:val="00801954"/>
    <w:rsid w:val="008027F5"/>
    <w:rsid w:val="00802995"/>
    <w:rsid w:val="008035DB"/>
    <w:rsid w:val="00803707"/>
    <w:rsid w:val="00803F18"/>
    <w:rsid w:val="0080486C"/>
    <w:rsid w:val="008053D6"/>
    <w:rsid w:val="008053F0"/>
    <w:rsid w:val="0080751A"/>
    <w:rsid w:val="0081015E"/>
    <w:rsid w:val="008104BC"/>
    <w:rsid w:val="0081078D"/>
    <w:rsid w:val="00810A1D"/>
    <w:rsid w:val="00811E99"/>
    <w:rsid w:val="00812E28"/>
    <w:rsid w:val="0081306E"/>
    <w:rsid w:val="00813111"/>
    <w:rsid w:val="00813A57"/>
    <w:rsid w:val="00813E63"/>
    <w:rsid w:val="00816165"/>
    <w:rsid w:val="0081631A"/>
    <w:rsid w:val="00817308"/>
    <w:rsid w:val="00817F4E"/>
    <w:rsid w:val="00820D13"/>
    <w:rsid w:val="00821387"/>
    <w:rsid w:val="0082221D"/>
    <w:rsid w:val="00822325"/>
    <w:rsid w:val="0082278C"/>
    <w:rsid w:val="00822ABC"/>
    <w:rsid w:val="00823D8F"/>
    <w:rsid w:val="0082457A"/>
    <w:rsid w:val="008249C6"/>
    <w:rsid w:val="00825986"/>
    <w:rsid w:val="008263B5"/>
    <w:rsid w:val="00826958"/>
    <w:rsid w:val="00826AE6"/>
    <w:rsid w:val="00826D62"/>
    <w:rsid w:val="008273D7"/>
    <w:rsid w:val="00827DBB"/>
    <w:rsid w:val="00830D99"/>
    <w:rsid w:val="00831588"/>
    <w:rsid w:val="008320F3"/>
    <w:rsid w:val="00832D8F"/>
    <w:rsid w:val="00833BDA"/>
    <w:rsid w:val="0083433C"/>
    <w:rsid w:val="00835DC1"/>
    <w:rsid w:val="00836FA9"/>
    <w:rsid w:val="0083753C"/>
    <w:rsid w:val="00837FD2"/>
    <w:rsid w:val="0084063E"/>
    <w:rsid w:val="00840CD1"/>
    <w:rsid w:val="00841C72"/>
    <w:rsid w:val="00842335"/>
    <w:rsid w:val="00842409"/>
    <w:rsid w:val="00842B57"/>
    <w:rsid w:val="008430A7"/>
    <w:rsid w:val="008441E0"/>
    <w:rsid w:val="008442B4"/>
    <w:rsid w:val="008450F8"/>
    <w:rsid w:val="00845BBD"/>
    <w:rsid w:val="00845C87"/>
    <w:rsid w:val="00845F08"/>
    <w:rsid w:val="008468A2"/>
    <w:rsid w:val="00847087"/>
    <w:rsid w:val="00850AEA"/>
    <w:rsid w:val="00851388"/>
    <w:rsid w:val="008518A3"/>
    <w:rsid w:val="00852824"/>
    <w:rsid w:val="00852CC6"/>
    <w:rsid w:val="00852FA8"/>
    <w:rsid w:val="0085368D"/>
    <w:rsid w:val="00853D1E"/>
    <w:rsid w:val="00855FC3"/>
    <w:rsid w:val="00856EA5"/>
    <w:rsid w:val="00857A1F"/>
    <w:rsid w:val="00857A5C"/>
    <w:rsid w:val="00857D29"/>
    <w:rsid w:val="00860244"/>
    <w:rsid w:val="0086040C"/>
    <w:rsid w:val="00860459"/>
    <w:rsid w:val="00861098"/>
    <w:rsid w:val="008612C3"/>
    <w:rsid w:val="0086131D"/>
    <w:rsid w:val="00861471"/>
    <w:rsid w:val="00861FCB"/>
    <w:rsid w:val="00862166"/>
    <w:rsid w:val="0086227B"/>
    <w:rsid w:val="0086336F"/>
    <w:rsid w:val="008634B3"/>
    <w:rsid w:val="008636A5"/>
    <w:rsid w:val="00863859"/>
    <w:rsid w:val="00865CA7"/>
    <w:rsid w:val="00865E89"/>
    <w:rsid w:val="008660D4"/>
    <w:rsid w:val="00866306"/>
    <w:rsid w:val="008666C1"/>
    <w:rsid w:val="0086726B"/>
    <w:rsid w:val="008674E2"/>
    <w:rsid w:val="00870531"/>
    <w:rsid w:val="00872864"/>
    <w:rsid w:val="008733E7"/>
    <w:rsid w:val="00873BDB"/>
    <w:rsid w:val="00874003"/>
    <w:rsid w:val="008740BF"/>
    <w:rsid w:val="00874555"/>
    <w:rsid w:val="0087474B"/>
    <w:rsid w:val="00874CC5"/>
    <w:rsid w:val="0087591D"/>
    <w:rsid w:val="008765BD"/>
    <w:rsid w:val="00877CB8"/>
    <w:rsid w:val="00880323"/>
    <w:rsid w:val="00880D30"/>
    <w:rsid w:val="00880DBF"/>
    <w:rsid w:val="00881637"/>
    <w:rsid w:val="00883386"/>
    <w:rsid w:val="00883657"/>
    <w:rsid w:val="00883DD3"/>
    <w:rsid w:val="00884575"/>
    <w:rsid w:val="008845AC"/>
    <w:rsid w:val="008858A1"/>
    <w:rsid w:val="0088748B"/>
    <w:rsid w:val="00887A2B"/>
    <w:rsid w:val="00887AE6"/>
    <w:rsid w:val="00891293"/>
    <w:rsid w:val="008920BA"/>
    <w:rsid w:val="008923C4"/>
    <w:rsid w:val="00892AD8"/>
    <w:rsid w:val="00893685"/>
    <w:rsid w:val="00893FC7"/>
    <w:rsid w:val="00894DEC"/>
    <w:rsid w:val="00895677"/>
    <w:rsid w:val="008958AF"/>
    <w:rsid w:val="00896023"/>
    <w:rsid w:val="00896D60"/>
    <w:rsid w:val="008974F8"/>
    <w:rsid w:val="008977B0"/>
    <w:rsid w:val="00897FF6"/>
    <w:rsid w:val="008A0FAD"/>
    <w:rsid w:val="008A1588"/>
    <w:rsid w:val="008A2385"/>
    <w:rsid w:val="008A2814"/>
    <w:rsid w:val="008A30A4"/>
    <w:rsid w:val="008A3358"/>
    <w:rsid w:val="008A3584"/>
    <w:rsid w:val="008A36DA"/>
    <w:rsid w:val="008A4474"/>
    <w:rsid w:val="008A48CE"/>
    <w:rsid w:val="008A4A41"/>
    <w:rsid w:val="008A5133"/>
    <w:rsid w:val="008A5DB6"/>
    <w:rsid w:val="008A663B"/>
    <w:rsid w:val="008A735B"/>
    <w:rsid w:val="008A7B06"/>
    <w:rsid w:val="008A7EF4"/>
    <w:rsid w:val="008B0293"/>
    <w:rsid w:val="008B0313"/>
    <w:rsid w:val="008B05BF"/>
    <w:rsid w:val="008B09E3"/>
    <w:rsid w:val="008B15D1"/>
    <w:rsid w:val="008B1A8F"/>
    <w:rsid w:val="008B1E17"/>
    <w:rsid w:val="008B1F98"/>
    <w:rsid w:val="008B26A9"/>
    <w:rsid w:val="008B2BCA"/>
    <w:rsid w:val="008B3437"/>
    <w:rsid w:val="008B3763"/>
    <w:rsid w:val="008B3CE0"/>
    <w:rsid w:val="008B3D9D"/>
    <w:rsid w:val="008B526A"/>
    <w:rsid w:val="008B548C"/>
    <w:rsid w:val="008B5A18"/>
    <w:rsid w:val="008B5C45"/>
    <w:rsid w:val="008B6F57"/>
    <w:rsid w:val="008B7450"/>
    <w:rsid w:val="008B76B5"/>
    <w:rsid w:val="008B7AC4"/>
    <w:rsid w:val="008B7E9B"/>
    <w:rsid w:val="008C0596"/>
    <w:rsid w:val="008C090D"/>
    <w:rsid w:val="008C0F6E"/>
    <w:rsid w:val="008C1F04"/>
    <w:rsid w:val="008C2574"/>
    <w:rsid w:val="008C2B5D"/>
    <w:rsid w:val="008C3185"/>
    <w:rsid w:val="008C340C"/>
    <w:rsid w:val="008C4000"/>
    <w:rsid w:val="008C4BEC"/>
    <w:rsid w:val="008C524D"/>
    <w:rsid w:val="008C52BA"/>
    <w:rsid w:val="008C557F"/>
    <w:rsid w:val="008C5612"/>
    <w:rsid w:val="008C568D"/>
    <w:rsid w:val="008C60BF"/>
    <w:rsid w:val="008C6A36"/>
    <w:rsid w:val="008C6B39"/>
    <w:rsid w:val="008D1009"/>
    <w:rsid w:val="008D1050"/>
    <w:rsid w:val="008D14C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5EDE"/>
    <w:rsid w:val="008E69A9"/>
    <w:rsid w:val="008E73C8"/>
    <w:rsid w:val="008E795D"/>
    <w:rsid w:val="008E7BA2"/>
    <w:rsid w:val="008F00B4"/>
    <w:rsid w:val="008F0505"/>
    <w:rsid w:val="008F061B"/>
    <w:rsid w:val="008F09A8"/>
    <w:rsid w:val="008F0B48"/>
    <w:rsid w:val="008F1F67"/>
    <w:rsid w:val="008F259F"/>
    <w:rsid w:val="008F2C93"/>
    <w:rsid w:val="008F396F"/>
    <w:rsid w:val="008F3B14"/>
    <w:rsid w:val="008F3CFC"/>
    <w:rsid w:val="008F4850"/>
    <w:rsid w:val="008F48C0"/>
    <w:rsid w:val="008F4FCF"/>
    <w:rsid w:val="008F56CB"/>
    <w:rsid w:val="008F5918"/>
    <w:rsid w:val="008F6769"/>
    <w:rsid w:val="008F6ADD"/>
    <w:rsid w:val="0090087C"/>
    <w:rsid w:val="009009BB"/>
    <w:rsid w:val="0090152A"/>
    <w:rsid w:val="00901616"/>
    <w:rsid w:val="0090222F"/>
    <w:rsid w:val="009027A5"/>
    <w:rsid w:val="009029E9"/>
    <w:rsid w:val="009030A3"/>
    <w:rsid w:val="00904364"/>
    <w:rsid w:val="00904F35"/>
    <w:rsid w:val="009051E1"/>
    <w:rsid w:val="00907927"/>
    <w:rsid w:val="00907FDB"/>
    <w:rsid w:val="009100F1"/>
    <w:rsid w:val="00910303"/>
    <w:rsid w:val="00910348"/>
    <w:rsid w:val="00910456"/>
    <w:rsid w:val="00910B53"/>
    <w:rsid w:val="00910EC9"/>
    <w:rsid w:val="00911696"/>
    <w:rsid w:val="0091282C"/>
    <w:rsid w:val="009130AF"/>
    <w:rsid w:val="0091478D"/>
    <w:rsid w:val="00914B55"/>
    <w:rsid w:val="0091517B"/>
    <w:rsid w:val="009171C0"/>
    <w:rsid w:val="00917900"/>
    <w:rsid w:val="009211A4"/>
    <w:rsid w:val="0092200C"/>
    <w:rsid w:val="00923565"/>
    <w:rsid w:val="0092388A"/>
    <w:rsid w:val="00924560"/>
    <w:rsid w:val="0092497A"/>
    <w:rsid w:val="00924F3F"/>
    <w:rsid w:val="00925508"/>
    <w:rsid w:val="00926711"/>
    <w:rsid w:val="009273C3"/>
    <w:rsid w:val="00927A96"/>
    <w:rsid w:val="00930A80"/>
    <w:rsid w:val="00930D97"/>
    <w:rsid w:val="00930FAF"/>
    <w:rsid w:val="00931042"/>
    <w:rsid w:val="0093162D"/>
    <w:rsid w:val="0093261A"/>
    <w:rsid w:val="0093316E"/>
    <w:rsid w:val="009332B7"/>
    <w:rsid w:val="00933930"/>
    <w:rsid w:val="00933A78"/>
    <w:rsid w:val="00933D8D"/>
    <w:rsid w:val="0093470A"/>
    <w:rsid w:val="00934CE7"/>
    <w:rsid w:val="00934DB5"/>
    <w:rsid w:val="00935001"/>
    <w:rsid w:val="009356E0"/>
    <w:rsid w:val="00935CAF"/>
    <w:rsid w:val="00936D5B"/>
    <w:rsid w:val="00937331"/>
    <w:rsid w:val="00937460"/>
    <w:rsid w:val="0093749E"/>
    <w:rsid w:val="00940273"/>
    <w:rsid w:val="00940510"/>
    <w:rsid w:val="00940BFF"/>
    <w:rsid w:val="00940D12"/>
    <w:rsid w:val="00941336"/>
    <w:rsid w:val="009416E5"/>
    <w:rsid w:val="00941901"/>
    <w:rsid w:val="00941F4A"/>
    <w:rsid w:val="009427E0"/>
    <w:rsid w:val="009428D6"/>
    <w:rsid w:val="00942BF3"/>
    <w:rsid w:val="00942E38"/>
    <w:rsid w:val="0094399C"/>
    <w:rsid w:val="009448AD"/>
    <w:rsid w:val="00945033"/>
    <w:rsid w:val="00945265"/>
    <w:rsid w:val="00946397"/>
    <w:rsid w:val="009466D7"/>
    <w:rsid w:val="00947C54"/>
    <w:rsid w:val="00950769"/>
    <w:rsid w:val="00950C1F"/>
    <w:rsid w:val="00952751"/>
    <w:rsid w:val="00953756"/>
    <w:rsid w:val="00954B72"/>
    <w:rsid w:val="009559E9"/>
    <w:rsid w:val="00957FC4"/>
    <w:rsid w:val="00960010"/>
    <w:rsid w:val="00960423"/>
    <w:rsid w:val="00960652"/>
    <w:rsid w:val="009613FF"/>
    <w:rsid w:val="00961844"/>
    <w:rsid w:val="00961C21"/>
    <w:rsid w:val="00961E1B"/>
    <w:rsid w:val="00961FB5"/>
    <w:rsid w:val="00961FB9"/>
    <w:rsid w:val="00962CE2"/>
    <w:rsid w:val="00963B18"/>
    <w:rsid w:val="009644E9"/>
    <w:rsid w:val="00965237"/>
    <w:rsid w:val="009653DF"/>
    <w:rsid w:val="00965884"/>
    <w:rsid w:val="00965BDB"/>
    <w:rsid w:val="00966382"/>
    <w:rsid w:val="00966505"/>
    <w:rsid w:val="00966B61"/>
    <w:rsid w:val="0096769F"/>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E0E"/>
    <w:rsid w:val="00982C63"/>
    <w:rsid w:val="009836CF"/>
    <w:rsid w:val="00983B9A"/>
    <w:rsid w:val="00984336"/>
    <w:rsid w:val="009844E7"/>
    <w:rsid w:val="00984A0E"/>
    <w:rsid w:val="00985B96"/>
    <w:rsid w:val="00986516"/>
    <w:rsid w:val="00986CD7"/>
    <w:rsid w:val="0099144C"/>
    <w:rsid w:val="00992B3C"/>
    <w:rsid w:val="0099378C"/>
    <w:rsid w:val="00994EAA"/>
    <w:rsid w:val="00996A93"/>
    <w:rsid w:val="00996EF6"/>
    <w:rsid w:val="009971B0"/>
    <w:rsid w:val="009975B7"/>
    <w:rsid w:val="009976C3"/>
    <w:rsid w:val="009A040B"/>
    <w:rsid w:val="009A0668"/>
    <w:rsid w:val="009A0CAD"/>
    <w:rsid w:val="009A1515"/>
    <w:rsid w:val="009A1B7A"/>
    <w:rsid w:val="009A3E7E"/>
    <w:rsid w:val="009A4461"/>
    <w:rsid w:val="009A506E"/>
    <w:rsid w:val="009A6001"/>
    <w:rsid w:val="009A6E3D"/>
    <w:rsid w:val="009B0AEC"/>
    <w:rsid w:val="009B1A28"/>
    <w:rsid w:val="009B2B3D"/>
    <w:rsid w:val="009B3998"/>
    <w:rsid w:val="009B3BDE"/>
    <w:rsid w:val="009B4371"/>
    <w:rsid w:val="009B592C"/>
    <w:rsid w:val="009B5D70"/>
    <w:rsid w:val="009B6FEC"/>
    <w:rsid w:val="009B7774"/>
    <w:rsid w:val="009B799D"/>
    <w:rsid w:val="009C0B00"/>
    <w:rsid w:val="009C1294"/>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4C67"/>
    <w:rsid w:val="009D55C4"/>
    <w:rsid w:val="009D7897"/>
    <w:rsid w:val="009D7D3B"/>
    <w:rsid w:val="009E06D9"/>
    <w:rsid w:val="009E1E98"/>
    <w:rsid w:val="009E2254"/>
    <w:rsid w:val="009E2348"/>
    <w:rsid w:val="009E32D0"/>
    <w:rsid w:val="009E34BD"/>
    <w:rsid w:val="009E4200"/>
    <w:rsid w:val="009E48B9"/>
    <w:rsid w:val="009E4954"/>
    <w:rsid w:val="009E4C4C"/>
    <w:rsid w:val="009E6611"/>
    <w:rsid w:val="009E6A84"/>
    <w:rsid w:val="009E6C88"/>
    <w:rsid w:val="009E71B2"/>
    <w:rsid w:val="009E7A3F"/>
    <w:rsid w:val="009F01F0"/>
    <w:rsid w:val="009F1D23"/>
    <w:rsid w:val="009F1DEB"/>
    <w:rsid w:val="009F222C"/>
    <w:rsid w:val="009F4519"/>
    <w:rsid w:val="009F5222"/>
    <w:rsid w:val="009F6166"/>
    <w:rsid w:val="009F6B8C"/>
    <w:rsid w:val="00A00BA9"/>
    <w:rsid w:val="00A00CED"/>
    <w:rsid w:val="00A00EE8"/>
    <w:rsid w:val="00A01573"/>
    <w:rsid w:val="00A01D1B"/>
    <w:rsid w:val="00A0214F"/>
    <w:rsid w:val="00A027EB"/>
    <w:rsid w:val="00A05229"/>
    <w:rsid w:val="00A05662"/>
    <w:rsid w:val="00A0570A"/>
    <w:rsid w:val="00A05F09"/>
    <w:rsid w:val="00A07220"/>
    <w:rsid w:val="00A0793B"/>
    <w:rsid w:val="00A07AB0"/>
    <w:rsid w:val="00A07E69"/>
    <w:rsid w:val="00A07FB4"/>
    <w:rsid w:val="00A105B0"/>
    <w:rsid w:val="00A10A79"/>
    <w:rsid w:val="00A10D7B"/>
    <w:rsid w:val="00A11688"/>
    <w:rsid w:val="00A11CC6"/>
    <w:rsid w:val="00A124BD"/>
    <w:rsid w:val="00A139FE"/>
    <w:rsid w:val="00A14571"/>
    <w:rsid w:val="00A16112"/>
    <w:rsid w:val="00A168B0"/>
    <w:rsid w:val="00A16CEE"/>
    <w:rsid w:val="00A2017C"/>
    <w:rsid w:val="00A2029F"/>
    <w:rsid w:val="00A22156"/>
    <w:rsid w:val="00A223F1"/>
    <w:rsid w:val="00A22C44"/>
    <w:rsid w:val="00A23A6F"/>
    <w:rsid w:val="00A23FA0"/>
    <w:rsid w:val="00A24060"/>
    <w:rsid w:val="00A24C51"/>
    <w:rsid w:val="00A24EA8"/>
    <w:rsid w:val="00A25C12"/>
    <w:rsid w:val="00A26E97"/>
    <w:rsid w:val="00A3031C"/>
    <w:rsid w:val="00A309A6"/>
    <w:rsid w:val="00A3151B"/>
    <w:rsid w:val="00A31F32"/>
    <w:rsid w:val="00A322AA"/>
    <w:rsid w:val="00A32575"/>
    <w:rsid w:val="00A32C7C"/>
    <w:rsid w:val="00A332B2"/>
    <w:rsid w:val="00A3332F"/>
    <w:rsid w:val="00A3345A"/>
    <w:rsid w:val="00A3362F"/>
    <w:rsid w:val="00A33CE5"/>
    <w:rsid w:val="00A343E9"/>
    <w:rsid w:val="00A35129"/>
    <w:rsid w:val="00A35B08"/>
    <w:rsid w:val="00A364FB"/>
    <w:rsid w:val="00A36733"/>
    <w:rsid w:val="00A37077"/>
    <w:rsid w:val="00A371DF"/>
    <w:rsid w:val="00A373FC"/>
    <w:rsid w:val="00A403FB"/>
    <w:rsid w:val="00A40410"/>
    <w:rsid w:val="00A40DC3"/>
    <w:rsid w:val="00A41E8F"/>
    <w:rsid w:val="00A4245F"/>
    <w:rsid w:val="00A42473"/>
    <w:rsid w:val="00A454C7"/>
    <w:rsid w:val="00A454F2"/>
    <w:rsid w:val="00A4653F"/>
    <w:rsid w:val="00A46F95"/>
    <w:rsid w:val="00A4714C"/>
    <w:rsid w:val="00A47477"/>
    <w:rsid w:val="00A50338"/>
    <w:rsid w:val="00A517BB"/>
    <w:rsid w:val="00A51ADC"/>
    <w:rsid w:val="00A51D3A"/>
    <w:rsid w:val="00A5297D"/>
    <w:rsid w:val="00A541AC"/>
    <w:rsid w:val="00A54302"/>
    <w:rsid w:val="00A547A6"/>
    <w:rsid w:val="00A54C77"/>
    <w:rsid w:val="00A552AC"/>
    <w:rsid w:val="00A5564F"/>
    <w:rsid w:val="00A5645B"/>
    <w:rsid w:val="00A568BE"/>
    <w:rsid w:val="00A56973"/>
    <w:rsid w:val="00A56FB3"/>
    <w:rsid w:val="00A573F4"/>
    <w:rsid w:val="00A57BCF"/>
    <w:rsid w:val="00A57DDB"/>
    <w:rsid w:val="00A57F82"/>
    <w:rsid w:val="00A60054"/>
    <w:rsid w:val="00A60E84"/>
    <w:rsid w:val="00A61C59"/>
    <w:rsid w:val="00A6275E"/>
    <w:rsid w:val="00A62CBE"/>
    <w:rsid w:val="00A63099"/>
    <w:rsid w:val="00A63BF4"/>
    <w:rsid w:val="00A65671"/>
    <w:rsid w:val="00A6581C"/>
    <w:rsid w:val="00A65D88"/>
    <w:rsid w:val="00A660D2"/>
    <w:rsid w:val="00A6683A"/>
    <w:rsid w:val="00A66EF3"/>
    <w:rsid w:val="00A67991"/>
    <w:rsid w:val="00A67A2B"/>
    <w:rsid w:val="00A70444"/>
    <w:rsid w:val="00A70522"/>
    <w:rsid w:val="00A71DF4"/>
    <w:rsid w:val="00A720F1"/>
    <w:rsid w:val="00A72EE1"/>
    <w:rsid w:val="00A7385F"/>
    <w:rsid w:val="00A73B58"/>
    <w:rsid w:val="00A748EC"/>
    <w:rsid w:val="00A7579C"/>
    <w:rsid w:val="00A75AED"/>
    <w:rsid w:val="00A76D68"/>
    <w:rsid w:val="00A8154F"/>
    <w:rsid w:val="00A81749"/>
    <w:rsid w:val="00A817B2"/>
    <w:rsid w:val="00A8192B"/>
    <w:rsid w:val="00A83D3D"/>
    <w:rsid w:val="00A84B58"/>
    <w:rsid w:val="00A85931"/>
    <w:rsid w:val="00A85E97"/>
    <w:rsid w:val="00A86608"/>
    <w:rsid w:val="00A8690A"/>
    <w:rsid w:val="00A87835"/>
    <w:rsid w:val="00A8793C"/>
    <w:rsid w:val="00A87A1B"/>
    <w:rsid w:val="00A90334"/>
    <w:rsid w:val="00A90E0F"/>
    <w:rsid w:val="00A92095"/>
    <w:rsid w:val="00A93179"/>
    <w:rsid w:val="00A939DF"/>
    <w:rsid w:val="00A93D53"/>
    <w:rsid w:val="00A93FEF"/>
    <w:rsid w:val="00A945C7"/>
    <w:rsid w:val="00A953F8"/>
    <w:rsid w:val="00A95E89"/>
    <w:rsid w:val="00A96C3E"/>
    <w:rsid w:val="00A96FF7"/>
    <w:rsid w:val="00A97CB8"/>
    <w:rsid w:val="00AA18BB"/>
    <w:rsid w:val="00AA20D4"/>
    <w:rsid w:val="00AA223A"/>
    <w:rsid w:val="00AA2BF5"/>
    <w:rsid w:val="00AA3988"/>
    <w:rsid w:val="00AA41A2"/>
    <w:rsid w:val="00AA438F"/>
    <w:rsid w:val="00AA58E1"/>
    <w:rsid w:val="00AA6252"/>
    <w:rsid w:val="00AA730C"/>
    <w:rsid w:val="00AB071A"/>
    <w:rsid w:val="00AB1DB4"/>
    <w:rsid w:val="00AB22E2"/>
    <w:rsid w:val="00AB2864"/>
    <w:rsid w:val="00AB3DA7"/>
    <w:rsid w:val="00AB4122"/>
    <w:rsid w:val="00AB4773"/>
    <w:rsid w:val="00AB510A"/>
    <w:rsid w:val="00AB5422"/>
    <w:rsid w:val="00AB5BB1"/>
    <w:rsid w:val="00AB71DE"/>
    <w:rsid w:val="00AB7295"/>
    <w:rsid w:val="00AB733F"/>
    <w:rsid w:val="00AC0C88"/>
    <w:rsid w:val="00AC1223"/>
    <w:rsid w:val="00AC1823"/>
    <w:rsid w:val="00AC27EC"/>
    <w:rsid w:val="00AC3464"/>
    <w:rsid w:val="00AC35B6"/>
    <w:rsid w:val="00AC6D47"/>
    <w:rsid w:val="00AD039B"/>
    <w:rsid w:val="00AD1839"/>
    <w:rsid w:val="00AD257D"/>
    <w:rsid w:val="00AD28C3"/>
    <w:rsid w:val="00AD3572"/>
    <w:rsid w:val="00AD387A"/>
    <w:rsid w:val="00AD39BE"/>
    <w:rsid w:val="00AD45EA"/>
    <w:rsid w:val="00AD492D"/>
    <w:rsid w:val="00AD4C83"/>
    <w:rsid w:val="00AD4FEC"/>
    <w:rsid w:val="00AD5C27"/>
    <w:rsid w:val="00AD68DB"/>
    <w:rsid w:val="00AD704B"/>
    <w:rsid w:val="00AD783B"/>
    <w:rsid w:val="00AE0468"/>
    <w:rsid w:val="00AE0E44"/>
    <w:rsid w:val="00AE1006"/>
    <w:rsid w:val="00AE10D9"/>
    <w:rsid w:val="00AE136D"/>
    <w:rsid w:val="00AE1AE0"/>
    <w:rsid w:val="00AE1C18"/>
    <w:rsid w:val="00AE21D3"/>
    <w:rsid w:val="00AE2C3D"/>
    <w:rsid w:val="00AE2E80"/>
    <w:rsid w:val="00AE3122"/>
    <w:rsid w:val="00AE45C8"/>
    <w:rsid w:val="00AE4E05"/>
    <w:rsid w:val="00AE729E"/>
    <w:rsid w:val="00AE764C"/>
    <w:rsid w:val="00AE77FF"/>
    <w:rsid w:val="00AF08A9"/>
    <w:rsid w:val="00AF090B"/>
    <w:rsid w:val="00AF0C5F"/>
    <w:rsid w:val="00AF1C28"/>
    <w:rsid w:val="00AF2074"/>
    <w:rsid w:val="00AF213A"/>
    <w:rsid w:val="00AF41B4"/>
    <w:rsid w:val="00AF41E4"/>
    <w:rsid w:val="00AF4575"/>
    <w:rsid w:val="00AF4588"/>
    <w:rsid w:val="00AF58BB"/>
    <w:rsid w:val="00AF5ADA"/>
    <w:rsid w:val="00AF5BF1"/>
    <w:rsid w:val="00AF6545"/>
    <w:rsid w:val="00AF712E"/>
    <w:rsid w:val="00AF7231"/>
    <w:rsid w:val="00AF7EA5"/>
    <w:rsid w:val="00B03500"/>
    <w:rsid w:val="00B035EA"/>
    <w:rsid w:val="00B0391E"/>
    <w:rsid w:val="00B04DAD"/>
    <w:rsid w:val="00B05408"/>
    <w:rsid w:val="00B0570D"/>
    <w:rsid w:val="00B05EB0"/>
    <w:rsid w:val="00B06977"/>
    <w:rsid w:val="00B06CCC"/>
    <w:rsid w:val="00B1043C"/>
    <w:rsid w:val="00B11228"/>
    <w:rsid w:val="00B11320"/>
    <w:rsid w:val="00B1150D"/>
    <w:rsid w:val="00B11923"/>
    <w:rsid w:val="00B11A59"/>
    <w:rsid w:val="00B11C02"/>
    <w:rsid w:val="00B11F4B"/>
    <w:rsid w:val="00B1328A"/>
    <w:rsid w:val="00B13C50"/>
    <w:rsid w:val="00B140AF"/>
    <w:rsid w:val="00B144EA"/>
    <w:rsid w:val="00B145B3"/>
    <w:rsid w:val="00B16604"/>
    <w:rsid w:val="00B16AB9"/>
    <w:rsid w:val="00B17069"/>
    <w:rsid w:val="00B172CE"/>
    <w:rsid w:val="00B17990"/>
    <w:rsid w:val="00B21700"/>
    <w:rsid w:val="00B21F11"/>
    <w:rsid w:val="00B22875"/>
    <w:rsid w:val="00B22CFA"/>
    <w:rsid w:val="00B22D54"/>
    <w:rsid w:val="00B23AAD"/>
    <w:rsid w:val="00B23CF1"/>
    <w:rsid w:val="00B23D11"/>
    <w:rsid w:val="00B2452C"/>
    <w:rsid w:val="00B24BAD"/>
    <w:rsid w:val="00B24F32"/>
    <w:rsid w:val="00B25573"/>
    <w:rsid w:val="00B25852"/>
    <w:rsid w:val="00B2687C"/>
    <w:rsid w:val="00B26C83"/>
    <w:rsid w:val="00B270DD"/>
    <w:rsid w:val="00B30596"/>
    <w:rsid w:val="00B33252"/>
    <w:rsid w:val="00B33BCC"/>
    <w:rsid w:val="00B33D31"/>
    <w:rsid w:val="00B340F1"/>
    <w:rsid w:val="00B3464F"/>
    <w:rsid w:val="00B367A3"/>
    <w:rsid w:val="00B37984"/>
    <w:rsid w:val="00B37B19"/>
    <w:rsid w:val="00B37FFB"/>
    <w:rsid w:val="00B41F29"/>
    <w:rsid w:val="00B42CC7"/>
    <w:rsid w:val="00B42CE8"/>
    <w:rsid w:val="00B43C35"/>
    <w:rsid w:val="00B44432"/>
    <w:rsid w:val="00B4550E"/>
    <w:rsid w:val="00B45C2E"/>
    <w:rsid w:val="00B45D53"/>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D0"/>
    <w:rsid w:val="00B61406"/>
    <w:rsid w:val="00B618C0"/>
    <w:rsid w:val="00B62016"/>
    <w:rsid w:val="00B623D2"/>
    <w:rsid w:val="00B6243D"/>
    <w:rsid w:val="00B631DE"/>
    <w:rsid w:val="00B64EC4"/>
    <w:rsid w:val="00B652F1"/>
    <w:rsid w:val="00B65FBF"/>
    <w:rsid w:val="00B6607C"/>
    <w:rsid w:val="00B674C4"/>
    <w:rsid w:val="00B720D1"/>
    <w:rsid w:val="00B72A79"/>
    <w:rsid w:val="00B72C1B"/>
    <w:rsid w:val="00B733B4"/>
    <w:rsid w:val="00B73AD8"/>
    <w:rsid w:val="00B73DBA"/>
    <w:rsid w:val="00B74982"/>
    <w:rsid w:val="00B75B39"/>
    <w:rsid w:val="00B75FDC"/>
    <w:rsid w:val="00B765A7"/>
    <w:rsid w:val="00B76CCE"/>
    <w:rsid w:val="00B7729B"/>
    <w:rsid w:val="00B775A5"/>
    <w:rsid w:val="00B77774"/>
    <w:rsid w:val="00B77949"/>
    <w:rsid w:val="00B81135"/>
    <w:rsid w:val="00B818A4"/>
    <w:rsid w:val="00B82520"/>
    <w:rsid w:val="00B828BA"/>
    <w:rsid w:val="00B828C3"/>
    <w:rsid w:val="00B82CFA"/>
    <w:rsid w:val="00B82F1E"/>
    <w:rsid w:val="00B82FFE"/>
    <w:rsid w:val="00B8380B"/>
    <w:rsid w:val="00B83B1E"/>
    <w:rsid w:val="00B83F09"/>
    <w:rsid w:val="00B83FF7"/>
    <w:rsid w:val="00B844F0"/>
    <w:rsid w:val="00B8459B"/>
    <w:rsid w:val="00B84A0E"/>
    <w:rsid w:val="00B85337"/>
    <w:rsid w:val="00B85556"/>
    <w:rsid w:val="00B865B3"/>
    <w:rsid w:val="00B86C3C"/>
    <w:rsid w:val="00B872E1"/>
    <w:rsid w:val="00B905BF"/>
    <w:rsid w:val="00B90717"/>
    <w:rsid w:val="00B90719"/>
    <w:rsid w:val="00B90C53"/>
    <w:rsid w:val="00B90C6C"/>
    <w:rsid w:val="00B914B3"/>
    <w:rsid w:val="00B918E0"/>
    <w:rsid w:val="00B92A8E"/>
    <w:rsid w:val="00B92C6C"/>
    <w:rsid w:val="00B92D24"/>
    <w:rsid w:val="00B92FA7"/>
    <w:rsid w:val="00B937FF"/>
    <w:rsid w:val="00B9405D"/>
    <w:rsid w:val="00B94E00"/>
    <w:rsid w:val="00B95501"/>
    <w:rsid w:val="00B95527"/>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6109"/>
    <w:rsid w:val="00BA6CA0"/>
    <w:rsid w:val="00BA76A2"/>
    <w:rsid w:val="00BA7CDD"/>
    <w:rsid w:val="00BB16B0"/>
    <w:rsid w:val="00BB177D"/>
    <w:rsid w:val="00BB2423"/>
    <w:rsid w:val="00BB4987"/>
    <w:rsid w:val="00BB4AD4"/>
    <w:rsid w:val="00BB4EBC"/>
    <w:rsid w:val="00BB608E"/>
    <w:rsid w:val="00BB7254"/>
    <w:rsid w:val="00BB7342"/>
    <w:rsid w:val="00BB7343"/>
    <w:rsid w:val="00BC018B"/>
    <w:rsid w:val="00BC0BB6"/>
    <w:rsid w:val="00BC1BB2"/>
    <w:rsid w:val="00BC2849"/>
    <w:rsid w:val="00BC455E"/>
    <w:rsid w:val="00BC52DB"/>
    <w:rsid w:val="00BC5E12"/>
    <w:rsid w:val="00BC5EA5"/>
    <w:rsid w:val="00BC6F75"/>
    <w:rsid w:val="00BC71BB"/>
    <w:rsid w:val="00BC7EB1"/>
    <w:rsid w:val="00BD0663"/>
    <w:rsid w:val="00BD1154"/>
    <w:rsid w:val="00BD1C5D"/>
    <w:rsid w:val="00BD2B66"/>
    <w:rsid w:val="00BD44D3"/>
    <w:rsid w:val="00BD51FD"/>
    <w:rsid w:val="00BD54C2"/>
    <w:rsid w:val="00BD65AF"/>
    <w:rsid w:val="00BD6637"/>
    <w:rsid w:val="00BD6AF0"/>
    <w:rsid w:val="00BD751C"/>
    <w:rsid w:val="00BD7EFC"/>
    <w:rsid w:val="00BE0B8E"/>
    <w:rsid w:val="00BE1060"/>
    <w:rsid w:val="00BE1603"/>
    <w:rsid w:val="00BE1926"/>
    <w:rsid w:val="00BE2256"/>
    <w:rsid w:val="00BE2F78"/>
    <w:rsid w:val="00BE2FDD"/>
    <w:rsid w:val="00BE38C7"/>
    <w:rsid w:val="00BE3996"/>
    <w:rsid w:val="00BE45EE"/>
    <w:rsid w:val="00BE4943"/>
    <w:rsid w:val="00BE5CA6"/>
    <w:rsid w:val="00BE65EE"/>
    <w:rsid w:val="00BE6673"/>
    <w:rsid w:val="00BE70F4"/>
    <w:rsid w:val="00BE7257"/>
    <w:rsid w:val="00BE7282"/>
    <w:rsid w:val="00BE7781"/>
    <w:rsid w:val="00BF19BC"/>
    <w:rsid w:val="00BF1D58"/>
    <w:rsid w:val="00BF1E3C"/>
    <w:rsid w:val="00BF1E45"/>
    <w:rsid w:val="00BF1F73"/>
    <w:rsid w:val="00BF2052"/>
    <w:rsid w:val="00BF2558"/>
    <w:rsid w:val="00BF278B"/>
    <w:rsid w:val="00BF2A3A"/>
    <w:rsid w:val="00BF3127"/>
    <w:rsid w:val="00BF3212"/>
    <w:rsid w:val="00BF384B"/>
    <w:rsid w:val="00BF40BB"/>
    <w:rsid w:val="00BF41E8"/>
    <w:rsid w:val="00BF42EA"/>
    <w:rsid w:val="00BF42EB"/>
    <w:rsid w:val="00BF478F"/>
    <w:rsid w:val="00BF4AF9"/>
    <w:rsid w:val="00BF551C"/>
    <w:rsid w:val="00BF6022"/>
    <w:rsid w:val="00BF6235"/>
    <w:rsid w:val="00BF6A4C"/>
    <w:rsid w:val="00BF6DA0"/>
    <w:rsid w:val="00BF7675"/>
    <w:rsid w:val="00BF7FE8"/>
    <w:rsid w:val="00C0162F"/>
    <w:rsid w:val="00C018E4"/>
    <w:rsid w:val="00C01DAE"/>
    <w:rsid w:val="00C025BA"/>
    <w:rsid w:val="00C02ACB"/>
    <w:rsid w:val="00C02E00"/>
    <w:rsid w:val="00C02E3C"/>
    <w:rsid w:val="00C03338"/>
    <w:rsid w:val="00C04810"/>
    <w:rsid w:val="00C04C1C"/>
    <w:rsid w:val="00C04C7A"/>
    <w:rsid w:val="00C04F27"/>
    <w:rsid w:val="00C050EA"/>
    <w:rsid w:val="00C05256"/>
    <w:rsid w:val="00C0599D"/>
    <w:rsid w:val="00C05DB6"/>
    <w:rsid w:val="00C061D6"/>
    <w:rsid w:val="00C0635D"/>
    <w:rsid w:val="00C0642E"/>
    <w:rsid w:val="00C1027E"/>
    <w:rsid w:val="00C1073E"/>
    <w:rsid w:val="00C10CF5"/>
    <w:rsid w:val="00C11174"/>
    <w:rsid w:val="00C1128D"/>
    <w:rsid w:val="00C112D5"/>
    <w:rsid w:val="00C11C3D"/>
    <w:rsid w:val="00C11F28"/>
    <w:rsid w:val="00C11F5B"/>
    <w:rsid w:val="00C1274E"/>
    <w:rsid w:val="00C136BB"/>
    <w:rsid w:val="00C14959"/>
    <w:rsid w:val="00C152F4"/>
    <w:rsid w:val="00C15595"/>
    <w:rsid w:val="00C16D93"/>
    <w:rsid w:val="00C17CD2"/>
    <w:rsid w:val="00C20556"/>
    <w:rsid w:val="00C21224"/>
    <w:rsid w:val="00C22CAE"/>
    <w:rsid w:val="00C23E4E"/>
    <w:rsid w:val="00C246FC"/>
    <w:rsid w:val="00C24E46"/>
    <w:rsid w:val="00C251C3"/>
    <w:rsid w:val="00C2677D"/>
    <w:rsid w:val="00C26E64"/>
    <w:rsid w:val="00C26E6E"/>
    <w:rsid w:val="00C274AC"/>
    <w:rsid w:val="00C30CD7"/>
    <w:rsid w:val="00C31A7D"/>
    <w:rsid w:val="00C33911"/>
    <w:rsid w:val="00C3398D"/>
    <w:rsid w:val="00C348E9"/>
    <w:rsid w:val="00C35AF9"/>
    <w:rsid w:val="00C36312"/>
    <w:rsid w:val="00C367ED"/>
    <w:rsid w:val="00C36AEC"/>
    <w:rsid w:val="00C36C24"/>
    <w:rsid w:val="00C36FA8"/>
    <w:rsid w:val="00C37350"/>
    <w:rsid w:val="00C374CB"/>
    <w:rsid w:val="00C379B2"/>
    <w:rsid w:val="00C37A78"/>
    <w:rsid w:val="00C37AE1"/>
    <w:rsid w:val="00C37B3B"/>
    <w:rsid w:val="00C37F4F"/>
    <w:rsid w:val="00C40209"/>
    <w:rsid w:val="00C41CBC"/>
    <w:rsid w:val="00C42994"/>
    <w:rsid w:val="00C434D1"/>
    <w:rsid w:val="00C44051"/>
    <w:rsid w:val="00C4459F"/>
    <w:rsid w:val="00C4494D"/>
    <w:rsid w:val="00C45786"/>
    <w:rsid w:val="00C45D70"/>
    <w:rsid w:val="00C462E9"/>
    <w:rsid w:val="00C4659A"/>
    <w:rsid w:val="00C470A5"/>
    <w:rsid w:val="00C474C4"/>
    <w:rsid w:val="00C47EC5"/>
    <w:rsid w:val="00C50395"/>
    <w:rsid w:val="00C51666"/>
    <w:rsid w:val="00C51DA5"/>
    <w:rsid w:val="00C525DE"/>
    <w:rsid w:val="00C528E2"/>
    <w:rsid w:val="00C52F83"/>
    <w:rsid w:val="00C53289"/>
    <w:rsid w:val="00C53959"/>
    <w:rsid w:val="00C53F62"/>
    <w:rsid w:val="00C54638"/>
    <w:rsid w:val="00C546AA"/>
    <w:rsid w:val="00C54CCF"/>
    <w:rsid w:val="00C55296"/>
    <w:rsid w:val="00C554BD"/>
    <w:rsid w:val="00C558AC"/>
    <w:rsid w:val="00C560E3"/>
    <w:rsid w:val="00C561A1"/>
    <w:rsid w:val="00C5623A"/>
    <w:rsid w:val="00C56381"/>
    <w:rsid w:val="00C56BF3"/>
    <w:rsid w:val="00C56D16"/>
    <w:rsid w:val="00C6080C"/>
    <w:rsid w:val="00C60E45"/>
    <w:rsid w:val="00C61799"/>
    <w:rsid w:val="00C61B35"/>
    <w:rsid w:val="00C61E91"/>
    <w:rsid w:val="00C6229C"/>
    <w:rsid w:val="00C62746"/>
    <w:rsid w:val="00C64118"/>
    <w:rsid w:val="00C64557"/>
    <w:rsid w:val="00C6539B"/>
    <w:rsid w:val="00C66C8A"/>
    <w:rsid w:val="00C70284"/>
    <w:rsid w:val="00C70373"/>
    <w:rsid w:val="00C70ABD"/>
    <w:rsid w:val="00C70DF5"/>
    <w:rsid w:val="00C715F7"/>
    <w:rsid w:val="00C74617"/>
    <w:rsid w:val="00C768C8"/>
    <w:rsid w:val="00C76D29"/>
    <w:rsid w:val="00C7709E"/>
    <w:rsid w:val="00C808FC"/>
    <w:rsid w:val="00C80EB0"/>
    <w:rsid w:val="00C81C58"/>
    <w:rsid w:val="00C81D1F"/>
    <w:rsid w:val="00C82450"/>
    <w:rsid w:val="00C83B32"/>
    <w:rsid w:val="00C83BFA"/>
    <w:rsid w:val="00C83F9B"/>
    <w:rsid w:val="00C847C1"/>
    <w:rsid w:val="00C84E27"/>
    <w:rsid w:val="00C863DC"/>
    <w:rsid w:val="00C864C6"/>
    <w:rsid w:val="00C86860"/>
    <w:rsid w:val="00C8694C"/>
    <w:rsid w:val="00C87701"/>
    <w:rsid w:val="00C90169"/>
    <w:rsid w:val="00C9027B"/>
    <w:rsid w:val="00C90487"/>
    <w:rsid w:val="00C912CD"/>
    <w:rsid w:val="00C915D2"/>
    <w:rsid w:val="00C91CA0"/>
    <w:rsid w:val="00C92404"/>
    <w:rsid w:val="00C928B3"/>
    <w:rsid w:val="00C92989"/>
    <w:rsid w:val="00C92BC0"/>
    <w:rsid w:val="00C92F15"/>
    <w:rsid w:val="00C9313D"/>
    <w:rsid w:val="00C94130"/>
    <w:rsid w:val="00C95BA2"/>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1FA"/>
    <w:rsid w:val="00CA6741"/>
    <w:rsid w:val="00CA6BAF"/>
    <w:rsid w:val="00CA7BB4"/>
    <w:rsid w:val="00CA7C5A"/>
    <w:rsid w:val="00CA7C6E"/>
    <w:rsid w:val="00CB0275"/>
    <w:rsid w:val="00CB19ED"/>
    <w:rsid w:val="00CB29F8"/>
    <w:rsid w:val="00CB2BDE"/>
    <w:rsid w:val="00CB2C10"/>
    <w:rsid w:val="00CB2FBC"/>
    <w:rsid w:val="00CB322D"/>
    <w:rsid w:val="00CB3EFF"/>
    <w:rsid w:val="00CB5A25"/>
    <w:rsid w:val="00CB637B"/>
    <w:rsid w:val="00CB6469"/>
    <w:rsid w:val="00CB736C"/>
    <w:rsid w:val="00CB7E54"/>
    <w:rsid w:val="00CC0162"/>
    <w:rsid w:val="00CC057E"/>
    <w:rsid w:val="00CC05A6"/>
    <w:rsid w:val="00CC064C"/>
    <w:rsid w:val="00CC0C00"/>
    <w:rsid w:val="00CC120B"/>
    <w:rsid w:val="00CC15F1"/>
    <w:rsid w:val="00CC1865"/>
    <w:rsid w:val="00CC2331"/>
    <w:rsid w:val="00CC2BC1"/>
    <w:rsid w:val="00CC3536"/>
    <w:rsid w:val="00CC357A"/>
    <w:rsid w:val="00CC4451"/>
    <w:rsid w:val="00CC4BFE"/>
    <w:rsid w:val="00CC4C0B"/>
    <w:rsid w:val="00CC4FA5"/>
    <w:rsid w:val="00CC59E3"/>
    <w:rsid w:val="00CC607E"/>
    <w:rsid w:val="00CC61B2"/>
    <w:rsid w:val="00CC63DB"/>
    <w:rsid w:val="00CC6689"/>
    <w:rsid w:val="00CC6AA8"/>
    <w:rsid w:val="00CC7636"/>
    <w:rsid w:val="00CC7A60"/>
    <w:rsid w:val="00CD002F"/>
    <w:rsid w:val="00CD0DFF"/>
    <w:rsid w:val="00CD14BB"/>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5653"/>
    <w:rsid w:val="00CE75A2"/>
    <w:rsid w:val="00CF1375"/>
    <w:rsid w:val="00CF2BA6"/>
    <w:rsid w:val="00CF2D56"/>
    <w:rsid w:val="00CF3038"/>
    <w:rsid w:val="00CF35BC"/>
    <w:rsid w:val="00CF417C"/>
    <w:rsid w:val="00CF4F03"/>
    <w:rsid w:val="00CF5045"/>
    <w:rsid w:val="00CF511B"/>
    <w:rsid w:val="00CF5341"/>
    <w:rsid w:val="00CF5DB5"/>
    <w:rsid w:val="00CF6813"/>
    <w:rsid w:val="00CF6EAA"/>
    <w:rsid w:val="00CF71AF"/>
    <w:rsid w:val="00D0076B"/>
    <w:rsid w:val="00D0220A"/>
    <w:rsid w:val="00D02842"/>
    <w:rsid w:val="00D02CC6"/>
    <w:rsid w:val="00D032EA"/>
    <w:rsid w:val="00D041B2"/>
    <w:rsid w:val="00D04415"/>
    <w:rsid w:val="00D052B0"/>
    <w:rsid w:val="00D05A89"/>
    <w:rsid w:val="00D06CB2"/>
    <w:rsid w:val="00D06DB6"/>
    <w:rsid w:val="00D06F3A"/>
    <w:rsid w:val="00D0721A"/>
    <w:rsid w:val="00D07C07"/>
    <w:rsid w:val="00D07C86"/>
    <w:rsid w:val="00D10784"/>
    <w:rsid w:val="00D109BA"/>
    <w:rsid w:val="00D12225"/>
    <w:rsid w:val="00D125EB"/>
    <w:rsid w:val="00D12681"/>
    <w:rsid w:val="00D13DFE"/>
    <w:rsid w:val="00D14151"/>
    <w:rsid w:val="00D14575"/>
    <w:rsid w:val="00D15191"/>
    <w:rsid w:val="00D15A5F"/>
    <w:rsid w:val="00D15F95"/>
    <w:rsid w:val="00D170A2"/>
    <w:rsid w:val="00D17A79"/>
    <w:rsid w:val="00D17C4A"/>
    <w:rsid w:val="00D20045"/>
    <w:rsid w:val="00D2044F"/>
    <w:rsid w:val="00D20526"/>
    <w:rsid w:val="00D20B1D"/>
    <w:rsid w:val="00D20D72"/>
    <w:rsid w:val="00D2188C"/>
    <w:rsid w:val="00D224BB"/>
    <w:rsid w:val="00D2278A"/>
    <w:rsid w:val="00D24101"/>
    <w:rsid w:val="00D24270"/>
    <w:rsid w:val="00D2576A"/>
    <w:rsid w:val="00D2593A"/>
    <w:rsid w:val="00D26254"/>
    <w:rsid w:val="00D269CB"/>
    <w:rsid w:val="00D26BBD"/>
    <w:rsid w:val="00D26C2B"/>
    <w:rsid w:val="00D279EA"/>
    <w:rsid w:val="00D3032C"/>
    <w:rsid w:val="00D30886"/>
    <w:rsid w:val="00D33214"/>
    <w:rsid w:val="00D34F8C"/>
    <w:rsid w:val="00D35334"/>
    <w:rsid w:val="00D35D4B"/>
    <w:rsid w:val="00D368EA"/>
    <w:rsid w:val="00D37B93"/>
    <w:rsid w:val="00D37CE9"/>
    <w:rsid w:val="00D37D5C"/>
    <w:rsid w:val="00D4071B"/>
    <w:rsid w:val="00D41ACF"/>
    <w:rsid w:val="00D41CC7"/>
    <w:rsid w:val="00D41D9B"/>
    <w:rsid w:val="00D41EDD"/>
    <w:rsid w:val="00D43591"/>
    <w:rsid w:val="00D449F4"/>
    <w:rsid w:val="00D475CC"/>
    <w:rsid w:val="00D50E2E"/>
    <w:rsid w:val="00D51094"/>
    <w:rsid w:val="00D51BCA"/>
    <w:rsid w:val="00D51D00"/>
    <w:rsid w:val="00D52BE6"/>
    <w:rsid w:val="00D52F65"/>
    <w:rsid w:val="00D53F48"/>
    <w:rsid w:val="00D55450"/>
    <w:rsid w:val="00D55698"/>
    <w:rsid w:val="00D557D1"/>
    <w:rsid w:val="00D55A28"/>
    <w:rsid w:val="00D56C1A"/>
    <w:rsid w:val="00D57D44"/>
    <w:rsid w:val="00D57DEA"/>
    <w:rsid w:val="00D6014E"/>
    <w:rsid w:val="00D6045A"/>
    <w:rsid w:val="00D606EB"/>
    <w:rsid w:val="00D608D2"/>
    <w:rsid w:val="00D60D9A"/>
    <w:rsid w:val="00D615DF"/>
    <w:rsid w:val="00D61C48"/>
    <w:rsid w:val="00D6254E"/>
    <w:rsid w:val="00D62C42"/>
    <w:rsid w:val="00D63B54"/>
    <w:rsid w:val="00D6454D"/>
    <w:rsid w:val="00D64571"/>
    <w:rsid w:val="00D64647"/>
    <w:rsid w:val="00D64E18"/>
    <w:rsid w:val="00D65605"/>
    <w:rsid w:val="00D65D15"/>
    <w:rsid w:val="00D66FF4"/>
    <w:rsid w:val="00D67274"/>
    <w:rsid w:val="00D6751E"/>
    <w:rsid w:val="00D67BA5"/>
    <w:rsid w:val="00D7005F"/>
    <w:rsid w:val="00D7054E"/>
    <w:rsid w:val="00D7064E"/>
    <w:rsid w:val="00D70765"/>
    <w:rsid w:val="00D70AA0"/>
    <w:rsid w:val="00D70CEB"/>
    <w:rsid w:val="00D711D0"/>
    <w:rsid w:val="00D7180B"/>
    <w:rsid w:val="00D7262D"/>
    <w:rsid w:val="00D72859"/>
    <w:rsid w:val="00D72908"/>
    <w:rsid w:val="00D730C8"/>
    <w:rsid w:val="00D731D6"/>
    <w:rsid w:val="00D73232"/>
    <w:rsid w:val="00D73733"/>
    <w:rsid w:val="00D73900"/>
    <w:rsid w:val="00D74447"/>
    <w:rsid w:val="00D744D9"/>
    <w:rsid w:val="00D751F0"/>
    <w:rsid w:val="00D7526D"/>
    <w:rsid w:val="00D754B1"/>
    <w:rsid w:val="00D75664"/>
    <w:rsid w:val="00D757DB"/>
    <w:rsid w:val="00D75CA1"/>
    <w:rsid w:val="00D75F00"/>
    <w:rsid w:val="00D762FC"/>
    <w:rsid w:val="00D7644E"/>
    <w:rsid w:val="00D76FB1"/>
    <w:rsid w:val="00D800B7"/>
    <w:rsid w:val="00D80E88"/>
    <w:rsid w:val="00D812E6"/>
    <w:rsid w:val="00D81EA4"/>
    <w:rsid w:val="00D820F9"/>
    <w:rsid w:val="00D826D7"/>
    <w:rsid w:val="00D83542"/>
    <w:rsid w:val="00D83AC9"/>
    <w:rsid w:val="00D859DF"/>
    <w:rsid w:val="00D85A05"/>
    <w:rsid w:val="00D8658E"/>
    <w:rsid w:val="00D87A39"/>
    <w:rsid w:val="00D90647"/>
    <w:rsid w:val="00D90D9B"/>
    <w:rsid w:val="00D90E1D"/>
    <w:rsid w:val="00D9125E"/>
    <w:rsid w:val="00D91788"/>
    <w:rsid w:val="00D91DEE"/>
    <w:rsid w:val="00D92194"/>
    <w:rsid w:val="00D92662"/>
    <w:rsid w:val="00D926EA"/>
    <w:rsid w:val="00D929B5"/>
    <w:rsid w:val="00D92AC1"/>
    <w:rsid w:val="00D9361B"/>
    <w:rsid w:val="00D93659"/>
    <w:rsid w:val="00D93D5F"/>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0EC"/>
    <w:rsid w:val="00DA378B"/>
    <w:rsid w:val="00DA45E2"/>
    <w:rsid w:val="00DA56E4"/>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2BED"/>
    <w:rsid w:val="00DD49CF"/>
    <w:rsid w:val="00DD5435"/>
    <w:rsid w:val="00DD5B5F"/>
    <w:rsid w:val="00DD5EAC"/>
    <w:rsid w:val="00DD6DCF"/>
    <w:rsid w:val="00DD7E65"/>
    <w:rsid w:val="00DE0DF0"/>
    <w:rsid w:val="00DE2E14"/>
    <w:rsid w:val="00DE2FFC"/>
    <w:rsid w:val="00DE55D0"/>
    <w:rsid w:val="00DE6848"/>
    <w:rsid w:val="00DE6FE6"/>
    <w:rsid w:val="00DF01E0"/>
    <w:rsid w:val="00DF11A2"/>
    <w:rsid w:val="00DF24CF"/>
    <w:rsid w:val="00DF2725"/>
    <w:rsid w:val="00DF2FA2"/>
    <w:rsid w:val="00DF3337"/>
    <w:rsid w:val="00DF3717"/>
    <w:rsid w:val="00DF3760"/>
    <w:rsid w:val="00DF47F1"/>
    <w:rsid w:val="00DF5328"/>
    <w:rsid w:val="00DF5605"/>
    <w:rsid w:val="00DF6532"/>
    <w:rsid w:val="00DF6667"/>
    <w:rsid w:val="00E004D1"/>
    <w:rsid w:val="00E009A5"/>
    <w:rsid w:val="00E00BCE"/>
    <w:rsid w:val="00E00D62"/>
    <w:rsid w:val="00E00E30"/>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A40"/>
    <w:rsid w:val="00E06CAC"/>
    <w:rsid w:val="00E07168"/>
    <w:rsid w:val="00E11787"/>
    <w:rsid w:val="00E11A36"/>
    <w:rsid w:val="00E120E2"/>
    <w:rsid w:val="00E12256"/>
    <w:rsid w:val="00E14B76"/>
    <w:rsid w:val="00E14F64"/>
    <w:rsid w:val="00E15066"/>
    <w:rsid w:val="00E15ACD"/>
    <w:rsid w:val="00E16886"/>
    <w:rsid w:val="00E16B5B"/>
    <w:rsid w:val="00E17BFA"/>
    <w:rsid w:val="00E20329"/>
    <w:rsid w:val="00E20476"/>
    <w:rsid w:val="00E216F5"/>
    <w:rsid w:val="00E21A5D"/>
    <w:rsid w:val="00E21BD8"/>
    <w:rsid w:val="00E225AE"/>
    <w:rsid w:val="00E241CD"/>
    <w:rsid w:val="00E24558"/>
    <w:rsid w:val="00E24D81"/>
    <w:rsid w:val="00E25A77"/>
    <w:rsid w:val="00E27569"/>
    <w:rsid w:val="00E275F0"/>
    <w:rsid w:val="00E276DA"/>
    <w:rsid w:val="00E27F73"/>
    <w:rsid w:val="00E30B49"/>
    <w:rsid w:val="00E310EA"/>
    <w:rsid w:val="00E31149"/>
    <w:rsid w:val="00E31E80"/>
    <w:rsid w:val="00E33E53"/>
    <w:rsid w:val="00E33F5C"/>
    <w:rsid w:val="00E3433B"/>
    <w:rsid w:val="00E4144C"/>
    <w:rsid w:val="00E41ED5"/>
    <w:rsid w:val="00E42ED0"/>
    <w:rsid w:val="00E43311"/>
    <w:rsid w:val="00E437C6"/>
    <w:rsid w:val="00E43AA7"/>
    <w:rsid w:val="00E43C31"/>
    <w:rsid w:val="00E43D84"/>
    <w:rsid w:val="00E4531A"/>
    <w:rsid w:val="00E45428"/>
    <w:rsid w:val="00E46117"/>
    <w:rsid w:val="00E4650B"/>
    <w:rsid w:val="00E47103"/>
    <w:rsid w:val="00E50028"/>
    <w:rsid w:val="00E5005D"/>
    <w:rsid w:val="00E509D4"/>
    <w:rsid w:val="00E51017"/>
    <w:rsid w:val="00E51A86"/>
    <w:rsid w:val="00E51FB3"/>
    <w:rsid w:val="00E52184"/>
    <w:rsid w:val="00E521B0"/>
    <w:rsid w:val="00E5287E"/>
    <w:rsid w:val="00E52AB3"/>
    <w:rsid w:val="00E52AE8"/>
    <w:rsid w:val="00E52FA0"/>
    <w:rsid w:val="00E53998"/>
    <w:rsid w:val="00E53B5D"/>
    <w:rsid w:val="00E53DCD"/>
    <w:rsid w:val="00E55414"/>
    <w:rsid w:val="00E55A54"/>
    <w:rsid w:val="00E55BF1"/>
    <w:rsid w:val="00E56183"/>
    <w:rsid w:val="00E56192"/>
    <w:rsid w:val="00E57300"/>
    <w:rsid w:val="00E579E2"/>
    <w:rsid w:val="00E57A15"/>
    <w:rsid w:val="00E608DE"/>
    <w:rsid w:val="00E62920"/>
    <w:rsid w:val="00E630E3"/>
    <w:rsid w:val="00E63F73"/>
    <w:rsid w:val="00E64104"/>
    <w:rsid w:val="00E6421A"/>
    <w:rsid w:val="00E6457F"/>
    <w:rsid w:val="00E653CF"/>
    <w:rsid w:val="00E6718B"/>
    <w:rsid w:val="00E715BC"/>
    <w:rsid w:val="00E718C4"/>
    <w:rsid w:val="00E71FD2"/>
    <w:rsid w:val="00E7238C"/>
    <w:rsid w:val="00E72A89"/>
    <w:rsid w:val="00E7381C"/>
    <w:rsid w:val="00E740CA"/>
    <w:rsid w:val="00E7456F"/>
    <w:rsid w:val="00E747C3"/>
    <w:rsid w:val="00E750EF"/>
    <w:rsid w:val="00E7594C"/>
    <w:rsid w:val="00E766A8"/>
    <w:rsid w:val="00E76701"/>
    <w:rsid w:val="00E776EB"/>
    <w:rsid w:val="00E80833"/>
    <w:rsid w:val="00E80A97"/>
    <w:rsid w:val="00E82287"/>
    <w:rsid w:val="00E828A1"/>
    <w:rsid w:val="00E82D3D"/>
    <w:rsid w:val="00E830A2"/>
    <w:rsid w:val="00E838DE"/>
    <w:rsid w:val="00E839B4"/>
    <w:rsid w:val="00E85867"/>
    <w:rsid w:val="00E85934"/>
    <w:rsid w:val="00E859E1"/>
    <w:rsid w:val="00E865B6"/>
    <w:rsid w:val="00E87DAE"/>
    <w:rsid w:val="00E902D3"/>
    <w:rsid w:val="00E91132"/>
    <w:rsid w:val="00E913C4"/>
    <w:rsid w:val="00E931C4"/>
    <w:rsid w:val="00E932DB"/>
    <w:rsid w:val="00E93557"/>
    <w:rsid w:val="00E935F8"/>
    <w:rsid w:val="00E94528"/>
    <w:rsid w:val="00E96EF7"/>
    <w:rsid w:val="00E9749C"/>
    <w:rsid w:val="00E97E5D"/>
    <w:rsid w:val="00EA022E"/>
    <w:rsid w:val="00EA15FA"/>
    <w:rsid w:val="00EA198E"/>
    <w:rsid w:val="00EA2147"/>
    <w:rsid w:val="00EA2FDC"/>
    <w:rsid w:val="00EA3127"/>
    <w:rsid w:val="00EA36B5"/>
    <w:rsid w:val="00EA3E41"/>
    <w:rsid w:val="00EA3E52"/>
    <w:rsid w:val="00EA4899"/>
    <w:rsid w:val="00EA5283"/>
    <w:rsid w:val="00EB1049"/>
    <w:rsid w:val="00EB138D"/>
    <w:rsid w:val="00EB13B1"/>
    <w:rsid w:val="00EB17B6"/>
    <w:rsid w:val="00EB17D6"/>
    <w:rsid w:val="00EB19F9"/>
    <w:rsid w:val="00EB243B"/>
    <w:rsid w:val="00EB2BA6"/>
    <w:rsid w:val="00EB2F80"/>
    <w:rsid w:val="00EB3698"/>
    <w:rsid w:val="00EB3B99"/>
    <w:rsid w:val="00EB3C82"/>
    <w:rsid w:val="00EB3EDF"/>
    <w:rsid w:val="00EB4466"/>
    <w:rsid w:val="00EB4570"/>
    <w:rsid w:val="00EB4602"/>
    <w:rsid w:val="00EB4A90"/>
    <w:rsid w:val="00EB4B6B"/>
    <w:rsid w:val="00EB4C37"/>
    <w:rsid w:val="00EB526B"/>
    <w:rsid w:val="00EB63B6"/>
    <w:rsid w:val="00EB7564"/>
    <w:rsid w:val="00EC11A2"/>
    <w:rsid w:val="00EC1621"/>
    <w:rsid w:val="00EC1841"/>
    <w:rsid w:val="00EC21E3"/>
    <w:rsid w:val="00EC2663"/>
    <w:rsid w:val="00EC27BD"/>
    <w:rsid w:val="00EC37AF"/>
    <w:rsid w:val="00EC3BED"/>
    <w:rsid w:val="00EC4866"/>
    <w:rsid w:val="00EC4E3A"/>
    <w:rsid w:val="00EC5216"/>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4DB2"/>
    <w:rsid w:val="00ED5FBC"/>
    <w:rsid w:val="00ED607C"/>
    <w:rsid w:val="00ED68CA"/>
    <w:rsid w:val="00ED7FEC"/>
    <w:rsid w:val="00EE033F"/>
    <w:rsid w:val="00EE041F"/>
    <w:rsid w:val="00EE0D3A"/>
    <w:rsid w:val="00EE1131"/>
    <w:rsid w:val="00EE2D66"/>
    <w:rsid w:val="00EE33D1"/>
    <w:rsid w:val="00EE39CD"/>
    <w:rsid w:val="00EE4B16"/>
    <w:rsid w:val="00EE5123"/>
    <w:rsid w:val="00EE516A"/>
    <w:rsid w:val="00EE544D"/>
    <w:rsid w:val="00EE54F5"/>
    <w:rsid w:val="00EE59E4"/>
    <w:rsid w:val="00EE5A4C"/>
    <w:rsid w:val="00EE5AF4"/>
    <w:rsid w:val="00EE5D65"/>
    <w:rsid w:val="00EE6B3B"/>
    <w:rsid w:val="00EE6D48"/>
    <w:rsid w:val="00EE6D63"/>
    <w:rsid w:val="00EE6EB9"/>
    <w:rsid w:val="00EE7F98"/>
    <w:rsid w:val="00EF00D5"/>
    <w:rsid w:val="00EF0CAF"/>
    <w:rsid w:val="00EF2B09"/>
    <w:rsid w:val="00EF2CDF"/>
    <w:rsid w:val="00EF33F5"/>
    <w:rsid w:val="00EF38BC"/>
    <w:rsid w:val="00EF5B91"/>
    <w:rsid w:val="00EF5CF6"/>
    <w:rsid w:val="00EF609A"/>
    <w:rsid w:val="00EF6371"/>
    <w:rsid w:val="00EF6C9F"/>
    <w:rsid w:val="00EF6EAF"/>
    <w:rsid w:val="00EF7C24"/>
    <w:rsid w:val="00EF7CE7"/>
    <w:rsid w:val="00F00DC3"/>
    <w:rsid w:val="00F012F2"/>
    <w:rsid w:val="00F01A64"/>
    <w:rsid w:val="00F024FC"/>
    <w:rsid w:val="00F02D23"/>
    <w:rsid w:val="00F0325C"/>
    <w:rsid w:val="00F0326A"/>
    <w:rsid w:val="00F0416D"/>
    <w:rsid w:val="00F042CC"/>
    <w:rsid w:val="00F043D5"/>
    <w:rsid w:val="00F053DF"/>
    <w:rsid w:val="00F059A5"/>
    <w:rsid w:val="00F066DC"/>
    <w:rsid w:val="00F1094A"/>
    <w:rsid w:val="00F121CD"/>
    <w:rsid w:val="00F12959"/>
    <w:rsid w:val="00F12A09"/>
    <w:rsid w:val="00F13385"/>
    <w:rsid w:val="00F13B4D"/>
    <w:rsid w:val="00F13E1B"/>
    <w:rsid w:val="00F142B5"/>
    <w:rsid w:val="00F15D2A"/>
    <w:rsid w:val="00F168F1"/>
    <w:rsid w:val="00F170E3"/>
    <w:rsid w:val="00F2001C"/>
    <w:rsid w:val="00F2051C"/>
    <w:rsid w:val="00F20812"/>
    <w:rsid w:val="00F20B7A"/>
    <w:rsid w:val="00F2194D"/>
    <w:rsid w:val="00F22E18"/>
    <w:rsid w:val="00F23AF4"/>
    <w:rsid w:val="00F24E03"/>
    <w:rsid w:val="00F25A53"/>
    <w:rsid w:val="00F263D7"/>
    <w:rsid w:val="00F26AE8"/>
    <w:rsid w:val="00F26B2E"/>
    <w:rsid w:val="00F26D3A"/>
    <w:rsid w:val="00F305FD"/>
    <w:rsid w:val="00F3087D"/>
    <w:rsid w:val="00F30A25"/>
    <w:rsid w:val="00F31616"/>
    <w:rsid w:val="00F31686"/>
    <w:rsid w:val="00F319A6"/>
    <w:rsid w:val="00F319C9"/>
    <w:rsid w:val="00F3221C"/>
    <w:rsid w:val="00F3278B"/>
    <w:rsid w:val="00F32C38"/>
    <w:rsid w:val="00F3319B"/>
    <w:rsid w:val="00F3344B"/>
    <w:rsid w:val="00F3352E"/>
    <w:rsid w:val="00F34391"/>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1CEB"/>
    <w:rsid w:val="00F42C68"/>
    <w:rsid w:val="00F42EF7"/>
    <w:rsid w:val="00F43B86"/>
    <w:rsid w:val="00F44777"/>
    <w:rsid w:val="00F44A72"/>
    <w:rsid w:val="00F44CD1"/>
    <w:rsid w:val="00F454B0"/>
    <w:rsid w:val="00F45600"/>
    <w:rsid w:val="00F47444"/>
    <w:rsid w:val="00F50585"/>
    <w:rsid w:val="00F5069F"/>
    <w:rsid w:val="00F50C4E"/>
    <w:rsid w:val="00F522AC"/>
    <w:rsid w:val="00F5285D"/>
    <w:rsid w:val="00F54EFE"/>
    <w:rsid w:val="00F56528"/>
    <w:rsid w:val="00F56B79"/>
    <w:rsid w:val="00F56EDE"/>
    <w:rsid w:val="00F56F2F"/>
    <w:rsid w:val="00F60EC8"/>
    <w:rsid w:val="00F617D3"/>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54B8"/>
    <w:rsid w:val="00F7599F"/>
    <w:rsid w:val="00F75B4C"/>
    <w:rsid w:val="00F75D33"/>
    <w:rsid w:val="00F75E6B"/>
    <w:rsid w:val="00F76B34"/>
    <w:rsid w:val="00F77ACB"/>
    <w:rsid w:val="00F77D72"/>
    <w:rsid w:val="00F804EE"/>
    <w:rsid w:val="00F806B5"/>
    <w:rsid w:val="00F80DC5"/>
    <w:rsid w:val="00F81A36"/>
    <w:rsid w:val="00F81CEF"/>
    <w:rsid w:val="00F81D56"/>
    <w:rsid w:val="00F82A57"/>
    <w:rsid w:val="00F82E64"/>
    <w:rsid w:val="00F8339A"/>
    <w:rsid w:val="00F83523"/>
    <w:rsid w:val="00F85102"/>
    <w:rsid w:val="00F860BB"/>
    <w:rsid w:val="00F86285"/>
    <w:rsid w:val="00F866DD"/>
    <w:rsid w:val="00F8728F"/>
    <w:rsid w:val="00F90097"/>
    <w:rsid w:val="00F909DB"/>
    <w:rsid w:val="00F91312"/>
    <w:rsid w:val="00F91329"/>
    <w:rsid w:val="00F9182E"/>
    <w:rsid w:val="00F91A0B"/>
    <w:rsid w:val="00F93558"/>
    <w:rsid w:val="00F937BD"/>
    <w:rsid w:val="00F93EC2"/>
    <w:rsid w:val="00F94F74"/>
    <w:rsid w:val="00F952DF"/>
    <w:rsid w:val="00F95421"/>
    <w:rsid w:val="00F9543D"/>
    <w:rsid w:val="00F95C17"/>
    <w:rsid w:val="00F96DAA"/>
    <w:rsid w:val="00F97175"/>
    <w:rsid w:val="00F971EB"/>
    <w:rsid w:val="00F97426"/>
    <w:rsid w:val="00F9778A"/>
    <w:rsid w:val="00F97DEF"/>
    <w:rsid w:val="00FA025A"/>
    <w:rsid w:val="00FA03F2"/>
    <w:rsid w:val="00FA143E"/>
    <w:rsid w:val="00FA16F0"/>
    <w:rsid w:val="00FA17B8"/>
    <w:rsid w:val="00FA2DD5"/>
    <w:rsid w:val="00FA3763"/>
    <w:rsid w:val="00FA42E7"/>
    <w:rsid w:val="00FA466C"/>
    <w:rsid w:val="00FA4855"/>
    <w:rsid w:val="00FA4DC7"/>
    <w:rsid w:val="00FA4E87"/>
    <w:rsid w:val="00FA6DEE"/>
    <w:rsid w:val="00FA7713"/>
    <w:rsid w:val="00FA7895"/>
    <w:rsid w:val="00FB03E8"/>
    <w:rsid w:val="00FB0E99"/>
    <w:rsid w:val="00FB1156"/>
    <w:rsid w:val="00FB13F0"/>
    <w:rsid w:val="00FB2011"/>
    <w:rsid w:val="00FB2020"/>
    <w:rsid w:val="00FB2047"/>
    <w:rsid w:val="00FB20E8"/>
    <w:rsid w:val="00FB23A9"/>
    <w:rsid w:val="00FB26B1"/>
    <w:rsid w:val="00FB287A"/>
    <w:rsid w:val="00FB349A"/>
    <w:rsid w:val="00FB45D7"/>
    <w:rsid w:val="00FB5144"/>
    <w:rsid w:val="00FB59D7"/>
    <w:rsid w:val="00FB6465"/>
    <w:rsid w:val="00FB687A"/>
    <w:rsid w:val="00FB70B5"/>
    <w:rsid w:val="00FB7CCD"/>
    <w:rsid w:val="00FC0458"/>
    <w:rsid w:val="00FC09D8"/>
    <w:rsid w:val="00FC180B"/>
    <w:rsid w:val="00FC1D6C"/>
    <w:rsid w:val="00FC1EB2"/>
    <w:rsid w:val="00FC2827"/>
    <w:rsid w:val="00FC2FF2"/>
    <w:rsid w:val="00FC3A66"/>
    <w:rsid w:val="00FC42F4"/>
    <w:rsid w:val="00FC622E"/>
    <w:rsid w:val="00FC67CB"/>
    <w:rsid w:val="00FC695A"/>
    <w:rsid w:val="00FC6AD9"/>
    <w:rsid w:val="00FC6DA4"/>
    <w:rsid w:val="00FC77E2"/>
    <w:rsid w:val="00FD01A2"/>
    <w:rsid w:val="00FD0265"/>
    <w:rsid w:val="00FD02A4"/>
    <w:rsid w:val="00FD032F"/>
    <w:rsid w:val="00FD08DC"/>
    <w:rsid w:val="00FD0B7D"/>
    <w:rsid w:val="00FD0E7E"/>
    <w:rsid w:val="00FD14E3"/>
    <w:rsid w:val="00FD307B"/>
    <w:rsid w:val="00FD3DED"/>
    <w:rsid w:val="00FD53B7"/>
    <w:rsid w:val="00FD55AE"/>
    <w:rsid w:val="00FD5B65"/>
    <w:rsid w:val="00FD636F"/>
    <w:rsid w:val="00FD6372"/>
    <w:rsid w:val="00FD66F7"/>
    <w:rsid w:val="00FD688D"/>
    <w:rsid w:val="00FD7182"/>
    <w:rsid w:val="00FE0097"/>
    <w:rsid w:val="00FE083A"/>
    <w:rsid w:val="00FE0A71"/>
    <w:rsid w:val="00FE0B61"/>
    <w:rsid w:val="00FE11DC"/>
    <w:rsid w:val="00FE125E"/>
    <w:rsid w:val="00FE1997"/>
    <w:rsid w:val="00FE1BE9"/>
    <w:rsid w:val="00FE1F15"/>
    <w:rsid w:val="00FE21E8"/>
    <w:rsid w:val="00FE26ED"/>
    <w:rsid w:val="00FE38D0"/>
    <w:rsid w:val="00FE3A02"/>
    <w:rsid w:val="00FE4656"/>
    <w:rsid w:val="00FE4A36"/>
    <w:rsid w:val="00FE4AB6"/>
    <w:rsid w:val="00FE4B6C"/>
    <w:rsid w:val="00FE5096"/>
    <w:rsid w:val="00FE6077"/>
    <w:rsid w:val="00FE7226"/>
    <w:rsid w:val="00FE7639"/>
    <w:rsid w:val="00FE7A31"/>
    <w:rsid w:val="00FE7DFA"/>
    <w:rsid w:val="00FF0005"/>
    <w:rsid w:val="00FF00D7"/>
    <w:rsid w:val="00FF09E7"/>
    <w:rsid w:val="00FF213F"/>
    <w:rsid w:val="00FF2DEA"/>
    <w:rsid w:val="00FF38D3"/>
    <w:rsid w:val="00FF3986"/>
    <w:rsid w:val="00FF3DD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6D"/>
    <w:pPr>
      <w:spacing w:after="120"/>
    </w:pPr>
    <w:rPr>
      <w:rFonts w:ascii="Calibri" w:eastAsia="Calibri" w:hAnsi="Calibri" w:cs="Times New Roman"/>
      <w:sz w:val="24"/>
    </w:rPr>
  </w:style>
  <w:style w:type="paragraph" w:styleId="Heading1">
    <w:name w:val="heading 1"/>
    <w:next w:val="Normal"/>
    <w:link w:val="Heading1Char"/>
    <w:uiPriority w:val="9"/>
    <w:qFormat/>
    <w:rsid w:val="004E5FD5"/>
    <w:pPr>
      <w:keepNext/>
      <w:keepLines/>
      <w:spacing w:line="360" w:lineRule="auto"/>
      <w:jc w:val="center"/>
      <w:outlineLvl w:val="0"/>
    </w:pPr>
    <w:rPr>
      <w:rFonts w:ascii="Arial" w:hAnsi="Arial" w:cs="Arial"/>
      <w:b/>
      <w:sz w:val="36"/>
      <w:szCs w:val="32"/>
    </w:rPr>
  </w:style>
  <w:style w:type="paragraph" w:styleId="Heading2">
    <w:name w:val="heading 2"/>
    <w:aliases w:val="NCD.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aliases w:val="NCD.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aliases w:val="NCD.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iPriority w:val="9"/>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iPriority w:val="9"/>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FD5"/>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aliases w:val="NCD.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aliases w:val="NCD.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aliases w:val="Footnote Text Char1,Footnote Text Char Char,Footnote Text Char5 Char Char,Footnote Text Char Char Char Char,Footnote Text Char4 Char Char1 Char Char,Footnote Text Char2 Char Char2 Char2 Char Char,Footnote Text Char5 Char"/>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aliases w:val="Footnote Text Char1 Char,Footnote Text Char Char Char,Footnote Text Char5 Char Char Char,Footnote Text Char Char Char Char Char,Footnote Text Char4 Char Char1 Char Char Char,Footnote Text Char2 Char Char2 Char2 Char Char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aliases w:val="Style 12,(NECG) Footnote Reference,Style 13,Appel note de bas de p,Style 124,fr,o,Style 3,FR,callout,4_G,Footnote Reference Number,Ref,de nota al pie,4_G Char Char,Footnote Reference1 Char Char,Footnotes refss Char Char"/>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3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D731D6"/>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1"/>
    <w:unhideWhenUsed/>
    <w:qFormat/>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1"/>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qFormat/>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character" w:customStyle="1" w:styleId="bylinename">
    <w:name w:val="byline__name"/>
    <w:basedOn w:val="DefaultParagraphFont"/>
    <w:rsid w:val="00FD01A2"/>
  </w:style>
  <w:style w:type="character" w:customStyle="1" w:styleId="cit">
    <w:name w:val="cit"/>
    <w:basedOn w:val="DefaultParagraphFont"/>
    <w:rsid w:val="00FD01A2"/>
  </w:style>
  <w:style w:type="character" w:customStyle="1" w:styleId="visually-hidden">
    <w:name w:val="visually-hidden"/>
    <w:basedOn w:val="DefaultParagraphFont"/>
    <w:rsid w:val="00FD01A2"/>
  </w:style>
  <w:style w:type="paragraph" w:customStyle="1" w:styleId="TableNote">
    <w:name w:val="Table Note"/>
    <w:qFormat/>
    <w:rsid w:val="00B914B3"/>
    <w:pPr>
      <w:spacing w:before="60" w:after="240" w:line="240" w:lineRule="auto"/>
      <w:contextualSpacing/>
    </w:pPr>
    <w:rPr>
      <w:rFonts w:ascii="Arial" w:eastAsia="Times New Roman" w:hAnsi="Arial" w:cs="Times New Roman"/>
      <w:sz w:val="18"/>
      <w:szCs w:val="24"/>
    </w:rPr>
  </w:style>
  <w:style w:type="paragraph" w:customStyle="1" w:styleId="Footnote">
    <w:name w:val="Footnote"/>
    <w:rsid w:val="00B914B3"/>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numbering" w:customStyle="1" w:styleId="List0">
    <w:name w:val="List 0"/>
    <w:basedOn w:val="NoList"/>
    <w:rsid w:val="00B914B3"/>
    <w:pPr>
      <w:numPr>
        <w:numId w:val="22"/>
      </w:numPr>
    </w:pPr>
  </w:style>
  <w:style w:type="numbering" w:customStyle="1" w:styleId="List1">
    <w:name w:val="List 1"/>
    <w:basedOn w:val="NoList"/>
    <w:rsid w:val="00B914B3"/>
    <w:pPr>
      <w:numPr>
        <w:numId w:val="24"/>
      </w:numPr>
    </w:pPr>
  </w:style>
  <w:style w:type="numbering" w:customStyle="1" w:styleId="Bullet">
    <w:name w:val="Bullet"/>
    <w:rsid w:val="00B914B3"/>
    <w:pPr>
      <w:numPr>
        <w:numId w:val="25"/>
      </w:numPr>
    </w:pPr>
  </w:style>
  <w:style w:type="numbering" w:customStyle="1" w:styleId="List21">
    <w:name w:val="List 21"/>
    <w:basedOn w:val="NoList"/>
    <w:rsid w:val="00B914B3"/>
    <w:pPr>
      <w:numPr>
        <w:numId w:val="26"/>
      </w:numPr>
    </w:pPr>
  </w:style>
  <w:style w:type="numbering" w:customStyle="1" w:styleId="List31">
    <w:name w:val="List 31"/>
    <w:basedOn w:val="NoList"/>
    <w:rsid w:val="00B914B3"/>
    <w:pPr>
      <w:numPr>
        <w:numId w:val="27"/>
      </w:numPr>
    </w:pPr>
  </w:style>
  <w:style w:type="character" w:customStyle="1" w:styleId="Hyperlink2">
    <w:name w:val="Hyperlink.2"/>
    <w:basedOn w:val="Hyperlink0"/>
    <w:rsid w:val="00B914B3"/>
    <w:rPr>
      <w:rFonts w:ascii="Arial" w:eastAsia="Arial" w:hAnsi="Arial" w:cs="Arial"/>
      <w:b w:val="0"/>
      <w:bCs w:val="0"/>
      <w:i w:val="0"/>
      <w:iCs w:val="0"/>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numbering" w:customStyle="1" w:styleId="List311">
    <w:name w:val="List 311"/>
    <w:basedOn w:val="NoList"/>
    <w:rsid w:val="00B914B3"/>
    <w:pPr>
      <w:numPr>
        <w:numId w:val="23"/>
      </w:numPr>
    </w:pPr>
  </w:style>
  <w:style w:type="paragraph" w:customStyle="1" w:styleId="NCDTextBoxBullets">
    <w:name w:val="NCD.Text Box Bullets"/>
    <w:qFormat/>
    <w:rsid w:val="00B914B3"/>
    <w:pPr>
      <w:numPr>
        <w:numId w:val="2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B914B3"/>
    <w:pPr>
      <w:keepNext/>
      <w:spacing w:after="240" w:line="240" w:lineRule="auto"/>
      <w:jc w:val="center"/>
    </w:pPr>
    <w:rPr>
      <w:rFonts w:ascii="Arial" w:eastAsia="Calibri" w:hAnsi="Arial" w:cs="Arial"/>
      <w:b/>
      <w:sz w:val="24"/>
      <w:szCs w:val="28"/>
    </w:rPr>
  </w:style>
  <w:style w:type="paragraph" w:customStyle="1" w:styleId="NCDTextBoxText">
    <w:name w:val="NCD.Text Box Text"/>
    <w:qFormat/>
    <w:rsid w:val="00B914B3"/>
    <w:pPr>
      <w:spacing w:after="0" w:line="240" w:lineRule="auto"/>
    </w:pPr>
    <w:rPr>
      <w:rFonts w:ascii="Arial" w:eastAsia="Calibri" w:hAnsi="Arial" w:cs="Arial"/>
      <w:color w:val="FFFFFF" w:themeColor="background1"/>
      <w:sz w:val="24"/>
      <w:szCs w:val="24"/>
    </w:rPr>
  </w:style>
  <w:style w:type="paragraph" w:customStyle="1" w:styleId="NCDExhibitTitle">
    <w:name w:val="NCD.Exhibit Title"/>
    <w:qFormat/>
    <w:rsid w:val="00B914B3"/>
    <w:pPr>
      <w:keepNext/>
      <w:spacing w:after="240" w:line="240" w:lineRule="auto"/>
    </w:pPr>
    <w:rPr>
      <w:rFonts w:ascii="Arial" w:eastAsia="Calibri" w:hAnsi="Arial" w:cs="Calibri"/>
      <w:b/>
      <w:color w:val="000000"/>
      <w:sz w:val="24"/>
      <w:szCs w:val="24"/>
      <w:u w:color="000000"/>
      <w:bdr w:val="nil"/>
    </w:rPr>
  </w:style>
  <w:style w:type="paragraph" w:customStyle="1" w:styleId="NCDTableSubhead">
    <w:name w:val="NCD.Table Subhead"/>
    <w:basedOn w:val="Normal"/>
    <w:qFormat/>
    <w:rsid w:val="00B914B3"/>
    <w:pPr>
      <w:spacing w:after="0" w:line="240" w:lineRule="auto"/>
    </w:pPr>
    <w:rPr>
      <w:rFonts w:ascii="Arial" w:eastAsia="Times New Roman" w:hAnsi="Arial" w:cs="Arial"/>
      <w:b/>
      <w:bCs/>
      <w:szCs w:val="24"/>
    </w:rPr>
  </w:style>
  <w:style w:type="paragraph" w:customStyle="1" w:styleId="NCDTableTextItalic">
    <w:name w:val="NCD.Table Text Italic"/>
    <w:qFormat/>
    <w:rsid w:val="00B914B3"/>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B914B3"/>
    <w:rPr>
      <w:b/>
      <w:color w:val="FFFFFF" w:themeColor="background1"/>
    </w:rPr>
  </w:style>
  <w:style w:type="paragraph" w:customStyle="1" w:styleId="Heading2noTOC">
    <w:name w:val="Heading 2 no TOC"/>
    <w:basedOn w:val="Heading2"/>
    <w:qFormat/>
    <w:rsid w:val="00B914B3"/>
    <w:pPr>
      <w:spacing w:after="360" w:line="240" w:lineRule="auto"/>
    </w:pPr>
    <w:rPr>
      <w:b w:val="0"/>
      <w:caps/>
      <w:color w:val="7F7F7F" w:themeColor="text1" w:themeTint="80"/>
      <w:sz w:val="36"/>
    </w:rPr>
  </w:style>
  <w:style w:type="paragraph" w:customStyle="1" w:styleId="NCDBulletsLevel3">
    <w:name w:val="NCD.Bullets Level 3"/>
    <w:qFormat/>
    <w:rsid w:val="00B914B3"/>
    <w:pPr>
      <w:shd w:val="clear" w:color="auto" w:fill="FFFFFF"/>
      <w:spacing w:after="120" w:line="360" w:lineRule="auto"/>
      <w:ind w:left="1080" w:hanging="360"/>
      <w:textAlignment w:val="baseline"/>
    </w:pPr>
    <w:rPr>
      <w:rFonts w:ascii="Arial" w:eastAsia="Calibri" w:hAnsi="Arial" w:cs="Arial"/>
      <w:sz w:val="24"/>
      <w:szCs w:val="24"/>
    </w:rPr>
  </w:style>
  <w:style w:type="paragraph" w:customStyle="1" w:styleId="NCDSpace">
    <w:name w:val="NCD.Space"/>
    <w:qFormat/>
    <w:rsid w:val="00B914B3"/>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B914B3"/>
    <w:pPr>
      <w:keepNext/>
      <w:spacing w:before="360" w:after="240" w:line="240" w:lineRule="auto"/>
    </w:pPr>
    <w:rPr>
      <w:rFonts w:ascii="Arial" w:eastAsia="Calibri" w:hAnsi="Arial" w:cs="Arial"/>
      <w:b/>
      <w:sz w:val="24"/>
      <w:szCs w:val="24"/>
    </w:rPr>
  </w:style>
  <w:style w:type="numbering" w:customStyle="1" w:styleId="NoList1">
    <w:name w:val="No List1"/>
    <w:next w:val="NoList"/>
    <w:uiPriority w:val="99"/>
    <w:semiHidden/>
    <w:unhideWhenUsed/>
    <w:rsid w:val="00B914B3"/>
  </w:style>
  <w:style w:type="numbering" w:customStyle="1" w:styleId="NoList11">
    <w:name w:val="No List11"/>
    <w:next w:val="NoList"/>
    <w:uiPriority w:val="99"/>
    <w:semiHidden/>
    <w:unhideWhenUsed/>
    <w:rsid w:val="00B914B3"/>
  </w:style>
  <w:style w:type="table" w:customStyle="1" w:styleId="TableGrid1">
    <w:name w:val="Table Grid1"/>
    <w:basedOn w:val="TableNormal"/>
    <w:next w:val="TableGrid"/>
    <w:uiPriority w:val="39"/>
    <w:rsid w:val="00B9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9Hyperlink">
    <w:name w:val="WP9_Hyperlink"/>
    <w:rsid w:val="00B914B3"/>
    <w:rPr>
      <w:color w:val="0000FF"/>
      <w:u w:val="single"/>
    </w:rPr>
  </w:style>
  <w:style w:type="table" w:customStyle="1" w:styleId="TableGrid2">
    <w:name w:val="Table Grid2"/>
    <w:basedOn w:val="TableNormal"/>
    <w:next w:val="TableGrid"/>
    <w:uiPriority w:val="39"/>
    <w:rsid w:val="00B9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IRDarkBlueTable">
    <w:name w:val="AIR Dark Blue Table"/>
    <w:basedOn w:val="TableNormal"/>
    <w:uiPriority w:val="99"/>
    <w:qFormat/>
    <w:rsid w:val="00B914B3"/>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B914B3"/>
  </w:style>
  <w:style w:type="numbering" w:customStyle="1" w:styleId="NoList111">
    <w:name w:val="No List111"/>
    <w:next w:val="NoList"/>
    <w:uiPriority w:val="99"/>
    <w:semiHidden/>
    <w:unhideWhenUsed/>
    <w:rsid w:val="00B914B3"/>
  </w:style>
  <w:style w:type="paragraph" w:customStyle="1" w:styleId="AboutAIRLocations">
    <w:name w:val="About AIR Locations"/>
    <w:qFormat/>
    <w:rsid w:val="00B914B3"/>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B914B3"/>
    <w:pPr>
      <w:suppressAutoHyphens/>
      <w:autoSpaceDE w:val="0"/>
      <w:autoSpaceDN w:val="0"/>
      <w:adjustRightInd w:val="0"/>
      <w:spacing w:before="60" w:after="0" w:line="360" w:lineRule="auto"/>
      <w:textAlignment w:val="center"/>
    </w:pPr>
    <w:rPr>
      <w:rFonts w:ascii="Franklin Gothic Book" w:hAnsi="Franklin Gothic Book" w:cs="ITCFranklinGothicStd-Book"/>
      <w:color w:val="000000"/>
      <w:sz w:val="18"/>
      <w:szCs w:val="18"/>
    </w:rPr>
  </w:style>
  <w:style w:type="paragraph" w:customStyle="1" w:styleId="AboutAIRTitle">
    <w:name w:val="About AIR Title"/>
    <w:basedOn w:val="Normal"/>
    <w:qFormat/>
    <w:rsid w:val="00B914B3"/>
    <w:pPr>
      <w:suppressAutoHyphens/>
      <w:autoSpaceDE w:val="0"/>
      <w:autoSpaceDN w:val="0"/>
      <w:adjustRightInd w:val="0"/>
      <w:spacing w:after="0" w:line="288" w:lineRule="auto"/>
      <w:textAlignment w:val="center"/>
    </w:pPr>
    <w:rPr>
      <w:rFonts w:ascii="Franklin Gothic Book" w:hAnsi="Franklin Gothic Book" w:cs="ITCFranklinGothicStd-Book"/>
      <w:caps/>
      <w:color w:val="005295"/>
      <w:szCs w:val="24"/>
    </w:rPr>
  </w:style>
  <w:style w:type="table" w:customStyle="1" w:styleId="AIRDarkBlueTable1">
    <w:name w:val="AIR Dark Blue Table1"/>
    <w:basedOn w:val="TableNormal"/>
    <w:uiPriority w:val="99"/>
    <w:qFormat/>
    <w:rsid w:val="00B914B3"/>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B914B3"/>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B914B3"/>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B914B3"/>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B914B3"/>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B914B3"/>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B914B3"/>
    <w:pPr>
      <w:spacing w:after="0"/>
    </w:pPr>
    <w:rPr>
      <w:caps w:val="0"/>
    </w:rPr>
  </w:style>
  <w:style w:type="paragraph" w:customStyle="1" w:styleId="BackCoverURL">
    <w:name w:val="Back Cover URL"/>
    <w:basedOn w:val="BackCoverAddress"/>
    <w:qFormat/>
    <w:rsid w:val="00B914B3"/>
    <w:pPr>
      <w:spacing w:before="120"/>
    </w:pPr>
    <w:rPr>
      <w:b/>
    </w:rPr>
  </w:style>
  <w:style w:type="paragraph" w:customStyle="1" w:styleId="BlockQuote">
    <w:name w:val="Block Quote"/>
    <w:basedOn w:val="BodyText"/>
    <w:qFormat/>
    <w:rsid w:val="00B914B3"/>
    <w:pPr>
      <w:spacing w:before="120" w:after="240"/>
      <w:ind w:left="720"/>
    </w:pPr>
    <w:rPr>
      <w:rFonts w:asciiTheme="minorHAnsi" w:eastAsia="Times New Roman" w:hAnsiTheme="minorHAnsi" w:cs="Times New Roman"/>
    </w:rPr>
  </w:style>
  <w:style w:type="paragraph" w:customStyle="1" w:styleId="Bullet10">
    <w:name w:val="Bullet 1"/>
    <w:basedOn w:val="ListBullet"/>
    <w:qFormat/>
    <w:rsid w:val="00B914B3"/>
    <w:pPr>
      <w:numPr>
        <w:numId w:val="28"/>
      </w:numPr>
      <w:spacing w:after="120"/>
      <w:contextualSpacing w:val="0"/>
    </w:pPr>
    <w:rPr>
      <w:rFonts w:eastAsia="Times New Roman" w:cs="Times New Roman"/>
      <w:szCs w:val="24"/>
    </w:rPr>
  </w:style>
  <w:style w:type="paragraph" w:customStyle="1" w:styleId="Bullet1Last">
    <w:name w:val="Bullet 1_Last"/>
    <w:basedOn w:val="Bullet10"/>
    <w:qFormat/>
    <w:rsid w:val="00B914B3"/>
    <w:pPr>
      <w:numPr>
        <w:numId w:val="0"/>
      </w:numPr>
      <w:spacing w:after="240"/>
    </w:pPr>
  </w:style>
  <w:style w:type="paragraph" w:customStyle="1" w:styleId="Bullet2">
    <w:name w:val="Bullet 2"/>
    <w:basedOn w:val="ListBullet2"/>
    <w:qFormat/>
    <w:rsid w:val="00B914B3"/>
    <w:pPr>
      <w:numPr>
        <w:numId w:val="0"/>
      </w:numPr>
      <w:spacing w:after="120"/>
      <w:ind w:left="1080" w:hanging="360"/>
    </w:pPr>
    <w:rPr>
      <w:rFonts w:eastAsia="Times New Roman" w:cs="Times New Roman"/>
      <w:szCs w:val="24"/>
    </w:rPr>
  </w:style>
  <w:style w:type="paragraph" w:customStyle="1" w:styleId="Bullet3">
    <w:name w:val="Bullet 3"/>
    <w:basedOn w:val="ListBullet3"/>
    <w:qFormat/>
    <w:rsid w:val="00B914B3"/>
    <w:pPr>
      <w:numPr>
        <w:ilvl w:val="0"/>
        <w:numId w:val="29"/>
      </w:numPr>
      <w:spacing w:after="120"/>
    </w:pPr>
  </w:style>
  <w:style w:type="paragraph" w:customStyle="1" w:styleId="TableTitle">
    <w:name w:val="Table Title"/>
    <w:qFormat/>
    <w:rsid w:val="00B914B3"/>
    <w:pPr>
      <w:keepNext/>
      <w:spacing w:after="120" w:line="240" w:lineRule="auto"/>
    </w:pPr>
    <w:rPr>
      <w:rFonts w:ascii="Arial" w:eastAsia="Times New Roman" w:hAnsi="Arial" w:cs="Times"/>
      <w:b/>
      <w:color w:val="002C5F"/>
      <w:sz w:val="20"/>
      <w:szCs w:val="24"/>
    </w:rPr>
  </w:style>
  <w:style w:type="paragraph" w:customStyle="1" w:styleId="ContentsHeading">
    <w:name w:val="Contents Heading"/>
    <w:next w:val="BodyText"/>
    <w:qFormat/>
    <w:rsid w:val="00B914B3"/>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B914B3"/>
    <w:pPr>
      <w:spacing w:line="240" w:lineRule="auto"/>
      <w:jc w:val="right"/>
    </w:pPr>
    <w:rPr>
      <w:rFonts w:asciiTheme="minorHAnsi" w:eastAsia="Times New Roman" w:hAnsiTheme="minorHAnsi"/>
      <w:b/>
      <w:bCs/>
      <w:szCs w:val="20"/>
    </w:rPr>
  </w:style>
  <w:style w:type="paragraph" w:customStyle="1" w:styleId="Copyrightinfo">
    <w:name w:val="Copyright info"/>
    <w:basedOn w:val="Normal"/>
    <w:link w:val="CopyrightinfoChar"/>
    <w:qFormat/>
    <w:rsid w:val="00B914B3"/>
    <w:pPr>
      <w:spacing w:line="240" w:lineRule="auto"/>
    </w:pPr>
    <w:rPr>
      <w:rFonts w:asciiTheme="minorHAnsi" w:eastAsia="Times New Roman" w:hAnsiTheme="minorHAnsi"/>
      <w:iCs/>
      <w:sz w:val="20"/>
      <w:szCs w:val="20"/>
    </w:rPr>
  </w:style>
  <w:style w:type="character" w:customStyle="1" w:styleId="CopyrightinfoChar">
    <w:name w:val="Copyright info Char"/>
    <w:basedOn w:val="DefaultParagraphFont"/>
    <w:link w:val="Copyrightinfo"/>
    <w:rsid w:val="00B914B3"/>
    <w:rPr>
      <w:rFonts w:eastAsia="Times New Roman" w:cs="Times New Roman"/>
      <w:iCs/>
      <w:sz w:val="20"/>
      <w:szCs w:val="20"/>
    </w:rPr>
  </w:style>
  <w:style w:type="paragraph" w:customStyle="1" w:styleId="CoverAffiliation">
    <w:name w:val="Cover Affiliation"/>
    <w:link w:val="CoverAffiliationChar"/>
    <w:qFormat/>
    <w:rsid w:val="00B914B3"/>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B914B3"/>
    <w:rPr>
      <w:rFonts w:ascii="Arial" w:eastAsia="Perpetua" w:hAnsi="Arial" w:cs="Times New Roman"/>
      <w:color w:val="595959"/>
      <w:sz w:val="28"/>
      <w:szCs w:val="28"/>
    </w:rPr>
  </w:style>
  <w:style w:type="paragraph" w:customStyle="1" w:styleId="CoverAuthorName">
    <w:name w:val="Cover Author Name"/>
    <w:link w:val="CoverAuthorNameChar"/>
    <w:qFormat/>
    <w:rsid w:val="00B914B3"/>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B914B3"/>
    <w:rPr>
      <w:rFonts w:ascii="Arial" w:eastAsia="Perpetua" w:hAnsi="Arial" w:cs="Times New Roman"/>
      <w:b/>
      <w:color w:val="595959"/>
      <w:sz w:val="28"/>
      <w:szCs w:val="28"/>
    </w:rPr>
  </w:style>
  <w:style w:type="paragraph" w:customStyle="1" w:styleId="CoverBackAddress">
    <w:name w:val="Cover Back Address"/>
    <w:basedOn w:val="Normal"/>
    <w:qFormat/>
    <w:rsid w:val="00B914B3"/>
    <w:pPr>
      <w:suppressAutoHyphens/>
      <w:autoSpaceDE w:val="0"/>
      <w:autoSpaceDN w:val="0"/>
      <w:adjustRightInd w:val="0"/>
      <w:spacing w:after="0" w:line="288" w:lineRule="auto"/>
      <w:textAlignment w:val="center"/>
    </w:pPr>
    <w:rPr>
      <w:rFonts w:ascii="Franklin Gothic Book" w:hAnsi="Franklin Gothic Book" w:cs="ITCFranklinGothicStd-Book"/>
      <w:color w:val="000000"/>
      <w:sz w:val="20"/>
      <w:szCs w:val="20"/>
    </w:rPr>
  </w:style>
  <w:style w:type="paragraph" w:customStyle="1" w:styleId="CoverBackFooter">
    <w:name w:val="Cover Back Footer"/>
    <w:basedOn w:val="Normal"/>
    <w:qFormat/>
    <w:rsid w:val="00B914B3"/>
    <w:pPr>
      <w:tabs>
        <w:tab w:val="center" w:pos="4680"/>
        <w:tab w:val="right" w:pos="9360"/>
      </w:tabs>
      <w:spacing w:after="0" w:line="240" w:lineRule="auto"/>
      <w:ind w:left="720"/>
      <w:jc w:val="right"/>
    </w:pPr>
    <w:rPr>
      <w:rFonts w:ascii="Franklin Gothic Book" w:eastAsia="Times New Roman" w:hAnsi="Franklin Gothic Book"/>
      <w:sz w:val="18"/>
      <w:szCs w:val="18"/>
    </w:rPr>
  </w:style>
  <w:style w:type="paragraph" w:customStyle="1" w:styleId="CoverBackURL">
    <w:name w:val="Cover Back URL"/>
    <w:basedOn w:val="Normal"/>
    <w:qFormat/>
    <w:rsid w:val="00B914B3"/>
    <w:pPr>
      <w:suppressAutoHyphens/>
      <w:autoSpaceDE w:val="0"/>
      <w:autoSpaceDN w:val="0"/>
      <w:adjustRightInd w:val="0"/>
      <w:spacing w:before="90" w:after="0" w:line="288" w:lineRule="auto"/>
      <w:textAlignment w:val="center"/>
    </w:pPr>
    <w:rPr>
      <w:rFonts w:ascii="Franklin Gothic Demi" w:hAnsi="Franklin Gothic Demi" w:cs="ITCFranklinGothicStd-Demi"/>
      <w:color w:val="000000"/>
      <w:sz w:val="20"/>
      <w:szCs w:val="20"/>
    </w:rPr>
  </w:style>
  <w:style w:type="paragraph" w:customStyle="1" w:styleId="CoverDate">
    <w:name w:val="Cover Date"/>
    <w:basedOn w:val="Normal"/>
    <w:qFormat/>
    <w:rsid w:val="00B914B3"/>
    <w:pPr>
      <w:spacing w:after="200"/>
      <w:jc w:val="center"/>
    </w:pPr>
    <w:rPr>
      <w:rFonts w:ascii="Franklin Gothic Book" w:eastAsia="Perpetua" w:hAnsi="Franklin Gothic Book"/>
      <w:color w:val="FFFFFF"/>
      <w:spacing w:val="12"/>
      <w:sz w:val="22"/>
    </w:rPr>
  </w:style>
  <w:style w:type="paragraph" w:customStyle="1" w:styleId="CoverSubtitle">
    <w:name w:val="Cover Subtitle"/>
    <w:link w:val="CoverSubtitleChar"/>
    <w:qFormat/>
    <w:rsid w:val="00B914B3"/>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B914B3"/>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B914B3"/>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B914B3"/>
    <w:rPr>
      <w:rFonts w:ascii="Franklin Gothic Demi" w:eastAsia="Perpetua" w:hAnsi="Franklin Gothic Demi" w:cs="Times New Roman"/>
      <w:color w:val="005295"/>
      <w:sz w:val="50"/>
      <w:szCs w:val="50"/>
    </w:rPr>
  </w:style>
  <w:style w:type="paragraph" w:customStyle="1" w:styleId="FooterLetter">
    <w:name w:val="Footer Letter"/>
    <w:basedOn w:val="Normal"/>
    <w:rsid w:val="00B914B3"/>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B914B3"/>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B914B3"/>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B914B3"/>
    <w:pPr>
      <w:numPr>
        <w:numId w:val="30"/>
      </w:numPr>
    </w:pPr>
  </w:style>
  <w:style w:type="numbering" w:customStyle="1" w:styleId="Level2Bullet">
    <w:name w:val="Level 2 Bullet"/>
    <w:basedOn w:val="NoList"/>
    <w:rsid w:val="00B914B3"/>
    <w:pPr>
      <w:numPr>
        <w:numId w:val="31"/>
      </w:numPr>
    </w:pPr>
  </w:style>
  <w:style w:type="paragraph" w:customStyle="1" w:styleId="NumberedList">
    <w:name w:val="Numbered List"/>
    <w:qFormat/>
    <w:rsid w:val="00B914B3"/>
    <w:pPr>
      <w:numPr>
        <w:numId w:val="32"/>
      </w:numPr>
      <w:spacing w:after="240" w:line="240" w:lineRule="auto"/>
    </w:pPr>
    <w:rPr>
      <w:rFonts w:eastAsia="Times New Roman" w:cs="Times New Roman"/>
      <w:sz w:val="24"/>
      <w:szCs w:val="24"/>
    </w:rPr>
  </w:style>
  <w:style w:type="paragraph" w:customStyle="1" w:styleId="Reference">
    <w:name w:val="Reference"/>
    <w:basedOn w:val="Normal"/>
    <w:link w:val="ReferenceChar"/>
    <w:rsid w:val="00B914B3"/>
    <w:pPr>
      <w:spacing w:after="240" w:line="240" w:lineRule="auto"/>
      <w:ind w:left="360" w:hanging="360"/>
    </w:pPr>
    <w:rPr>
      <w:rFonts w:ascii="Arial" w:eastAsiaTheme="minorHAnsi" w:hAnsi="Arial" w:cs="Arial"/>
      <w:szCs w:val="24"/>
    </w:rPr>
  </w:style>
  <w:style w:type="character" w:customStyle="1" w:styleId="ReferenceChar">
    <w:name w:val="Reference Char"/>
    <w:basedOn w:val="DefaultParagraphFont"/>
    <w:link w:val="Reference"/>
    <w:rsid w:val="00B914B3"/>
    <w:rPr>
      <w:rFonts w:ascii="Arial" w:hAnsi="Arial" w:cs="Arial"/>
      <w:sz w:val="24"/>
      <w:szCs w:val="24"/>
    </w:rPr>
  </w:style>
  <w:style w:type="character" w:customStyle="1" w:styleId="ReferenceItalics">
    <w:name w:val="Reference Italics"/>
    <w:basedOn w:val="DefaultParagraphFont"/>
    <w:uiPriority w:val="1"/>
    <w:qFormat/>
    <w:rsid w:val="00B914B3"/>
    <w:rPr>
      <w:i/>
    </w:rPr>
  </w:style>
  <w:style w:type="paragraph" w:customStyle="1" w:styleId="StyleHeading2pHeading220pt">
    <w:name w:val="Style Heading 2p.Heading 2 + 20 pt"/>
    <w:rsid w:val="00B914B3"/>
    <w:rPr>
      <w:rFonts w:ascii="Arial" w:eastAsia="Perpetua" w:hAnsi="Arial" w:cs="Times New Roman"/>
      <w:b/>
      <w:bCs/>
      <w:noProof/>
      <w:color w:val="002C5F"/>
      <w:sz w:val="40"/>
      <w:szCs w:val="50"/>
    </w:rPr>
  </w:style>
  <w:style w:type="paragraph" w:customStyle="1" w:styleId="StyleHeading2pHeading220pt1">
    <w:name w:val="Style Heading 2p.Heading 2 + 20 pt1"/>
    <w:rsid w:val="00B914B3"/>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B914B3"/>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B914B3"/>
    <w:pPr>
      <w:numPr>
        <w:numId w:val="33"/>
      </w:numPr>
      <w:spacing w:line="240" w:lineRule="auto"/>
    </w:pPr>
    <w:rPr>
      <w:rFonts w:eastAsiaTheme="minorEastAsia"/>
    </w:rPr>
  </w:style>
  <w:style w:type="paragraph" w:customStyle="1" w:styleId="TableBullet2">
    <w:name w:val="Table Bullet 2"/>
    <w:basedOn w:val="TableText"/>
    <w:qFormat/>
    <w:rsid w:val="00B914B3"/>
    <w:pPr>
      <w:numPr>
        <w:numId w:val="34"/>
      </w:numPr>
      <w:spacing w:line="240" w:lineRule="auto"/>
    </w:pPr>
    <w:rPr>
      <w:rFonts w:eastAsiaTheme="minorEastAsia"/>
    </w:rPr>
  </w:style>
  <w:style w:type="paragraph" w:customStyle="1" w:styleId="TableColHeadingLeft">
    <w:name w:val="Table Col Heading Left"/>
    <w:basedOn w:val="TableText"/>
    <w:qFormat/>
    <w:rsid w:val="00B914B3"/>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B914B3"/>
    <w:pPr>
      <w:jc w:val="center"/>
    </w:pPr>
  </w:style>
  <w:style w:type="table" w:customStyle="1" w:styleId="TableGrid3">
    <w:name w:val="Table Grid3"/>
    <w:basedOn w:val="TableNormal"/>
    <w:next w:val="TableGrid"/>
    <w:rsid w:val="00B914B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914B3"/>
    <w:pPr>
      <w:spacing w:after="0" w:line="240" w:lineRule="auto"/>
    </w:pPr>
    <w:rPr>
      <w:rFonts w:ascii="Franklin Gothic Book" w:eastAsia="Calibri" w:hAnsi="Franklin Gothic Boo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ing">
    <w:name w:val="Table Numbering"/>
    <w:basedOn w:val="TableText"/>
    <w:qFormat/>
    <w:rsid w:val="00B914B3"/>
    <w:pPr>
      <w:numPr>
        <w:numId w:val="35"/>
      </w:numPr>
      <w:spacing w:line="240" w:lineRule="auto"/>
    </w:pPr>
    <w:rPr>
      <w:rFonts w:eastAsiaTheme="minorEastAsia"/>
    </w:rPr>
  </w:style>
  <w:style w:type="paragraph" w:customStyle="1" w:styleId="TableSubheading">
    <w:name w:val="Table Subheading"/>
    <w:qFormat/>
    <w:rsid w:val="00B914B3"/>
    <w:rPr>
      <w:rFonts w:ascii="Arial" w:eastAsiaTheme="minorEastAsia" w:hAnsi="Arial" w:cs="Times New Roman"/>
      <w:b/>
      <w:sz w:val="20"/>
      <w:szCs w:val="24"/>
    </w:rPr>
  </w:style>
  <w:style w:type="paragraph" w:customStyle="1" w:styleId="TableTextCentered">
    <w:name w:val="Table Text Centered"/>
    <w:basedOn w:val="TableText"/>
    <w:qFormat/>
    <w:rsid w:val="00B914B3"/>
    <w:pPr>
      <w:spacing w:line="240" w:lineRule="auto"/>
      <w:jc w:val="center"/>
    </w:pPr>
  </w:style>
  <w:style w:type="paragraph" w:customStyle="1" w:styleId="TitlePageText">
    <w:name w:val="Title Page Text"/>
    <w:basedOn w:val="Normal"/>
    <w:qFormat/>
    <w:rsid w:val="00B914B3"/>
    <w:pPr>
      <w:spacing w:after="0" w:line="240" w:lineRule="auto"/>
      <w:ind w:left="900"/>
    </w:pPr>
    <w:rPr>
      <w:rFonts w:asciiTheme="minorHAnsi" w:hAnsiTheme="minorHAnsi" w:cstheme="minorBidi"/>
      <w:sz w:val="20"/>
    </w:rPr>
  </w:style>
  <w:style w:type="paragraph" w:customStyle="1" w:styleId="TitlePageAddress">
    <w:name w:val="Title Page Address"/>
    <w:basedOn w:val="TitlePageText"/>
    <w:link w:val="TitlePageAddressChar"/>
    <w:qFormat/>
    <w:rsid w:val="00B914B3"/>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B914B3"/>
    <w:rPr>
      <w:rFonts w:eastAsia="Calibri" w:cs="Times New Roman"/>
      <w:noProof/>
      <w:sz w:val="24"/>
      <w:szCs w:val="24"/>
    </w:rPr>
  </w:style>
  <w:style w:type="paragraph" w:customStyle="1" w:styleId="TitlePageAuthor">
    <w:name w:val="Title Page Author"/>
    <w:basedOn w:val="TitlePageText"/>
    <w:qFormat/>
    <w:rsid w:val="00B914B3"/>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B914B3"/>
    <w:pPr>
      <w:spacing w:after="0" w:line="240" w:lineRule="auto"/>
      <w:ind w:left="900"/>
    </w:pPr>
    <w:rPr>
      <w:rFonts w:asciiTheme="minorHAnsi" w:eastAsia="Times New Roman" w:hAnsiTheme="minorHAnsi"/>
      <w:sz w:val="20"/>
      <w:szCs w:val="24"/>
    </w:rPr>
  </w:style>
  <w:style w:type="character" w:customStyle="1" w:styleId="TitlePageCopyrightTextChar">
    <w:name w:val="Title Page Copyright Text Char"/>
    <w:basedOn w:val="DefaultParagraphFont"/>
    <w:link w:val="TitlePageCopyrightText"/>
    <w:rsid w:val="00B914B3"/>
    <w:rPr>
      <w:rFonts w:eastAsia="Times New Roman" w:cs="Times New Roman"/>
      <w:sz w:val="20"/>
      <w:szCs w:val="24"/>
    </w:rPr>
  </w:style>
  <w:style w:type="paragraph" w:customStyle="1" w:styleId="TitlePageDate">
    <w:name w:val="Title Page Date"/>
    <w:basedOn w:val="TitlePageText"/>
    <w:next w:val="TitlePageText"/>
    <w:qFormat/>
    <w:rsid w:val="00B914B3"/>
    <w:pPr>
      <w:spacing w:after="720"/>
      <w:ind w:left="907"/>
    </w:pPr>
    <w:rPr>
      <w:rFonts w:ascii="Arial" w:hAnsi="Arial"/>
      <w:b/>
      <w:sz w:val="32"/>
    </w:rPr>
  </w:style>
  <w:style w:type="paragraph" w:customStyle="1" w:styleId="TitlePageOrganization">
    <w:name w:val="Title Page Organization"/>
    <w:basedOn w:val="TitlePageAuthor"/>
    <w:qFormat/>
    <w:rsid w:val="00B914B3"/>
    <w:pPr>
      <w:spacing w:after="2400"/>
    </w:pPr>
    <w:rPr>
      <w:i/>
      <w:iCs/>
    </w:rPr>
  </w:style>
  <w:style w:type="paragraph" w:customStyle="1" w:styleId="TitlePagePublicationNumber">
    <w:name w:val="Title Page Publication Number"/>
    <w:basedOn w:val="Normal"/>
    <w:qFormat/>
    <w:rsid w:val="00B914B3"/>
    <w:pPr>
      <w:tabs>
        <w:tab w:val="right" w:pos="9360"/>
      </w:tabs>
      <w:spacing w:after="0" w:line="240" w:lineRule="auto"/>
      <w:jc w:val="right"/>
    </w:pPr>
    <w:rPr>
      <w:rFonts w:asciiTheme="minorHAnsi" w:eastAsia="Times New Roman" w:hAnsiTheme="minorHAnsi"/>
      <w:sz w:val="16"/>
      <w:szCs w:val="16"/>
    </w:rPr>
  </w:style>
  <w:style w:type="paragraph" w:customStyle="1" w:styleId="TitlePagePublicationNumberandDate">
    <w:name w:val="Title Page Publication Number and Date"/>
    <w:basedOn w:val="BodyText"/>
    <w:next w:val="BodyText"/>
    <w:link w:val="TitlePagePublicationNumberandDateChar"/>
    <w:qFormat/>
    <w:rsid w:val="00B914B3"/>
    <w:rPr>
      <w:rFonts w:asciiTheme="minorHAnsi" w:eastAsia="Times New Roman" w:hAnsiTheme="minorHAnsi" w:cs="Times New Roman"/>
      <w:sz w:val="20"/>
    </w:rPr>
  </w:style>
  <w:style w:type="character" w:customStyle="1" w:styleId="TitlePagePublicationNumberandDateChar">
    <w:name w:val="Title Page Publication Number and Date Char"/>
    <w:basedOn w:val="CopyrightinfoChar"/>
    <w:link w:val="TitlePagePublicationNumberandDate"/>
    <w:rsid w:val="00B914B3"/>
    <w:rPr>
      <w:rFonts w:eastAsia="Times New Roman" w:cs="Times New Roman"/>
      <w:iCs w:val="0"/>
      <w:sz w:val="20"/>
      <w:szCs w:val="24"/>
    </w:rPr>
  </w:style>
  <w:style w:type="paragraph" w:customStyle="1" w:styleId="TitlePageTitleSubtitle">
    <w:name w:val="Title Page Title/Subtitle"/>
    <w:basedOn w:val="TitlePageText"/>
    <w:qFormat/>
    <w:rsid w:val="00B914B3"/>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B914B3"/>
    <w:rPr>
      <w:b/>
    </w:rPr>
  </w:style>
  <w:style w:type="paragraph" w:customStyle="1" w:styleId="TableTextRight">
    <w:name w:val="Table Text Right"/>
    <w:basedOn w:val="TableText"/>
    <w:qFormat/>
    <w:rsid w:val="00B914B3"/>
    <w:pPr>
      <w:spacing w:line="240" w:lineRule="auto"/>
      <w:jc w:val="right"/>
    </w:pPr>
  </w:style>
  <w:style w:type="paragraph" w:customStyle="1" w:styleId="TableColHeadCenter-Narrow">
    <w:name w:val="Table Col Head Center-Narrow"/>
    <w:basedOn w:val="TableColHeadingCenter"/>
    <w:qFormat/>
    <w:rsid w:val="00B914B3"/>
    <w:rPr>
      <w:rFonts w:ascii="Arial Narrow" w:hAnsi="Arial Narrow"/>
    </w:rPr>
  </w:style>
  <w:style w:type="paragraph" w:customStyle="1" w:styleId="TableHead">
    <w:name w:val="Table Head"/>
    <w:next w:val="TableofFigures"/>
    <w:qFormat/>
    <w:rsid w:val="00B914B3"/>
    <w:pPr>
      <w:keepNext/>
      <w:keepLines/>
      <w:spacing w:before="40" w:after="40" w:line="240" w:lineRule="auto"/>
      <w:jc w:val="center"/>
    </w:pPr>
    <w:rPr>
      <w:rFonts w:ascii="Arial" w:eastAsia="Calibri" w:hAnsi="Arial" w:cs="Arial"/>
      <w:b/>
      <w:sz w:val="24"/>
    </w:rPr>
  </w:style>
  <w:style w:type="paragraph" w:customStyle="1" w:styleId="font5">
    <w:name w:val="font5"/>
    <w:basedOn w:val="Normal"/>
    <w:rsid w:val="00B914B3"/>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B914B3"/>
    <w:pPr>
      <w:shd w:val="clear" w:color="000000" w:fill="FFFFFF"/>
      <w:spacing w:before="100" w:beforeAutospacing="1" w:after="100" w:afterAutospacing="1" w:line="240" w:lineRule="auto"/>
      <w:textAlignment w:val="center"/>
    </w:pPr>
    <w:rPr>
      <w:rFonts w:ascii="Times New Roman" w:eastAsia="Times New Roman" w:hAnsi="Times New Roman"/>
      <w:b/>
      <w:bCs/>
      <w:color w:val="660000"/>
      <w:sz w:val="20"/>
      <w:szCs w:val="20"/>
    </w:rPr>
  </w:style>
  <w:style w:type="paragraph" w:customStyle="1" w:styleId="xl66">
    <w:name w:val="xl66"/>
    <w:basedOn w:val="Normal"/>
    <w:rsid w:val="00B914B3"/>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B914B3"/>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B914B3"/>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B914B3"/>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B914B3"/>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B914B3"/>
    <w:pPr>
      <w:spacing w:before="100" w:beforeAutospacing="1" w:after="100" w:afterAutospacing="1" w:line="240" w:lineRule="auto"/>
      <w:jc w:val="right"/>
    </w:pPr>
    <w:rPr>
      <w:rFonts w:ascii="Times New Roman" w:eastAsia="Times New Roman" w:hAnsi="Times New Roman"/>
      <w:szCs w:val="24"/>
    </w:rPr>
  </w:style>
  <w:style w:type="paragraph" w:customStyle="1" w:styleId="xl72">
    <w:name w:val="xl72"/>
    <w:basedOn w:val="Normal"/>
    <w:rsid w:val="00B914B3"/>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B914B3"/>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B914B3"/>
    <w:pPr>
      <w:spacing w:before="480" w:after="240" w:line="240" w:lineRule="auto"/>
      <w:jc w:val="center"/>
      <w:outlineLvl w:val="0"/>
    </w:pPr>
    <w:rPr>
      <w:rFonts w:ascii="Arial" w:eastAsia="Times New Roman" w:hAnsi="Arial" w:cs="Times New Roman"/>
      <w:b/>
      <w:bCs/>
      <w:sz w:val="28"/>
      <w:szCs w:val="24"/>
    </w:rPr>
  </w:style>
  <w:style w:type="paragraph" w:customStyle="1" w:styleId="NCDInsideCoverText">
    <w:name w:val="NCD.Inside Cover Text"/>
    <w:qFormat/>
    <w:rsid w:val="00B914B3"/>
    <w:pPr>
      <w:spacing w:before="480"/>
    </w:pPr>
    <w:rPr>
      <w:rFonts w:ascii="Arial" w:hAnsi="Arial" w:cs="Arial"/>
      <w:sz w:val="24"/>
      <w:szCs w:val="32"/>
    </w:rPr>
  </w:style>
  <w:style w:type="paragraph" w:customStyle="1" w:styleId="NCDInsideCoverTitle">
    <w:name w:val="NCD.Inside Cover Title"/>
    <w:qFormat/>
    <w:rsid w:val="00B914B3"/>
    <w:pPr>
      <w:spacing w:before="480" w:after="0" w:line="360" w:lineRule="auto"/>
    </w:pPr>
    <w:rPr>
      <w:rFonts w:ascii="Arial" w:hAnsi="Arial" w:cs="Arial"/>
      <w:b/>
      <w:i/>
      <w:sz w:val="24"/>
      <w:szCs w:val="32"/>
    </w:rPr>
  </w:style>
  <w:style w:type="paragraph" w:customStyle="1" w:styleId="NCDCoverLetterText">
    <w:name w:val="NCD.Cover Letter Text"/>
    <w:qFormat/>
    <w:rsid w:val="00B914B3"/>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B914B3"/>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B914B3"/>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B914B3"/>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B914B3"/>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B914B3"/>
    <w:pPr>
      <w:spacing w:after="360" w:line="240" w:lineRule="auto"/>
    </w:pPr>
    <w:rPr>
      <w:rFonts w:ascii="Arial" w:eastAsia="Times New Roman" w:hAnsi="Arial" w:cs="Times New Roman"/>
      <w:caps/>
      <w:color w:val="7F7F7F" w:themeColor="text1" w:themeTint="80"/>
      <w:sz w:val="36"/>
      <w:szCs w:val="32"/>
    </w:rPr>
  </w:style>
  <w:style w:type="paragraph" w:customStyle="1" w:styleId="PBodyText">
    <w:name w:val="P.Body Text"/>
    <w:link w:val="PBodyTextChar"/>
    <w:uiPriority w:val="99"/>
    <w:qFormat/>
    <w:rsid w:val="00B914B3"/>
    <w:pPr>
      <w:spacing w:after="240" w:line="360" w:lineRule="auto"/>
    </w:pPr>
    <w:rPr>
      <w:rFonts w:ascii="Arial" w:eastAsia="Times New Roman" w:hAnsi="Arial" w:cs="Times"/>
      <w:sz w:val="24"/>
      <w:szCs w:val="24"/>
    </w:rPr>
  </w:style>
  <w:style w:type="character" w:customStyle="1" w:styleId="PBodyTextChar">
    <w:name w:val="P.Body Text Char"/>
    <w:basedOn w:val="DefaultParagraphFont"/>
    <w:link w:val="PBodyText"/>
    <w:uiPriority w:val="99"/>
    <w:locked/>
    <w:rsid w:val="00B914B3"/>
    <w:rPr>
      <w:rFonts w:ascii="Arial" w:eastAsia="Times New Roman" w:hAnsi="Arial" w:cs="Times"/>
      <w:sz w:val="24"/>
      <w:szCs w:val="24"/>
    </w:rPr>
  </w:style>
  <w:style w:type="paragraph" w:customStyle="1" w:styleId="CM137">
    <w:name w:val="CM137"/>
    <w:basedOn w:val="Default"/>
    <w:next w:val="Default"/>
    <w:uiPriority w:val="99"/>
    <w:rsid w:val="00B914B3"/>
    <w:rPr>
      <w:rFonts w:ascii="Arial" w:eastAsiaTheme="minorHAnsi" w:hAnsi="Arial" w:cs="Arial"/>
      <w:color w:val="auto"/>
    </w:rPr>
  </w:style>
  <w:style w:type="paragraph" w:customStyle="1" w:styleId="CM28">
    <w:name w:val="CM28"/>
    <w:basedOn w:val="Default"/>
    <w:next w:val="Default"/>
    <w:uiPriority w:val="99"/>
    <w:rsid w:val="00B914B3"/>
    <w:pPr>
      <w:spacing w:line="286" w:lineRule="atLeast"/>
    </w:pPr>
    <w:rPr>
      <w:rFonts w:eastAsiaTheme="minorHAnsi"/>
      <w:color w:val="auto"/>
    </w:rPr>
  </w:style>
  <w:style w:type="paragraph" w:customStyle="1" w:styleId="CM136">
    <w:name w:val="CM136"/>
    <w:basedOn w:val="Default"/>
    <w:next w:val="Default"/>
    <w:uiPriority w:val="99"/>
    <w:rsid w:val="00B914B3"/>
    <w:rPr>
      <w:rFonts w:eastAsiaTheme="minorHAnsi"/>
      <w:color w:val="auto"/>
    </w:rPr>
  </w:style>
  <w:style w:type="paragraph" w:customStyle="1" w:styleId="CM13">
    <w:name w:val="CM13"/>
    <w:basedOn w:val="Default"/>
    <w:next w:val="Default"/>
    <w:uiPriority w:val="99"/>
    <w:rsid w:val="00B914B3"/>
    <w:pPr>
      <w:spacing w:line="423" w:lineRule="atLeast"/>
    </w:pPr>
    <w:rPr>
      <w:rFonts w:eastAsiaTheme="minorHAnsi"/>
      <w:color w:val="auto"/>
    </w:rPr>
  </w:style>
  <w:style w:type="character" w:customStyle="1" w:styleId="y0nh2b">
    <w:name w:val="y0nh2b"/>
    <w:rsid w:val="00B914B3"/>
  </w:style>
  <w:style w:type="character" w:customStyle="1" w:styleId="A17">
    <w:name w:val="A17"/>
    <w:uiPriority w:val="99"/>
    <w:rsid w:val="00B914B3"/>
    <w:rPr>
      <w:rFonts w:cs="TradeGothic Bold"/>
      <w:b/>
      <w:bCs/>
      <w:color w:val="000000"/>
      <w:sz w:val="22"/>
      <w:szCs w:val="22"/>
    </w:rPr>
  </w:style>
  <w:style w:type="character" w:customStyle="1" w:styleId="A4">
    <w:name w:val="A4"/>
    <w:uiPriority w:val="99"/>
    <w:rsid w:val="00B914B3"/>
    <w:rPr>
      <w:rFonts w:ascii="TradeGothic Light" w:hAnsi="TradeGothic Light" w:cs="TradeGothic Light"/>
      <w:color w:val="000000"/>
      <w:sz w:val="18"/>
      <w:szCs w:val="18"/>
    </w:rPr>
  </w:style>
  <w:style w:type="numbering" w:customStyle="1" w:styleId="NoList2">
    <w:name w:val="No List2"/>
    <w:next w:val="NoList"/>
    <w:uiPriority w:val="99"/>
    <w:semiHidden/>
    <w:unhideWhenUsed/>
    <w:rsid w:val="00B914B3"/>
  </w:style>
  <w:style w:type="character" w:customStyle="1" w:styleId="chapeau">
    <w:name w:val="chapeau"/>
    <w:basedOn w:val="DefaultParagraphFont"/>
    <w:rsid w:val="00B914B3"/>
  </w:style>
  <w:style w:type="character" w:customStyle="1" w:styleId="num">
    <w:name w:val="num"/>
    <w:basedOn w:val="DefaultParagraphFont"/>
    <w:rsid w:val="00B914B3"/>
  </w:style>
  <w:style w:type="numbering" w:customStyle="1" w:styleId="List01">
    <w:name w:val="List 01"/>
    <w:basedOn w:val="NoList"/>
    <w:rsid w:val="00B914B3"/>
  </w:style>
  <w:style w:type="numbering" w:customStyle="1" w:styleId="List11">
    <w:name w:val="List 11"/>
    <w:basedOn w:val="NoList"/>
    <w:rsid w:val="00B914B3"/>
  </w:style>
  <w:style w:type="numbering" w:customStyle="1" w:styleId="Bullet20">
    <w:name w:val="Bullet2"/>
    <w:rsid w:val="00B914B3"/>
  </w:style>
  <w:style w:type="numbering" w:customStyle="1" w:styleId="List212">
    <w:name w:val="List 212"/>
    <w:basedOn w:val="NoList"/>
    <w:rsid w:val="00B914B3"/>
  </w:style>
  <w:style w:type="numbering" w:customStyle="1" w:styleId="List312">
    <w:name w:val="List 312"/>
    <w:basedOn w:val="NoList"/>
    <w:rsid w:val="00B914B3"/>
  </w:style>
  <w:style w:type="numbering" w:customStyle="1" w:styleId="Bullet11">
    <w:name w:val="Bullet11"/>
    <w:rsid w:val="00B914B3"/>
  </w:style>
  <w:style w:type="numbering" w:customStyle="1" w:styleId="List2111">
    <w:name w:val="List 2111"/>
    <w:basedOn w:val="NoList"/>
    <w:rsid w:val="00B914B3"/>
  </w:style>
  <w:style w:type="numbering" w:customStyle="1" w:styleId="List3111">
    <w:name w:val="List 3111"/>
    <w:basedOn w:val="NoList"/>
    <w:rsid w:val="00B914B3"/>
  </w:style>
  <w:style w:type="paragraph" w:customStyle="1" w:styleId="Pa2">
    <w:name w:val="Pa2"/>
    <w:basedOn w:val="Default"/>
    <w:next w:val="Default"/>
    <w:uiPriority w:val="99"/>
    <w:rsid w:val="00B914B3"/>
    <w:pPr>
      <w:spacing w:line="201" w:lineRule="atLeast"/>
    </w:pPr>
    <w:rPr>
      <w:rFonts w:ascii="Univers LT Std 45 Light" w:eastAsiaTheme="minorHAnsi" w:hAnsi="Univers LT Std 45 Light" w:cstheme="minorBidi"/>
      <w:color w:val="auto"/>
    </w:rPr>
  </w:style>
  <w:style w:type="paragraph" w:customStyle="1" w:styleId="Pa3">
    <w:name w:val="Pa3"/>
    <w:basedOn w:val="Default"/>
    <w:next w:val="Default"/>
    <w:uiPriority w:val="99"/>
    <w:rsid w:val="00B914B3"/>
    <w:pPr>
      <w:spacing w:line="201" w:lineRule="atLeast"/>
    </w:pPr>
    <w:rPr>
      <w:rFonts w:ascii="Univers LT Std 45 Light" w:eastAsiaTheme="minorHAnsi" w:hAnsi="Univers LT Std 45 Light" w:cstheme="minorBidi"/>
      <w:color w:val="auto"/>
    </w:rPr>
  </w:style>
  <w:style w:type="paragraph" w:customStyle="1" w:styleId="Pa4">
    <w:name w:val="Pa4"/>
    <w:basedOn w:val="Default"/>
    <w:next w:val="Default"/>
    <w:uiPriority w:val="99"/>
    <w:rsid w:val="00B914B3"/>
    <w:pPr>
      <w:spacing w:line="201" w:lineRule="atLeast"/>
    </w:pPr>
    <w:rPr>
      <w:rFonts w:ascii="Univers LT Std 45 Light" w:eastAsiaTheme="minorHAnsi" w:hAnsi="Univers LT Std 45 Light" w:cstheme="minorBidi"/>
      <w:color w:val="auto"/>
    </w:rPr>
  </w:style>
  <w:style w:type="character" w:customStyle="1" w:styleId="paperstitle1">
    <w:name w:val="paperstitle1"/>
    <w:basedOn w:val="DefaultParagraphFont"/>
    <w:rsid w:val="00B914B3"/>
    <w:rPr>
      <w:rFonts w:ascii="Georgia" w:hAnsi="Georgia" w:hint="default"/>
      <w:b/>
      <w:bCs/>
      <w:color w:val="333333"/>
    </w:rPr>
  </w:style>
  <w:style w:type="paragraph" w:customStyle="1" w:styleId="hanging-indent1">
    <w:name w:val="hanging-indent1"/>
    <w:basedOn w:val="Normal"/>
    <w:rsid w:val="00B914B3"/>
    <w:pPr>
      <w:spacing w:before="100" w:beforeAutospacing="1" w:after="100" w:afterAutospacing="1" w:line="360" w:lineRule="atLeast"/>
      <w:ind w:right="240"/>
    </w:pPr>
    <w:rPr>
      <w:rFonts w:ascii="Arial" w:eastAsia="Times New Roman" w:hAnsi="Arial" w:cs="Arial"/>
      <w:color w:val="000000"/>
      <w:szCs w:val="24"/>
    </w:rPr>
  </w:style>
  <w:style w:type="paragraph" w:customStyle="1" w:styleId="CM1">
    <w:name w:val="CM1"/>
    <w:basedOn w:val="Normal"/>
    <w:next w:val="Normal"/>
    <w:uiPriority w:val="99"/>
    <w:rsid w:val="00B914B3"/>
    <w:pPr>
      <w:autoSpaceDE w:val="0"/>
      <w:autoSpaceDN w:val="0"/>
      <w:adjustRightInd w:val="0"/>
      <w:spacing w:after="0" w:line="460" w:lineRule="atLeast"/>
    </w:pPr>
    <w:rPr>
      <w:rFonts w:ascii="Arial" w:hAnsi="Arial" w:cs="Arial"/>
      <w:szCs w:val="24"/>
    </w:rPr>
  </w:style>
  <w:style w:type="character" w:customStyle="1" w:styleId="boldtext1">
    <w:name w:val="boldtext1"/>
    <w:basedOn w:val="DefaultParagraphFont"/>
    <w:rsid w:val="00B914B3"/>
    <w:rPr>
      <w:rFonts w:ascii="Arial" w:hAnsi="Arial" w:cs="Arial" w:hint="default"/>
      <w:b/>
      <w:bCs/>
      <w:i w:val="0"/>
      <w:iCs w:val="0"/>
      <w:caps w:val="0"/>
      <w:smallCaps w:val="0"/>
      <w:color w:val="990000"/>
    </w:rPr>
  </w:style>
  <w:style w:type="paragraph" w:styleId="HTMLPreformatted">
    <w:name w:val="HTML Preformatted"/>
    <w:basedOn w:val="Normal"/>
    <w:link w:val="HTMLPreformattedChar"/>
    <w:uiPriority w:val="99"/>
    <w:semiHidden/>
    <w:unhideWhenUsed/>
    <w:rsid w:val="00B914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14B3"/>
    <w:rPr>
      <w:rFonts w:ascii="Consolas" w:eastAsia="Calibri" w:hAnsi="Consolas" w:cs="Times New Roman"/>
      <w:sz w:val="20"/>
      <w:szCs w:val="20"/>
    </w:rPr>
  </w:style>
  <w:style w:type="character" w:customStyle="1" w:styleId="h2">
    <w:name w:val="h2"/>
    <w:basedOn w:val="DefaultParagraphFont"/>
    <w:rsid w:val="00B914B3"/>
  </w:style>
  <w:style w:type="character" w:customStyle="1" w:styleId="NCDBodyChar">
    <w:name w:val="NCD Body Char"/>
    <w:basedOn w:val="DefaultParagraphFont"/>
    <w:link w:val="NCDBody"/>
    <w:locked/>
    <w:rsid w:val="00225A0F"/>
    <w:rPr>
      <w:rFonts w:ascii="Arial" w:eastAsia="Times New Roman" w:hAnsi="Arial" w:cs="Arial"/>
      <w:sz w:val="24"/>
    </w:rPr>
  </w:style>
  <w:style w:type="paragraph" w:customStyle="1" w:styleId="NCDBody">
    <w:name w:val="NCD Body"/>
    <w:link w:val="NCDBodyChar"/>
    <w:rsid w:val="00225A0F"/>
    <w:pPr>
      <w:spacing w:after="360" w:line="360" w:lineRule="auto"/>
    </w:pPr>
    <w:rPr>
      <w:rFonts w:ascii="Arial" w:eastAsia="Times New Roman" w:hAnsi="Arial" w:cs="Arial"/>
      <w:sz w:val="24"/>
    </w:rPr>
  </w:style>
  <w:style w:type="paragraph" w:styleId="PlainText">
    <w:name w:val="Plain Text"/>
    <w:basedOn w:val="Normal"/>
    <w:link w:val="PlainTextChar"/>
    <w:uiPriority w:val="99"/>
    <w:semiHidden/>
    <w:unhideWhenUsed/>
    <w:rsid w:val="00225A0F"/>
    <w:pPr>
      <w:spacing w:after="0" w:line="240" w:lineRule="auto"/>
    </w:pPr>
    <w:rPr>
      <w:rFonts w:ascii="Consolas" w:eastAsiaTheme="minorEastAsia" w:hAnsi="Consolas" w:cs="Arial"/>
      <w:sz w:val="21"/>
      <w:szCs w:val="21"/>
    </w:rPr>
  </w:style>
  <w:style w:type="character" w:customStyle="1" w:styleId="PlainTextChar">
    <w:name w:val="Plain Text Char"/>
    <w:basedOn w:val="DefaultParagraphFont"/>
    <w:link w:val="PlainText"/>
    <w:uiPriority w:val="99"/>
    <w:semiHidden/>
    <w:rsid w:val="00225A0F"/>
    <w:rPr>
      <w:rFonts w:ascii="Consolas" w:eastAsiaTheme="minorEastAsia" w:hAnsi="Consolas" w:cs="Arial"/>
      <w:sz w:val="21"/>
      <w:szCs w:val="21"/>
    </w:rPr>
  </w:style>
  <w:style w:type="paragraph" w:customStyle="1" w:styleId="NCDHeading3NoSpaceAfter">
    <w:name w:val="NCD Heading 3 NoSpaceAfter"/>
    <w:basedOn w:val="Normal"/>
    <w:rsid w:val="00225A0F"/>
    <w:pPr>
      <w:keepNext/>
      <w:keepLines/>
      <w:tabs>
        <w:tab w:val="left" w:pos="475"/>
      </w:tabs>
      <w:spacing w:after="0" w:line="360" w:lineRule="auto"/>
      <w:outlineLvl w:val="2"/>
    </w:pPr>
    <w:rPr>
      <w:rFonts w:ascii="Arial" w:eastAsia="Times New Roman" w:hAnsi="Arial" w:cstheme="minorBidi"/>
      <w:b/>
      <w:i/>
      <w:sz w:val="28"/>
      <w:szCs w:val="26"/>
    </w:rPr>
  </w:style>
  <w:style w:type="character" w:customStyle="1" w:styleId="contribdegrees">
    <w:name w:val="contribdegrees"/>
    <w:basedOn w:val="DefaultParagraphFont"/>
    <w:rsid w:val="00225A0F"/>
  </w:style>
  <w:style w:type="paragraph" w:customStyle="1" w:styleId="NCDBoxHead">
    <w:name w:val="NCD BoxHead"/>
    <w:rsid w:val="00225A0F"/>
    <w:pPr>
      <w:keepNext/>
      <w:pBdr>
        <w:top w:val="single" w:sz="6" w:space="18" w:color="000000"/>
        <w:left w:val="single" w:sz="6" w:space="18" w:color="000000"/>
        <w:bottom w:val="single" w:sz="6" w:space="18" w:color="000000"/>
        <w:right w:val="single" w:sz="6" w:space="18" w:color="000000"/>
      </w:pBdr>
      <w:shd w:val="clear" w:color="auto" w:fill="E6E6E6"/>
      <w:spacing w:after="360" w:line="360" w:lineRule="auto"/>
      <w:ind w:left="360" w:right="360"/>
      <w:jc w:val="center"/>
    </w:pPr>
    <w:rPr>
      <w:rFonts w:ascii="Arial" w:eastAsia="Calibri" w:hAnsi="Arial" w:cs="Arial"/>
      <w:b/>
      <w:sz w:val="28"/>
      <w:szCs w:val="32"/>
    </w:rPr>
  </w:style>
  <w:style w:type="character" w:styleId="HTMLAcronym">
    <w:name w:val="HTML Acronym"/>
    <w:basedOn w:val="DefaultParagraphFont"/>
    <w:uiPriority w:val="99"/>
    <w:semiHidden/>
    <w:unhideWhenUsed/>
    <w:rsid w:val="00225A0F"/>
  </w:style>
  <w:style w:type="table" w:styleId="LightList">
    <w:name w:val="Light List"/>
    <w:basedOn w:val="TableNormal"/>
    <w:uiPriority w:val="61"/>
    <w:unhideWhenUsed/>
    <w:rsid w:val="00225A0F"/>
    <w:pPr>
      <w:spacing w:after="0" w:line="240" w:lineRule="auto"/>
      <w:jc w:val="center"/>
    </w:pPr>
    <w:rPr>
      <w:rFonts w:ascii="Times New Roman" w:eastAsiaTheme="minorEastAsia"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yiv6194167941msonormal">
    <w:name w:val="yiv6194167941msonormal"/>
    <w:basedOn w:val="Normal"/>
    <w:rsid w:val="00225A0F"/>
    <w:pPr>
      <w:spacing w:before="100" w:beforeAutospacing="1" w:after="100" w:afterAutospacing="1" w:line="240" w:lineRule="auto"/>
    </w:pPr>
    <w:rPr>
      <w:rFonts w:ascii="Times New Roman" w:eastAsia="Times New Roman" w:hAnsi="Times New Roman" w:cstheme="minorBidi"/>
      <w:sz w:val="20"/>
      <w:szCs w:val="24"/>
    </w:rPr>
  </w:style>
  <w:style w:type="character" w:customStyle="1" w:styleId="yiv6194167941apple-converted-space">
    <w:name w:val="yiv6194167941apple-converted-space"/>
    <w:basedOn w:val="DefaultParagraphFont"/>
    <w:rsid w:val="00225A0F"/>
  </w:style>
  <w:style w:type="character" w:customStyle="1" w:styleId="NCDTextCharChar">
    <w:name w:val="NCD Text Char Char"/>
    <w:basedOn w:val="DefaultParagraphFont"/>
    <w:link w:val="NCDText"/>
    <w:rsid w:val="00225A0F"/>
    <w:rPr>
      <w:rFonts w:ascii="Arial" w:hAnsi="Arial"/>
      <w:sz w:val="24"/>
    </w:rPr>
  </w:style>
  <w:style w:type="paragraph" w:customStyle="1" w:styleId="NCDText">
    <w:name w:val="NCD Text"/>
    <w:link w:val="NCDTextCharChar"/>
    <w:rsid w:val="00225A0F"/>
    <w:pPr>
      <w:spacing w:after="360" w:line="360" w:lineRule="auto"/>
    </w:pPr>
    <w:rPr>
      <w:rFonts w:ascii="Arial" w:hAnsi="Arial"/>
      <w:sz w:val="24"/>
    </w:rPr>
  </w:style>
  <w:style w:type="paragraph" w:customStyle="1" w:styleId="TableParagraph">
    <w:name w:val="Table Paragraph"/>
    <w:basedOn w:val="Normal"/>
    <w:uiPriority w:val="1"/>
    <w:rsid w:val="00225A0F"/>
    <w:pPr>
      <w:autoSpaceDE w:val="0"/>
      <w:autoSpaceDN w:val="0"/>
      <w:adjustRightInd w:val="0"/>
      <w:spacing w:after="0" w:line="238" w:lineRule="exact"/>
      <w:ind w:left="450" w:right="450"/>
      <w:jc w:val="center"/>
    </w:pPr>
    <w:rPr>
      <w:rFonts w:ascii="Times New Roman" w:eastAsiaTheme="minorHAnsi" w:hAnsi="Times New Roman" w:cstheme="minorBidi"/>
      <w:sz w:val="20"/>
      <w:szCs w:val="24"/>
    </w:rPr>
  </w:style>
  <w:style w:type="paragraph" w:customStyle="1" w:styleId="text">
    <w:name w:val="text"/>
    <w:basedOn w:val="Normal"/>
    <w:rsid w:val="00225A0F"/>
    <w:pPr>
      <w:spacing w:before="100" w:beforeAutospacing="1" w:after="100" w:afterAutospacing="1" w:line="240" w:lineRule="auto"/>
    </w:pPr>
    <w:rPr>
      <w:rFonts w:ascii="Times New Roman" w:eastAsia="Times New Roman" w:hAnsi="Times New Roman" w:cstheme="minorBidi"/>
      <w:sz w:val="20"/>
      <w:szCs w:val="24"/>
    </w:rPr>
  </w:style>
  <w:style w:type="character" w:customStyle="1" w:styleId="st">
    <w:name w:val="st"/>
    <w:basedOn w:val="DefaultParagraphFont"/>
    <w:rsid w:val="00225A0F"/>
  </w:style>
  <w:style w:type="paragraph" w:styleId="IntenseQuote">
    <w:name w:val="Intense Quote"/>
    <w:basedOn w:val="Normal"/>
    <w:next w:val="Normal"/>
    <w:link w:val="IntenseQuoteChar"/>
    <w:uiPriority w:val="30"/>
    <w:qFormat/>
    <w:rsid w:val="00225A0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25A0F"/>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25A0F"/>
    <w:rPr>
      <w:i/>
      <w:iCs/>
      <w:color w:val="404040" w:themeColor="text1" w:themeTint="BF"/>
    </w:rPr>
  </w:style>
  <w:style w:type="character" w:styleId="IntenseEmphasis">
    <w:name w:val="Intense Emphasis"/>
    <w:basedOn w:val="DefaultParagraphFont"/>
    <w:uiPriority w:val="21"/>
    <w:qFormat/>
    <w:rsid w:val="00225A0F"/>
    <w:rPr>
      <w:b/>
      <w:bCs/>
      <w:i/>
      <w:iCs/>
    </w:rPr>
  </w:style>
  <w:style w:type="character" w:styleId="SubtleReference">
    <w:name w:val="Subtle Reference"/>
    <w:basedOn w:val="DefaultParagraphFont"/>
    <w:uiPriority w:val="31"/>
    <w:qFormat/>
    <w:rsid w:val="00225A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5A0F"/>
    <w:rPr>
      <w:b/>
      <w:bCs/>
      <w:smallCaps/>
      <w:spacing w:val="5"/>
      <w:u w:val="single"/>
    </w:rPr>
  </w:style>
  <w:style w:type="character" w:styleId="BookTitle">
    <w:name w:val="Book Title"/>
    <w:basedOn w:val="DefaultParagraphFont"/>
    <w:uiPriority w:val="33"/>
    <w:qFormat/>
    <w:rsid w:val="00225A0F"/>
    <w:rPr>
      <w:b/>
      <w:bCs/>
      <w:smallCaps/>
    </w:rPr>
  </w:style>
  <w:style w:type="paragraph" w:customStyle="1" w:styleId="EndnoteText1">
    <w:name w:val="Endnote Text1"/>
    <w:basedOn w:val="Normal"/>
    <w:next w:val="EndnoteText"/>
    <w:uiPriority w:val="99"/>
    <w:unhideWhenUsed/>
    <w:rsid w:val="00225A0F"/>
    <w:pPr>
      <w:spacing w:after="0" w:line="240" w:lineRule="auto"/>
    </w:pPr>
    <w:rPr>
      <w:rFonts w:asciiTheme="minorHAnsi" w:hAnsiTheme="minorHAnsi" w:cstheme="minorBidi"/>
      <w:sz w:val="22"/>
    </w:rPr>
  </w:style>
  <w:style w:type="paragraph" w:customStyle="1" w:styleId="Pa34">
    <w:name w:val="Pa34"/>
    <w:basedOn w:val="Normal"/>
    <w:next w:val="Normal"/>
    <w:uiPriority w:val="99"/>
    <w:rsid w:val="00FC6AD9"/>
    <w:pPr>
      <w:autoSpaceDE w:val="0"/>
      <w:autoSpaceDN w:val="0"/>
      <w:adjustRightInd w:val="0"/>
      <w:spacing w:after="0" w:line="221" w:lineRule="atLeast"/>
    </w:pPr>
    <w:rPr>
      <w:rFonts w:ascii="Univers 45 Light" w:eastAsiaTheme="minorHAnsi" w:hAnsi="Univers 45 Light" w:cstheme="minorBidi"/>
      <w:szCs w:val="24"/>
    </w:rPr>
  </w:style>
  <w:style w:type="paragraph" w:customStyle="1" w:styleId="EndNoteBibliographyTitle">
    <w:name w:val="EndNote Bibliography Title"/>
    <w:basedOn w:val="Normal"/>
    <w:link w:val="EndNoteBibliographyTitleChar"/>
    <w:rsid w:val="00FC6AD9"/>
    <w:pPr>
      <w:spacing w:after="0" w:line="259" w:lineRule="auto"/>
      <w:jc w:val="center"/>
    </w:pPr>
    <w:rPr>
      <w:rFonts w:eastAsiaTheme="minorHAnsi" w:cs="Calibri"/>
      <w:noProof/>
      <w:sz w:val="36"/>
      <w:szCs w:val="32"/>
    </w:rPr>
  </w:style>
  <w:style w:type="character" w:customStyle="1" w:styleId="EndNoteBibliographyTitleChar">
    <w:name w:val="EndNote Bibliography Title Char"/>
    <w:basedOn w:val="Heading1Char"/>
    <w:link w:val="EndNoteBibliographyTitle"/>
    <w:rsid w:val="00FC6AD9"/>
    <w:rPr>
      <w:rFonts w:ascii="Calibri" w:hAnsi="Calibri" w:cs="Calibri"/>
      <w:b w:val="0"/>
      <w:noProof/>
      <w:sz w:val="36"/>
      <w:szCs w:val="32"/>
    </w:rPr>
  </w:style>
  <w:style w:type="paragraph" w:customStyle="1" w:styleId="EndNoteBibliography">
    <w:name w:val="EndNote Bibliography"/>
    <w:basedOn w:val="Normal"/>
    <w:link w:val="EndNoteBibliographyChar"/>
    <w:rsid w:val="00FC6AD9"/>
    <w:pPr>
      <w:spacing w:after="160" w:line="240" w:lineRule="auto"/>
    </w:pPr>
    <w:rPr>
      <w:rFonts w:eastAsiaTheme="minorHAnsi" w:cs="Calibri"/>
      <w:noProof/>
      <w:sz w:val="36"/>
      <w:szCs w:val="32"/>
    </w:rPr>
  </w:style>
  <w:style w:type="character" w:customStyle="1" w:styleId="EndNoteBibliographyChar">
    <w:name w:val="EndNote Bibliography Char"/>
    <w:basedOn w:val="Heading1Char"/>
    <w:link w:val="EndNoteBibliography"/>
    <w:rsid w:val="00FC6AD9"/>
    <w:rPr>
      <w:rFonts w:ascii="Calibri" w:hAnsi="Calibri" w:cs="Calibri"/>
      <w:b w:val="0"/>
      <w:noProof/>
      <w:sz w:val="36"/>
      <w:szCs w:val="32"/>
    </w:rPr>
  </w:style>
  <w:style w:type="table" w:customStyle="1" w:styleId="GridTable1LightAccent5">
    <w:name w:val="Grid Table 1 Light Accent 5"/>
    <w:basedOn w:val="TableNormal"/>
    <w:uiPriority w:val="46"/>
    <w:rsid w:val="00FC6AD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FC6AD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3280836233354879358msolistparagraph">
    <w:name w:val="m_3280836233354879358msolistparagraph"/>
    <w:basedOn w:val="Normal"/>
    <w:rsid w:val="00FC6AD9"/>
    <w:pPr>
      <w:spacing w:before="100" w:beforeAutospacing="1" w:after="100" w:afterAutospacing="1" w:line="240" w:lineRule="auto"/>
    </w:pPr>
    <w:rPr>
      <w:rFonts w:eastAsiaTheme="minorHAnsi" w:cs="Calibri"/>
      <w:sz w:val="22"/>
    </w:rPr>
  </w:style>
  <w:style w:type="character" w:customStyle="1" w:styleId="normaltextrun">
    <w:name w:val="normaltextrun"/>
    <w:basedOn w:val="DefaultParagraphFont"/>
    <w:rsid w:val="00FC6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6D"/>
    <w:pPr>
      <w:spacing w:after="120"/>
    </w:pPr>
    <w:rPr>
      <w:rFonts w:ascii="Calibri" w:eastAsia="Calibri" w:hAnsi="Calibri" w:cs="Times New Roman"/>
      <w:sz w:val="24"/>
    </w:rPr>
  </w:style>
  <w:style w:type="paragraph" w:styleId="Heading1">
    <w:name w:val="heading 1"/>
    <w:next w:val="Normal"/>
    <w:link w:val="Heading1Char"/>
    <w:uiPriority w:val="9"/>
    <w:qFormat/>
    <w:rsid w:val="004E5FD5"/>
    <w:pPr>
      <w:keepNext/>
      <w:keepLines/>
      <w:spacing w:line="360" w:lineRule="auto"/>
      <w:jc w:val="center"/>
      <w:outlineLvl w:val="0"/>
    </w:pPr>
    <w:rPr>
      <w:rFonts w:ascii="Arial" w:hAnsi="Arial" w:cs="Arial"/>
      <w:b/>
      <w:sz w:val="36"/>
      <w:szCs w:val="32"/>
    </w:rPr>
  </w:style>
  <w:style w:type="paragraph" w:styleId="Heading2">
    <w:name w:val="heading 2"/>
    <w:aliases w:val="NCD.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aliases w:val="NCD.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aliases w:val="NCD.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iPriority w:val="9"/>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iPriority w:val="9"/>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FD5"/>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aliases w:val="NCD.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aliases w:val="NCD.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aliases w:val="Footnote Text Char1,Footnote Text Char Char,Footnote Text Char5 Char Char,Footnote Text Char Char Char Char,Footnote Text Char4 Char Char1 Char Char,Footnote Text Char2 Char Char2 Char2 Char Char,Footnote Text Char5 Char"/>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aliases w:val="Footnote Text Char1 Char,Footnote Text Char Char Char,Footnote Text Char5 Char Char Char,Footnote Text Char Char Char Char Char,Footnote Text Char4 Char Char1 Char Char Char,Footnote Text Char2 Char Char2 Char2 Char Char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aliases w:val="Style 12,(NECG) Footnote Reference,Style 13,Appel note de bas de p,Style 124,fr,o,Style 3,FR,callout,4_G,Footnote Reference Number,Ref,de nota al pie,4_G Char Char,Footnote Reference1 Char Char,Footnotes refss Char Char"/>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3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D731D6"/>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1"/>
    <w:unhideWhenUsed/>
    <w:qFormat/>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1"/>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qFormat/>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character" w:customStyle="1" w:styleId="bylinename">
    <w:name w:val="byline__name"/>
    <w:basedOn w:val="DefaultParagraphFont"/>
    <w:rsid w:val="00FD01A2"/>
  </w:style>
  <w:style w:type="character" w:customStyle="1" w:styleId="cit">
    <w:name w:val="cit"/>
    <w:basedOn w:val="DefaultParagraphFont"/>
    <w:rsid w:val="00FD01A2"/>
  </w:style>
  <w:style w:type="character" w:customStyle="1" w:styleId="visually-hidden">
    <w:name w:val="visually-hidden"/>
    <w:basedOn w:val="DefaultParagraphFont"/>
    <w:rsid w:val="00FD01A2"/>
  </w:style>
  <w:style w:type="paragraph" w:customStyle="1" w:styleId="TableNote">
    <w:name w:val="Table Note"/>
    <w:qFormat/>
    <w:rsid w:val="00B914B3"/>
    <w:pPr>
      <w:spacing w:before="60" w:after="240" w:line="240" w:lineRule="auto"/>
      <w:contextualSpacing/>
    </w:pPr>
    <w:rPr>
      <w:rFonts w:ascii="Arial" w:eastAsia="Times New Roman" w:hAnsi="Arial" w:cs="Times New Roman"/>
      <w:sz w:val="18"/>
      <w:szCs w:val="24"/>
    </w:rPr>
  </w:style>
  <w:style w:type="paragraph" w:customStyle="1" w:styleId="Footnote">
    <w:name w:val="Footnote"/>
    <w:rsid w:val="00B914B3"/>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numbering" w:customStyle="1" w:styleId="List0">
    <w:name w:val="List 0"/>
    <w:basedOn w:val="NoList"/>
    <w:rsid w:val="00B914B3"/>
    <w:pPr>
      <w:numPr>
        <w:numId w:val="22"/>
      </w:numPr>
    </w:pPr>
  </w:style>
  <w:style w:type="numbering" w:customStyle="1" w:styleId="List1">
    <w:name w:val="List 1"/>
    <w:basedOn w:val="NoList"/>
    <w:rsid w:val="00B914B3"/>
    <w:pPr>
      <w:numPr>
        <w:numId w:val="24"/>
      </w:numPr>
    </w:pPr>
  </w:style>
  <w:style w:type="numbering" w:customStyle="1" w:styleId="Bullet">
    <w:name w:val="Bullet"/>
    <w:rsid w:val="00B914B3"/>
    <w:pPr>
      <w:numPr>
        <w:numId w:val="25"/>
      </w:numPr>
    </w:pPr>
  </w:style>
  <w:style w:type="numbering" w:customStyle="1" w:styleId="List21">
    <w:name w:val="List 21"/>
    <w:basedOn w:val="NoList"/>
    <w:rsid w:val="00B914B3"/>
    <w:pPr>
      <w:numPr>
        <w:numId w:val="26"/>
      </w:numPr>
    </w:pPr>
  </w:style>
  <w:style w:type="numbering" w:customStyle="1" w:styleId="List31">
    <w:name w:val="List 31"/>
    <w:basedOn w:val="NoList"/>
    <w:rsid w:val="00B914B3"/>
    <w:pPr>
      <w:numPr>
        <w:numId w:val="27"/>
      </w:numPr>
    </w:pPr>
  </w:style>
  <w:style w:type="character" w:customStyle="1" w:styleId="Hyperlink2">
    <w:name w:val="Hyperlink.2"/>
    <w:basedOn w:val="Hyperlink0"/>
    <w:rsid w:val="00B914B3"/>
    <w:rPr>
      <w:rFonts w:ascii="Arial" w:eastAsia="Arial" w:hAnsi="Arial" w:cs="Arial"/>
      <w:b w:val="0"/>
      <w:bCs w:val="0"/>
      <w:i w:val="0"/>
      <w:iCs w:val="0"/>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numbering" w:customStyle="1" w:styleId="List311">
    <w:name w:val="List 311"/>
    <w:basedOn w:val="NoList"/>
    <w:rsid w:val="00B914B3"/>
    <w:pPr>
      <w:numPr>
        <w:numId w:val="23"/>
      </w:numPr>
    </w:pPr>
  </w:style>
  <w:style w:type="paragraph" w:customStyle="1" w:styleId="NCDTextBoxBullets">
    <w:name w:val="NCD.Text Box Bullets"/>
    <w:qFormat/>
    <w:rsid w:val="00B914B3"/>
    <w:pPr>
      <w:numPr>
        <w:numId w:val="2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B914B3"/>
    <w:pPr>
      <w:keepNext/>
      <w:spacing w:after="240" w:line="240" w:lineRule="auto"/>
      <w:jc w:val="center"/>
    </w:pPr>
    <w:rPr>
      <w:rFonts w:ascii="Arial" w:eastAsia="Calibri" w:hAnsi="Arial" w:cs="Arial"/>
      <w:b/>
      <w:sz w:val="24"/>
      <w:szCs w:val="28"/>
    </w:rPr>
  </w:style>
  <w:style w:type="paragraph" w:customStyle="1" w:styleId="NCDTextBoxText">
    <w:name w:val="NCD.Text Box Text"/>
    <w:qFormat/>
    <w:rsid w:val="00B914B3"/>
    <w:pPr>
      <w:spacing w:after="0" w:line="240" w:lineRule="auto"/>
    </w:pPr>
    <w:rPr>
      <w:rFonts w:ascii="Arial" w:eastAsia="Calibri" w:hAnsi="Arial" w:cs="Arial"/>
      <w:color w:val="FFFFFF" w:themeColor="background1"/>
      <w:sz w:val="24"/>
      <w:szCs w:val="24"/>
    </w:rPr>
  </w:style>
  <w:style w:type="paragraph" w:customStyle="1" w:styleId="NCDExhibitTitle">
    <w:name w:val="NCD.Exhibit Title"/>
    <w:qFormat/>
    <w:rsid w:val="00B914B3"/>
    <w:pPr>
      <w:keepNext/>
      <w:spacing w:after="240" w:line="240" w:lineRule="auto"/>
    </w:pPr>
    <w:rPr>
      <w:rFonts w:ascii="Arial" w:eastAsia="Calibri" w:hAnsi="Arial" w:cs="Calibri"/>
      <w:b/>
      <w:color w:val="000000"/>
      <w:sz w:val="24"/>
      <w:szCs w:val="24"/>
      <w:u w:color="000000"/>
      <w:bdr w:val="nil"/>
    </w:rPr>
  </w:style>
  <w:style w:type="paragraph" w:customStyle="1" w:styleId="NCDTableSubhead">
    <w:name w:val="NCD.Table Subhead"/>
    <w:basedOn w:val="Normal"/>
    <w:qFormat/>
    <w:rsid w:val="00B914B3"/>
    <w:pPr>
      <w:spacing w:after="0" w:line="240" w:lineRule="auto"/>
    </w:pPr>
    <w:rPr>
      <w:rFonts w:ascii="Arial" w:eastAsia="Times New Roman" w:hAnsi="Arial" w:cs="Arial"/>
      <w:b/>
      <w:bCs/>
      <w:szCs w:val="24"/>
    </w:rPr>
  </w:style>
  <w:style w:type="paragraph" w:customStyle="1" w:styleId="NCDTableTextItalic">
    <w:name w:val="NCD.Table Text Italic"/>
    <w:qFormat/>
    <w:rsid w:val="00B914B3"/>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B914B3"/>
    <w:rPr>
      <w:b/>
      <w:color w:val="FFFFFF" w:themeColor="background1"/>
    </w:rPr>
  </w:style>
  <w:style w:type="paragraph" w:customStyle="1" w:styleId="Heading2noTOC">
    <w:name w:val="Heading 2 no TOC"/>
    <w:basedOn w:val="Heading2"/>
    <w:qFormat/>
    <w:rsid w:val="00B914B3"/>
    <w:pPr>
      <w:spacing w:after="360" w:line="240" w:lineRule="auto"/>
    </w:pPr>
    <w:rPr>
      <w:b w:val="0"/>
      <w:caps/>
      <w:color w:val="7F7F7F" w:themeColor="text1" w:themeTint="80"/>
      <w:sz w:val="36"/>
    </w:rPr>
  </w:style>
  <w:style w:type="paragraph" w:customStyle="1" w:styleId="NCDBulletsLevel3">
    <w:name w:val="NCD.Bullets Level 3"/>
    <w:qFormat/>
    <w:rsid w:val="00B914B3"/>
    <w:pPr>
      <w:shd w:val="clear" w:color="auto" w:fill="FFFFFF"/>
      <w:spacing w:after="120" w:line="360" w:lineRule="auto"/>
      <w:ind w:left="1080" w:hanging="360"/>
      <w:textAlignment w:val="baseline"/>
    </w:pPr>
    <w:rPr>
      <w:rFonts w:ascii="Arial" w:eastAsia="Calibri" w:hAnsi="Arial" w:cs="Arial"/>
      <w:sz w:val="24"/>
      <w:szCs w:val="24"/>
    </w:rPr>
  </w:style>
  <w:style w:type="paragraph" w:customStyle="1" w:styleId="NCDSpace">
    <w:name w:val="NCD.Space"/>
    <w:qFormat/>
    <w:rsid w:val="00B914B3"/>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B914B3"/>
    <w:pPr>
      <w:keepNext/>
      <w:spacing w:before="360" w:after="240" w:line="240" w:lineRule="auto"/>
    </w:pPr>
    <w:rPr>
      <w:rFonts w:ascii="Arial" w:eastAsia="Calibri" w:hAnsi="Arial" w:cs="Arial"/>
      <w:b/>
      <w:sz w:val="24"/>
      <w:szCs w:val="24"/>
    </w:rPr>
  </w:style>
  <w:style w:type="numbering" w:customStyle="1" w:styleId="NoList1">
    <w:name w:val="No List1"/>
    <w:next w:val="NoList"/>
    <w:uiPriority w:val="99"/>
    <w:semiHidden/>
    <w:unhideWhenUsed/>
    <w:rsid w:val="00B914B3"/>
  </w:style>
  <w:style w:type="numbering" w:customStyle="1" w:styleId="NoList11">
    <w:name w:val="No List11"/>
    <w:next w:val="NoList"/>
    <w:uiPriority w:val="99"/>
    <w:semiHidden/>
    <w:unhideWhenUsed/>
    <w:rsid w:val="00B914B3"/>
  </w:style>
  <w:style w:type="table" w:customStyle="1" w:styleId="TableGrid1">
    <w:name w:val="Table Grid1"/>
    <w:basedOn w:val="TableNormal"/>
    <w:next w:val="TableGrid"/>
    <w:uiPriority w:val="39"/>
    <w:rsid w:val="00B9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9Hyperlink">
    <w:name w:val="WP9_Hyperlink"/>
    <w:rsid w:val="00B914B3"/>
    <w:rPr>
      <w:color w:val="0000FF"/>
      <w:u w:val="single"/>
    </w:rPr>
  </w:style>
  <w:style w:type="table" w:customStyle="1" w:styleId="TableGrid2">
    <w:name w:val="Table Grid2"/>
    <w:basedOn w:val="TableNormal"/>
    <w:next w:val="TableGrid"/>
    <w:uiPriority w:val="39"/>
    <w:rsid w:val="00B9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IRDarkBlueTable">
    <w:name w:val="AIR Dark Blue Table"/>
    <w:basedOn w:val="TableNormal"/>
    <w:uiPriority w:val="99"/>
    <w:qFormat/>
    <w:rsid w:val="00B914B3"/>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B914B3"/>
  </w:style>
  <w:style w:type="numbering" w:customStyle="1" w:styleId="NoList111">
    <w:name w:val="No List111"/>
    <w:next w:val="NoList"/>
    <w:uiPriority w:val="99"/>
    <w:semiHidden/>
    <w:unhideWhenUsed/>
    <w:rsid w:val="00B914B3"/>
  </w:style>
  <w:style w:type="paragraph" w:customStyle="1" w:styleId="AboutAIRLocations">
    <w:name w:val="About AIR Locations"/>
    <w:qFormat/>
    <w:rsid w:val="00B914B3"/>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B914B3"/>
    <w:pPr>
      <w:suppressAutoHyphens/>
      <w:autoSpaceDE w:val="0"/>
      <w:autoSpaceDN w:val="0"/>
      <w:adjustRightInd w:val="0"/>
      <w:spacing w:before="60" w:after="0" w:line="360" w:lineRule="auto"/>
      <w:textAlignment w:val="center"/>
    </w:pPr>
    <w:rPr>
      <w:rFonts w:ascii="Franklin Gothic Book" w:hAnsi="Franklin Gothic Book" w:cs="ITCFranklinGothicStd-Book"/>
      <w:color w:val="000000"/>
      <w:sz w:val="18"/>
      <w:szCs w:val="18"/>
    </w:rPr>
  </w:style>
  <w:style w:type="paragraph" w:customStyle="1" w:styleId="AboutAIRTitle">
    <w:name w:val="About AIR Title"/>
    <w:basedOn w:val="Normal"/>
    <w:qFormat/>
    <w:rsid w:val="00B914B3"/>
    <w:pPr>
      <w:suppressAutoHyphens/>
      <w:autoSpaceDE w:val="0"/>
      <w:autoSpaceDN w:val="0"/>
      <w:adjustRightInd w:val="0"/>
      <w:spacing w:after="0" w:line="288" w:lineRule="auto"/>
      <w:textAlignment w:val="center"/>
    </w:pPr>
    <w:rPr>
      <w:rFonts w:ascii="Franklin Gothic Book" w:hAnsi="Franklin Gothic Book" w:cs="ITCFranklinGothicStd-Book"/>
      <w:caps/>
      <w:color w:val="005295"/>
      <w:szCs w:val="24"/>
    </w:rPr>
  </w:style>
  <w:style w:type="table" w:customStyle="1" w:styleId="AIRDarkBlueTable1">
    <w:name w:val="AIR Dark Blue Table1"/>
    <w:basedOn w:val="TableNormal"/>
    <w:uiPriority w:val="99"/>
    <w:qFormat/>
    <w:rsid w:val="00B914B3"/>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B914B3"/>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B914B3"/>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B914B3"/>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B914B3"/>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B914B3"/>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B914B3"/>
    <w:pPr>
      <w:spacing w:after="0"/>
    </w:pPr>
    <w:rPr>
      <w:caps w:val="0"/>
    </w:rPr>
  </w:style>
  <w:style w:type="paragraph" w:customStyle="1" w:styleId="BackCoverURL">
    <w:name w:val="Back Cover URL"/>
    <w:basedOn w:val="BackCoverAddress"/>
    <w:qFormat/>
    <w:rsid w:val="00B914B3"/>
    <w:pPr>
      <w:spacing w:before="120"/>
    </w:pPr>
    <w:rPr>
      <w:b/>
    </w:rPr>
  </w:style>
  <w:style w:type="paragraph" w:customStyle="1" w:styleId="BlockQuote">
    <w:name w:val="Block Quote"/>
    <w:basedOn w:val="BodyText"/>
    <w:qFormat/>
    <w:rsid w:val="00B914B3"/>
    <w:pPr>
      <w:spacing w:before="120" w:after="240"/>
      <w:ind w:left="720"/>
    </w:pPr>
    <w:rPr>
      <w:rFonts w:asciiTheme="minorHAnsi" w:eastAsia="Times New Roman" w:hAnsiTheme="minorHAnsi" w:cs="Times New Roman"/>
    </w:rPr>
  </w:style>
  <w:style w:type="paragraph" w:customStyle="1" w:styleId="Bullet10">
    <w:name w:val="Bullet 1"/>
    <w:basedOn w:val="ListBullet"/>
    <w:qFormat/>
    <w:rsid w:val="00B914B3"/>
    <w:pPr>
      <w:numPr>
        <w:numId w:val="28"/>
      </w:numPr>
      <w:spacing w:after="120"/>
      <w:contextualSpacing w:val="0"/>
    </w:pPr>
    <w:rPr>
      <w:rFonts w:eastAsia="Times New Roman" w:cs="Times New Roman"/>
      <w:szCs w:val="24"/>
    </w:rPr>
  </w:style>
  <w:style w:type="paragraph" w:customStyle="1" w:styleId="Bullet1Last">
    <w:name w:val="Bullet 1_Last"/>
    <w:basedOn w:val="Bullet10"/>
    <w:qFormat/>
    <w:rsid w:val="00B914B3"/>
    <w:pPr>
      <w:numPr>
        <w:numId w:val="0"/>
      </w:numPr>
      <w:spacing w:after="240"/>
    </w:pPr>
  </w:style>
  <w:style w:type="paragraph" w:customStyle="1" w:styleId="Bullet2">
    <w:name w:val="Bullet 2"/>
    <w:basedOn w:val="ListBullet2"/>
    <w:qFormat/>
    <w:rsid w:val="00B914B3"/>
    <w:pPr>
      <w:numPr>
        <w:numId w:val="0"/>
      </w:numPr>
      <w:spacing w:after="120"/>
      <w:ind w:left="1080" w:hanging="360"/>
    </w:pPr>
    <w:rPr>
      <w:rFonts w:eastAsia="Times New Roman" w:cs="Times New Roman"/>
      <w:szCs w:val="24"/>
    </w:rPr>
  </w:style>
  <w:style w:type="paragraph" w:customStyle="1" w:styleId="Bullet3">
    <w:name w:val="Bullet 3"/>
    <w:basedOn w:val="ListBullet3"/>
    <w:qFormat/>
    <w:rsid w:val="00B914B3"/>
    <w:pPr>
      <w:numPr>
        <w:ilvl w:val="0"/>
        <w:numId w:val="29"/>
      </w:numPr>
      <w:spacing w:after="120"/>
    </w:pPr>
  </w:style>
  <w:style w:type="paragraph" w:customStyle="1" w:styleId="TableTitle">
    <w:name w:val="Table Title"/>
    <w:qFormat/>
    <w:rsid w:val="00B914B3"/>
    <w:pPr>
      <w:keepNext/>
      <w:spacing w:after="120" w:line="240" w:lineRule="auto"/>
    </w:pPr>
    <w:rPr>
      <w:rFonts w:ascii="Arial" w:eastAsia="Times New Roman" w:hAnsi="Arial" w:cs="Times"/>
      <w:b/>
      <w:color w:val="002C5F"/>
      <w:sz w:val="20"/>
      <w:szCs w:val="24"/>
    </w:rPr>
  </w:style>
  <w:style w:type="paragraph" w:customStyle="1" w:styleId="ContentsHeading">
    <w:name w:val="Contents Heading"/>
    <w:next w:val="BodyText"/>
    <w:qFormat/>
    <w:rsid w:val="00B914B3"/>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B914B3"/>
    <w:pPr>
      <w:spacing w:line="240" w:lineRule="auto"/>
      <w:jc w:val="right"/>
    </w:pPr>
    <w:rPr>
      <w:rFonts w:asciiTheme="minorHAnsi" w:eastAsia="Times New Roman" w:hAnsiTheme="minorHAnsi"/>
      <w:b/>
      <w:bCs/>
      <w:szCs w:val="20"/>
    </w:rPr>
  </w:style>
  <w:style w:type="paragraph" w:customStyle="1" w:styleId="Copyrightinfo">
    <w:name w:val="Copyright info"/>
    <w:basedOn w:val="Normal"/>
    <w:link w:val="CopyrightinfoChar"/>
    <w:qFormat/>
    <w:rsid w:val="00B914B3"/>
    <w:pPr>
      <w:spacing w:line="240" w:lineRule="auto"/>
    </w:pPr>
    <w:rPr>
      <w:rFonts w:asciiTheme="minorHAnsi" w:eastAsia="Times New Roman" w:hAnsiTheme="minorHAnsi"/>
      <w:iCs/>
      <w:sz w:val="20"/>
      <w:szCs w:val="20"/>
    </w:rPr>
  </w:style>
  <w:style w:type="character" w:customStyle="1" w:styleId="CopyrightinfoChar">
    <w:name w:val="Copyright info Char"/>
    <w:basedOn w:val="DefaultParagraphFont"/>
    <w:link w:val="Copyrightinfo"/>
    <w:rsid w:val="00B914B3"/>
    <w:rPr>
      <w:rFonts w:eastAsia="Times New Roman" w:cs="Times New Roman"/>
      <w:iCs/>
      <w:sz w:val="20"/>
      <w:szCs w:val="20"/>
    </w:rPr>
  </w:style>
  <w:style w:type="paragraph" w:customStyle="1" w:styleId="CoverAffiliation">
    <w:name w:val="Cover Affiliation"/>
    <w:link w:val="CoverAffiliationChar"/>
    <w:qFormat/>
    <w:rsid w:val="00B914B3"/>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B914B3"/>
    <w:rPr>
      <w:rFonts w:ascii="Arial" w:eastAsia="Perpetua" w:hAnsi="Arial" w:cs="Times New Roman"/>
      <w:color w:val="595959"/>
      <w:sz w:val="28"/>
      <w:szCs w:val="28"/>
    </w:rPr>
  </w:style>
  <w:style w:type="paragraph" w:customStyle="1" w:styleId="CoverAuthorName">
    <w:name w:val="Cover Author Name"/>
    <w:link w:val="CoverAuthorNameChar"/>
    <w:qFormat/>
    <w:rsid w:val="00B914B3"/>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B914B3"/>
    <w:rPr>
      <w:rFonts w:ascii="Arial" w:eastAsia="Perpetua" w:hAnsi="Arial" w:cs="Times New Roman"/>
      <w:b/>
      <w:color w:val="595959"/>
      <w:sz w:val="28"/>
      <w:szCs w:val="28"/>
    </w:rPr>
  </w:style>
  <w:style w:type="paragraph" w:customStyle="1" w:styleId="CoverBackAddress">
    <w:name w:val="Cover Back Address"/>
    <w:basedOn w:val="Normal"/>
    <w:qFormat/>
    <w:rsid w:val="00B914B3"/>
    <w:pPr>
      <w:suppressAutoHyphens/>
      <w:autoSpaceDE w:val="0"/>
      <w:autoSpaceDN w:val="0"/>
      <w:adjustRightInd w:val="0"/>
      <w:spacing w:after="0" w:line="288" w:lineRule="auto"/>
      <w:textAlignment w:val="center"/>
    </w:pPr>
    <w:rPr>
      <w:rFonts w:ascii="Franklin Gothic Book" w:hAnsi="Franklin Gothic Book" w:cs="ITCFranklinGothicStd-Book"/>
      <w:color w:val="000000"/>
      <w:sz w:val="20"/>
      <w:szCs w:val="20"/>
    </w:rPr>
  </w:style>
  <w:style w:type="paragraph" w:customStyle="1" w:styleId="CoverBackFooter">
    <w:name w:val="Cover Back Footer"/>
    <w:basedOn w:val="Normal"/>
    <w:qFormat/>
    <w:rsid w:val="00B914B3"/>
    <w:pPr>
      <w:tabs>
        <w:tab w:val="center" w:pos="4680"/>
        <w:tab w:val="right" w:pos="9360"/>
      </w:tabs>
      <w:spacing w:after="0" w:line="240" w:lineRule="auto"/>
      <w:ind w:left="720"/>
      <w:jc w:val="right"/>
    </w:pPr>
    <w:rPr>
      <w:rFonts w:ascii="Franklin Gothic Book" w:eastAsia="Times New Roman" w:hAnsi="Franklin Gothic Book"/>
      <w:sz w:val="18"/>
      <w:szCs w:val="18"/>
    </w:rPr>
  </w:style>
  <w:style w:type="paragraph" w:customStyle="1" w:styleId="CoverBackURL">
    <w:name w:val="Cover Back URL"/>
    <w:basedOn w:val="Normal"/>
    <w:qFormat/>
    <w:rsid w:val="00B914B3"/>
    <w:pPr>
      <w:suppressAutoHyphens/>
      <w:autoSpaceDE w:val="0"/>
      <w:autoSpaceDN w:val="0"/>
      <w:adjustRightInd w:val="0"/>
      <w:spacing w:before="90" w:after="0" w:line="288" w:lineRule="auto"/>
      <w:textAlignment w:val="center"/>
    </w:pPr>
    <w:rPr>
      <w:rFonts w:ascii="Franklin Gothic Demi" w:hAnsi="Franklin Gothic Demi" w:cs="ITCFranklinGothicStd-Demi"/>
      <w:color w:val="000000"/>
      <w:sz w:val="20"/>
      <w:szCs w:val="20"/>
    </w:rPr>
  </w:style>
  <w:style w:type="paragraph" w:customStyle="1" w:styleId="CoverDate">
    <w:name w:val="Cover Date"/>
    <w:basedOn w:val="Normal"/>
    <w:qFormat/>
    <w:rsid w:val="00B914B3"/>
    <w:pPr>
      <w:spacing w:after="200"/>
      <w:jc w:val="center"/>
    </w:pPr>
    <w:rPr>
      <w:rFonts w:ascii="Franklin Gothic Book" w:eastAsia="Perpetua" w:hAnsi="Franklin Gothic Book"/>
      <w:color w:val="FFFFFF"/>
      <w:spacing w:val="12"/>
      <w:sz w:val="22"/>
    </w:rPr>
  </w:style>
  <w:style w:type="paragraph" w:customStyle="1" w:styleId="CoverSubtitle">
    <w:name w:val="Cover Subtitle"/>
    <w:link w:val="CoverSubtitleChar"/>
    <w:qFormat/>
    <w:rsid w:val="00B914B3"/>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B914B3"/>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B914B3"/>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B914B3"/>
    <w:rPr>
      <w:rFonts w:ascii="Franklin Gothic Demi" w:eastAsia="Perpetua" w:hAnsi="Franklin Gothic Demi" w:cs="Times New Roman"/>
      <w:color w:val="005295"/>
      <w:sz w:val="50"/>
      <w:szCs w:val="50"/>
    </w:rPr>
  </w:style>
  <w:style w:type="paragraph" w:customStyle="1" w:styleId="FooterLetter">
    <w:name w:val="Footer Letter"/>
    <w:basedOn w:val="Normal"/>
    <w:rsid w:val="00B914B3"/>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B914B3"/>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B914B3"/>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B914B3"/>
    <w:pPr>
      <w:numPr>
        <w:numId w:val="30"/>
      </w:numPr>
    </w:pPr>
  </w:style>
  <w:style w:type="numbering" w:customStyle="1" w:styleId="Level2Bullet">
    <w:name w:val="Level 2 Bullet"/>
    <w:basedOn w:val="NoList"/>
    <w:rsid w:val="00B914B3"/>
    <w:pPr>
      <w:numPr>
        <w:numId w:val="31"/>
      </w:numPr>
    </w:pPr>
  </w:style>
  <w:style w:type="paragraph" w:customStyle="1" w:styleId="NumberedList">
    <w:name w:val="Numbered List"/>
    <w:qFormat/>
    <w:rsid w:val="00B914B3"/>
    <w:pPr>
      <w:numPr>
        <w:numId w:val="32"/>
      </w:numPr>
      <w:spacing w:after="240" w:line="240" w:lineRule="auto"/>
    </w:pPr>
    <w:rPr>
      <w:rFonts w:eastAsia="Times New Roman" w:cs="Times New Roman"/>
      <w:sz w:val="24"/>
      <w:szCs w:val="24"/>
    </w:rPr>
  </w:style>
  <w:style w:type="paragraph" w:customStyle="1" w:styleId="Reference">
    <w:name w:val="Reference"/>
    <w:basedOn w:val="Normal"/>
    <w:link w:val="ReferenceChar"/>
    <w:rsid w:val="00B914B3"/>
    <w:pPr>
      <w:spacing w:after="240" w:line="240" w:lineRule="auto"/>
      <w:ind w:left="360" w:hanging="360"/>
    </w:pPr>
    <w:rPr>
      <w:rFonts w:ascii="Arial" w:eastAsiaTheme="minorHAnsi" w:hAnsi="Arial" w:cs="Arial"/>
      <w:szCs w:val="24"/>
    </w:rPr>
  </w:style>
  <w:style w:type="character" w:customStyle="1" w:styleId="ReferenceChar">
    <w:name w:val="Reference Char"/>
    <w:basedOn w:val="DefaultParagraphFont"/>
    <w:link w:val="Reference"/>
    <w:rsid w:val="00B914B3"/>
    <w:rPr>
      <w:rFonts w:ascii="Arial" w:hAnsi="Arial" w:cs="Arial"/>
      <w:sz w:val="24"/>
      <w:szCs w:val="24"/>
    </w:rPr>
  </w:style>
  <w:style w:type="character" w:customStyle="1" w:styleId="ReferenceItalics">
    <w:name w:val="Reference Italics"/>
    <w:basedOn w:val="DefaultParagraphFont"/>
    <w:uiPriority w:val="1"/>
    <w:qFormat/>
    <w:rsid w:val="00B914B3"/>
    <w:rPr>
      <w:i/>
    </w:rPr>
  </w:style>
  <w:style w:type="paragraph" w:customStyle="1" w:styleId="StyleHeading2pHeading220pt">
    <w:name w:val="Style Heading 2p.Heading 2 + 20 pt"/>
    <w:rsid w:val="00B914B3"/>
    <w:rPr>
      <w:rFonts w:ascii="Arial" w:eastAsia="Perpetua" w:hAnsi="Arial" w:cs="Times New Roman"/>
      <w:b/>
      <w:bCs/>
      <w:noProof/>
      <w:color w:val="002C5F"/>
      <w:sz w:val="40"/>
      <w:szCs w:val="50"/>
    </w:rPr>
  </w:style>
  <w:style w:type="paragraph" w:customStyle="1" w:styleId="StyleHeading2pHeading220pt1">
    <w:name w:val="Style Heading 2p.Heading 2 + 20 pt1"/>
    <w:rsid w:val="00B914B3"/>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B914B3"/>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B914B3"/>
    <w:pPr>
      <w:numPr>
        <w:numId w:val="33"/>
      </w:numPr>
      <w:spacing w:line="240" w:lineRule="auto"/>
    </w:pPr>
    <w:rPr>
      <w:rFonts w:eastAsiaTheme="minorEastAsia"/>
    </w:rPr>
  </w:style>
  <w:style w:type="paragraph" w:customStyle="1" w:styleId="TableBullet2">
    <w:name w:val="Table Bullet 2"/>
    <w:basedOn w:val="TableText"/>
    <w:qFormat/>
    <w:rsid w:val="00B914B3"/>
    <w:pPr>
      <w:numPr>
        <w:numId w:val="34"/>
      </w:numPr>
      <w:spacing w:line="240" w:lineRule="auto"/>
    </w:pPr>
    <w:rPr>
      <w:rFonts w:eastAsiaTheme="minorEastAsia"/>
    </w:rPr>
  </w:style>
  <w:style w:type="paragraph" w:customStyle="1" w:styleId="TableColHeadingLeft">
    <w:name w:val="Table Col Heading Left"/>
    <w:basedOn w:val="TableText"/>
    <w:qFormat/>
    <w:rsid w:val="00B914B3"/>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B914B3"/>
    <w:pPr>
      <w:jc w:val="center"/>
    </w:pPr>
  </w:style>
  <w:style w:type="table" w:customStyle="1" w:styleId="TableGrid3">
    <w:name w:val="Table Grid3"/>
    <w:basedOn w:val="TableNormal"/>
    <w:next w:val="TableGrid"/>
    <w:rsid w:val="00B914B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914B3"/>
    <w:pPr>
      <w:spacing w:after="0" w:line="240" w:lineRule="auto"/>
    </w:pPr>
    <w:rPr>
      <w:rFonts w:ascii="Franklin Gothic Book" w:eastAsia="Calibri" w:hAnsi="Franklin Gothic Boo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ing">
    <w:name w:val="Table Numbering"/>
    <w:basedOn w:val="TableText"/>
    <w:qFormat/>
    <w:rsid w:val="00B914B3"/>
    <w:pPr>
      <w:numPr>
        <w:numId w:val="35"/>
      </w:numPr>
      <w:spacing w:line="240" w:lineRule="auto"/>
    </w:pPr>
    <w:rPr>
      <w:rFonts w:eastAsiaTheme="minorEastAsia"/>
    </w:rPr>
  </w:style>
  <w:style w:type="paragraph" w:customStyle="1" w:styleId="TableSubheading">
    <w:name w:val="Table Subheading"/>
    <w:qFormat/>
    <w:rsid w:val="00B914B3"/>
    <w:rPr>
      <w:rFonts w:ascii="Arial" w:eastAsiaTheme="minorEastAsia" w:hAnsi="Arial" w:cs="Times New Roman"/>
      <w:b/>
      <w:sz w:val="20"/>
      <w:szCs w:val="24"/>
    </w:rPr>
  </w:style>
  <w:style w:type="paragraph" w:customStyle="1" w:styleId="TableTextCentered">
    <w:name w:val="Table Text Centered"/>
    <w:basedOn w:val="TableText"/>
    <w:qFormat/>
    <w:rsid w:val="00B914B3"/>
    <w:pPr>
      <w:spacing w:line="240" w:lineRule="auto"/>
      <w:jc w:val="center"/>
    </w:pPr>
  </w:style>
  <w:style w:type="paragraph" w:customStyle="1" w:styleId="TitlePageText">
    <w:name w:val="Title Page Text"/>
    <w:basedOn w:val="Normal"/>
    <w:qFormat/>
    <w:rsid w:val="00B914B3"/>
    <w:pPr>
      <w:spacing w:after="0" w:line="240" w:lineRule="auto"/>
      <w:ind w:left="900"/>
    </w:pPr>
    <w:rPr>
      <w:rFonts w:asciiTheme="minorHAnsi" w:hAnsiTheme="minorHAnsi" w:cstheme="minorBidi"/>
      <w:sz w:val="20"/>
    </w:rPr>
  </w:style>
  <w:style w:type="paragraph" w:customStyle="1" w:styleId="TitlePageAddress">
    <w:name w:val="Title Page Address"/>
    <w:basedOn w:val="TitlePageText"/>
    <w:link w:val="TitlePageAddressChar"/>
    <w:qFormat/>
    <w:rsid w:val="00B914B3"/>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B914B3"/>
    <w:rPr>
      <w:rFonts w:eastAsia="Calibri" w:cs="Times New Roman"/>
      <w:noProof/>
      <w:sz w:val="24"/>
      <w:szCs w:val="24"/>
    </w:rPr>
  </w:style>
  <w:style w:type="paragraph" w:customStyle="1" w:styleId="TitlePageAuthor">
    <w:name w:val="Title Page Author"/>
    <w:basedOn w:val="TitlePageText"/>
    <w:qFormat/>
    <w:rsid w:val="00B914B3"/>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B914B3"/>
    <w:pPr>
      <w:spacing w:after="0" w:line="240" w:lineRule="auto"/>
      <w:ind w:left="900"/>
    </w:pPr>
    <w:rPr>
      <w:rFonts w:asciiTheme="minorHAnsi" w:eastAsia="Times New Roman" w:hAnsiTheme="minorHAnsi"/>
      <w:sz w:val="20"/>
      <w:szCs w:val="24"/>
    </w:rPr>
  </w:style>
  <w:style w:type="character" w:customStyle="1" w:styleId="TitlePageCopyrightTextChar">
    <w:name w:val="Title Page Copyright Text Char"/>
    <w:basedOn w:val="DefaultParagraphFont"/>
    <w:link w:val="TitlePageCopyrightText"/>
    <w:rsid w:val="00B914B3"/>
    <w:rPr>
      <w:rFonts w:eastAsia="Times New Roman" w:cs="Times New Roman"/>
      <w:sz w:val="20"/>
      <w:szCs w:val="24"/>
    </w:rPr>
  </w:style>
  <w:style w:type="paragraph" w:customStyle="1" w:styleId="TitlePageDate">
    <w:name w:val="Title Page Date"/>
    <w:basedOn w:val="TitlePageText"/>
    <w:next w:val="TitlePageText"/>
    <w:qFormat/>
    <w:rsid w:val="00B914B3"/>
    <w:pPr>
      <w:spacing w:after="720"/>
      <w:ind w:left="907"/>
    </w:pPr>
    <w:rPr>
      <w:rFonts w:ascii="Arial" w:hAnsi="Arial"/>
      <w:b/>
      <w:sz w:val="32"/>
    </w:rPr>
  </w:style>
  <w:style w:type="paragraph" w:customStyle="1" w:styleId="TitlePageOrganization">
    <w:name w:val="Title Page Organization"/>
    <w:basedOn w:val="TitlePageAuthor"/>
    <w:qFormat/>
    <w:rsid w:val="00B914B3"/>
    <w:pPr>
      <w:spacing w:after="2400"/>
    </w:pPr>
    <w:rPr>
      <w:i/>
      <w:iCs/>
    </w:rPr>
  </w:style>
  <w:style w:type="paragraph" w:customStyle="1" w:styleId="TitlePagePublicationNumber">
    <w:name w:val="Title Page Publication Number"/>
    <w:basedOn w:val="Normal"/>
    <w:qFormat/>
    <w:rsid w:val="00B914B3"/>
    <w:pPr>
      <w:tabs>
        <w:tab w:val="right" w:pos="9360"/>
      </w:tabs>
      <w:spacing w:after="0" w:line="240" w:lineRule="auto"/>
      <w:jc w:val="right"/>
    </w:pPr>
    <w:rPr>
      <w:rFonts w:asciiTheme="minorHAnsi" w:eastAsia="Times New Roman" w:hAnsiTheme="minorHAnsi"/>
      <w:sz w:val="16"/>
      <w:szCs w:val="16"/>
    </w:rPr>
  </w:style>
  <w:style w:type="paragraph" w:customStyle="1" w:styleId="TitlePagePublicationNumberandDate">
    <w:name w:val="Title Page Publication Number and Date"/>
    <w:basedOn w:val="BodyText"/>
    <w:next w:val="BodyText"/>
    <w:link w:val="TitlePagePublicationNumberandDateChar"/>
    <w:qFormat/>
    <w:rsid w:val="00B914B3"/>
    <w:rPr>
      <w:rFonts w:asciiTheme="minorHAnsi" w:eastAsia="Times New Roman" w:hAnsiTheme="minorHAnsi" w:cs="Times New Roman"/>
      <w:sz w:val="20"/>
    </w:rPr>
  </w:style>
  <w:style w:type="character" w:customStyle="1" w:styleId="TitlePagePublicationNumberandDateChar">
    <w:name w:val="Title Page Publication Number and Date Char"/>
    <w:basedOn w:val="CopyrightinfoChar"/>
    <w:link w:val="TitlePagePublicationNumberandDate"/>
    <w:rsid w:val="00B914B3"/>
    <w:rPr>
      <w:rFonts w:eastAsia="Times New Roman" w:cs="Times New Roman"/>
      <w:iCs w:val="0"/>
      <w:sz w:val="20"/>
      <w:szCs w:val="24"/>
    </w:rPr>
  </w:style>
  <w:style w:type="paragraph" w:customStyle="1" w:styleId="TitlePageTitleSubtitle">
    <w:name w:val="Title Page Title/Subtitle"/>
    <w:basedOn w:val="TitlePageText"/>
    <w:qFormat/>
    <w:rsid w:val="00B914B3"/>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B914B3"/>
    <w:rPr>
      <w:b/>
    </w:rPr>
  </w:style>
  <w:style w:type="paragraph" w:customStyle="1" w:styleId="TableTextRight">
    <w:name w:val="Table Text Right"/>
    <w:basedOn w:val="TableText"/>
    <w:qFormat/>
    <w:rsid w:val="00B914B3"/>
    <w:pPr>
      <w:spacing w:line="240" w:lineRule="auto"/>
      <w:jc w:val="right"/>
    </w:pPr>
  </w:style>
  <w:style w:type="paragraph" w:customStyle="1" w:styleId="TableColHeadCenter-Narrow">
    <w:name w:val="Table Col Head Center-Narrow"/>
    <w:basedOn w:val="TableColHeadingCenter"/>
    <w:qFormat/>
    <w:rsid w:val="00B914B3"/>
    <w:rPr>
      <w:rFonts w:ascii="Arial Narrow" w:hAnsi="Arial Narrow"/>
    </w:rPr>
  </w:style>
  <w:style w:type="paragraph" w:customStyle="1" w:styleId="TableHead">
    <w:name w:val="Table Head"/>
    <w:next w:val="TableofFigures"/>
    <w:qFormat/>
    <w:rsid w:val="00B914B3"/>
    <w:pPr>
      <w:keepNext/>
      <w:keepLines/>
      <w:spacing w:before="40" w:after="40" w:line="240" w:lineRule="auto"/>
      <w:jc w:val="center"/>
    </w:pPr>
    <w:rPr>
      <w:rFonts w:ascii="Arial" w:eastAsia="Calibri" w:hAnsi="Arial" w:cs="Arial"/>
      <w:b/>
      <w:sz w:val="24"/>
    </w:rPr>
  </w:style>
  <w:style w:type="paragraph" w:customStyle="1" w:styleId="font5">
    <w:name w:val="font5"/>
    <w:basedOn w:val="Normal"/>
    <w:rsid w:val="00B914B3"/>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B914B3"/>
    <w:pPr>
      <w:shd w:val="clear" w:color="000000" w:fill="FFFFFF"/>
      <w:spacing w:before="100" w:beforeAutospacing="1" w:after="100" w:afterAutospacing="1" w:line="240" w:lineRule="auto"/>
      <w:textAlignment w:val="center"/>
    </w:pPr>
    <w:rPr>
      <w:rFonts w:ascii="Times New Roman" w:eastAsia="Times New Roman" w:hAnsi="Times New Roman"/>
      <w:b/>
      <w:bCs/>
      <w:color w:val="660000"/>
      <w:sz w:val="20"/>
      <w:szCs w:val="20"/>
    </w:rPr>
  </w:style>
  <w:style w:type="paragraph" w:customStyle="1" w:styleId="xl66">
    <w:name w:val="xl66"/>
    <w:basedOn w:val="Normal"/>
    <w:rsid w:val="00B914B3"/>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B914B3"/>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B914B3"/>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B914B3"/>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B914B3"/>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B914B3"/>
    <w:pPr>
      <w:spacing w:before="100" w:beforeAutospacing="1" w:after="100" w:afterAutospacing="1" w:line="240" w:lineRule="auto"/>
      <w:jc w:val="right"/>
    </w:pPr>
    <w:rPr>
      <w:rFonts w:ascii="Times New Roman" w:eastAsia="Times New Roman" w:hAnsi="Times New Roman"/>
      <w:szCs w:val="24"/>
    </w:rPr>
  </w:style>
  <w:style w:type="paragraph" w:customStyle="1" w:styleId="xl72">
    <w:name w:val="xl72"/>
    <w:basedOn w:val="Normal"/>
    <w:rsid w:val="00B914B3"/>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B914B3"/>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B914B3"/>
    <w:pPr>
      <w:spacing w:before="480" w:after="240" w:line="240" w:lineRule="auto"/>
      <w:jc w:val="center"/>
      <w:outlineLvl w:val="0"/>
    </w:pPr>
    <w:rPr>
      <w:rFonts w:ascii="Arial" w:eastAsia="Times New Roman" w:hAnsi="Arial" w:cs="Times New Roman"/>
      <w:b/>
      <w:bCs/>
      <w:sz w:val="28"/>
      <w:szCs w:val="24"/>
    </w:rPr>
  </w:style>
  <w:style w:type="paragraph" w:customStyle="1" w:styleId="NCDInsideCoverText">
    <w:name w:val="NCD.Inside Cover Text"/>
    <w:qFormat/>
    <w:rsid w:val="00B914B3"/>
    <w:pPr>
      <w:spacing w:before="480"/>
    </w:pPr>
    <w:rPr>
      <w:rFonts w:ascii="Arial" w:hAnsi="Arial" w:cs="Arial"/>
      <w:sz w:val="24"/>
      <w:szCs w:val="32"/>
    </w:rPr>
  </w:style>
  <w:style w:type="paragraph" w:customStyle="1" w:styleId="NCDInsideCoverTitle">
    <w:name w:val="NCD.Inside Cover Title"/>
    <w:qFormat/>
    <w:rsid w:val="00B914B3"/>
    <w:pPr>
      <w:spacing w:before="480" w:after="0" w:line="360" w:lineRule="auto"/>
    </w:pPr>
    <w:rPr>
      <w:rFonts w:ascii="Arial" w:hAnsi="Arial" w:cs="Arial"/>
      <w:b/>
      <w:i/>
      <w:sz w:val="24"/>
      <w:szCs w:val="32"/>
    </w:rPr>
  </w:style>
  <w:style w:type="paragraph" w:customStyle="1" w:styleId="NCDCoverLetterText">
    <w:name w:val="NCD.Cover Letter Text"/>
    <w:qFormat/>
    <w:rsid w:val="00B914B3"/>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B914B3"/>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B914B3"/>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B914B3"/>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B914B3"/>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B914B3"/>
    <w:pPr>
      <w:spacing w:after="360" w:line="240" w:lineRule="auto"/>
    </w:pPr>
    <w:rPr>
      <w:rFonts w:ascii="Arial" w:eastAsia="Times New Roman" w:hAnsi="Arial" w:cs="Times New Roman"/>
      <w:caps/>
      <w:color w:val="7F7F7F" w:themeColor="text1" w:themeTint="80"/>
      <w:sz w:val="36"/>
      <w:szCs w:val="32"/>
    </w:rPr>
  </w:style>
  <w:style w:type="paragraph" w:customStyle="1" w:styleId="PBodyText">
    <w:name w:val="P.Body Text"/>
    <w:link w:val="PBodyTextChar"/>
    <w:uiPriority w:val="99"/>
    <w:qFormat/>
    <w:rsid w:val="00B914B3"/>
    <w:pPr>
      <w:spacing w:after="240" w:line="360" w:lineRule="auto"/>
    </w:pPr>
    <w:rPr>
      <w:rFonts w:ascii="Arial" w:eastAsia="Times New Roman" w:hAnsi="Arial" w:cs="Times"/>
      <w:sz w:val="24"/>
      <w:szCs w:val="24"/>
    </w:rPr>
  </w:style>
  <w:style w:type="character" w:customStyle="1" w:styleId="PBodyTextChar">
    <w:name w:val="P.Body Text Char"/>
    <w:basedOn w:val="DefaultParagraphFont"/>
    <w:link w:val="PBodyText"/>
    <w:uiPriority w:val="99"/>
    <w:locked/>
    <w:rsid w:val="00B914B3"/>
    <w:rPr>
      <w:rFonts w:ascii="Arial" w:eastAsia="Times New Roman" w:hAnsi="Arial" w:cs="Times"/>
      <w:sz w:val="24"/>
      <w:szCs w:val="24"/>
    </w:rPr>
  </w:style>
  <w:style w:type="paragraph" w:customStyle="1" w:styleId="CM137">
    <w:name w:val="CM137"/>
    <w:basedOn w:val="Default"/>
    <w:next w:val="Default"/>
    <w:uiPriority w:val="99"/>
    <w:rsid w:val="00B914B3"/>
    <w:rPr>
      <w:rFonts w:ascii="Arial" w:eastAsiaTheme="minorHAnsi" w:hAnsi="Arial" w:cs="Arial"/>
      <w:color w:val="auto"/>
    </w:rPr>
  </w:style>
  <w:style w:type="paragraph" w:customStyle="1" w:styleId="CM28">
    <w:name w:val="CM28"/>
    <w:basedOn w:val="Default"/>
    <w:next w:val="Default"/>
    <w:uiPriority w:val="99"/>
    <w:rsid w:val="00B914B3"/>
    <w:pPr>
      <w:spacing w:line="286" w:lineRule="atLeast"/>
    </w:pPr>
    <w:rPr>
      <w:rFonts w:eastAsiaTheme="minorHAnsi"/>
      <w:color w:val="auto"/>
    </w:rPr>
  </w:style>
  <w:style w:type="paragraph" w:customStyle="1" w:styleId="CM136">
    <w:name w:val="CM136"/>
    <w:basedOn w:val="Default"/>
    <w:next w:val="Default"/>
    <w:uiPriority w:val="99"/>
    <w:rsid w:val="00B914B3"/>
    <w:rPr>
      <w:rFonts w:eastAsiaTheme="minorHAnsi"/>
      <w:color w:val="auto"/>
    </w:rPr>
  </w:style>
  <w:style w:type="paragraph" w:customStyle="1" w:styleId="CM13">
    <w:name w:val="CM13"/>
    <w:basedOn w:val="Default"/>
    <w:next w:val="Default"/>
    <w:uiPriority w:val="99"/>
    <w:rsid w:val="00B914B3"/>
    <w:pPr>
      <w:spacing w:line="423" w:lineRule="atLeast"/>
    </w:pPr>
    <w:rPr>
      <w:rFonts w:eastAsiaTheme="minorHAnsi"/>
      <w:color w:val="auto"/>
    </w:rPr>
  </w:style>
  <w:style w:type="character" w:customStyle="1" w:styleId="y0nh2b">
    <w:name w:val="y0nh2b"/>
    <w:rsid w:val="00B914B3"/>
  </w:style>
  <w:style w:type="character" w:customStyle="1" w:styleId="A17">
    <w:name w:val="A17"/>
    <w:uiPriority w:val="99"/>
    <w:rsid w:val="00B914B3"/>
    <w:rPr>
      <w:rFonts w:cs="TradeGothic Bold"/>
      <w:b/>
      <w:bCs/>
      <w:color w:val="000000"/>
      <w:sz w:val="22"/>
      <w:szCs w:val="22"/>
    </w:rPr>
  </w:style>
  <w:style w:type="character" w:customStyle="1" w:styleId="A4">
    <w:name w:val="A4"/>
    <w:uiPriority w:val="99"/>
    <w:rsid w:val="00B914B3"/>
    <w:rPr>
      <w:rFonts w:ascii="TradeGothic Light" w:hAnsi="TradeGothic Light" w:cs="TradeGothic Light"/>
      <w:color w:val="000000"/>
      <w:sz w:val="18"/>
      <w:szCs w:val="18"/>
    </w:rPr>
  </w:style>
  <w:style w:type="numbering" w:customStyle="1" w:styleId="NoList2">
    <w:name w:val="No List2"/>
    <w:next w:val="NoList"/>
    <w:uiPriority w:val="99"/>
    <w:semiHidden/>
    <w:unhideWhenUsed/>
    <w:rsid w:val="00B914B3"/>
  </w:style>
  <w:style w:type="character" w:customStyle="1" w:styleId="chapeau">
    <w:name w:val="chapeau"/>
    <w:basedOn w:val="DefaultParagraphFont"/>
    <w:rsid w:val="00B914B3"/>
  </w:style>
  <w:style w:type="character" w:customStyle="1" w:styleId="num">
    <w:name w:val="num"/>
    <w:basedOn w:val="DefaultParagraphFont"/>
    <w:rsid w:val="00B914B3"/>
  </w:style>
  <w:style w:type="numbering" w:customStyle="1" w:styleId="List01">
    <w:name w:val="List 01"/>
    <w:basedOn w:val="NoList"/>
    <w:rsid w:val="00B914B3"/>
  </w:style>
  <w:style w:type="numbering" w:customStyle="1" w:styleId="List11">
    <w:name w:val="List 11"/>
    <w:basedOn w:val="NoList"/>
    <w:rsid w:val="00B914B3"/>
  </w:style>
  <w:style w:type="numbering" w:customStyle="1" w:styleId="Bullet20">
    <w:name w:val="Bullet2"/>
    <w:rsid w:val="00B914B3"/>
  </w:style>
  <w:style w:type="numbering" w:customStyle="1" w:styleId="List212">
    <w:name w:val="List 212"/>
    <w:basedOn w:val="NoList"/>
    <w:rsid w:val="00B914B3"/>
  </w:style>
  <w:style w:type="numbering" w:customStyle="1" w:styleId="List312">
    <w:name w:val="List 312"/>
    <w:basedOn w:val="NoList"/>
    <w:rsid w:val="00B914B3"/>
  </w:style>
  <w:style w:type="numbering" w:customStyle="1" w:styleId="Bullet11">
    <w:name w:val="Bullet11"/>
    <w:rsid w:val="00B914B3"/>
  </w:style>
  <w:style w:type="numbering" w:customStyle="1" w:styleId="List2111">
    <w:name w:val="List 2111"/>
    <w:basedOn w:val="NoList"/>
    <w:rsid w:val="00B914B3"/>
  </w:style>
  <w:style w:type="numbering" w:customStyle="1" w:styleId="List3111">
    <w:name w:val="List 3111"/>
    <w:basedOn w:val="NoList"/>
    <w:rsid w:val="00B914B3"/>
  </w:style>
  <w:style w:type="paragraph" w:customStyle="1" w:styleId="Pa2">
    <w:name w:val="Pa2"/>
    <w:basedOn w:val="Default"/>
    <w:next w:val="Default"/>
    <w:uiPriority w:val="99"/>
    <w:rsid w:val="00B914B3"/>
    <w:pPr>
      <w:spacing w:line="201" w:lineRule="atLeast"/>
    </w:pPr>
    <w:rPr>
      <w:rFonts w:ascii="Univers LT Std 45 Light" w:eastAsiaTheme="minorHAnsi" w:hAnsi="Univers LT Std 45 Light" w:cstheme="minorBidi"/>
      <w:color w:val="auto"/>
    </w:rPr>
  </w:style>
  <w:style w:type="paragraph" w:customStyle="1" w:styleId="Pa3">
    <w:name w:val="Pa3"/>
    <w:basedOn w:val="Default"/>
    <w:next w:val="Default"/>
    <w:uiPriority w:val="99"/>
    <w:rsid w:val="00B914B3"/>
    <w:pPr>
      <w:spacing w:line="201" w:lineRule="atLeast"/>
    </w:pPr>
    <w:rPr>
      <w:rFonts w:ascii="Univers LT Std 45 Light" w:eastAsiaTheme="minorHAnsi" w:hAnsi="Univers LT Std 45 Light" w:cstheme="minorBidi"/>
      <w:color w:val="auto"/>
    </w:rPr>
  </w:style>
  <w:style w:type="paragraph" w:customStyle="1" w:styleId="Pa4">
    <w:name w:val="Pa4"/>
    <w:basedOn w:val="Default"/>
    <w:next w:val="Default"/>
    <w:uiPriority w:val="99"/>
    <w:rsid w:val="00B914B3"/>
    <w:pPr>
      <w:spacing w:line="201" w:lineRule="atLeast"/>
    </w:pPr>
    <w:rPr>
      <w:rFonts w:ascii="Univers LT Std 45 Light" w:eastAsiaTheme="minorHAnsi" w:hAnsi="Univers LT Std 45 Light" w:cstheme="minorBidi"/>
      <w:color w:val="auto"/>
    </w:rPr>
  </w:style>
  <w:style w:type="character" w:customStyle="1" w:styleId="paperstitle1">
    <w:name w:val="paperstitle1"/>
    <w:basedOn w:val="DefaultParagraphFont"/>
    <w:rsid w:val="00B914B3"/>
    <w:rPr>
      <w:rFonts w:ascii="Georgia" w:hAnsi="Georgia" w:hint="default"/>
      <w:b/>
      <w:bCs/>
      <w:color w:val="333333"/>
    </w:rPr>
  </w:style>
  <w:style w:type="paragraph" w:customStyle="1" w:styleId="hanging-indent1">
    <w:name w:val="hanging-indent1"/>
    <w:basedOn w:val="Normal"/>
    <w:rsid w:val="00B914B3"/>
    <w:pPr>
      <w:spacing w:before="100" w:beforeAutospacing="1" w:after="100" w:afterAutospacing="1" w:line="360" w:lineRule="atLeast"/>
      <w:ind w:right="240"/>
    </w:pPr>
    <w:rPr>
      <w:rFonts w:ascii="Arial" w:eastAsia="Times New Roman" w:hAnsi="Arial" w:cs="Arial"/>
      <w:color w:val="000000"/>
      <w:szCs w:val="24"/>
    </w:rPr>
  </w:style>
  <w:style w:type="paragraph" w:customStyle="1" w:styleId="CM1">
    <w:name w:val="CM1"/>
    <w:basedOn w:val="Normal"/>
    <w:next w:val="Normal"/>
    <w:uiPriority w:val="99"/>
    <w:rsid w:val="00B914B3"/>
    <w:pPr>
      <w:autoSpaceDE w:val="0"/>
      <w:autoSpaceDN w:val="0"/>
      <w:adjustRightInd w:val="0"/>
      <w:spacing w:after="0" w:line="460" w:lineRule="atLeast"/>
    </w:pPr>
    <w:rPr>
      <w:rFonts w:ascii="Arial" w:hAnsi="Arial" w:cs="Arial"/>
      <w:szCs w:val="24"/>
    </w:rPr>
  </w:style>
  <w:style w:type="character" w:customStyle="1" w:styleId="boldtext1">
    <w:name w:val="boldtext1"/>
    <w:basedOn w:val="DefaultParagraphFont"/>
    <w:rsid w:val="00B914B3"/>
    <w:rPr>
      <w:rFonts w:ascii="Arial" w:hAnsi="Arial" w:cs="Arial" w:hint="default"/>
      <w:b/>
      <w:bCs/>
      <w:i w:val="0"/>
      <w:iCs w:val="0"/>
      <w:caps w:val="0"/>
      <w:smallCaps w:val="0"/>
      <w:color w:val="990000"/>
    </w:rPr>
  </w:style>
  <w:style w:type="paragraph" w:styleId="HTMLPreformatted">
    <w:name w:val="HTML Preformatted"/>
    <w:basedOn w:val="Normal"/>
    <w:link w:val="HTMLPreformattedChar"/>
    <w:uiPriority w:val="99"/>
    <w:semiHidden/>
    <w:unhideWhenUsed/>
    <w:rsid w:val="00B914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14B3"/>
    <w:rPr>
      <w:rFonts w:ascii="Consolas" w:eastAsia="Calibri" w:hAnsi="Consolas" w:cs="Times New Roman"/>
      <w:sz w:val="20"/>
      <w:szCs w:val="20"/>
    </w:rPr>
  </w:style>
  <w:style w:type="character" w:customStyle="1" w:styleId="h2">
    <w:name w:val="h2"/>
    <w:basedOn w:val="DefaultParagraphFont"/>
    <w:rsid w:val="00B914B3"/>
  </w:style>
  <w:style w:type="character" w:customStyle="1" w:styleId="NCDBodyChar">
    <w:name w:val="NCD Body Char"/>
    <w:basedOn w:val="DefaultParagraphFont"/>
    <w:link w:val="NCDBody"/>
    <w:locked/>
    <w:rsid w:val="00225A0F"/>
    <w:rPr>
      <w:rFonts w:ascii="Arial" w:eastAsia="Times New Roman" w:hAnsi="Arial" w:cs="Arial"/>
      <w:sz w:val="24"/>
    </w:rPr>
  </w:style>
  <w:style w:type="paragraph" w:customStyle="1" w:styleId="NCDBody">
    <w:name w:val="NCD Body"/>
    <w:link w:val="NCDBodyChar"/>
    <w:rsid w:val="00225A0F"/>
    <w:pPr>
      <w:spacing w:after="360" w:line="360" w:lineRule="auto"/>
    </w:pPr>
    <w:rPr>
      <w:rFonts w:ascii="Arial" w:eastAsia="Times New Roman" w:hAnsi="Arial" w:cs="Arial"/>
      <w:sz w:val="24"/>
    </w:rPr>
  </w:style>
  <w:style w:type="paragraph" w:styleId="PlainText">
    <w:name w:val="Plain Text"/>
    <w:basedOn w:val="Normal"/>
    <w:link w:val="PlainTextChar"/>
    <w:uiPriority w:val="99"/>
    <w:semiHidden/>
    <w:unhideWhenUsed/>
    <w:rsid w:val="00225A0F"/>
    <w:pPr>
      <w:spacing w:after="0" w:line="240" w:lineRule="auto"/>
    </w:pPr>
    <w:rPr>
      <w:rFonts w:ascii="Consolas" w:eastAsiaTheme="minorEastAsia" w:hAnsi="Consolas" w:cs="Arial"/>
      <w:sz w:val="21"/>
      <w:szCs w:val="21"/>
    </w:rPr>
  </w:style>
  <w:style w:type="character" w:customStyle="1" w:styleId="PlainTextChar">
    <w:name w:val="Plain Text Char"/>
    <w:basedOn w:val="DefaultParagraphFont"/>
    <w:link w:val="PlainText"/>
    <w:uiPriority w:val="99"/>
    <w:semiHidden/>
    <w:rsid w:val="00225A0F"/>
    <w:rPr>
      <w:rFonts w:ascii="Consolas" w:eastAsiaTheme="minorEastAsia" w:hAnsi="Consolas" w:cs="Arial"/>
      <w:sz w:val="21"/>
      <w:szCs w:val="21"/>
    </w:rPr>
  </w:style>
  <w:style w:type="paragraph" w:customStyle="1" w:styleId="NCDHeading3NoSpaceAfter">
    <w:name w:val="NCD Heading 3 NoSpaceAfter"/>
    <w:basedOn w:val="Normal"/>
    <w:rsid w:val="00225A0F"/>
    <w:pPr>
      <w:keepNext/>
      <w:keepLines/>
      <w:tabs>
        <w:tab w:val="left" w:pos="475"/>
      </w:tabs>
      <w:spacing w:after="0" w:line="360" w:lineRule="auto"/>
      <w:outlineLvl w:val="2"/>
    </w:pPr>
    <w:rPr>
      <w:rFonts w:ascii="Arial" w:eastAsia="Times New Roman" w:hAnsi="Arial" w:cstheme="minorBidi"/>
      <w:b/>
      <w:i/>
      <w:sz w:val="28"/>
      <w:szCs w:val="26"/>
    </w:rPr>
  </w:style>
  <w:style w:type="character" w:customStyle="1" w:styleId="contribdegrees">
    <w:name w:val="contribdegrees"/>
    <w:basedOn w:val="DefaultParagraphFont"/>
    <w:rsid w:val="00225A0F"/>
  </w:style>
  <w:style w:type="paragraph" w:customStyle="1" w:styleId="NCDBoxHead">
    <w:name w:val="NCD BoxHead"/>
    <w:rsid w:val="00225A0F"/>
    <w:pPr>
      <w:keepNext/>
      <w:pBdr>
        <w:top w:val="single" w:sz="6" w:space="18" w:color="000000"/>
        <w:left w:val="single" w:sz="6" w:space="18" w:color="000000"/>
        <w:bottom w:val="single" w:sz="6" w:space="18" w:color="000000"/>
        <w:right w:val="single" w:sz="6" w:space="18" w:color="000000"/>
      </w:pBdr>
      <w:shd w:val="clear" w:color="auto" w:fill="E6E6E6"/>
      <w:spacing w:after="360" w:line="360" w:lineRule="auto"/>
      <w:ind w:left="360" w:right="360"/>
      <w:jc w:val="center"/>
    </w:pPr>
    <w:rPr>
      <w:rFonts w:ascii="Arial" w:eastAsia="Calibri" w:hAnsi="Arial" w:cs="Arial"/>
      <w:b/>
      <w:sz w:val="28"/>
      <w:szCs w:val="32"/>
    </w:rPr>
  </w:style>
  <w:style w:type="character" w:styleId="HTMLAcronym">
    <w:name w:val="HTML Acronym"/>
    <w:basedOn w:val="DefaultParagraphFont"/>
    <w:uiPriority w:val="99"/>
    <w:semiHidden/>
    <w:unhideWhenUsed/>
    <w:rsid w:val="00225A0F"/>
  </w:style>
  <w:style w:type="table" w:styleId="LightList">
    <w:name w:val="Light List"/>
    <w:basedOn w:val="TableNormal"/>
    <w:uiPriority w:val="61"/>
    <w:unhideWhenUsed/>
    <w:rsid w:val="00225A0F"/>
    <w:pPr>
      <w:spacing w:after="0" w:line="240" w:lineRule="auto"/>
      <w:jc w:val="center"/>
    </w:pPr>
    <w:rPr>
      <w:rFonts w:ascii="Times New Roman" w:eastAsiaTheme="minorEastAsia"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yiv6194167941msonormal">
    <w:name w:val="yiv6194167941msonormal"/>
    <w:basedOn w:val="Normal"/>
    <w:rsid w:val="00225A0F"/>
    <w:pPr>
      <w:spacing w:before="100" w:beforeAutospacing="1" w:after="100" w:afterAutospacing="1" w:line="240" w:lineRule="auto"/>
    </w:pPr>
    <w:rPr>
      <w:rFonts w:ascii="Times New Roman" w:eastAsia="Times New Roman" w:hAnsi="Times New Roman" w:cstheme="minorBidi"/>
      <w:sz w:val="20"/>
      <w:szCs w:val="24"/>
    </w:rPr>
  </w:style>
  <w:style w:type="character" w:customStyle="1" w:styleId="yiv6194167941apple-converted-space">
    <w:name w:val="yiv6194167941apple-converted-space"/>
    <w:basedOn w:val="DefaultParagraphFont"/>
    <w:rsid w:val="00225A0F"/>
  </w:style>
  <w:style w:type="character" w:customStyle="1" w:styleId="NCDTextCharChar">
    <w:name w:val="NCD Text Char Char"/>
    <w:basedOn w:val="DefaultParagraphFont"/>
    <w:link w:val="NCDText"/>
    <w:rsid w:val="00225A0F"/>
    <w:rPr>
      <w:rFonts w:ascii="Arial" w:hAnsi="Arial"/>
      <w:sz w:val="24"/>
    </w:rPr>
  </w:style>
  <w:style w:type="paragraph" w:customStyle="1" w:styleId="NCDText">
    <w:name w:val="NCD Text"/>
    <w:link w:val="NCDTextCharChar"/>
    <w:rsid w:val="00225A0F"/>
    <w:pPr>
      <w:spacing w:after="360" w:line="360" w:lineRule="auto"/>
    </w:pPr>
    <w:rPr>
      <w:rFonts w:ascii="Arial" w:hAnsi="Arial"/>
      <w:sz w:val="24"/>
    </w:rPr>
  </w:style>
  <w:style w:type="paragraph" w:customStyle="1" w:styleId="TableParagraph">
    <w:name w:val="Table Paragraph"/>
    <w:basedOn w:val="Normal"/>
    <w:uiPriority w:val="1"/>
    <w:rsid w:val="00225A0F"/>
    <w:pPr>
      <w:autoSpaceDE w:val="0"/>
      <w:autoSpaceDN w:val="0"/>
      <w:adjustRightInd w:val="0"/>
      <w:spacing w:after="0" w:line="238" w:lineRule="exact"/>
      <w:ind w:left="450" w:right="450"/>
      <w:jc w:val="center"/>
    </w:pPr>
    <w:rPr>
      <w:rFonts w:ascii="Times New Roman" w:eastAsiaTheme="minorHAnsi" w:hAnsi="Times New Roman" w:cstheme="minorBidi"/>
      <w:sz w:val="20"/>
      <w:szCs w:val="24"/>
    </w:rPr>
  </w:style>
  <w:style w:type="paragraph" w:customStyle="1" w:styleId="text">
    <w:name w:val="text"/>
    <w:basedOn w:val="Normal"/>
    <w:rsid w:val="00225A0F"/>
    <w:pPr>
      <w:spacing w:before="100" w:beforeAutospacing="1" w:after="100" w:afterAutospacing="1" w:line="240" w:lineRule="auto"/>
    </w:pPr>
    <w:rPr>
      <w:rFonts w:ascii="Times New Roman" w:eastAsia="Times New Roman" w:hAnsi="Times New Roman" w:cstheme="minorBidi"/>
      <w:sz w:val="20"/>
      <w:szCs w:val="24"/>
    </w:rPr>
  </w:style>
  <w:style w:type="character" w:customStyle="1" w:styleId="st">
    <w:name w:val="st"/>
    <w:basedOn w:val="DefaultParagraphFont"/>
    <w:rsid w:val="00225A0F"/>
  </w:style>
  <w:style w:type="paragraph" w:styleId="IntenseQuote">
    <w:name w:val="Intense Quote"/>
    <w:basedOn w:val="Normal"/>
    <w:next w:val="Normal"/>
    <w:link w:val="IntenseQuoteChar"/>
    <w:uiPriority w:val="30"/>
    <w:qFormat/>
    <w:rsid w:val="00225A0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25A0F"/>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25A0F"/>
    <w:rPr>
      <w:i/>
      <w:iCs/>
      <w:color w:val="404040" w:themeColor="text1" w:themeTint="BF"/>
    </w:rPr>
  </w:style>
  <w:style w:type="character" w:styleId="IntenseEmphasis">
    <w:name w:val="Intense Emphasis"/>
    <w:basedOn w:val="DefaultParagraphFont"/>
    <w:uiPriority w:val="21"/>
    <w:qFormat/>
    <w:rsid w:val="00225A0F"/>
    <w:rPr>
      <w:b/>
      <w:bCs/>
      <w:i/>
      <w:iCs/>
    </w:rPr>
  </w:style>
  <w:style w:type="character" w:styleId="SubtleReference">
    <w:name w:val="Subtle Reference"/>
    <w:basedOn w:val="DefaultParagraphFont"/>
    <w:uiPriority w:val="31"/>
    <w:qFormat/>
    <w:rsid w:val="00225A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5A0F"/>
    <w:rPr>
      <w:b/>
      <w:bCs/>
      <w:smallCaps/>
      <w:spacing w:val="5"/>
      <w:u w:val="single"/>
    </w:rPr>
  </w:style>
  <w:style w:type="character" w:styleId="BookTitle">
    <w:name w:val="Book Title"/>
    <w:basedOn w:val="DefaultParagraphFont"/>
    <w:uiPriority w:val="33"/>
    <w:qFormat/>
    <w:rsid w:val="00225A0F"/>
    <w:rPr>
      <w:b/>
      <w:bCs/>
      <w:smallCaps/>
    </w:rPr>
  </w:style>
  <w:style w:type="paragraph" w:customStyle="1" w:styleId="EndnoteText1">
    <w:name w:val="Endnote Text1"/>
    <w:basedOn w:val="Normal"/>
    <w:next w:val="EndnoteText"/>
    <w:uiPriority w:val="99"/>
    <w:unhideWhenUsed/>
    <w:rsid w:val="00225A0F"/>
    <w:pPr>
      <w:spacing w:after="0" w:line="240" w:lineRule="auto"/>
    </w:pPr>
    <w:rPr>
      <w:rFonts w:asciiTheme="minorHAnsi" w:hAnsiTheme="minorHAnsi" w:cstheme="minorBidi"/>
      <w:sz w:val="22"/>
    </w:rPr>
  </w:style>
  <w:style w:type="paragraph" w:customStyle="1" w:styleId="Pa34">
    <w:name w:val="Pa34"/>
    <w:basedOn w:val="Normal"/>
    <w:next w:val="Normal"/>
    <w:uiPriority w:val="99"/>
    <w:rsid w:val="00FC6AD9"/>
    <w:pPr>
      <w:autoSpaceDE w:val="0"/>
      <w:autoSpaceDN w:val="0"/>
      <w:adjustRightInd w:val="0"/>
      <w:spacing w:after="0" w:line="221" w:lineRule="atLeast"/>
    </w:pPr>
    <w:rPr>
      <w:rFonts w:ascii="Univers 45 Light" w:eastAsiaTheme="minorHAnsi" w:hAnsi="Univers 45 Light" w:cstheme="minorBidi"/>
      <w:szCs w:val="24"/>
    </w:rPr>
  </w:style>
  <w:style w:type="paragraph" w:customStyle="1" w:styleId="EndNoteBibliographyTitle">
    <w:name w:val="EndNote Bibliography Title"/>
    <w:basedOn w:val="Normal"/>
    <w:link w:val="EndNoteBibliographyTitleChar"/>
    <w:rsid w:val="00FC6AD9"/>
    <w:pPr>
      <w:spacing w:after="0" w:line="259" w:lineRule="auto"/>
      <w:jc w:val="center"/>
    </w:pPr>
    <w:rPr>
      <w:rFonts w:eastAsiaTheme="minorHAnsi" w:cs="Calibri"/>
      <w:noProof/>
      <w:sz w:val="36"/>
      <w:szCs w:val="32"/>
    </w:rPr>
  </w:style>
  <w:style w:type="character" w:customStyle="1" w:styleId="EndNoteBibliographyTitleChar">
    <w:name w:val="EndNote Bibliography Title Char"/>
    <w:basedOn w:val="Heading1Char"/>
    <w:link w:val="EndNoteBibliographyTitle"/>
    <w:rsid w:val="00FC6AD9"/>
    <w:rPr>
      <w:rFonts w:ascii="Calibri" w:hAnsi="Calibri" w:cs="Calibri"/>
      <w:b w:val="0"/>
      <w:noProof/>
      <w:sz w:val="36"/>
      <w:szCs w:val="32"/>
    </w:rPr>
  </w:style>
  <w:style w:type="paragraph" w:customStyle="1" w:styleId="EndNoteBibliography">
    <w:name w:val="EndNote Bibliography"/>
    <w:basedOn w:val="Normal"/>
    <w:link w:val="EndNoteBibliographyChar"/>
    <w:rsid w:val="00FC6AD9"/>
    <w:pPr>
      <w:spacing w:after="160" w:line="240" w:lineRule="auto"/>
    </w:pPr>
    <w:rPr>
      <w:rFonts w:eastAsiaTheme="minorHAnsi" w:cs="Calibri"/>
      <w:noProof/>
      <w:sz w:val="36"/>
      <w:szCs w:val="32"/>
    </w:rPr>
  </w:style>
  <w:style w:type="character" w:customStyle="1" w:styleId="EndNoteBibliographyChar">
    <w:name w:val="EndNote Bibliography Char"/>
    <w:basedOn w:val="Heading1Char"/>
    <w:link w:val="EndNoteBibliography"/>
    <w:rsid w:val="00FC6AD9"/>
    <w:rPr>
      <w:rFonts w:ascii="Calibri" w:hAnsi="Calibri" w:cs="Calibri"/>
      <w:b w:val="0"/>
      <w:noProof/>
      <w:sz w:val="36"/>
      <w:szCs w:val="32"/>
    </w:rPr>
  </w:style>
  <w:style w:type="table" w:customStyle="1" w:styleId="GridTable1LightAccent5">
    <w:name w:val="Grid Table 1 Light Accent 5"/>
    <w:basedOn w:val="TableNormal"/>
    <w:uiPriority w:val="46"/>
    <w:rsid w:val="00FC6AD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FC6AD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3280836233354879358msolistparagraph">
    <w:name w:val="m_3280836233354879358msolistparagraph"/>
    <w:basedOn w:val="Normal"/>
    <w:rsid w:val="00FC6AD9"/>
    <w:pPr>
      <w:spacing w:before="100" w:beforeAutospacing="1" w:after="100" w:afterAutospacing="1" w:line="240" w:lineRule="auto"/>
    </w:pPr>
    <w:rPr>
      <w:rFonts w:eastAsiaTheme="minorHAnsi" w:cs="Calibri"/>
      <w:sz w:val="22"/>
    </w:rPr>
  </w:style>
  <w:style w:type="character" w:customStyle="1" w:styleId="normaltextrun">
    <w:name w:val="normaltextrun"/>
    <w:basedOn w:val="DefaultParagraphFont"/>
    <w:rsid w:val="00FC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ncd.gov/publications/2018/letter-us-attorney-general-sessions-accessible-medica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ncd.gov/publications/2018/letter-us-attorney-general-sessions-accessible-medical"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endnotes.xml.rels><?xml version="1.0" encoding="UTF-8" standalone="yes"?>
<Relationships xmlns="http://schemas.openxmlformats.org/package/2006/relationships"><Relationship Id="rId8" Type="http://schemas.openxmlformats.org/officeDocument/2006/relationships/hyperlink" Target="https://disabilitystatistics.org/" TargetMode="External"/><Relationship Id="rId13" Type="http://schemas.openxmlformats.org/officeDocument/2006/relationships/hyperlink" Target="https://www.regulations.gov/document/ATBCB-2013-0009-0001" TargetMode="External"/><Relationship Id="rId18" Type="http://schemas.openxmlformats.org/officeDocument/2006/relationships/hyperlink" Target="http://dhds.cdc.gov/" TargetMode="External"/><Relationship Id="rId26" Type="http://schemas.openxmlformats.org/officeDocument/2006/relationships/hyperlink" Target="https://www.healthit.gov/" TargetMode="External"/><Relationship Id="rId39" Type="http://schemas.openxmlformats.org/officeDocument/2006/relationships/hyperlink" Target="https://www.cms.gov/outreach-and-education/medicare-learning-network-mln/mlnmattersarticles/downloads/mm5972.pdf" TargetMode="External"/><Relationship Id="rId3" Type="http://schemas.openxmlformats.org/officeDocument/2006/relationships/hyperlink" Target="https://www.whitehouse.gov/briefing-room/presidential-actions/2021/01/20/executive-order-revocation-of-certain-executive-orders-concerning-federal-regulation/" TargetMode="External"/><Relationship Id="rId21" Type="http://schemas.openxmlformats.org/officeDocument/2006/relationships/hyperlink" Target="https://www.ada.gov/usao-agreements.htm" TargetMode="External"/><Relationship Id="rId34" Type="http://schemas.openxmlformats.org/officeDocument/2006/relationships/hyperlink" Target="http://www.adhce.org/resources/" TargetMode="External"/><Relationship Id="rId7" Type="http://schemas.openxmlformats.org/officeDocument/2006/relationships/hyperlink" Target="https://www.un.org/development/desa/disabilities/convention-on-the-rights-of-persons-with-disabilities/article-25-health.html" TargetMode="External"/><Relationship Id="rId12" Type="http://schemas.openxmlformats.org/officeDocument/2006/relationships/hyperlink" Target="https://www.regulations.gov/document/ATBCB-2013-0009-0001" TargetMode="External"/><Relationship Id="rId17" Type="http://schemas.openxmlformats.org/officeDocument/2006/relationships/hyperlink" Target="https://www.healthypeople.gov/" TargetMode="External"/><Relationship Id="rId25" Type="http://schemas.openxmlformats.org/officeDocument/2006/relationships/hyperlink" Target="https://www.irs.gov/businesses/small-businesses-self-employed/tax-benefits-for-businesses-who-have-employees-with-disabilities" TargetMode="External"/><Relationship Id="rId33" Type="http://schemas.openxmlformats.org/officeDocument/2006/relationships/hyperlink" Target="https://www.whitehouse.gov/briefing-room/presidential-actions/2021/01/20/executive-order-revocation-of-certain-executive-orders-concerning-federal-regulation/" TargetMode="External"/><Relationship Id="rId38" Type="http://schemas.openxmlformats.org/officeDocument/2006/relationships/hyperlink" Target="https://www.irs.gov/businesses/small-businesses-self-employed/tax-benefits-for-businesses-who-have-employees-with-disabilities" TargetMode="External"/><Relationship Id="rId2" Type="http://schemas.openxmlformats.org/officeDocument/2006/relationships/hyperlink" Target="https://adata.org/sites/adata.org/files/files/Health%20Care%20and%20the%20ADA%20FINAL%202-11-2020.pdf" TargetMode="External"/><Relationship Id="rId16" Type="http://schemas.openxmlformats.org/officeDocument/2006/relationships/hyperlink" Target="https://www.cdc.gov/nchs/data/misc/disability2001-2005.pdf" TargetMode="External"/><Relationship Id="rId20" Type="http://schemas.openxmlformats.org/officeDocument/2006/relationships/hyperlink" Target="https://www.uspreventiveservicestaskforce.org/uspstf/topic_search_results?topic_status=P&amp;grades%5B%5D=A&amp;grades%5B%5D=B&amp;searchterm=" TargetMode="External"/><Relationship Id="rId29" Type="http://schemas.openxmlformats.org/officeDocument/2006/relationships/hyperlink" Target="https://www.dhcs.ca.gov/provgovpart/Documents/Site%20Review%20Survey%20Guidelines.pdf" TargetMode="External"/><Relationship Id="rId1" Type="http://schemas.openxmlformats.org/officeDocument/2006/relationships/hyperlink" Target="https://www.cdc.gov/ncbddd/disabilityandhealth/infographic-disability-impacts-all.html" TargetMode="External"/><Relationship Id="rId6" Type="http://schemas.openxmlformats.org/officeDocument/2006/relationships/hyperlink" Target="https://www.cdc.gov/ncbddd/disabilityandhealth/infographic-disability-impacts-all.html" TargetMode="External"/><Relationship Id="rId11" Type="http://schemas.openxmlformats.org/officeDocument/2006/relationships/hyperlink" Target="https://adata.org/sites/adata.org/files/files/Health%20Care%20and%20the%20ADA%20FINAL%202-11-2020.pdf" TargetMode="External"/><Relationship Id="rId24" Type="http://schemas.openxmlformats.org/officeDocument/2006/relationships/hyperlink" Target="https://www.access-board.gov/guidelines-and-standards/buildings-and-sites/about-the-ada-standards/background/adaag" TargetMode="External"/><Relationship Id="rId32" Type="http://schemas.openxmlformats.org/officeDocument/2006/relationships/hyperlink" Target="https://www.cms.gov/outreach-and-education/medicare-learning-network-mln/mlnmattersarticles/downloads/mm5972.pdf" TargetMode="External"/><Relationship Id="rId37" Type="http://schemas.openxmlformats.org/officeDocument/2006/relationships/hyperlink" Target="https://www.whitehouse.gov/briefing-room/presidential-actions/2021/01/20/executive-order-revocation-of-certain-executive-orders-concerning-federal-regulation/" TargetMode="External"/><Relationship Id="rId40" Type="http://schemas.openxmlformats.org/officeDocument/2006/relationships/hyperlink" Target="https://ncil.org/provider-accessibility-initiative/" TargetMode="External"/><Relationship Id="rId5" Type="http://schemas.openxmlformats.org/officeDocument/2006/relationships/hyperlink" Target="https://www.reginfo.gov/public/pdf/eo13771/EO_13771_Regulatory_Budget_for_Fiscal_Year_2020.pdf" TargetMode="External"/><Relationship Id="rId15" Type="http://schemas.openxmlformats.org/officeDocument/2006/relationships/hyperlink" Target="https://www.healthypeople.gov/2010/?visit=1" TargetMode="External"/><Relationship Id="rId23" Type="http://schemas.openxmlformats.org/officeDocument/2006/relationships/hyperlink" Target="http://www.ada.gov/medcare_ta.htm" TargetMode="External"/><Relationship Id="rId28" Type="http://schemas.openxmlformats.org/officeDocument/2006/relationships/hyperlink" Target="http://www.partnershiphp.org/Providers/Quality/Pages/PSSiteReview.aspx" TargetMode="External"/><Relationship Id="rId36" Type="http://schemas.openxmlformats.org/officeDocument/2006/relationships/hyperlink" Target="https://www.ilga.gov/legislation/publicacts/fulltext.asp?Name=097-0122" TargetMode="External"/><Relationship Id="rId10" Type="http://schemas.openxmlformats.org/officeDocument/2006/relationships/hyperlink" Target="https://archive.ahrq.gov/research/findings/nhqrdr/nhdr13/index.html" TargetMode="External"/><Relationship Id="rId19" Type="http://schemas.openxmlformats.org/officeDocument/2006/relationships/hyperlink" Target="https://www.uspreventiveservicestaskforce.org/uspstf/about-uspstf" TargetMode="External"/><Relationship Id="rId31" Type="http://schemas.openxmlformats.org/officeDocument/2006/relationships/hyperlink" Target="https://www.irs.gov/forms-pubs/about-form-8826" TargetMode="External"/><Relationship Id="rId4" Type="http://schemas.openxmlformats.org/officeDocument/2006/relationships/hyperlink" Target="https://www.reginfo.gov/public/pdf/eo13771/EO_13771_Regulatory_Budget_for_Fiscal_Year_2019.pdf" TargetMode="External"/><Relationship Id="rId9" Type="http://schemas.openxmlformats.org/officeDocument/2006/relationships/hyperlink" Target="https://dredf.org/wp-content/uploads/2018/01/Compounded-Disparities-Intersection-of-Disabilities-Race-and-Ethnicity.pdf" TargetMode="External"/><Relationship Id="rId14" Type="http://schemas.openxmlformats.org/officeDocument/2006/relationships/hyperlink" Target="http://www.ncd.gov/publications/2009/Sept302009" TargetMode="External"/><Relationship Id="rId22" Type="http://schemas.openxmlformats.org/officeDocument/2006/relationships/hyperlink" Target="https://content.govdelivery.com/accounts/USACCESS/bulletins/19450a9" TargetMode="External"/><Relationship Id="rId27" Type="http://schemas.openxmlformats.org/officeDocument/2006/relationships/hyperlink" Target="https://www.cdc.gov/ehrmeaningfuluse/introduction.html" TargetMode="External"/><Relationship Id="rId30" Type="http://schemas.openxmlformats.org/officeDocument/2006/relationships/hyperlink" Target="https://ncil.org/provider-accessibility-initiative/" TargetMode="External"/><Relationship Id="rId35" Type="http://schemas.openxmlformats.org/officeDocument/2006/relationships/hyperlink" Target="https://acl.gov/about-acl/about-national-institute-disability-independent-living-and-rehabilitation-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8C84E5-7447-442B-B1FD-D2CD3A6B5ED6}">
  <ds:schemaRefs>
    <ds:schemaRef ds:uri="http://purl.org/dc/elements/1.1/"/>
    <ds:schemaRef ds:uri="http://schemas.microsoft.com/office/2006/documentManagement/types"/>
    <ds:schemaRef ds:uri="http://www.w3.org/XML/1998/namespace"/>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893D15FF-A6B8-463E-8144-99009B5B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87</Pages>
  <Words>18285</Words>
  <Characters>104230</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National Council on Disability Members and Staff</vt:lpstr>
    </vt:vector>
  </TitlesOfParts>
  <Company>American Institutes for Research</Company>
  <LinksUpToDate>false</LinksUpToDate>
  <CharactersWithSpaces>122271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Council on Disability Members and Staff</dc:title>
  <dc:creator>NCD</dc:creator>
  <cp:lastModifiedBy>Rajesh S.</cp:lastModifiedBy>
  <cp:revision>989</cp:revision>
  <cp:lastPrinted>2021-04-28T06:56:00Z</cp:lastPrinted>
  <dcterms:created xsi:type="dcterms:W3CDTF">2018-09-19T03:55:00Z</dcterms:created>
  <dcterms:modified xsi:type="dcterms:W3CDTF">2021-04-28T08:56:00Z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