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shd w:fill="0B1F3A" w:color="auto" w:val="clear"/>
            <w:tcMar>
              <w:top w:type="dxa" w:w="200"/>
              <w:left w:type="dxa" w:w="240"/>
              <w:bottom w:type="dxa" w:w="200"/>
              <w:right w:type="dxa" w:w="240"/>
            </w:tcMar>
          </w:tcPr>
          <w:p>
            <w:pPr>
              <w:spacing w:after="100"/>
            </w:pPr>
            <w:r>
              <w:rPr>
                <w:b/>
                <w:bCs/>
                <w:color w:val="FFFFFF"/>
                <w:sz w:val="26"/>
                <w:szCs w:val="26"/>
              </w:rPr>
              <w:t xml:space="preserve">Comment utiliser ce modèle</w:t>
            </w:r>
          </w:p>
          <w:p>
            <w:pPr>
              <w:spacing w:after="80" w:line="264"/>
            </w:pPr>
            <w:r>
              <w:rPr>
                <w:b/>
                <w:bCs/>
                <w:color w:val="DCE7F7"/>
                <w:sz w:val="18"/>
                <w:szCs w:val="18"/>
              </w:rPr>
              <w:t xml:space="preserve">Ce qui est automatique.</w:t>
            </w:r>
            <w:r>
              <w:rPr>
                <w:color w:val="DCE7F7"/>
                <w:sz w:val="18"/>
                <w:szCs w:val="18"/>
              </w:rPr>
              <w:t xml:space="preserve"> Chaque tableau, figure, fiche de zone et valeur chiffrée de ce document est lu depuis les sorties de la chaîne R (04_resultats, 05_rapport/auto). Relancer la chaîne puis le script de génération régénère tout, en Word comme en LaTeX.</w:t>
            </w:r>
          </w:p>
          <w:p>
            <w:pPr>
              <w:spacing w:after="80" w:line="264"/>
            </w:pPr>
            <w:r>
              <w:rPr>
                <w:b/>
                <w:bCs/>
                <w:color w:val="DCE7F7"/>
                <w:sz w:val="18"/>
                <w:szCs w:val="18"/>
              </w:rPr>
              <w:t xml:space="preserve">Ce qui est à rédiger.</w:t>
            </w:r>
            <w:r>
              <w:rPr>
                <w:color w:val="DCE7F7"/>
                <w:sz w:val="18"/>
                <w:szCs w:val="18"/>
              </w:rPr>
              <w:t xml:space="preserve"> Les encadrés violets « À rédiger » indiquent le contenu attendu de chaque chapitre. Ils sont retirés à la remise.</w:t>
            </w:r>
          </w:p>
          <w:p>
            <w:pPr>
              <w:spacing w:after="80" w:line="264"/>
            </w:pPr>
            <w:r>
              <w:rPr>
                <w:b/>
                <w:bCs/>
                <w:color w:val="DCE7F7"/>
                <w:sz w:val="18"/>
                <w:szCs w:val="18"/>
              </w:rPr>
              <w:t xml:space="preserve">Registres.</w:t>
            </w:r>
            <w:r>
              <w:rPr>
                <w:color w:val="DCE7F7"/>
                <w:sz w:val="18"/>
                <w:szCs w:val="18"/>
              </w:rPr>
              <w:t xml:space="preserve"> Chaque tableau porte son registre : évolution (ce qui a changé), association (ce qui va ensemble), attribution (ce que l'appui a changé en plus). Seuls les tableaux d'attribution autorisent une lecture d'effet.</w:t>
            </w:r>
          </w:p>
          <w:p>
            <w:pPr>
              <w:spacing w:after="80" w:line="264"/>
            </w:pPr>
            <w:r>
              <w:rPr>
                <w:b/>
                <w:bCs/>
                <w:color w:val="DCE7F7"/>
                <w:sz w:val="18"/>
                <w:szCs w:val="18"/>
              </w:rPr>
              <w:t xml:space="preserve">Décisions acquises.</w:t>
            </w:r>
            <w:r>
              <w:rPr>
                <w:color w:val="DCE7F7"/>
                <w:sz w:val="18"/>
                <w:szCs w:val="18"/>
              </w:rPr>
              <w:t xml:space="preserve"> Les 5 713 ménages sont conservés ; les 305 codes « homme » du répondant sont corrigés en « femme » (correction close) ; l'affectation intervention / témoin des 16 zones est validée (référentiel v1). Les hypothèses causales (tendances parallèles, affectation programmatique) restent discutées comme telles.</w:t>
            </w:r>
          </w:p>
        </w:tc>
      </w:tr>
    </w:tbl>
    <w:p>
      <w:pPr>
        <w:spacing w:after="200"/>
      </w:pPr>
    </w:p>
    <w:p>
      <w:pPr>
        <w:pBdr>
          <w:bottom w:val="single" w:color="D9E1EC" w:sz="6" w:space="2"/>
        </w:pBdr>
        <w:spacing w:after="60"/>
      </w:pPr>
      <w:r>
        <w:rPr>
          <w:b/>
          <w:bCs/>
          <w:color w:val="0B1F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80"/>
      </w:pPr>
      <w:r>
        <w:rPr>
          <w:i/>
          <w:iCs/>
          <w:color w:val="6B7280"/>
          <w:sz w:val="15"/>
          <w:szCs w:val="15"/>
        </w:rPr>
        <w:t xml:space="preserve">Table des matières générée par Word : accepter la mise à jour des champs à l'ouverture (ou clic droit → Mettre à jour les champs).</w:t>
      </w:r>
    </w:p>
    <w:p>
      <w:r>
        <w:br w:type="page"/>
      </w:r>
    </w:p>
    <w:p>
      <w:pPr>
        <w:pStyle w:val="Heading1"/>
        <w:spacing w:after="0" w:before="0"/>
      </w:pPr>
      <w:r>
        <w:rPr>
          <w:color w:val="FFFFFF"/>
          <w:sz w:val="2"/>
          <w:szCs w:val="2"/>
        </w:rPr>
        <w:t xml:space="preserve">Résumé exécutif</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838200"/>
                    </a:xfrm>
                    <a:prstGeom prst="rect">
                      <a:avLst/>
                    </a:prstGeom>
                  </pic:spPr>
                </pic:pic>
              </a:graphicData>
            </a:graphic>
          </wp:inline>
        </w:drawing>
      </w:r>
    </w:p>
    <w:p>
      <w:pPr>
        <w:spacing w:after="120" w:before="120"/>
        <w:jc w:val="center"/>
      </w:pPr>
      <w:r>
        <w:drawing>
          <wp:inline distT="0" distB="0" distL="0" distR="0">
            <wp:extent cx="61245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019300"/>
                    </a:xfrm>
                    <a:prstGeom prst="rect">
                      <a:avLst/>
                    </a:prstGeom>
                  </pic:spPr>
                </pic:pic>
              </a:graphicData>
            </a:graphic>
          </wp:inline>
        </w:drawing>
      </w:r>
    </w:p>
    <w:p>
      <w:pPr>
        <w:spacing w:after="120" w:before="120"/>
        <w:jc w:val="center"/>
      </w:pPr>
      <w:r>
        <w:drawing>
          <wp:inline distT="0" distB="0" distL="0" distR="0">
            <wp:extent cx="61245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047750"/>
                    </a:xfrm>
                    <a:prstGeom prst="rect">
                      <a:avLst/>
                    </a:prstGeom>
                  </pic:spPr>
                </pic:pic>
              </a:graphicData>
            </a:graphic>
          </wp:inline>
        </w:drawing>
      </w:r>
    </w:p>
    <w:p>
      <w:pPr>
        <w:spacing w:after="120" w:before="120"/>
        <w:jc w:val="center"/>
      </w:pPr>
      <w:r>
        <w:drawing>
          <wp:inline distT="0" distB="0" distL="0" distR="0">
            <wp:extent cx="61245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476500"/>
                    </a:xfrm>
                    <a:prstGeom prst="rect">
                      <a:avLst/>
                    </a:prstGeom>
                  </pic:spPr>
                </pic:pic>
              </a:graphicData>
            </a:graphic>
          </wp:inline>
        </w:drawing>
      </w:r>
    </w:p>
    <w:p>
      <w:pPr>
        <w:pStyle w:val="Heading2"/>
        <w:spacing w:after="100" w:before="260"/>
      </w:pPr>
      <w:r>
        <w:t xml:space="preserve">Les quatre résultats confirmatoires</w:t>
      </w:r>
    </w:p>
    <w:p>
      <w:pPr>
        <w:pStyle w:val="ListParagraph"/>
        <w:numPr>
          <w:ilvl w:val="0"/>
          <w:numId w:val="2"/>
        </w:numPr>
        <w:spacing w:after="60" w:line="264"/>
      </w:pPr>
      <w:r>
        <w:rPr>
          <w:b/>
          <w:bCs/>
        </w:rPr>
        <w:t xml:space="preserve">P1 Exposition des ménages aux agents</w:t>
      </w:r>
      <w:r>
        <w:t xml:space="preserve"> : 65,3 → 69,3 en zone témoin, 62,2 → 69,2 en zone d'intervention. DiD (modèle conjoint, IC CR2) : 2,9 [-4,4 ; 10,3] points, p = 0,399 ; DiD brute à 16 points 3,0 [-4,2 ; 10,3], p de permutation 0,380 ; EMD 10,1 points ; cas D ; p ajustée (Holm) = 1,000.</w:t>
      </w:r>
    </w:p>
    <w:p>
      <w:pPr>
        <w:pStyle w:val="ListParagraph"/>
        <w:numPr>
          <w:ilvl w:val="0"/>
          <w:numId w:val="2"/>
        </w:numPr>
        <w:spacing w:after="60" w:line="264"/>
      </w:pPr>
      <w:r>
        <w:rPr>
          <w:b/>
          <w:bCs/>
        </w:rPr>
        <w:t xml:space="preserve">P2 Connaissances des ménages</w:t>
      </w:r>
      <w:r>
        <w:t xml:space="preserve"> : 30,3 → 38,9 (témoin), 33,8 → 40,3 (intervention). DiD -3,6 [-10,8 ; 3,7], p = 0,305 ; 16 points -2,1 [-9,3 ; 5,1], p perm. 0,556 ; EMD 10,1 ; cas E ; Holm 1,000.</w:t>
      </w:r>
    </w:p>
    <w:p>
      <w:pPr>
        <w:pStyle w:val="ListParagraph"/>
        <w:numPr>
          <w:ilvl w:val="0"/>
          <w:numId w:val="2"/>
        </w:numPr>
        <w:spacing w:after="60" w:line="264"/>
      </w:pPr>
      <w:r>
        <w:rPr>
          <w:b/>
          <w:bCs/>
        </w:rPr>
        <w:t xml:space="preserve">P3 Fonctionnalité des CAC</w:t>
      </w:r>
      <w:r>
        <w:t xml:space="preserve"> : 66,9 → 70,4 (témoin), 75,6 → 79,4 (intervention). DiD 0,1 [-6,2 ; 6,4], p = 0,966 ; 16 points 0,3 [-6,0 ; 6,6], p perm. 0,915 ; EMD 8,8 ; cas E ; Holm 1,000.</w:t>
      </w:r>
    </w:p>
    <w:p>
      <w:pPr>
        <w:pStyle w:val="ListParagraph"/>
        <w:numPr>
          <w:ilvl w:val="0"/>
          <w:numId w:val="2"/>
        </w:numPr>
        <w:spacing w:after="60" w:line="264"/>
      </w:pPr>
      <w:r>
        <w:rPr>
          <w:b/>
          <w:bCs/>
        </w:rPr>
        <w:t xml:space="preserve">P4 Professionnalisation des RECO</w:t>
      </w:r>
      <w:r>
        <w:t xml:space="preserve"> : 35,6 → 38,7 (témoin), 41,6 → 42,3 (intervention). DiD -3,2 [-12,9 ; 6,6], p = 0,488 ; 16 points -2,4 [-11,9 ; 7,1], p perm. 0,690 ; EMD 13,3 ; cas E ; Holm 1,000.</w:t>
      </w:r>
    </w:p>
    <w:p>
      <w:pPr>
        <w:spacing w:after="100" w:line="276"/>
        <w:jc w:val="both"/>
      </w:pPr>
      <w:r>
        <w:rPr>
          <w:b/>
          <w:bCs/>
        </w:rPr>
        <w:t xml:space="preserve">Lecture.</w:t>
      </w:r>
      <w:r>
        <w:t xml:space="preserve"> Les quatre indicateurs progressent dans les deux bras ; les évolutions des zones d'intervention ne se distinguent pas de celles des zones témoins. Aucun gain supplémentaire n'est établi ; les intervalles n'excluent ni un gain modéré ni une baisse modérée : l'absence d'effet détecté n'est pas une preuve d'absence d'effet, et l'EMD mesure la précision atteinte, pas une borne. Les indices de domaine (D1 gouvernance 0,0 [-0,5 ; 0,6], D2 capacités -0,2 [-0,9 ; 0,5], D3 résultats ménages 0,1 [-0,2 ; 0,3]) donnent la même lecture. Les matrices de sensibilité (chapitre 11) décrivent, variante par variante, les changements de signe, d'amplitude et de classe : les estimations restent centrées près de zéro, et les changements de classe tiennent à la largeur des intervalles, non à une inversion de signe.</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1. </w:t>
      </w:r>
      <w:r>
        <w:rPr>
          <w:color w:val="52514E"/>
          <w:sz w:val="17"/>
          <w:szCs w:val="17"/>
        </w:rPr>
        <w:t xml:space="preserve">Forêt des effets sur les quatre indicateurs primaires : DiD à 16 points (bleu marine), modèle à effets fixes d'aire (cyan), bande ± EMD, seuil de pertinence (tiret rouge).</w:t>
      </w:r>
    </w:p>
    <w:p>
      <w:pPr>
        <w:keepNext/>
        <w:spacing w:after="40" w:before="80"/>
        <w:jc w:val="center"/>
      </w:pPr>
      <w:r>
        <w:drawing>
          <wp:inline distT="0" distB="0" distL="0" distR="0">
            <wp:extent cx="5762625"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038725"/>
                    </a:xfrm>
                    <a:prstGeom prst="rect">
                      <a:avLst/>
                    </a:prstGeom>
                  </pic:spPr>
                </pic:pic>
              </a:graphicData>
            </a:graphic>
          </wp:inline>
        </w:drawing>
      </w:r>
    </w:p>
    <w:p>
      <w:pPr>
        <w:spacing w:after="160"/>
        <w:jc w:val="left"/>
      </w:pPr>
      <w:r>
        <w:rPr>
          <w:b/>
          <w:bCs/>
          <w:color w:val="0B1F3A"/>
          <w:sz w:val="17"/>
          <w:szCs w:val="17"/>
        </w:rPr>
        <w:t xml:space="preserve">Figure 2. </w:t>
      </w:r>
      <w:r>
        <w:rPr>
          <w:color w:val="52514E"/>
          <w:sz w:val="17"/>
          <w:szCs w:val="17"/>
        </w:rPr>
        <w:t xml:space="preserve">Conformité aux normes du PSN SACO à T0 et T1 par bras.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une page, après validation des effets</w:t>
            </w:r>
          </w:p>
          <w:p>
            <w:pPr>
              <w:spacing w:after="60" w:line="264"/>
              <w:jc w:val="left"/>
            </w:pPr>
            <w:r>
              <w:rPr>
                <w:sz w:val="18"/>
                <w:szCs w:val="18"/>
              </w:rPr>
              <w:t xml:space="preserve">Trois messages pour le résumé : (1) ce que l'appui a changé en plus et ce qu'il n'a pas changé, avec l'EMD comme borne ; (2) les évolutions partagées par les deux bras (connaissance des agents, signes de danger, vaccination déclarée) et leur lecture prudente (effet de seconde visite, saison) ; (3) les écarts aux normes qui ne bougent pas (prime, contrat, femmes parmi les agents). Pas de chiffre sans registre.</w:t>
            </w:r>
          </w:p>
        </w:tc>
      </w:tr>
    </w:tbl>
    <w:p>
      <w:r>
        <w:br w:type="page"/>
      </w:r>
    </w:p>
    <w:p>
      <w:pPr>
        <w:pStyle w:val="Heading1"/>
        <w:spacing w:after="0" w:before="0"/>
      </w:pPr>
      <w:r>
        <w:rPr>
          <w:color w:val="FFFFFF"/>
          <w:sz w:val="2"/>
          <w:szCs w:val="2"/>
        </w:rPr>
        <w:t xml:space="preserve">1. Méthodologie</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838200"/>
                    </a:xfrm>
                    <a:prstGeom prst="rect">
                      <a:avLst/>
                    </a:prstGeom>
                  </pic:spPr>
                </pic:pic>
              </a:graphicData>
            </a:graphic>
          </wp:inline>
        </w:drawing>
      </w:r>
    </w:p>
    <w:p>
      <w:pPr>
        <w:pStyle w:val="Heading2"/>
        <w:spacing w:after="100" w:before="260"/>
      </w:pPr>
      <w:r>
        <w:t xml:space="preserve">1.1 Devis et ce que mesure l'effet</w:t>
      </w:r>
    </w:p>
    <w:p>
      <w:pPr>
        <w:spacing w:after="120" w:before="120"/>
        <w:jc w:val="center"/>
      </w:pPr>
      <w:r>
        <w:drawing>
          <wp:inline distT="0" distB="0" distL="0" distR="0">
            <wp:extent cx="61245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1847850"/>
                    </a:xfrm>
                    <a:prstGeom prst="rect">
                      <a:avLst/>
                    </a:prstGeom>
                  </pic:spPr>
                </pic:pic>
              </a:graphicData>
            </a:graphic>
          </wp:inline>
        </w:drawing>
      </w:r>
    </w:p>
    <w:p>
      <w:pPr>
        <w:spacing w:after="100" w:line="276"/>
        <w:jc w:val="both"/>
      </w:pPr>
      <w:r>
        <w:t xml:space="preserve">L'étude compare seize zones de santé de quatre provinces (Maniema, Kasaï-Oriental, Sankuru, Sud-Kivu) à deux passages. Dans chaque province, deux zones reçoivent l'appui (intervention) et deux ne le reçoivent pas (témoin). L'appui a commencé avant T0 ; l'effet estimé est donc </w:t>
      </w:r>
      <w:r>
        <w:rPr>
          <w:b/>
          <w:bCs/>
        </w:rPr>
        <w:t xml:space="preserve">l'effet supplémentaire de 5,5 mois d'appui</w:t>
      </w:r>
      <w:r>
        <w:t xml:space="preserve">, pas l'effet total de l'intervention. L'affectation des zones est programmatique : l'attribution repose sur un dossier de plausibilité (équilibre à T0, placebos, divergence de tendance), pas sur un tirage au sort.</w:t>
      </w:r>
    </w:p>
    <w:p>
      <w:pPr>
        <w:pStyle w:val="Heading2"/>
        <w:spacing w:after="100" w:before="260"/>
      </w:pPr>
      <w:r>
        <w:t xml:space="preserve">1.2 Trois registres de lecture</w:t>
      </w:r>
    </w:p>
    <w:p>
      <w:pPr>
        <w:spacing w:after="120" w:before="120"/>
        <w:jc w:val="center"/>
      </w:pPr>
      <w:r>
        <w:drawing>
          <wp:inline distT="0" distB="0" distL="0" distR="0">
            <wp:extent cx="612457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1476375"/>
                    </a:xfrm>
                    <a:prstGeom prst="rect">
                      <a:avLst/>
                    </a:prstGeom>
                  </pic:spPr>
                </pic:pic>
              </a:graphicData>
            </a:graphic>
          </wp:inline>
        </w:drawing>
      </w:r>
    </w:p>
    <w:p>
      <w:pPr>
        <w:pStyle w:val="Heading2"/>
        <w:spacing w:after="100" w:before="260"/>
      </w:pPr>
      <w:r>
        <w:t xml:space="preserve">1.3 Indicateurs, EMD et seuils de pertinence</w:t>
      </w:r>
    </w:p>
    <w:p>
      <w:pPr>
        <w:spacing w:after="100" w:line="276"/>
        <w:jc w:val="both"/>
      </w:pPr>
      <w:r>
        <w:t xml:space="preserve">Les quatre primaires et les indices de domaine ont été choisis avant la lecture des effets sur leur effet minimal détectable (EMD), recalculé sur les seize évolutions de zone observées. Les seuils de pertinence (5, 5, 11 et 8 points) sont des conventions validées avant l'analyse. La grille A–E classe chaque effet selon la position de son intervalle par rapport à zéro et au seuil ; la classe E signifie qu'un gain au moins égal au seuil n'est pas soutenu par l'intervalle, sans exclure une baisse. L'EMD, recalculé après observation, est une mesure descriptive de précision.</w:t>
      </w:r>
    </w:p>
    <w:p>
      <w:pPr>
        <w:spacing w:after="120" w:before="120"/>
        <w:jc w:val="center"/>
      </w:pPr>
      <w:r>
        <w:drawing>
          <wp:inline distT="0" distB="0" distL="0" distR="0">
            <wp:extent cx="6124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1990725"/>
                    </a:xfrm>
                    <a:prstGeom prst="rect">
                      <a:avLst/>
                    </a:prstGeom>
                  </pic:spPr>
                </pic:pic>
              </a:graphicData>
            </a:graphic>
          </wp:inline>
        </w:drawing>
      </w:r>
    </w:p>
    <w:p>
      <w:pPr>
        <w:spacing w:after="160"/>
        <w:jc w:val="left"/>
      </w:pPr>
      <w:r>
        <w:rPr>
          <w:b/>
          <w:bCs/>
          <w:color w:val="0B1F3A"/>
          <w:sz w:val="17"/>
          <w:szCs w:val="17"/>
        </w:rPr>
        <w:t xml:space="preserve">Tableau 1. </w:t>
      </w:r>
      <w:r>
        <w:rPr>
          <w:color w:val="52514E"/>
          <w:sz w:val="17"/>
          <w:szCs w:val="17"/>
        </w:rPr>
        <w:t xml:space="preserve">Effet minimal détectable (EMD) par indicateur, sur les 16 zones, sans et avec le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885"/>
        <w:gridCol w:w="494"/>
        <w:gridCol w:w="741"/>
        <w:gridCol w:w="494"/>
        <w:gridCol w:w="494"/>
        <w:gridCol w:w="577"/>
        <w:gridCol w:w="906"/>
        <w:gridCol w:w="741"/>
        <w:gridCol w:w="1071"/>
        <w:gridCol w:w="741"/>
        <w:gridCol w:w="494"/>
      </w:tblGrid>
      <w:tr>
        <w:trPr>
          <w:cantSplit/>
          <w:tblHeader/>
        </w:trPr>
        <w:tc>
          <w:tcPr>
            <w:tcW w:type="dxa" w:w="288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4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ZS</w:t>
            </w:r>
          </w:p>
        </w:tc>
        <w:tc>
          <w:tcPr>
            <w:tcW w:type="dxa" w:w="74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Unités par ZS</w:t>
            </w:r>
          </w:p>
        </w:tc>
        <w:tc>
          <w:tcPr>
            <w:tcW w:type="dxa" w:w="4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w:t>
            </w:r>
          </w:p>
        </w:tc>
        <w:tc>
          <w:tcPr>
            <w:tcW w:type="dxa" w:w="4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w:t>
            </w:r>
          </w:p>
        </w:tc>
        <w:tc>
          <w:tcPr>
            <w:tcW w:type="dxa" w:w="5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brut</w:t>
            </w:r>
          </w:p>
        </w:tc>
        <w:tc>
          <w:tcPr>
            <w:tcW w:type="dxa" w:w="9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SD intra-province</w:t>
            </w:r>
          </w:p>
        </w:tc>
        <w:tc>
          <w:tcPr>
            <w:tcW w:type="dxa" w:w="74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EMD sans bras</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SD résiduel avec bras</w:t>
            </w:r>
          </w:p>
        </w:tc>
        <w:tc>
          <w:tcPr>
            <w:tcW w:type="dxa" w:w="74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EMD avec bras</w:t>
            </w:r>
          </w:p>
        </w:tc>
        <w:tc>
          <w:tcPr>
            <w:tcW w:type="dxa" w:w="4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r T0–T1</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69,2</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0,75</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32,1</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39,6</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0,92</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CAC, 9 critères (0-100)</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74,9</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0,93</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des RECO, 6 items (0-100)</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40,5</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13,3</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0,75</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hors intrants (4 items)</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54,4</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15,1</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0,79</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0,88</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82,1</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89,7</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11,2</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0,71</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67,3</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73,2</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12,2</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50,2</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56,5</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0,84</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78,4</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24,3</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38,4</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0,33</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70,1</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77,8</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12,1</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18,7</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12,7</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19,5</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0,86</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41,3</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42,1</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12,8</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13,3</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20,5</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0,76</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45,9</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15,9</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24,5</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0,76</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67,5</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69,5</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23,1</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23,5</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0,72</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0,65</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CODESA, 7 critères (0-100)</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73,7</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78,4</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23,1</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15,7</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24,1</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0,69</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indice de riposte Mpox (0-100)</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19,9</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30,6</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0,79</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indice de riposte Mpox (0-100)</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69,5</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15,8</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24,3</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0,78</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a participé à une riposte (%)</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32,8</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0,37</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prime de motivation (%)</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9,7</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0,89</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gouvernance communautaire (écarts-types)</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0,71</w:t>
            </w:r>
          </w:p>
        </w:tc>
      </w:tr>
      <w:tr>
        <w:trPr>
          <w:cantSplit/>
        </w:trPr>
        <w:tc>
          <w:tcPr>
            <w:tcW w:type="dxa" w:w="28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capacités des acteurs (écarts-types)</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5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9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w:t>
            </w:r>
          </w:p>
        </w:tc>
        <w:tc>
          <w:tcPr>
            <w:tcW w:type="dxa" w:w="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w:t>
            </w:r>
          </w:p>
        </w:tc>
        <w:tc>
          <w:tcPr>
            <w:tcW w:type="dxa" w:w="4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0,62</w:t>
            </w:r>
          </w:p>
        </w:tc>
      </w:tr>
      <w:tr>
        <w:trPr>
          <w:cantSplit/>
        </w:trPr>
        <w:tc>
          <w:tcPr>
            <w:tcW w:type="dxa" w:w="28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riposte Mpox (écarts-types)</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5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9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4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r>
    </w:tbl>
    <w:p>
      <w:pPr>
        <w:spacing w:after="200" w:before="60"/>
        <w:jc w:val="left"/>
      </w:pPr>
      <w:r>
        <w:rPr>
          <w:color w:val="6B7280"/>
          <w:sz w:val="15"/>
          <w:szCs w:val="15"/>
        </w:rPr>
        <w:t xml:space="preserve">EMD = (t0,975;11 + t0,80;11) × σΔ × √(1/8 + 1/8), σΔ = écart-type intra-province des 16 évolutions de zone ; puissance 80 %, α = 5 % bilatéral. Calculé après observation : mesure descriptive de la précision atteignable, pas une borne d'intervalle. Indices de domaine en écarts-types.</w:t>
      </w:r>
    </w:p>
    <w:p>
      <w:pPr>
        <w:pStyle w:val="Heading2"/>
        <w:spacing w:after="100" w:before="260"/>
      </w:pPr>
      <w:r>
        <w:t xml:space="preserve">1.4 Estimation et inférence à seize grappes</w:t>
      </w:r>
    </w:p>
    <w:p>
      <w:pPr>
        <w:spacing w:after="100" w:line="276"/>
        <w:jc w:val="both"/>
      </w:pPr>
      <w:r>
        <w:t xml:space="preserve">Estimation principale : modèle conjoint (ménage, agent ou aire selon l'indicateur) avec interaction bras × passage, effets fixes d'aire et province × passage, covariables individuelles stables pour les ménages, pondération égale des provinces ; erreurs-types CR2 par zone avec degrés de liberté de Satterthwaite ; p du bootstrap sauvage par zone (poids de Webb, 9 999 répliques). Complément : DiD brute à 16 points (évolution de chaque zone régressée sur le bras et la province, 11 ddl) et permutation exacte des 1 296 attributions possibles, présentée comme une sensibilité sous hypothèse d'échangeabilité des zones à l'intérieur des provinces (l'affectation n'est pas randomisée). Unités appariées (aires pour les CODESA, villages pour les CAC) : DiD et ANCOVA. Holm sur les quatre primaires ; Benjamini-Hochberg par famille sur les indices et les secondaires. Décision du 19 octobre 2026, postérieure au gel : journalisée ; l'ancienne estimation (16 points résidualisés) figure dans les matrices de sensibilité.</w:t>
      </w:r>
    </w:p>
    <w:p>
      <w:pPr>
        <w:pStyle w:val="Heading2"/>
        <w:spacing w:after="100" w:before="260"/>
      </w:pPr>
      <w:r>
        <w:t xml:space="preserve">1.5 Données, corrections et pondération</w:t>
      </w:r>
    </w:p>
    <w:p>
      <w:pPr>
        <w:spacing w:after="100" w:line="276"/>
        <w:jc w:val="both"/>
      </w:pPr>
      <w:r>
        <w:t xml:space="preserve">Bases combinées Phases 1-2 livrées le 15 octobre 2026. Aucun entretien n'est retiré. Corrections documentées au journal des décisions : sexe du répondant ménage recodé « femme » (erreur de saisie, valeur brute conservée) ; dates hors fenêtre et âges hors plage conservés et testés en sensibilité. Pondération égale des provinces ; plan de sondage déclaré (strates zone, grappes aire) pour toutes les estimations ménage. Quintiles de niveau de vie par ACP sur la base regroupée.</w:t>
      </w:r>
    </w:p>
    <w:p>
      <w:pPr>
        <w:spacing w:after="160"/>
        <w:jc w:val="left"/>
      </w:pPr>
      <w:r>
        <w:rPr>
          <w:b/>
          <w:bCs/>
          <w:color w:val="0B1F3A"/>
          <w:sz w:val="17"/>
          <w:szCs w:val="17"/>
        </w:rPr>
        <w:t xml:space="preserve">Tableau 2. </w:t>
      </w:r>
      <w:r>
        <w:rPr>
          <w:color w:val="52514E"/>
          <w:sz w:val="17"/>
          <w:szCs w:val="17"/>
        </w:rPr>
        <w:t xml:space="preserve">Dates de collecte par base et par passage, entretiens hors fenêtre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542"/>
        <w:gridCol w:w="1157"/>
        <w:gridCol w:w="1157"/>
        <w:gridCol w:w="2120"/>
        <w:gridCol w:w="2120"/>
        <w:gridCol w:w="1542"/>
      </w:tblGrid>
      <w:tr>
        <w:trPr>
          <w:cantSplit/>
          <w:tblHeader/>
        </w:trPr>
        <w:tc>
          <w:tcPr>
            <w:tcW w:type="dxa" w:w="154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Base</w:t>
            </w:r>
          </w:p>
        </w:tc>
        <w:tc>
          <w:tcPr>
            <w:tcW w:type="dxa" w:w="115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15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212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Date min</w:t>
            </w:r>
          </w:p>
        </w:tc>
        <w:tc>
          <w:tcPr>
            <w:tcW w:type="dxa" w:w="212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Date max</w:t>
            </w:r>
          </w:p>
        </w:tc>
        <w:tc>
          <w:tcPr>
            <w:tcW w:type="dxa" w:w="154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Hors fenêtre</w:t>
            </w:r>
          </w:p>
        </w:tc>
      </w:tr>
      <w:tr>
        <w:trPr>
          <w:cantSplit/>
        </w:trPr>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2022-09-24</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2026-10-10</w:t>
            </w:r>
          </w:p>
        </w:tc>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r>
      <w:tr>
        <w:trPr>
          <w:cantSplit/>
        </w:trPr>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2023-02-16</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2026-09-28</w:t>
            </w:r>
          </w:p>
        </w:tc>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r>
      <w:tr>
        <w:trPr>
          <w:cantSplit/>
        </w:trPr>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2026-03-08</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2026-06-11</w:t>
            </w:r>
          </w:p>
        </w:tc>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w:t>
            </w:r>
          </w:p>
        </w:tc>
      </w:tr>
      <w:tr>
        <w:trPr>
          <w:cantSplit/>
        </w:trPr>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2026-08-25</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2026-09-28</w:t>
            </w:r>
          </w:p>
        </w:tc>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2026-03-08</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2026-04-29</w:t>
            </w:r>
          </w:p>
        </w:tc>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2026-08-25</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2026-09-26</w:t>
            </w:r>
          </w:p>
        </w:tc>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2026-03-08</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2026-04-30</w:t>
            </w:r>
          </w:p>
        </w:tc>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2026-08-25</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2026-09-27</w:t>
            </w:r>
          </w:p>
        </w:tc>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2026-03-08</w:t>
            </w:r>
          </w:p>
        </w:tc>
        <w:tc>
          <w:tcPr>
            <w:tcW w:type="dxa" w:w="21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2026-04-29</w:t>
            </w:r>
          </w:p>
        </w:tc>
        <w:tc>
          <w:tcPr>
            <w:tcW w:type="dxa" w:w="15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2026-08-25</w:t>
            </w:r>
          </w:p>
        </w:tc>
        <w:tc>
          <w:tcPr>
            <w:tcW w:type="dxa" w:w="21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2026-09-25</w:t>
            </w:r>
          </w:p>
        </w:tc>
        <w:tc>
          <w:tcPr>
            <w:tcW w:type="dxa" w:w="15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bl>
    <w:p>
      <w:pPr>
        <w:spacing w:after="200" w:before="60"/>
        <w:jc w:val="left"/>
      </w:pPr>
      <w:r>
        <w:rPr>
          <w:color w:val="6B7280"/>
          <w:sz w:val="15"/>
          <w:szCs w:val="15"/>
        </w:rPr>
        <w:t xml:space="preserve">Les dates hors fenêtre sont conservées et testées en sensibilité (étape 9).</w:t>
      </w:r>
    </w:p>
    <w:p>
      <w:pPr>
        <w:pStyle w:val="Heading2"/>
        <w:spacing w:after="100" w:before="260"/>
      </w:pPr>
      <w:r>
        <w:t xml:space="preserve">1.6 Chaîne d'analyse, écarts assumés au protocole et référentiels</w:t>
      </w:r>
    </w:p>
    <w:p>
      <w:pPr>
        <w:spacing w:after="120" w:before="120"/>
        <w:jc w:val="center"/>
      </w:pPr>
      <w:r>
        <w:drawing>
          <wp:inline distT="0" distB="0" distL="0" distR="0">
            <wp:extent cx="612457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1533525"/>
                    </a:xfrm>
                    <a:prstGeom prst="rect">
                      <a:avLst/>
                    </a:prstGeom>
                  </pic:spPr>
                </pic:pic>
              </a:graphicData>
            </a:graphic>
          </wp:inline>
        </w:drawing>
      </w:r>
    </w:p>
    <w:p>
      <w:pPr>
        <w:spacing w:after="100" w:line="276"/>
        <w:jc w:val="both"/>
      </w:pPr>
      <w:r>
        <w:t xml:space="preserve">Analyses conduites sous R (et non sous le logiciel prévu au protocole) ; affectation intervention / témoin validée (référentiel v1) ; journal des événements, cas notifiés et données d'intensité non encore fusionnés (dose-réponse et exposition épidémique reportées). Compte rendu selon STROBE (descriptif), TREND (évaluation sans tirage au sort) et GRAMMS (intégration mixte) ; listes de contrôle en annexe.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Compléter avec la date de confirmation du bras, la liste des intrants reçus (journal des événements, intensité, export Survey Solutions, table nominale) et les décisions du gel du plan (V1).</w:t>
            </w:r>
          </w:p>
        </w:tc>
      </w:tr>
    </w:tbl>
    <w:p>
      <w:r>
        <w:br w:type="page"/>
      </w:r>
    </w:p>
    <w:p>
      <w:pPr>
        <w:pStyle w:val="Heading1"/>
        <w:spacing w:after="0" w:before="0"/>
      </w:pPr>
      <w:r>
        <w:rPr>
          <w:color w:val="FFFFFF"/>
          <w:sz w:val="2"/>
          <w:szCs w:val="2"/>
        </w:rPr>
        <w:t xml:space="preserve">2. Profil des échantillons et comparabilité</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description. Tableaux T01 à T05, T11 à T13 ; figures F01, F02.</w:t>
      </w:r>
    </w:p>
    <w:p>
      <w:pPr>
        <w:spacing w:after="160"/>
        <w:jc w:val="left"/>
      </w:pPr>
      <w:r>
        <w:rPr>
          <w:b/>
          <w:bCs/>
          <w:color w:val="0B1F3A"/>
          <w:sz w:val="17"/>
          <w:szCs w:val="17"/>
        </w:rPr>
        <w:t xml:space="preserve">Tableau 3. </w:t>
      </w:r>
      <w:r>
        <w:rPr>
          <w:color w:val="52514E"/>
          <w:sz w:val="17"/>
          <w:szCs w:val="17"/>
        </w:rPr>
        <w:t xml:space="preserve">Entretiens réalisés par zone de santé, questionnaire et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214"/>
        <w:gridCol w:w="1053"/>
        <w:gridCol w:w="1053"/>
        <w:gridCol w:w="567"/>
        <w:gridCol w:w="567"/>
        <w:gridCol w:w="486"/>
        <w:gridCol w:w="486"/>
        <w:gridCol w:w="486"/>
        <w:gridCol w:w="486"/>
        <w:gridCol w:w="486"/>
        <w:gridCol w:w="486"/>
        <w:gridCol w:w="567"/>
        <w:gridCol w:w="567"/>
        <w:gridCol w:w="567"/>
        <w:gridCol w:w="567"/>
      </w:tblGrid>
      <w:tr>
        <w:trPr>
          <w:cantSplit/>
          <w:tblHeader/>
        </w:trPr>
        <w:tc>
          <w:tcPr>
            <w:tcW w:type="dxa" w:w="121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Province</w:t>
            </w:r>
          </w:p>
        </w:tc>
        <w:tc>
          <w:tcPr>
            <w:tcW w:type="dxa" w:w="105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Zone de santé</w:t>
            </w:r>
          </w:p>
        </w:tc>
        <w:tc>
          <w:tcPr>
            <w:tcW w:type="dxa" w:w="105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Bras</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Ménages T0</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Ménages T1</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RECO T0</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RECO T1</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ASC T0</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ASC T1</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CAC T0</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CAC T1</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CODESA T0</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CODESA T1</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UCODESA T0</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UCODESA T1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Maniema</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Kalima</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34</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Maniema</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Tunda</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11</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Maniema</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Kibombo</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Maniema</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Pangi</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Kasaï-Oriental</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Citenge</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Kasaï-Oriental</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Tshishimbi</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Kasaï-Oriental</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Kasansa</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Kasaï-Oriental</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Miabi</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Kasaï-Oriental</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Sankuru</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Lodja</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Sankuru</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Minga</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179</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Sankuru</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Katako Kombe</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177</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Sankuru</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Ototo</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172</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28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22</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Sud-Kivu</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Nyantende</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Sud-Kivu</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Walungu</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Témoin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179</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Sud-Kivu</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Katana</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171</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35</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r>
        <w:trPr>
          <w:cantSplit/>
        </w:trPr>
        <w:tc>
          <w:tcPr>
            <w:tcW w:type="dxa" w:w="12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Sud-Kivu</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Nyangezi</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Intervention</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180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6</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r>
    </w:tbl>
    <w:p>
      <w:pPr>
        <w:spacing w:after="200" w:before="60"/>
        <w:jc w:val="left"/>
      </w:pPr>
      <w:r>
        <w:rPr>
          <w:color w:val="6B7280"/>
          <w:sz w:val="15"/>
          <w:szCs w:val="15"/>
        </w:rPr>
        <w:t xml:space="preserve">Source : bases combinées Phases 1-2 ; effectifs non pondérés ; aucun entretien retiré. Bras : référentiel v1 validé le 19/10/2026.</w:t>
      </w:r>
    </w:p>
    <w:p>
      <w:pPr>
        <w:spacing w:after="160"/>
        <w:jc w:val="left"/>
      </w:pPr>
      <w:r>
        <w:rPr>
          <w:b/>
          <w:bCs/>
          <w:color w:val="0B1F3A"/>
          <w:sz w:val="17"/>
          <w:szCs w:val="17"/>
        </w:rPr>
        <w:t xml:space="preserve">Tableau 4. </w:t>
      </w:r>
      <w:r>
        <w:rPr>
          <w:color w:val="52514E"/>
          <w:sz w:val="17"/>
          <w:szCs w:val="17"/>
        </w:rPr>
        <w:t xml:space="preserve">Bilan de l'appariement territorial entre T0 et T1 (villages déclarés et aires de santé)</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804"/>
        <w:gridCol w:w="1402"/>
        <w:gridCol w:w="1402"/>
        <w:gridCol w:w="1752"/>
        <w:gridCol w:w="2278"/>
      </w:tblGrid>
      <w:tr>
        <w:trPr>
          <w:cantSplit/>
          <w:tblHeader/>
        </w:trPr>
        <w:tc>
          <w:tcPr>
            <w:tcW w:type="dxa" w:w="280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Base</w:t>
            </w:r>
          </w:p>
        </w:tc>
        <w:tc>
          <w:tcPr>
            <w:tcW w:type="dxa" w:w="140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Unités à T0</w:t>
            </w:r>
          </w:p>
        </w:tc>
        <w:tc>
          <w:tcPr>
            <w:tcW w:type="dxa" w:w="140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Unités à T1</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Unités appariées</w:t>
            </w:r>
          </w:p>
        </w:tc>
        <w:tc>
          <w:tcPr>
            <w:tcW w:type="dxa" w:w="22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Taux d'appariement (% T0)</w:t>
            </w:r>
          </w:p>
        </w:tc>
      </w:tr>
      <w:tr>
        <w:trPr>
          <w:cantSplit/>
        </w:trPr>
        <w:tc>
          <w:tcPr>
            <w:tcW w:type="dxa" w:w="28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688</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626</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385</w:t>
            </w:r>
          </w:p>
        </w:tc>
        <w:tc>
          <w:tcPr>
            <w:tcW w:type="dxa" w:w="22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w:t>
            </w:r>
          </w:p>
        </w:tc>
      </w:tr>
      <w:tr>
        <w:trPr>
          <w:cantSplit/>
        </w:trPr>
        <w:tc>
          <w:tcPr>
            <w:tcW w:type="dxa" w:w="28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542</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544</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306</w:t>
            </w:r>
          </w:p>
        </w:tc>
        <w:tc>
          <w:tcPr>
            <w:tcW w:type="dxa" w:w="22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56,5</w:t>
            </w:r>
          </w:p>
        </w:tc>
      </w:tr>
      <w:tr>
        <w:trPr>
          <w:cantSplit/>
        </w:trPr>
        <w:tc>
          <w:tcPr>
            <w:tcW w:type="dxa" w:w="28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 (aires)</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91</w:t>
            </w:r>
          </w:p>
        </w:tc>
        <w:tc>
          <w:tcPr>
            <w:tcW w:type="dxa" w:w="22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97,8</w:t>
            </w:r>
          </w:p>
        </w:tc>
      </w:tr>
      <w:tr>
        <w:trPr>
          <w:cantSplit/>
        </w:trPr>
        <w:tc>
          <w:tcPr>
            <w:tcW w:type="dxa" w:w="28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 (aires)</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98</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98</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22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95,9</w:t>
            </w:r>
          </w:p>
        </w:tc>
      </w:tr>
      <w:tr>
        <w:trPr>
          <w:cantSplit/>
        </w:trPr>
        <w:tc>
          <w:tcPr>
            <w:tcW w:type="dxa" w:w="28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(aires)</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w:t>
            </w:r>
          </w:p>
        </w:tc>
        <w:tc>
          <w:tcPr>
            <w:tcW w:type="dxa" w:w="22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98,9</w:t>
            </w:r>
          </w:p>
        </w:tc>
      </w:tr>
      <w:tr>
        <w:trPr>
          <w:cantSplit/>
        </w:trPr>
        <w:tc>
          <w:tcPr>
            <w:tcW w:type="dxa" w:w="28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(aires)</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w:t>
            </w:r>
          </w:p>
        </w:tc>
        <w:tc>
          <w:tcPr>
            <w:tcW w:type="dxa" w:w="14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90</w:t>
            </w:r>
          </w:p>
        </w:tc>
        <w:tc>
          <w:tcPr>
            <w:tcW w:type="dxa" w:w="22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96,8</w:t>
            </w:r>
          </w:p>
        </w:tc>
      </w:tr>
      <w:tr>
        <w:trPr>
          <w:cantSplit/>
        </w:trPr>
        <w:tc>
          <w:tcPr>
            <w:tcW w:type="dxa" w:w="28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 (aires)</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w:t>
            </w:r>
          </w:p>
        </w:tc>
        <w:tc>
          <w:tcPr>
            <w:tcW w:type="dxa" w:w="14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w:t>
            </w:r>
          </w:p>
        </w:tc>
        <w:tc>
          <w:tcPr>
            <w:tcW w:type="dxa" w:w="22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97,9</w:t>
            </w:r>
          </w:p>
        </w:tc>
      </w:tr>
    </w:tbl>
    <w:p>
      <w:pPr>
        <w:spacing w:after="200" w:before="60"/>
        <w:jc w:val="left"/>
      </w:pPr>
      <w:r>
        <w:rPr>
          <w:color w:val="6B7280"/>
          <w:sz w:val="15"/>
          <w:szCs w:val="15"/>
        </w:rPr>
        <w:t xml:space="preserve">Source : bases combinées Phases 1-2. Villages : libellé normalisé sous une même aire, sans rapprochement flou. Aucune unité n'est retirée : l'appariement sert aux analyses sur unités appariées (CODESA, CAC) et au contrôle de la comparabilité.</w:t>
      </w:r>
    </w:p>
    <w:p>
      <w:pPr>
        <w:keepNext/>
        <w:spacing w:after="40" w:before="80"/>
        <w:jc w:val="center"/>
      </w:pPr>
      <w:r>
        <w:drawing>
          <wp:inline distT="0" distB="0" distL="0" distR="0">
            <wp:extent cx="54006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3714750"/>
                    </a:xfrm>
                    <a:prstGeom prst="rect">
                      <a:avLst/>
                    </a:prstGeom>
                  </pic:spPr>
                </pic:pic>
              </a:graphicData>
            </a:graphic>
          </wp:inline>
        </w:drawing>
      </w:r>
    </w:p>
    <w:p>
      <w:pPr>
        <w:spacing w:after="160"/>
        <w:jc w:val="left"/>
      </w:pPr>
      <w:r>
        <w:rPr>
          <w:b/>
          <w:bCs/>
          <w:color w:val="0B1F3A"/>
          <w:sz w:val="17"/>
          <w:szCs w:val="17"/>
        </w:rPr>
        <w:t xml:space="preserve">Figure 3. </w:t>
      </w:r>
      <w:r>
        <w:rPr>
          <w:color w:val="52514E"/>
          <w:sz w:val="17"/>
          <w:szCs w:val="17"/>
        </w:rPr>
        <w:t xml:space="preserve">ASC enquêtés par zone de santé à T0 et T1.</w:t>
      </w:r>
    </w:p>
    <w:p>
      <w:pPr>
        <w:spacing w:after="160"/>
        <w:jc w:val="left"/>
      </w:pPr>
      <w:r>
        <w:rPr>
          <w:b/>
          <w:bCs/>
          <w:color w:val="0B1F3A"/>
          <w:sz w:val="17"/>
          <w:szCs w:val="17"/>
        </w:rPr>
        <w:t xml:space="preserve">Tableau 5. </w:t>
      </w:r>
      <w:r>
        <w:rPr>
          <w:color w:val="52514E"/>
          <w:sz w:val="17"/>
          <w:szCs w:val="17"/>
        </w:rPr>
        <w:t xml:space="preserve">Profil des ménages par bras et par passage, avec différences standardisées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183"/>
        <w:gridCol w:w="636"/>
        <w:gridCol w:w="909"/>
        <w:gridCol w:w="546"/>
        <w:gridCol w:w="636"/>
        <w:gridCol w:w="909"/>
        <w:gridCol w:w="546"/>
        <w:gridCol w:w="1091"/>
        <w:gridCol w:w="1182"/>
      </w:tblGrid>
      <w:tr>
        <w:trPr>
          <w:cantSplit/>
          <w:tblHeader/>
        </w:trPr>
        <w:tc>
          <w:tcPr>
            <w:tcW w:type="dxa" w:w="318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Caractéristique</w:t>
            </w:r>
          </w:p>
        </w:tc>
        <w:tc>
          <w:tcPr>
            <w:tcW w:type="dxa" w:w="6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 Témoin</w:t>
            </w:r>
          </w:p>
        </w:tc>
        <w:tc>
          <w:tcPr>
            <w:tcW w:type="dxa" w:w="90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 Intervention</w:t>
            </w:r>
          </w:p>
        </w:tc>
        <w:tc>
          <w:tcPr>
            <w:tcW w:type="dxa" w:w="5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DS T0</w:t>
            </w:r>
          </w:p>
        </w:tc>
        <w:tc>
          <w:tcPr>
            <w:tcW w:type="dxa" w:w="6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 Témoin</w:t>
            </w:r>
          </w:p>
        </w:tc>
        <w:tc>
          <w:tcPr>
            <w:tcW w:type="dxa" w:w="90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 Intervention</w:t>
            </w:r>
          </w:p>
        </w:tc>
        <w:tc>
          <w:tcPr>
            <w:tcW w:type="dxa" w:w="5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DS T1</w:t>
            </w:r>
          </w:p>
        </w:tc>
        <w:tc>
          <w:tcPr>
            <w:tcW w:type="dxa" w:w="109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DS T1 vs T0 (témoin)</w:t>
            </w:r>
          </w:p>
        </w:tc>
        <w:tc>
          <w:tcPr>
            <w:tcW w:type="dxa" w:w="118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DS T1 vs T0 (intervention)</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Âge de la répondante (années)</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30,13</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31,56</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30,51</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31,29</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Instruction : Aucune</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16,39</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30,95</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0,35</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13,64</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24,76</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0,29</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-0,14</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Instruction : Primaire</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27,83</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19,79</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26,18</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20,48</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-0,14</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Instruction : Secondaire ou plus</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55,78</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49,26</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60,17</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54,76</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-0,11</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0,11</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Religion : Catholique</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28,18</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30,37</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26,44</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30,27</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Religion : Protestante</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23,37</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23,57</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23,92</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21,19</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Religion : Église de réveil</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28,99</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26,65</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31,47</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29,81</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Religion : Autre</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19,46</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19,4</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18,17</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18,73</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Taille du ménage (personnes)</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7,09</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6,13</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-0,32</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6,82</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6,19</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Enfants de moins de 5 ans (nombre)</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1,75</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1,71</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1,76</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1,82</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Quintile de niveau de vie : 1</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19,4</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19,86</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19,78</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21,33</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Quintile de niveau de vie : 2</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18,48</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18,83</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20,83</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21,9</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Quintile de niveau de vie : 3</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18,23</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18,81</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20,24</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22,65</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Quintile de niveau de vie : 4</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22,33</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21,44</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19,97</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16,19</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Quintile de niveau de vie : 5</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21,56</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21,07</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19,18</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17,94</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Temps de marche vers la FOSA : &lt; 30 min</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42,85</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47,92</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44,91</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44,58</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Temps de marche vers la FOSA : 30–60 min</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40,2</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34,35</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33,73</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34,39</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Temps de marche vers la FOSA : &gt; 60 min</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16,95</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17,73</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21,36</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21,03</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0,11</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Milieu urbain (%)</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0,42</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0,14</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0,21</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2,16</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r>
      <w:tr>
        <w:trPr>
          <w:cantSplit/>
        </w:trPr>
        <w:tc>
          <w:tcPr>
            <w:tcW w:type="dxa" w:w="3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Enfant malade dans les 2 semaines (%)</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36,06</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35,46</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36,96</w:t>
            </w:r>
          </w:p>
        </w:tc>
        <w:tc>
          <w:tcPr>
            <w:tcW w:type="dxa" w:w="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39,52</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Enfant né dans les 6 derniers mois (%)</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17,65</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19,85</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17,79</w:t>
            </w:r>
          </w:p>
        </w:tc>
        <w:tc>
          <w:tcPr>
            <w:tcW w:type="dxa" w:w="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21,84</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r>
    </w:tbl>
    <w:p>
      <w:pPr>
        <w:spacing w:after="200" w:before="60"/>
        <w:jc w:val="left"/>
      </w:pPr>
      <w:r>
        <w:rPr>
          <w:color w:val="6B7280"/>
          <w:sz w:val="15"/>
          <w:szCs w:val="15"/>
        </w:rPr>
        <w:t xml:space="preserve">Pondération égale des provinces. DS : différence standardisée (intervention - témoin ; T1 - T0). |DS| &lt; 0,10 : équilibre satisfaisant ; 0,10-0,25 : à surveiller ; &gt; 0,25 : déséquilibre à ajuster.</w:t>
      </w:r>
    </w:p>
    <w:p>
      <w:pPr>
        <w:keepNext/>
        <w:spacing w:after="40" w:before="80"/>
        <w:jc w:val="center"/>
      </w:pPr>
      <w:r>
        <w:drawing>
          <wp:inline distT="0" distB="0" distL="0" distR="0">
            <wp:extent cx="5400675"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4724400"/>
                    </a:xfrm>
                    <a:prstGeom prst="rect">
                      <a:avLst/>
                    </a:prstGeom>
                  </pic:spPr>
                </pic:pic>
              </a:graphicData>
            </a:graphic>
          </wp:inline>
        </w:drawing>
      </w:r>
    </w:p>
    <w:p>
      <w:pPr>
        <w:spacing w:after="160"/>
        <w:jc w:val="left"/>
      </w:pPr>
      <w:r>
        <w:rPr>
          <w:b/>
          <w:bCs/>
          <w:color w:val="0B1F3A"/>
          <w:sz w:val="17"/>
          <w:szCs w:val="17"/>
        </w:rPr>
        <w:t xml:space="preserve">Figure 4. </w:t>
      </w:r>
      <w:r>
        <w:rPr>
          <w:color w:val="52514E"/>
          <w:sz w:val="17"/>
          <w:szCs w:val="17"/>
        </w:rPr>
        <w:t xml:space="preserve">Équilibre entre bras à T0 et T1 : différences standardisées des covariables et des primaires.</w:t>
      </w:r>
    </w:p>
    <w:p>
      <w:pPr>
        <w:spacing w:after="160"/>
        <w:jc w:val="left"/>
      </w:pPr>
      <w:r>
        <w:rPr>
          <w:b/>
          <w:bCs/>
          <w:color w:val="0B1F3A"/>
          <w:sz w:val="17"/>
          <w:szCs w:val="17"/>
        </w:rPr>
        <w:t xml:space="preserve">Tableau 6. </w:t>
      </w:r>
      <w:r>
        <w:rPr>
          <w:color w:val="52514E"/>
          <w:sz w:val="17"/>
          <w:szCs w:val="17"/>
        </w:rPr>
        <w:t xml:space="preserve">Profil des agents et des organes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596"/>
        <w:gridCol w:w="2985"/>
        <w:gridCol w:w="597"/>
        <w:gridCol w:w="853"/>
        <w:gridCol w:w="512"/>
        <w:gridCol w:w="597"/>
        <w:gridCol w:w="853"/>
        <w:gridCol w:w="512"/>
        <w:gridCol w:w="1024"/>
        <w:gridCol w:w="1109"/>
      </w:tblGrid>
      <w:tr>
        <w:trPr>
          <w:cantSplit/>
          <w:tblHeader/>
        </w:trPr>
        <w:tc>
          <w:tcPr>
            <w:tcW w:type="dxa" w:w="59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Base</w:t>
            </w:r>
          </w:p>
        </w:tc>
        <w:tc>
          <w:tcPr>
            <w:tcW w:type="dxa" w:w="298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Caractéristique</w:t>
            </w:r>
          </w:p>
        </w:tc>
        <w:tc>
          <w:tcPr>
            <w:tcW w:type="dxa" w:w="5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Témoin</w:t>
            </w:r>
          </w:p>
        </w:tc>
        <w:tc>
          <w:tcPr>
            <w:tcW w:type="dxa" w:w="85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Intervention</w:t>
            </w:r>
          </w:p>
        </w:tc>
        <w:tc>
          <w:tcPr>
            <w:tcW w:type="dxa" w:w="5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DS T0</w:t>
            </w:r>
          </w:p>
        </w:tc>
        <w:tc>
          <w:tcPr>
            <w:tcW w:type="dxa" w:w="5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Témoin</w:t>
            </w:r>
          </w:p>
        </w:tc>
        <w:tc>
          <w:tcPr>
            <w:tcW w:type="dxa" w:w="85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Intervention</w:t>
            </w:r>
          </w:p>
        </w:tc>
        <w:tc>
          <w:tcPr>
            <w:tcW w:type="dxa" w:w="5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DS T1</w:t>
            </w:r>
          </w:p>
        </w:tc>
        <w:tc>
          <w:tcPr>
            <w:tcW w:type="dxa" w:w="102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DS T1 vs T0 (témoin)</w:t>
            </w:r>
          </w:p>
        </w:tc>
        <w:tc>
          <w:tcPr>
            <w:tcW w:type="dxa" w:w="110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DS T1 vs T0 (intervention)</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Femmes (%)</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28,47</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27,78</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-0,02</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30,31</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29,47</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-0,02</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0,04</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0,04</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Ancienneté comme RECO (années)</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5,36</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5,37</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5,37</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6,27</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0,18</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Niveau requis atteint (%)</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57,29</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60,42</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0,06</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70,73</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61,05</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-0,21</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0,28</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0,01</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Femmes (%)</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19,54</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-0,01</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16,9</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16,67</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-0,01</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-0,08</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-0,07</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Âge (années)</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44,51</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39,54</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46,32</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42,03</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-0,34</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0,15</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Diplôme d'État (%)</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40,7</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26,58</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48,57</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31,17</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-0,36</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0,16</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Répondante femme (%)</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24,91</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20,14</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-0,11</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-0,16</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-0,05</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Âge du répondant (années)</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42,96</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42,92</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-0,22</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0,09</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-0,12</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dans la CAC (nombre)</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8,87</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8,97</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0,02</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-0,01</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-0,11</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-0,13</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Répondant femme (%)</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8,33</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8,33</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6,25</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12,5</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0,22</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-0,08</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0,14</w:t>
            </w:r>
          </w:p>
        </w:tc>
      </w:tr>
      <w:tr>
        <w:trPr>
          <w:cantSplit/>
        </w:trPr>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w:t>
            </w:r>
          </w:p>
        </w:tc>
        <w:tc>
          <w:tcPr>
            <w:tcW w:type="dxa" w:w="29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Âge du répondant (années)</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49,23</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41,56</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-0,68</w:t>
            </w:r>
          </w:p>
        </w:tc>
        <w:tc>
          <w:tcPr>
            <w:tcW w:type="dxa" w:w="5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49,04</w:t>
            </w:r>
          </w:p>
        </w:tc>
        <w:tc>
          <w:tcPr>
            <w:tcW w:type="dxa" w:w="8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42,88</w:t>
            </w:r>
          </w:p>
        </w:tc>
        <w:tc>
          <w:tcPr>
            <w:tcW w:type="dxa" w:w="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-0,53</w:t>
            </w:r>
          </w:p>
        </w:tc>
        <w:tc>
          <w:tcPr>
            <w:tcW w:type="dxa" w:w="10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-0,01</w:t>
            </w:r>
          </w:p>
        </w:tc>
        <w:tc>
          <w:tcPr>
            <w:tcW w:type="dxa" w:w="11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0,13</w:t>
            </w:r>
          </w:p>
        </w:tc>
      </w:tr>
      <w:tr>
        <w:trPr>
          <w:cantSplit/>
        </w:trPr>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w:t>
            </w:r>
          </w:p>
        </w:tc>
        <w:tc>
          <w:tcPr>
            <w:tcW w:type="dxa" w:w="29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Part des femmes parmi les membres (%)</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25,94</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26,42</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0,03</w:t>
            </w:r>
          </w:p>
        </w:tc>
        <w:tc>
          <w:tcPr>
            <w:tcW w:type="dxa" w:w="5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29,02</w:t>
            </w:r>
          </w:p>
        </w:tc>
        <w:tc>
          <w:tcPr>
            <w:tcW w:type="dxa" w:w="8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30,08</w:t>
            </w:r>
          </w:p>
        </w:tc>
        <w:tc>
          <w:tcPr>
            <w:tcW w:type="dxa" w:w="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0,07</w:t>
            </w:r>
          </w:p>
        </w:tc>
        <w:tc>
          <w:tcPr>
            <w:tcW w:type="dxa" w:w="10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0,19</w:t>
            </w:r>
          </w:p>
        </w:tc>
        <w:tc>
          <w:tcPr>
            <w:tcW w:type="dxa" w:w="11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0,24</w:t>
            </w:r>
          </w:p>
        </w:tc>
      </w:tr>
    </w:tbl>
    <w:p>
      <w:pPr>
        <w:spacing w:after="200" w:before="60"/>
        <w:jc w:val="left"/>
      </w:pPr>
      <w:r>
        <w:rPr>
          <w:color w:val="6B7280"/>
          <w:sz w:val="15"/>
          <w:szCs w:val="15"/>
        </w:rPr>
        <w:t xml:space="preserve">Effectifs non pondérés. Coupes répétées : les agents et organes de T1 ne sont pas nécessairement ceux de T0.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Décrire la réalisation par zone, le déficit d'ASC à T1 (Maniema, Sankuru) instruit par zone, l'appariement territorial (385 villages ménages, 306 villages CAC, 91 aires CODESA) et les déséquilibres à T0 ajustés dans les modèles (instruction, taille du ménage). Conclure sur la comparabilité des bras et des passages.</w:t>
            </w:r>
          </w:p>
        </w:tc>
      </w:tr>
    </w:tbl>
    <w:p>
      <w:r>
        <w:br w:type="page"/>
      </w:r>
    </w:p>
    <w:p>
      <w:pPr>
        <w:pStyle w:val="Heading1"/>
        <w:spacing w:after="0" w:before="0"/>
      </w:pPr>
      <w:r>
        <w:rPr>
          <w:color w:val="FFFFFF"/>
          <w:sz w:val="2"/>
          <w:szCs w:val="2"/>
        </w:rPr>
        <w:t xml:space="preserve">3. Gouvernance communautaire</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Tableaux T14/T15 CAC et CODESA, T16, T20, T21 ; figures F07a, F07b. Attribution pour P3 : chapitre 6.</w:t>
      </w:r>
    </w:p>
    <w:p>
      <w:pPr>
        <w:spacing w:after="160"/>
        <w:jc w:val="left"/>
      </w:pPr>
      <w:r>
        <w:rPr>
          <w:b/>
          <w:bCs/>
          <w:color w:val="0B1F3A"/>
          <w:sz w:val="17"/>
          <w:szCs w:val="17"/>
        </w:rPr>
        <w:t xml:space="preserve">Tableau 7. </w:t>
      </w:r>
      <w:r>
        <w:rPr>
          <w:color w:val="52514E"/>
          <w:sz w:val="17"/>
          <w:szCs w:val="17"/>
        </w:rPr>
        <w:t xml:space="preserve">Indicateurs CAC : valeurs à T0 et T1 et écart, ensemble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834"/>
        <w:gridCol w:w="1053"/>
        <w:gridCol w:w="1620"/>
        <w:gridCol w:w="486"/>
        <w:gridCol w:w="1539"/>
        <w:gridCol w:w="486"/>
        <w:gridCol w:w="1620"/>
      </w:tblGrid>
      <w:tr>
        <w:trPr>
          <w:cantSplit/>
          <w:tblHeader/>
        </w:trPr>
        <w:tc>
          <w:tcPr>
            <w:tcW w:type="dxa" w:w="28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05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62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53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62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CAC, 9 critères (0-100)</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 [62,5 ; 80,1]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74,9 [67,5 ; 82,3]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[-6,9 ; 14,2]</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CAC, 9 critères (0-100)</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 [52,8 ; 80,9]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70,4 [58,2 ; 82,6]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 [-11,9 ; 18,9]</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CAC, 9 critères (0-100)</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75,6 [62,3 ; 89,0]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79,5 [69,3 ; 89,6]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 [-10,1 ; 17,7]</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indice de riposte Mpox (0-100)</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67,2 [52,2 ; 82,2]</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69,5 [58,6 ; 80,5]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 [-14,7 ; 19,4]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indice de riposte Mpox (0-100)</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55,2 [28,5 ; 81,9]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67,5 [47,4 ; 87,6]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12,3 [-15,4 ; 40,0]</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indice de riposte Mpox (0-100)</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79,1 [63,0 ; 95,1]</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71,6 [56,8 ; 86,4]</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 [-25,5 ; 10,6]</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bureau formé sur la dynamique communautaire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64,7 [50,5 ; 79,0]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73,0 [62,2 ; 83,8]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 [-8,2 ; 24,7]</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bureau formé sur la dynamique communautaire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55,1 [33,3 ; 76,9]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70,3 [50,8 ; 89,7]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15,2 [-9,0 ; 39,4]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bureau formé sur la dynamique communautaire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74,3 [53,2 ; 95,4]</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75,7 [60,7 ; 90,7]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 [-20,1 ; 22,9]</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RECO dotés d'outils de gestion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56,7 [41,4 ; 71,9]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556</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59,1 [42,7 ; 75,5]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555</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 [-18,1 ; 23,0]</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RECO dotés d'outils de gestion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49,5 [25,7 ; 73,3]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277</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53,4 [23,5 ; 83,3]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 [-27,7 ; 35,6]</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RECO dotés d'outils de gestion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63,8 [40,0 ; 87,6]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64,9 [43,2 ; 86,5]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 [-25,6 ; 27,7]</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supervisée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80,3 [66,9 ; 93,7]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[77,1 ; 94,5]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 [-9,2 ; 20,2]</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supervisée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83,5 [68,1 ; 98,9]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88,1 [76,6 ; 99,6]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 [-11,4 ; 20,6]</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supervisée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77,1 [50,9 ; 103,3]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83,5 [67,4 ; 99,5]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 [-19,1 ; 31,8]</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membres payés (argent ou nature)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23,4 [10,6 ; 36,2]</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21,1 [10,0 ; 32,1]</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 [-17,9 ; 13,2]</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membres payés (argent ou nature)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18,9 [-3,8 ; 41,7]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13,6 [3,4 ; 23,9]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 [-26,0 ; 15,4]</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membres payés (argent ou nature)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27,8 [10,0 ; 45,6]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 [7,2 ; 49,9]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[-22,3 ; 23,8]</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PV de réunion de monitorage vu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 [39,0 ; 62,5]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50,5 [37,8 ; 63,1]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543</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[-16,2 ; 15,6]</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PV de réunion de monitorage vu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36,5 [22,8 ; 50,2]</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38,1 [21,2 ; 54,9]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268</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[-16,4 ; 19,6]</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PV de réunion de monitorage vu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64,8 [50,8 ; 78,8]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267</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62,5 [44,9 ; 80,2]</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275</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 [-20,9 ; 16,4]</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RECO actifs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81,2 [76,9 ; 85,5]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81,3 [76,3 ; 86,3]</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563</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[-6,0 ; 6,2]</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RECO actifs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78,5 [70,1 ; 86,8]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79,0 [69,1 ; 88,8]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[-10,2 ; 11,2]</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RECO actifs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83,9 [79,9 ; 88,0]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83,7 [78,7 ; 88,6]</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278</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[-5,5 ; 5,0]</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femmes parmi les RECO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36,6 [28,5 ; 44,8]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34,9 [25,8 ; 43,9]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[-13,0 ; 9,4]</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femmes parmi les RECO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36,6 [20,0 ; 53,3]</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36,6 [19,7 ; 53,5]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[-19,7 ; 19,6]</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part des femmes parmi les RECO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36,6 [27,8 ; 45,5]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 [21,3 ; 45,0]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 [-15,8 ; 8,7]</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PAC vu par l'enquêteur, toutes CAC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42,2 [29,7 ; 54,8]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42,5 [28,6 ; 56,3]</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[-17,0 ; 17,4]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PAC vu par l'enquêteur, toutes CAC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32,6 [11,9 ; 53,4]</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27,3 [10,1 ; 44,5]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 [-27,7 ; 17,0]</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PAC vu par l'enquêteur, toutes CAC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51,7 [35,6 ; 67,9]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57,7 [39,1 ; 76,4]</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 [-14,4 ; 26,4]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d'élection du bureau vu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43,7 [32,2 ; 55,1]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44,0 [33,0 ; 55,0]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557</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[-14,3 ; 14,9]</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d'élection du bureau vu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30,7 [16,6 ; 44,9]</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270</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34,4 [21,1 ; 47,7]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 [-12,4 ; 19,8]</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d'élection du bureau vu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56,4 [41,8 ; 70,9]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53,6 [36,1 ; 71,1]</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278</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 [-21,6 ; 16,1]</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a participé à une riposte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72,1 [61,0 ; 83,1]</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77,7 [68,4 ; 87,0]</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[-7,6 ; 18,9]</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a participé à une riposte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66,0 [46,6 ; 85,3]</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78,3 [61,6 ; 95,0]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12,4 [-8,8 ; 33,5]</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a participé à une riposte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78,1 [63,5 ; 92,7]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77,1 [63,8 ; 90,4]</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[-17,4 ; 15,4]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rôle dans la gestion de la Mpox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65,1 [47,0 ; 83,2]</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67,2 [53,4 ; 80,9]</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[-18,8 ; 23,0]</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rôle dans la gestion de la Mpox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51,9 [18,1 ; 85,8]</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 [38,4 ; 91,7]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13,1 [-22,6 ; 48,8]</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rôle dans la gestion de la Mpox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78,1 [60,2 ; 96,0]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69,4 [52,7 ; 86,0]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 [-29,0 ; 11,5]</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briefing Mpox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58,5 [40,5 ; 76,4]</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63,2 [48,9 ; 77,4]</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 [-16,4 ; 25,8]</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briefing Mpox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48,4 [17,3 ; 79,6]</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62,9 [36,4 ; 89,5]</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14,5 [-19,4 ; 48,4]</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briefing Mpox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68,4 [44,3 ; 92,5]</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63,4 [44,4 ; 82,3]</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 [-30,4 ; 20,4]</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subsides de fonctionnement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 [35,9 ; 65,7]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48,4 [35,1 ; 61,8]</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 [-20,7 ; 16,0]</w:t>
            </w:r>
          </w:p>
        </w:tc>
      </w:tr>
      <w:tr>
        <w:trPr>
          <w:cantSplit/>
        </w:trPr>
        <w:tc>
          <w:tcPr>
            <w:tcW w:type="dxa" w:w="28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subsides de fonctionnement (%)</w:t>
            </w:r>
          </w:p>
        </w:tc>
        <w:tc>
          <w:tcPr>
            <w:tcW w:type="dxa" w:w="105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44,2 [18,1 ; 70,3]</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36,7 [13,7 ; 59,7]</w:t>
            </w:r>
          </w:p>
        </w:tc>
        <w:tc>
          <w:tcPr>
            <w:tcW w:type="dxa" w:w="4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 [-36,3 ; 21,3]</w:t>
            </w:r>
          </w:p>
        </w:tc>
      </w:tr>
      <w:tr>
        <w:trPr>
          <w:cantSplit/>
        </w:trPr>
        <w:tc>
          <w:tcPr>
            <w:tcW w:type="dxa" w:w="28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CAC : subsides de fonctionnement (%)</w:t>
            </w:r>
          </w:p>
        </w:tc>
        <w:tc>
          <w:tcPr>
            <w:tcW w:type="dxa" w:w="105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 [36,9 ; 77,7]</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5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60,2 [46,4 ; 74,0]</w:t>
            </w:r>
          </w:p>
        </w:tc>
        <w:tc>
          <w:tcPr>
            <w:tcW w:type="dxa" w:w="4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 [-17,5 ; 23,3]</w:t>
            </w:r>
          </w:p>
        </w:tc>
      </w:tr>
    </w:tbl>
    <w:p>
      <w:pPr>
        <w:spacing w:after="200" w:before="60"/>
        <w:jc w:val="left"/>
      </w:pPr>
      <w:r>
        <w:rPr>
          <w:color w:val="6B7280"/>
          <w:sz w:val="15"/>
          <w:szCs w:val="15"/>
        </w:rPr>
        <w:t xml:space="preserve">Effectifs non pondérés. Registre : évolution. IC à 95 % : robustes par grappe (zone de santé), t à 15 ddl. Écart : T1 - T0, IC par somme des variances (coupes indépendantes). Aucune lecture causale.</w:t>
      </w:r>
    </w:p>
    <w:p>
      <w:pPr>
        <w:spacing w:after="160"/>
        <w:jc w:val="left"/>
      </w:pPr>
      <w:r>
        <w:rPr>
          <w:b/>
          <w:bCs/>
          <w:color w:val="0B1F3A"/>
          <w:sz w:val="17"/>
          <w:szCs w:val="17"/>
        </w:rPr>
        <w:t xml:space="preserve">Tableau 8. </w:t>
      </w:r>
      <w:r>
        <w:rPr>
          <w:color w:val="52514E"/>
          <w:sz w:val="17"/>
          <w:szCs w:val="17"/>
        </w:rPr>
        <w:t xml:space="preserve">Indicateurs CODESA : valeurs à T0 et T1 et écart, ensemble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741"/>
        <w:gridCol w:w="1019"/>
        <w:gridCol w:w="1646"/>
        <w:gridCol w:w="470"/>
        <w:gridCol w:w="1646"/>
        <w:gridCol w:w="470"/>
        <w:gridCol w:w="1646"/>
      </w:tblGrid>
      <w:tr>
        <w:trPr>
          <w:cantSplit/>
          <w:tblHeader/>
        </w:trPr>
        <w:tc>
          <w:tcPr>
            <w:tcW w:type="dxa" w:w="274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01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6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7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6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7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6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CODESA, 7 critères (0-100)</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73,7 [62,6 ; 84,7]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78,4 [69,6 ; 87,2]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[-8,2 ; 17,8]</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CODESA, 7 critères (0-100)</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71,1 [53,7 ; 88,5]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75,9 [59,5 ; 92,3]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[-15,0 ; 24,6]</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CODESA, 7 critères (0-100)</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76,2 [57,9 ; 94,5]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81,0 [69,6 ; 92,3]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[-13,1 ; 22,6]</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d'installation du CODESA vu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60,5 [42,8 ; 78,2]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53,7 [36,8 ; 70,5]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 [-29,3 ; 15,6]</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d'installation du CODESA vu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56,8 [34,4 ; 79,1]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58,5 [34,1 ; 82,9]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[-25,7 ; 29,2]</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PV d'installation du CODESA vu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64,1 [30,9 ; 97,4]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48,8 [19,3 ; 78,2]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 [-52,1 ; 21,5]</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Micro-plan vu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52,4 [36,5 ; 68,3]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47,1 [32,0 ; 62,2]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 [-25,5 ; 14,8]</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Micro-plan vu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39,5 [16,0 ; 63,1]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42,9 [22,1 ; 63,6]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 [-22,7 ; 29,4]</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Micro-plan vu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65,9 [44,2 ; 87,5]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51,2 [24,1 ; 78,2]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-14,7 [-43,4 ; 14,0]</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rôle dans la gestion de la Mpox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70,8 [54,8 ; 86,9]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 [61,6 ; 90,5]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[-14,7 ; 25,1]</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rôle dans la gestion de la Mpox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62,5 [33,9 ; 91,1]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68,8 [38,6 ; 98,9]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 [-28,2 ; 40,7]</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rôle dans la gestion de la Mpox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 [58,4 ; 99,9]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83,3 [72,8 ; 93,9]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[-15,1 ; 23,4]</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briefing Mpox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60,4 [39,7 ; 81,1]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 [53,2 ; 86,4]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 [-15,1 ; 33,8]</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briefing Mpox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54,2 [21,9 ; 86,4]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66,7 [34,2 ; 99,1]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12,5 [-25,4 ; 50,4]</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briefing Mpox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66,7 [32,5 ; 100,8]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 [53,3 ; 92,5]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 [-26,4 ; 38,9]</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indice de riposte Mpox (0-100)</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65,6 [47,9 ; 83,3]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 [58,6 ; 87,3]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 [-13,7 ; 28,2]</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indice de riposte Mpox (0-100)</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58,3 [29,5 ; 87,2]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 [38,5 ; 96,9]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 [-24,6 ; 43,4]</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indice de riposte Mpox (0-100)</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 [45,9 ; 100,0]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78,1 [64,2 ; 92,0]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[-20,0 ; 30,4]</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mécanisme de plaintes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 [51,7 ; 83,7]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 [57,1 ; 82,4]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[-16,7 ; 20,9]</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mécanisme de plaintes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64,6 [44,3 ; 84,9]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66,7 [44,3 ; 89,0]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[-22,9 ; 27,1]</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mécanisme de plaintes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70,8 [40,4 ; 101,3]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 [54,8 ; 91,1]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[-27,3 ; 31,5]</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réunion de monitorage dans les 3 mois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81,2 [68,7 ; 93,8]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90,6 [83,4 ; 97,9]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 [-3,9 ; 22,7]</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réunion de monitorage dans les 3 mois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 [57,1 ; 101,2]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91,7 [81,1 ; 102,2]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12,5 [-7,7 ; 32,7]</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réunion de monitorage dans les 3 mois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83,3 [65,1 ; 101,6]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89,6 [76,8 ; 102,3]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 [-12,2 ; 24,7]</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membres payés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19,8 [7,6 ; 32,0]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14,6 [3,9 ; 25,3]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[-20,1 ; 9,7]</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membres payés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16,7 [-5,7 ; 39,0]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 [-2,2 ; 18,9]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 [-28,8 ; 12,1]</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membres payés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22,9 [6,4 ; 39,5]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20,8 [0,1 ; 41,6]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[-24,1 ; 19,9]</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le CS verse un pourcentage des recettes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 [11,3 ; 47,1]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36,5 [19,2 ; 53,7]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 [-15,6 ; 30,1]</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le CS verse un pourcentage des recettes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35,4 [0,9 ; 69,9]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31,3 [6,1 ; 56,4]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[-39,6 ; 31,2]</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le CS verse un pourcentage des recettes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22,9 [1,9 ; 43,9]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41,7 [11,9 ; 71,5]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 [-11,5 ; 49,0]</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part des femmes parmi les membres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2618,0 [2153,4 ; 3082,6]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2954,2 [2461,4 ; 3447,0]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336,2 [-286,6 ; 959,1]</w:t>
            </w:r>
          </w:p>
        </w:tc>
      </w:tr>
      <w:tr>
        <w:trPr>
          <w:cantSplit/>
        </w:trPr>
        <w:tc>
          <w:tcPr>
            <w:tcW w:type="dxa" w:w="27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part des femmes parmi les membres (%)</w:t>
            </w:r>
          </w:p>
        </w:tc>
        <w:tc>
          <w:tcPr>
            <w:tcW w:type="dxa" w:w="10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2594,0 [1823,8 ; 3364,1]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2902,3 [2036,6 ; 3768,1]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308,4 [-652,1 ; 1268,8]</w:t>
            </w:r>
          </w:p>
        </w:tc>
      </w:tr>
      <w:tr>
        <w:trPr>
          <w:cantSplit/>
        </w:trPr>
        <w:tc>
          <w:tcPr>
            <w:tcW w:type="dxa" w:w="27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CODESA : part des femmes parmi les membres (%)</w:t>
            </w:r>
          </w:p>
        </w:tc>
        <w:tc>
          <w:tcPr>
            <w:tcW w:type="dxa" w:w="10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2642,0 [1903,5 ; 3380,5]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3008,5 [2288,0 ; 3729,0]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366,5 [-488,8 ; 1221,7]</w:t>
            </w:r>
          </w:p>
        </w:tc>
      </w:tr>
    </w:tbl>
    <w:p>
      <w:pPr>
        <w:spacing w:after="200" w:before="60"/>
        <w:jc w:val="left"/>
      </w:pPr>
      <w:r>
        <w:rPr>
          <w:color w:val="6B7280"/>
          <w:sz w:val="15"/>
          <w:szCs w:val="15"/>
        </w:rPr>
        <w:t xml:space="preserve">Effectifs non pondérés. Registre : évolution. IC à 95 % : robustes par grappe (zone de santé), t à 15 ddl. Écart : T1 - T0, IC par somme des variances (coupes indépendantes). Aucune lecture causale.</w:t>
      </w:r>
    </w:p>
    <w:p>
      <w:pPr>
        <w:spacing w:after="160"/>
        <w:jc w:val="left"/>
      </w:pPr>
      <w:r>
        <w:rPr>
          <w:b/>
          <w:bCs/>
          <w:color w:val="0B1F3A"/>
          <w:sz w:val="17"/>
          <w:szCs w:val="17"/>
        </w:rPr>
        <w:t xml:space="preserve">Tableau 9. </w:t>
      </w:r>
      <w:r>
        <w:rPr>
          <w:color w:val="52514E"/>
          <w:sz w:val="17"/>
          <w:szCs w:val="17"/>
        </w:rPr>
        <w:t xml:space="preserve">Répartition des CAC et des CODESA par catégorie de fonctionnalité,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023"/>
        <w:gridCol w:w="1898"/>
        <w:gridCol w:w="876"/>
        <w:gridCol w:w="4089"/>
        <w:gridCol w:w="876"/>
        <w:gridCol w:w="876"/>
      </w:tblGrid>
      <w:tr>
        <w:trPr>
          <w:cantSplit/>
          <w:tblHeader/>
        </w:trPr>
        <w:tc>
          <w:tcPr>
            <w:tcW w:type="dxa" w:w="102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Organe</w:t>
            </w:r>
          </w:p>
        </w:tc>
        <w:tc>
          <w:tcPr>
            <w:tcW w:type="dxa" w:w="18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8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408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Catégorie</w:t>
            </w:r>
          </w:p>
        </w:tc>
        <w:tc>
          <w:tcPr>
            <w:tcW w:type="dxa" w:w="8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Effectif</w:t>
            </w:r>
          </w:p>
        </w:tc>
        <w:tc>
          <w:tcPr>
            <w:tcW w:type="dxa" w:w="8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23,2</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128</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44,9</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91</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31,9</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19,9</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126</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44,1</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103</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51</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31,9</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145</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50,3</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10,2</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fonctionnelle</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100</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35,2</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Fonctionnelle</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155</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54,6</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18,8</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31,2</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22,9</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20,8</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56,2</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22,9</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60,4</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Non 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10,4</w:t>
            </w:r>
          </w:p>
        </w:tc>
      </w:tr>
      <w:tr>
        <w:trPr>
          <w:cantSplit/>
        </w:trPr>
        <w:tc>
          <w:tcPr>
            <w:tcW w:type="dxa" w:w="10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Partiellement fonctionnel</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22,9</w:t>
            </w:r>
          </w:p>
        </w:tc>
      </w:tr>
      <w:tr>
        <w:trPr>
          <w:cantSplit/>
        </w:trPr>
        <w:tc>
          <w:tcPr>
            <w:tcW w:type="dxa" w:w="10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40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Fonctionnel</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66,7</w:t>
            </w:r>
          </w:p>
        </w:tc>
      </w:tr>
    </w:tbl>
    <w:p>
      <w:pPr>
        <w:spacing w:after="200" w:before="60"/>
        <w:jc w:val="left"/>
      </w:pPr>
      <w:r>
        <w:rPr>
          <w:color w:val="6B7280"/>
          <w:sz w:val="15"/>
          <w:szCs w:val="15"/>
        </w:rPr>
        <w:t xml:space="preserve">Catégories : fonctionnel ≥ 80 % des critères ; partiellement fonctionnel 50-79 % ; non fonctionnel &lt; 50 %. Coupes répétées ; les transitions sur unités appariées sont à l'étape 4.</w:t>
      </w:r>
    </w:p>
    <w:p>
      <w:pPr>
        <w:spacing w:after="160"/>
        <w:jc w:val="left"/>
      </w:pPr>
      <w:r>
        <w:rPr>
          <w:b/>
          <w:bCs/>
          <w:color w:val="0B1F3A"/>
          <w:sz w:val="17"/>
          <w:szCs w:val="17"/>
        </w:rPr>
        <w:t xml:space="preserve">Tableau 10. </w:t>
      </w:r>
      <w:r>
        <w:rPr>
          <w:color w:val="52514E"/>
          <w:sz w:val="17"/>
          <w:szCs w:val="17"/>
        </w:rPr>
        <w:t xml:space="preserve">Matrices de transition des catégories de fonctionnalité entre T0 et T1, unités appariées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252"/>
        <w:gridCol w:w="1171"/>
        <w:gridCol w:w="2522"/>
        <w:gridCol w:w="2522"/>
        <w:gridCol w:w="540"/>
        <w:gridCol w:w="631"/>
      </w:tblGrid>
      <w:tr>
        <w:trPr>
          <w:cantSplit/>
          <w:tblHeader/>
        </w:trPr>
        <w:tc>
          <w:tcPr>
            <w:tcW w:type="dxa" w:w="22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Organe</w:t>
            </w:r>
          </w:p>
        </w:tc>
        <w:tc>
          <w:tcPr>
            <w:tcW w:type="dxa" w:w="11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Bras</w:t>
            </w:r>
          </w:p>
        </w:tc>
        <w:tc>
          <w:tcPr>
            <w:tcW w:type="dxa" w:w="252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Catégorie à T0</w:t>
            </w:r>
          </w:p>
        </w:tc>
        <w:tc>
          <w:tcPr>
            <w:tcW w:type="dxa" w:w="252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Catégorie à T1</w:t>
            </w:r>
          </w:p>
        </w:tc>
        <w:tc>
          <w:tcPr>
            <w:tcW w:type="dxa" w:w="5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Effectif</w:t>
            </w:r>
          </w:p>
        </w:tc>
        <w:tc>
          <w:tcPr>
            <w:tcW w:type="dxa" w:w="63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 en ligne</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77,8</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11,1</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11,1</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13,3</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33,3</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53,3</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18,2</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72,7</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18,2</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36,4</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45,5</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15,4</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(aires appariées)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80,8</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55,3</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31,6</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13,2</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13,5</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55,4</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31,1</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38,3</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55,3</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14,3</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57,1</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28,6</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13,2</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36,8</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Non 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w:t>
            </w:r>
          </w:p>
        </w:tc>
      </w:tr>
      <w:tr>
        <w:trPr>
          <w:cantSplit/>
        </w:trPr>
        <w:tc>
          <w:tcPr>
            <w:tcW w:type="dxa" w:w="2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Partiellement fonctionnelle</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w:t>
            </w:r>
          </w:p>
        </w:tc>
        <w:tc>
          <w:tcPr>
            <w:tcW w:type="dxa" w:w="63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19,8</w:t>
            </w:r>
          </w:p>
        </w:tc>
      </w:tr>
      <w:tr>
        <w:trPr>
          <w:cantSplit/>
        </w:trPr>
        <w:tc>
          <w:tcPr>
            <w:tcW w:type="dxa" w:w="2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(villages appariés)</w:t>
            </w:r>
          </w:p>
        </w:tc>
        <w:tc>
          <w:tcPr>
            <w:tcW w:type="dxa" w:w="11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25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Fonctionnelle</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w:t>
            </w:r>
          </w:p>
        </w:tc>
        <w:tc>
          <w:tcPr>
            <w:tcW w:type="dxa" w:w="63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75,3</w:t>
            </w:r>
          </w:p>
        </w:tc>
      </w:tr>
    </w:tbl>
    <w:p>
      <w:pPr>
        <w:spacing w:after="200" w:before="60"/>
        <w:jc w:val="left"/>
      </w:pPr>
      <w:r>
        <w:rPr>
          <w:color w:val="6B7280"/>
          <w:sz w:val="15"/>
          <w:szCs w:val="15"/>
        </w:rPr>
        <w:t xml:space="preserve">Unités appariées : 91 aires (CODESA) et villages déclarés présents aux deux passages (CAC). Coupes répétées d'organes ; une transition décrit l'unité territoriale, pas un organe suivi individuellement.</w:t>
      </w:r>
    </w:p>
    <w:p>
      <w:pPr>
        <w:spacing w:after="160"/>
        <w:jc w:val="left"/>
      </w:pPr>
      <w:r>
        <w:rPr>
          <w:b/>
          <w:bCs/>
          <w:color w:val="0B1F3A"/>
          <w:sz w:val="17"/>
          <w:szCs w:val="17"/>
        </w:rPr>
        <w:t xml:space="preserve">Tableau 11. </w:t>
      </w:r>
      <w:r>
        <w:rPr>
          <w:color w:val="52514E"/>
          <w:sz w:val="17"/>
          <w:szCs w:val="17"/>
        </w:rPr>
        <w:t xml:space="preserve">Unités appariées en dégradation, stabilité et amélioration,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864"/>
        <w:gridCol w:w="1606"/>
        <w:gridCol w:w="1236"/>
        <w:gridCol w:w="1112"/>
        <w:gridCol w:w="1236"/>
        <w:gridCol w:w="1236"/>
        <w:gridCol w:w="1112"/>
        <w:gridCol w:w="1236"/>
      </w:tblGrid>
      <w:tr>
        <w:trPr>
          <w:cantSplit/>
          <w:tblHeader/>
        </w:trPr>
        <w:tc>
          <w:tcPr>
            <w:tcW w:type="dxa" w:w="86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Organe</w:t>
            </w:r>
          </w:p>
        </w:tc>
        <w:tc>
          <w:tcPr>
            <w:tcW w:type="dxa" w:w="16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12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Dégradation (n)</w:t>
            </w:r>
          </w:p>
        </w:tc>
        <w:tc>
          <w:tcPr>
            <w:tcW w:type="dxa" w:w="11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Stabilité (n)</w:t>
            </w:r>
          </w:p>
        </w:tc>
        <w:tc>
          <w:tcPr>
            <w:tcW w:type="dxa" w:w="12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Amélioration (n)</w:t>
            </w:r>
          </w:p>
        </w:tc>
        <w:tc>
          <w:tcPr>
            <w:tcW w:type="dxa" w:w="12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Dégradation (%)</w:t>
            </w:r>
          </w:p>
        </w:tc>
        <w:tc>
          <w:tcPr>
            <w:tcW w:type="dxa" w:w="11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Stabilité (%)</w:t>
            </w:r>
          </w:p>
        </w:tc>
        <w:tc>
          <w:tcPr>
            <w:tcW w:type="dxa" w:w="12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Amélioration (%)</w:t>
            </w:r>
          </w:p>
        </w:tc>
      </w:tr>
      <w:tr>
        <w:trPr>
          <w:cantSplit/>
        </w:trPr>
        <w:tc>
          <w:tcPr>
            <w:tcW w:type="dxa" w:w="8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w:t>
            </w:r>
          </w:p>
        </w:tc>
        <w:tc>
          <w:tcPr>
            <w:tcW w:type="dxa" w:w="11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32,7</w:t>
            </w:r>
          </w:p>
        </w:tc>
        <w:tc>
          <w:tcPr>
            <w:tcW w:type="dxa" w:w="11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r>
      <w:tr>
        <w:trPr>
          <w:cantSplit/>
        </w:trPr>
        <w:tc>
          <w:tcPr>
            <w:tcW w:type="dxa" w:w="8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w:t>
            </w:r>
          </w:p>
        </w:tc>
        <w:tc>
          <w:tcPr>
            <w:tcW w:type="dxa" w:w="11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51</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22,4</w:t>
            </w:r>
          </w:p>
        </w:tc>
        <w:tc>
          <w:tcPr>
            <w:tcW w:type="dxa" w:w="11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42,9</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34,7</w:t>
            </w:r>
          </w:p>
        </w:tc>
      </w:tr>
      <w:tr>
        <w:trPr>
          <w:cantSplit/>
        </w:trPr>
        <w:tc>
          <w:tcPr>
            <w:tcW w:type="dxa" w:w="8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w:t>
            </w:r>
          </w:p>
        </w:tc>
        <w:tc>
          <w:tcPr>
            <w:tcW w:type="dxa" w:w="11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19,6</w:t>
            </w:r>
          </w:p>
        </w:tc>
        <w:tc>
          <w:tcPr>
            <w:tcW w:type="dxa" w:w="11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w:t>
            </w:r>
          </w:p>
        </w:tc>
        <w:tc>
          <w:tcPr>
            <w:tcW w:type="dxa" w:w="12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43,5</w:t>
            </w:r>
          </w:p>
        </w:tc>
      </w:tr>
      <w:tr>
        <w:trPr>
          <w:cantSplit/>
        </w:trPr>
        <w:tc>
          <w:tcPr>
            <w:tcW w:type="dxa" w:w="8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w:t>
            </w:r>
          </w:p>
        </w:tc>
        <w:tc>
          <w:tcPr>
            <w:tcW w:type="dxa" w:w="11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26,7</w:t>
            </w:r>
          </w:p>
        </w:tc>
        <w:tc>
          <w:tcPr>
            <w:tcW w:type="dxa" w:w="11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31,1</w:t>
            </w:r>
          </w:p>
        </w:tc>
        <w:tc>
          <w:tcPr>
            <w:tcW w:type="dxa" w:w="12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42,2</w:t>
            </w:r>
          </w:p>
        </w:tc>
      </w:tr>
    </w:tbl>
    <w:p>
      <w:pPr>
        <w:spacing w:after="200" w:before="60"/>
        <w:jc w:val="left"/>
      </w:pPr>
      <w:r>
        <w:rPr>
          <w:color w:val="6B7280"/>
          <w:sz w:val="15"/>
          <w:szCs w:val="15"/>
        </w:rPr>
        <w:t xml:space="preserve">Seuil de mouvement : ± 11,1 points (un critère sur neuf). Les listes nominatives des unités en progression et en régression sont transmises au volet qualitatif (classeur de cas contrastés).</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5. </w:t>
      </w:r>
      <w:r>
        <w:rPr>
          <w:color w:val="52514E"/>
          <w:sz w:val="17"/>
          <w:szCs w:val="17"/>
        </w:rPr>
        <w:t xml:space="preserve">Transitions des CODESA entre catégories de fonctionnalité, aires appariées.</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6. </w:t>
      </w:r>
      <w:r>
        <w:rPr>
          <w:color w:val="52514E"/>
          <w:sz w:val="17"/>
          <w:szCs w:val="17"/>
        </w:rPr>
        <w:t xml:space="preserve">Transitions des CAC entre catégories de fonctionnalité, villages appariés.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Fonctionnalité des CAC et des CODESA par bras et par province ; pièces vues (PAC, PV) à côté des déclarations ; cascade diagnostic → PAC → mise en œuvre ; mouvements des unités appariées (autant de dégradations que d'améliorations ?) ; UCODESA (T17). Aucune évolution lue comme un effet.</w:t>
            </w:r>
          </w:p>
        </w:tc>
      </w:tr>
    </w:tbl>
    <w:p>
      <w:r>
        <w:br w:type="page"/>
      </w:r>
    </w:p>
    <w:p>
      <w:pPr>
        <w:pStyle w:val="Heading1"/>
        <w:spacing w:after="0" w:before="0"/>
      </w:pPr>
      <w:r>
        <w:rPr>
          <w:color w:val="FFFFFF"/>
          <w:sz w:val="2"/>
          <w:szCs w:val="2"/>
        </w:rPr>
        <w:t xml:space="preserve">4. Acteurs communautaires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Tableaux T14/T15 RECO et ASC, T47 à T50 ; figure F01.</w:t>
      </w:r>
    </w:p>
    <w:p>
      <w:pPr>
        <w:spacing w:after="160"/>
        <w:jc w:val="left"/>
      </w:pPr>
      <w:r>
        <w:rPr>
          <w:b/>
          <w:bCs/>
          <w:color w:val="0B1F3A"/>
          <w:sz w:val="17"/>
          <w:szCs w:val="17"/>
        </w:rPr>
        <w:t xml:space="preserve">Tableau 12. </w:t>
      </w:r>
      <w:r>
        <w:rPr>
          <w:color w:val="52514E"/>
          <w:sz w:val="17"/>
          <w:szCs w:val="17"/>
        </w:rPr>
        <w:t xml:space="preserve">Indicateurs RECO : valeurs à T0 et T1 et écart, ensemble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788"/>
        <w:gridCol w:w="1035"/>
        <w:gridCol w:w="1593"/>
        <w:gridCol w:w="478"/>
        <w:gridCol w:w="1673"/>
        <w:gridCol w:w="478"/>
        <w:gridCol w:w="1593"/>
      </w:tblGrid>
      <w:tr>
        <w:trPr>
          <w:cantSplit/>
          <w:tblHeader/>
        </w:trPr>
        <w:tc>
          <w:tcPr>
            <w:tcW w:type="dxa" w:w="27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03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5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6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5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des RECO, 6 items (0-100)</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38,6 [32,2 ; 45,0]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40,5 [34,5 ; 46,5]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 [-6,2 ; 9,9]</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des RECO, 6 items (0-100)</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35,6 [25,0 ; 46,2]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38,7 [28,6 ; 48,9]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 [-9,0 ; 15,3]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des RECO, 6 items (0-100)</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41,6 [32,2 ; 51,0]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42,3 [33,3 ; 51,2]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[-10,1 ; 11,4]</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hors intrants (4 items)</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51,8 [43,5 ; 60,1]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573</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54,5 [47,0 ; 62,0]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568</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 [-7,6 ; 12,9]</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hors intrants (4 items)</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48,0 [35,0 ; 61,0]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52,4 [39,0 ; 65,7]</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[-11,1 ; 19,8]</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hors intrants (4 items)</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55,7 [42,7 ; 68,7]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56,7 [46,2 ; 67,1]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281</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[-12,9 ; 14,8]</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visites à domicile sur 3 mois (nombre)</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11,6 [8,6 ; 14,5]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13,6 [11,1 ; 16,1]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[-1,5 ; 5,5]</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visites à domicile sur 3 mois (nombre)</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13,0 [8,6 ; 17,5]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 [10,5 ; 17,9]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 [-3,7 ; 6,0]</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visites à domicile sur 3 mois (nombre)</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 [5,4 ; 14,7]</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13,0 [8,8 ; 17,2]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 [-2,3 ; 8,1]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participe à la surveillance communautaire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75,8 [67,8 ; 83,7]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553</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82,2 [74,9 ; 89,5]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561</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 [-3,5 ; 16,3]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participe à la surveillance communautaire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74,4 [60,1 ; 88,6]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273</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82,5 [69,7 ; 95,3]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 [-7,7 ; 24,0]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participe à la surveillance communautaire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77,1 [65,8 ; 88,5]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280</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81,9 [71,0 ; 92,7]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281</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 [-8,3 ; 17,7]</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reconnu par l'autorité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97,4 [95,6 ; 99,2]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98,1 [96,4 ; 99,8]</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[-1,6 ; 3,0]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reconnu par l'autorité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98,6 [96,9 ; 100,4]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97,9 [94,7 ; 101,1]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[-3,8 ; 2,3]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reconnu par l'autorité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96,2 [92,7 ; 99,7]</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98,2 [96,1 ; 100,4]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[-1,3 ; 5,5]</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impliqué dans le PAC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57,8 [44,3 ; 71,3]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 [55,4 ; 79,9]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 [-6,9 ; 26,6]</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impliqué dans le PAC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50,0 [26,6 ; 73,4]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58,2 [36,2 ; 80,2]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 [-18,4 ; 34,8]</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impliqué dans le PAC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65,6 [48,0 ; 83,3]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77,2 [64,5 ; 89,9]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11,6 [-6,4 ; 29,6]</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initiale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77,1 [66,0 ; 88,2]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75,5 [67,8 ; 83,2]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[-14,0 ; 10,9]</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initiale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71,2 [54,3 ; 88,1]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78,0 [65,5 ; 90,6]</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 [-10,5 ; 24,3]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initiale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83,0 [65,4 ; 100,6]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73,0 [60,9 ; 85,1]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 [-27,7 ; 7,7]</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certificat de formation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10,3 [5,6 ; 15,0]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574</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12,1 [5,4 ; 18,7]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[-5,7 ; 9,3]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certificat de formation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 [0,1 ; 16,6]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10,8 [1,5 ; 20,1]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 [-7,8 ; 12,8]</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certificat de formation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12,2 [5,7 ; 18,8]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286</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13,3 [1,4 ; 25,3]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 [-10,2 ; 12,4]</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sur le paquet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46,0 [34,2 ; 57,9]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554</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53,7 [41,3 ; 66,2]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 [-8,1 ; 23,5]</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sur le paquet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37,5 [20,7 ; 54,2]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275</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47,9 [26,0 ; 69,8]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10,4 [-12,4 ; 33,3]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formation sur le paquet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54,5 [36,0 ; 72,9]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59,7 [43,0 ; 76,4]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278</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[-15,4 ; 25,9]</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contrat MSPHPS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 [5,3 ; 15,2]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11,2 [5,0 ; 17,4]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 [-6,4 ; 8,3]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contrat MSPHPS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 [0,4 ; 14,2]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 [1,0 ; 17,8]</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[-6,9 ; 11,1]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contrat MSPHPS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13,2 [5,0 ; 21,4]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13,0 [1,6 ; 24,4]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[-11,8 ; 11,4]</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prime de motivation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 [2,6 ; 28,3]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15,4 [3,5 ; 27,2]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[-16,1 ; 16,0]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prime de motivation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 [-6,0 ; 36,6]</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13,9 [-5,3 ; 33,2]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[-25,1 ; 22,5]</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prime de motivation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15,6 [-4,8 ; 36,1]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16,8 [-2,3 ; 35,9]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 [-22,0 ; 24,4]</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supervisé régulièrement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73,2 [62,0 ; 84,3]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76,7 [66,1 ; 87,3]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 [-10,7 ; 17,7]</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supervisé régulièrement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73,9 [54,4 ; 93,3]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73,4 [54,4 ; 92,4]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[-23,0 ; 22,1]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supervisé régulièrement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72,4 [55,7 ; 89,2]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283</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80,0 [65,3 ; 94,7]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280</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 [-10,9 ; 26,0]</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supervision au moins mensuelle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68,8 [56,9 ; 80,8]</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565</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65,7 [54,4 ; 76,9]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559</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[-18,3 ; 11,9]</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supervision au moins mensuelle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68,8 [47,5 ; 90,0]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60,6 [40,9 ; 80,3]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 [-32,2 ; 15,8]</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supervision au moins mensuelle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68,9 [51,7 ; 86,2]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280</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70,7 [55,2 ; 86,3]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[-17,5 ; 21,0]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 participé à une riposte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49,5 [30,8 ; 68,1]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560</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57,1 [43,9 ; 70,3]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564</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 [-13,4 ; 28,6]</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 participé à une riposte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39,3 [11,5 ; 67,1]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275</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58,5 [36,5 ; 80,5]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19,2 [-10,1 ; 48,6]</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 participé à une riposte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59,3 [29,7 ; 88,9]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55,7 [34,9 ; 76,5]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[-33,6 ; 26,4]</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ruptures de stock au CS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52,2 [32,3 ; 72,2]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423</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58,1 [46,4 ; 69,8]</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461</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 [-15,4 ; 27,2]</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ruptures de stock au CS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61,8 [35,5 ; 88,0]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191</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61,5 [38,6 ; 84,4]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231</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[-29,2 ; 28,6]</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ruptures de stock au CS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44,4 [10,6 ; 78,2]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232</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54,8 [41,5 ; 68,1]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10,4 [-19,7 ; 40,5]</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ménages couverts (nombre)</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86,0 [64,4 ; 107,5]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571</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100,3 [79,0 ; 121,6]</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 [-13,5 ; 42,2]</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ménages couverts (nombre)</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90,0 [56,8 ; 123,3]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101,5 [68,7 ; 134,2]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11,4 [-27,2 ; 50,1]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ménages couverts (nombre)</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81,9 [45,7 ; 118,1]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99,1 [62,8 ; 135,4]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 [-25,3 ; 59,7]</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au plus 50 ménages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64,1 [54,2 ; 74,0]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571</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63,8 [56,6 ; 71,0]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[-11,5 ; 11,0]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au plus 50 ménages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61,3 [43,2 ; 79,4]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62,7 [50,1 ; 75,4]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 [-16,8 ; 19,7]</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au plus 50 ménages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 [53,6 ; 80,2]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64,9 [54,3 ; 75,6]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[-16,1 ; 12,1]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désigné en assemblée communautaire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 [45,4 ; 67,1]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67,1 [55,8 ; 78,5]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 [-3,6 ; 25,3]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désigné en assemblée communautaire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47,9 [34,5 ; 61,3]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56,4 [37,9 ; 75,0]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 [-10,4 ; 27,5]</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désigné en assemblée communautaire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64,6 [46,4 ; 82,8]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77,9 [65,8 ; 90,0]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13,3 [-4,8 ; 31,5]</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femmes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28,1 [19,3 ; 37,0]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29,9 [18,9 ; 40,9]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[-11,2 ; 14,7]</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femmes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 [11,1 ; 45,8]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30,3 [11,0 ; 49,6]</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[-19,7 ; 23,4]</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 : femmes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27,8 [17,2 ; 38,4]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29,5 [13,3 ; 45,6]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[-14,3 ; 17,7]</w:t>
            </w:r>
          </w:p>
        </w:tc>
      </w:tr>
    </w:tbl>
    <w:p>
      <w:pPr>
        <w:spacing w:after="200" w:before="60"/>
        <w:jc w:val="left"/>
      </w:pPr>
      <w:r>
        <w:rPr>
          <w:color w:val="6B7280"/>
          <w:sz w:val="15"/>
          <w:szCs w:val="15"/>
        </w:rPr>
        <w:t xml:space="preserve">Effectifs non pondérés. Registre : évolution. IC à 95 % : robustes par grappe (zone de santé), t à 15 ddl. Écart : T1 - T0, IC par somme des variances (coupes indépendantes). Aucune lecture causale.</w:t>
      </w:r>
    </w:p>
    <w:p>
      <w:pPr>
        <w:spacing w:after="160"/>
        <w:jc w:val="left"/>
      </w:pPr>
      <w:r>
        <w:rPr>
          <w:b/>
          <w:bCs/>
          <w:color w:val="0B1F3A"/>
          <w:sz w:val="17"/>
          <w:szCs w:val="17"/>
        </w:rPr>
        <w:t xml:space="preserve">Tableau 13. </w:t>
      </w:r>
      <w:r>
        <w:rPr>
          <w:color w:val="52514E"/>
          <w:sz w:val="17"/>
          <w:szCs w:val="17"/>
        </w:rPr>
        <w:t xml:space="preserve">Composantes de la professionnalisation des RECO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148"/>
        <w:gridCol w:w="1586"/>
        <w:gridCol w:w="732"/>
        <w:gridCol w:w="2440"/>
        <w:gridCol w:w="732"/>
      </w:tblGrid>
      <w:tr>
        <w:trPr>
          <w:cantSplit/>
          <w:tblHeader/>
        </w:trPr>
        <w:tc>
          <w:tcPr>
            <w:tcW w:type="dxa" w:w="414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Composante</w:t>
            </w:r>
          </w:p>
        </w:tc>
        <w:tc>
          <w:tcPr>
            <w:tcW w:type="dxa" w:w="15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73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24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Valeur [IC 95 %]</w:t>
            </w:r>
          </w:p>
        </w:tc>
        <w:tc>
          <w:tcPr>
            <w:tcW w:type="dxa" w:w="73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initiale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71,2 [54,3 ; 88,1]</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initiale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78,0 [65,5 ; 90,6]</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initiale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83,0 [65,4 ; 100,6]</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initiale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73,0 [60,9 ; 85,1]</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Certificat de formation</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 [0,1 ; 16,6]</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Certificat de formation</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10,8 [1,5 ; 20,1]</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Certificat de formation</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12,2 [5,7 ; 18,8]</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Certificat de formation</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13,3 [1,4 ; 25,3]</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sur le paquet</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37,5 [20,7 ; 54,2]</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275</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sur le paquet</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47,9 [26,0 ; 69,8]</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sur le paquet</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54,5 [36,0 ; 72,9]</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279</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Formation sur le paquet</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59,7 [43,0 ; 76,4]</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278</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Contrat MSPHPS</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 [0,4 ; 14,2]</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Contrat MSPHPS</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 [1,0 ; 17,8]</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Contrat MSPHPS</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13,2 [5,0 ; 21,4]</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Contrat MSPHPS</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13,0 [1,6 ; 24,4]</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Prime de motivation</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15,3 [-6,0 ; 36,6]</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Prime de motivation</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13,9 [-5,3 ; 33,2]</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Prime de motivation</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15,6 [-4,8 ; 36,1]</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Prime de motivation</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16,8 [-2,3 ; 35,9]</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régulière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73,9 [54,4 ; 93,3]</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régulière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73,4 [54,4 ; 92,4]</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282</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régulière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72,4 [55,7 ; 89,2]</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283</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régulière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80,0 [65,3 ; 94,7]</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280</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au moins mensuelle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68,8 [47,5 ; 90,0]</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au moins mensuelle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60,6 [40,9 ; 80,3]</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279</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au moins mensuelle</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68,9 [51,7 ; 86,2]</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280</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Supervision au moins mensuelle</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70,7 [55,2 ; 86,3]</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280</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(6 items, 0-100)</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35,6 [25,0 ; 46,2]</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(6 items, 0-100)</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38,7 [28,6 ; 48,9]</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(6 items, 0-100)</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41,6 [32,2 ; 51,0]</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(6 items, 0-100)</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42,3 [33,3 ; 51,2]</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hors intrants (4 items, 0-100)</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48,0 [35,0 ; 61,0]</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hors intrants (4 items, 0-100)</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52,4 [39,0 ; 65,7]</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hors intrants (4 items, 0-100)</w:t>
            </w:r>
          </w:p>
        </w:tc>
        <w:tc>
          <w:tcPr>
            <w:tcW w:type="dxa" w:w="15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4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55,7 [42,7 ; 68,7]</w:t>
            </w:r>
          </w:p>
        </w:tc>
        <w:tc>
          <w:tcPr>
            <w:tcW w:type="dxa" w:w="73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 hors intrants (4 items, 0-100)</w:t>
            </w:r>
          </w:p>
        </w:tc>
        <w:tc>
          <w:tcPr>
            <w:tcW w:type="dxa" w:w="15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4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56,7 [46,2 ; 67,1]</w:t>
            </w:r>
          </w:p>
        </w:tc>
        <w:tc>
          <w:tcPr>
            <w:tcW w:type="dxa" w:w="73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281</w:t>
            </w:r>
          </w:p>
        </w:tc>
      </w:tr>
    </w:tbl>
    <w:p>
      <w:pPr>
        <w:spacing w:after="200" w:before="60"/>
        <w:jc w:val="left"/>
      </w:pPr>
      <w:r>
        <w:rPr>
          <w:color w:val="6B7280"/>
          <w:sz w:val="15"/>
          <w:szCs w:val="15"/>
        </w:rPr>
        <w:t xml:space="preserve">IC robustes par zone de santé. Prime et contrat sont le contenu attendu de l'appui : leur stabilité est un résultat en soi.</w:t>
      </w:r>
    </w:p>
    <w:p>
      <w:pPr>
        <w:spacing w:after="160"/>
        <w:jc w:val="left"/>
      </w:pPr>
      <w:r>
        <w:rPr>
          <w:b/>
          <w:bCs/>
          <w:color w:val="0B1F3A"/>
          <w:sz w:val="17"/>
          <w:szCs w:val="17"/>
        </w:rPr>
        <w:t xml:space="preserve">Tableau 14. </w:t>
      </w:r>
      <w:r>
        <w:rPr>
          <w:color w:val="52514E"/>
          <w:sz w:val="17"/>
          <w:szCs w:val="17"/>
        </w:rPr>
        <w:t xml:space="preserve">RECO : nombre de ménages couverts (déclaré),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627"/>
        <w:gridCol w:w="751"/>
        <w:gridCol w:w="751"/>
        <w:gridCol w:w="751"/>
        <w:gridCol w:w="751"/>
        <w:gridCol w:w="751"/>
        <w:gridCol w:w="1252"/>
        <w:gridCol w:w="1377"/>
        <w:gridCol w:w="1627"/>
      </w:tblGrid>
      <w:tr>
        <w:trPr>
          <w:cantSplit/>
          <w:tblHeader/>
        </w:trPr>
        <w:tc>
          <w:tcPr>
            <w:tcW w:type="dxa" w:w="162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Médiane</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Q1</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Q3</w:t>
            </w:r>
          </w:p>
        </w:tc>
        <w:tc>
          <w:tcPr>
            <w:tcW w:type="dxa" w:w="12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 50 ménages (%)</w:t>
            </w:r>
          </w:p>
        </w:tc>
        <w:tc>
          <w:tcPr>
            <w:tcW w:type="dxa" w:w="13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&gt; 100 ménages (%)</w:t>
            </w:r>
          </w:p>
        </w:tc>
        <w:tc>
          <w:tcPr>
            <w:tcW w:type="dxa" w:w="162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Gini intra-ZS (moyen)</w:t>
            </w:r>
          </w:p>
        </w:tc>
      </w:tr>
      <w:tr>
        <w:trPr>
          <w:cantSplit/>
        </w:trPr>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91,25</w:t>
            </w:r>
          </w:p>
        </w:tc>
        <w:tc>
          <w:tcPr>
            <w:tcW w:type="dxa" w:w="1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22,9</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w:t>
            </w:r>
          </w:p>
        </w:tc>
      </w:tr>
      <w:tr>
        <w:trPr>
          <w:cantSplit/>
        </w:trPr>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100</w:t>
            </w:r>
          </w:p>
        </w:tc>
        <w:tc>
          <w:tcPr>
            <w:tcW w:type="dxa" w:w="1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24,4</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0,55</w:t>
            </w:r>
          </w:p>
        </w:tc>
      </w:tr>
      <w:tr>
        <w:trPr>
          <w:cantSplit/>
        </w:trPr>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72,5</w:t>
            </w:r>
          </w:p>
        </w:tc>
        <w:tc>
          <w:tcPr>
            <w:tcW w:type="dxa" w:w="12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66,9</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0,45</w:t>
            </w:r>
          </w:p>
        </w:tc>
      </w:tr>
      <w:tr>
        <w:trPr>
          <w:cantSplit/>
        </w:trPr>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98</w:t>
            </w:r>
          </w:p>
        </w:tc>
        <w:tc>
          <w:tcPr>
            <w:tcW w:type="dxa" w:w="12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64,9</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23,9</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0,51</w:t>
            </w:r>
          </w:p>
        </w:tc>
      </w:tr>
    </w:tbl>
    <w:p>
      <w:pPr>
        <w:spacing w:after="200" w:before="60"/>
        <w:jc w:val="left"/>
      </w:pPr>
      <w:r>
        <w:rPr>
          <w:color w:val="6B7280"/>
          <w:sz w:val="15"/>
          <w:szCs w:val="15"/>
        </w:rPr>
        <w:t xml:space="preserve">Norme PSN SACO : 50 ménages par RECO en milieu rural. Gini calculé dans chaque zone puis moyenné.</w:t>
      </w:r>
    </w:p>
    <w:p>
      <w:pPr>
        <w:spacing w:after="160"/>
        <w:jc w:val="left"/>
      </w:pPr>
      <w:r>
        <w:rPr>
          <w:b/>
          <w:bCs/>
          <w:color w:val="0B1F3A"/>
          <w:sz w:val="17"/>
          <w:szCs w:val="17"/>
        </w:rPr>
        <w:t xml:space="preserve">Tableau 15. </w:t>
      </w:r>
      <w:r>
        <w:rPr>
          <w:color w:val="52514E"/>
          <w:sz w:val="17"/>
          <w:szCs w:val="17"/>
        </w:rPr>
        <w:t xml:space="preserve">Indicateurs ASC : valeurs à T0 et T1 et écart, ensemble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788"/>
        <w:gridCol w:w="1035"/>
        <w:gridCol w:w="1593"/>
        <w:gridCol w:w="478"/>
        <w:gridCol w:w="1593"/>
        <w:gridCol w:w="478"/>
        <w:gridCol w:w="1673"/>
      </w:tblGrid>
      <w:tr>
        <w:trPr>
          <w:cantSplit/>
          <w:tblHeader/>
        </w:trPr>
        <w:tc>
          <w:tcPr>
            <w:tcW w:type="dxa" w:w="27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03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5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5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6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supervisé régulièrement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 [64,7 ; 87,3]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175</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83,8 [73,3 ; 94,2]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 [-6,4 ; 22,0]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supervisé régulièrement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73,0 [57,0 ; 89,1]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74,3 [55,2 ; 93,4]</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[-19,4 ; 21,9]</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supervisé régulièrement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79,1 [57,7 ; 100,5]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92,3 [82,4 ; 102,3]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13,2 [-6,3 ; 32,8]</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contrat MSPHPS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15,8 [1,8 ; 29,8]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10,7 [3,5 ; 18,0]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149</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 [-19,6 ; 9,4]</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contrat MSPHPS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[-2,1 ; 13,2]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11,3 [-0,4 ; 23,0]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 [-5,8 ; 17,3]</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contrat MSPHPS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26,4 [2,0 ; 50,9]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10,3 [-1,3 ; 21,8]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-16,2 [-38,6 ; 6,3]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formation initiale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89,3 [80,5 ; 98,0]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86,6 [78,9 ; 94,2]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149</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 [-13,4 ; 8,0]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formation initiale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85,6 [69,9 ; 101,2]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87,3 [73,9 ; 100,8]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[-15,3 ; 18,9]</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formation initiale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93,1 [82,7 ; 103,5]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85,9 [74,4 ; 97,4]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 [-20,0 ; 5,6]</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a participé à une riposte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47,1 [28,4 ; 65,8]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59,9 [45,4 ; 74,3]</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147</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12,8 [-9,0 ; 34,5]</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a participé à une riposte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34,5 [3,3 ; 65,7]</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63,4 [35,3 ; 91,4]</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28,9 [-5,9 ; 63,7]</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a participé à une riposte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60,0 [38,1 ; 81,9]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56,6 [38,1 ; 75,0]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 [-27,1 ; 20,3]</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professionnalisation, 6 items (0-100)</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48,3 [43,4 ; 53,3]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49,9 [44,9 ; 55,0]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149</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[-4,9 ; 8,1]</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professionnalisation, 6 items (0-100)</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44,7 [36,7 ; 52,7]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48,0 [39,1 ; 56,8]</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 [-6,6 ; 13,2]</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professionnalisation, 6 items (0-100)</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52,1 [45,6 ; 58,6]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51,7 [43,9 ; 59,5]</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[-8,8 ; 8,0]</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prime de motivation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28,8 [8,7 ; 48,9]</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23,5 [10,0 ; 37,0]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149</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 [-27,6 ; 17,0]</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prime de motivation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 [-2,7 ; 64,9]</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22,5 [-5,1 ; 50,2]</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 [-44,8 ; 27,6]</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prime de motivation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26,4 [-3,6 ; 56,5]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24,4 [8,7 ; 40,0]</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[-30,2 ; 26,0]</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ruptures de stock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71,6 [53,6 ; 89,6]</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162</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64,8 [49,6 ; 80,1]</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145</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 [-28,5 ; 14,9]</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ruptures de stock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81,5 [62,9 ; 100,1]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66,7 [40,6 ; 92,7]</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-14,8 [-41,4 ; 11,7]</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ruptures de stock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61,7 [29,5 ; 94,0]</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63,2 [40,0 ; 86,3]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 [-31,5 ; 34,3]</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femmes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19,8 [11,4 ; 28,2]</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16,8 [8,1 ; 25,5]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149</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 [-14,1 ; 8,1]</w:t>
            </w:r>
          </w:p>
        </w:tc>
      </w:tr>
      <w:tr>
        <w:trPr>
          <w:cantSplit/>
        </w:trPr>
        <w:tc>
          <w:tcPr>
            <w:tcW w:type="dxa" w:w="27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femmes (%)</w:t>
            </w:r>
          </w:p>
        </w:tc>
        <w:tc>
          <w:tcPr>
            <w:tcW w:type="dxa" w:w="10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20,0 [5,3 ; 34,7]</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w:t>
            </w:r>
          </w:p>
        </w:tc>
        <w:tc>
          <w:tcPr>
            <w:tcW w:type="dxa" w:w="15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16,9 [0,5 ; 33,3]</w:t>
            </w:r>
          </w:p>
        </w:tc>
        <w:tc>
          <w:tcPr>
            <w:tcW w:type="dxa" w:w="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w:t>
            </w:r>
          </w:p>
        </w:tc>
        <w:tc>
          <w:tcPr>
            <w:tcW w:type="dxa" w:w="16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 [-21,4 ; 15,2]</w:t>
            </w:r>
          </w:p>
        </w:tc>
      </w:tr>
      <w:tr>
        <w:trPr>
          <w:cantSplit/>
        </w:trPr>
        <w:tc>
          <w:tcPr>
            <w:tcW w:type="dxa" w:w="27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femmes (%)</w:t>
            </w:r>
          </w:p>
        </w:tc>
        <w:tc>
          <w:tcPr>
            <w:tcW w:type="dxa" w:w="10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19,5 [7,0 ; 32,1]</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w:t>
            </w:r>
          </w:p>
        </w:tc>
        <w:tc>
          <w:tcPr>
            <w:tcW w:type="dxa" w:w="15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16,7 [4,8 ; 28,5]</w:t>
            </w:r>
          </w:p>
        </w:tc>
        <w:tc>
          <w:tcPr>
            <w:tcW w:type="dxa" w:w="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w:t>
            </w:r>
          </w:p>
        </w:tc>
        <w:tc>
          <w:tcPr>
            <w:tcW w:type="dxa" w:w="16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 [-17,2 ; 11,4]</w:t>
            </w:r>
          </w:p>
        </w:tc>
      </w:tr>
    </w:tbl>
    <w:p>
      <w:pPr>
        <w:spacing w:after="200" w:before="60"/>
        <w:jc w:val="left"/>
      </w:pPr>
      <w:r>
        <w:rPr>
          <w:color w:val="6B7280"/>
          <w:sz w:val="15"/>
          <w:szCs w:val="15"/>
        </w:rPr>
        <w:t xml:space="preserve">Effectifs non pondérés. Registre : évolution. IC à 95 % : robustes par grappe (zone de santé), t à 15 ddl. Écart : T1 - T0, IC par somme des variances (coupes indépendantes). Aucune lecture causale.</w:t>
      </w:r>
    </w:p>
    <w:p>
      <w:pPr>
        <w:spacing w:after="160"/>
        <w:jc w:val="left"/>
      </w:pPr>
      <w:r>
        <w:rPr>
          <w:b/>
          <w:bCs/>
          <w:color w:val="0B1F3A"/>
          <w:sz w:val="17"/>
          <w:szCs w:val="17"/>
        </w:rPr>
        <w:t xml:space="preserve">Tableau 16. </w:t>
      </w:r>
      <w:r>
        <w:rPr>
          <w:color w:val="52514E"/>
          <w:sz w:val="17"/>
          <w:szCs w:val="17"/>
        </w:rPr>
        <w:t xml:space="preserve">ASC : montant déclaré de la prime de motivation (USD), parmi ceux qui en perçoivent une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56"/>
        <w:gridCol w:w="1134"/>
        <w:gridCol w:w="1134"/>
        <w:gridCol w:w="1134"/>
        <w:gridCol w:w="1134"/>
        <w:gridCol w:w="1134"/>
        <w:gridCol w:w="1512"/>
      </w:tblGrid>
      <w:tr>
        <w:trPr>
          <w:cantSplit/>
          <w:tblHeader/>
        </w:trPr>
        <w:tc>
          <w:tcPr>
            <w:tcW w:type="dxa" w:w="245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11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1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11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Médiane</w:t>
            </w:r>
          </w:p>
        </w:tc>
        <w:tc>
          <w:tcPr>
            <w:tcW w:type="dxa" w:w="11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Q1</w:t>
            </w:r>
          </w:p>
        </w:tc>
        <w:tc>
          <w:tcPr>
            <w:tcW w:type="dxa" w:w="11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Q3</w:t>
            </w:r>
          </w:p>
        </w:tc>
        <w:tc>
          <w:tcPr>
            <w:tcW w:type="dxa" w:w="15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 30 USD (%)</w:t>
            </w:r>
          </w:p>
        </w:tc>
      </w:tr>
      <w:tr>
        <w:trPr>
          <w:cantSplit/>
        </w:trPr>
        <w:tc>
          <w:tcPr>
            <w:tcW w:type="dxa" w:w="245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245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22,5</w:t>
            </w:r>
          </w:p>
        </w:tc>
        <w:tc>
          <w:tcPr>
            <w:tcW w:type="dxa" w:w="1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r>
      <w:tr>
        <w:trPr>
          <w:cantSplit/>
        </w:trPr>
        <w:tc>
          <w:tcPr>
            <w:tcW w:type="dxa" w:w="245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22,5</w:t>
            </w:r>
          </w:p>
        </w:tc>
        <w:tc>
          <w:tcPr>
            <w:tcW w:type="dxa" w:w="11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5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69,6</w:t>
            </w:r>
          </w:p>
        </w:tc>
      </w:tr>
      <w:tr>
        <w:trPr>
          <w:cantSplit/>
        </w:trPr>
        <w:tc>
          <w:tcPr>
            <w:tcW w:type="dxa" w:w="245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27,5</w:t>
            </w:r>
          </w:p>
        </w:tc>
        <w:tc>
          <w:tcPr>
            <w:tcW w:type="dxa" w:w="11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5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73,7</w:t>
            </w:r>
          </w:p>
        </w:tc>
      </w:tr>
    </w:tbl>
    <w:p>
      <w:pPr>
        <w:spacing w:after="200" w:before="60"/>
        <w:jc w:val="left"/>
      </w:pPr>
      <w:r>
        <w:rPr>
          <w:color w:val="6B7280"/>
          <w:sz w:val="15"/>
          <w:szCs w:val="15"/>
        </w:rPr>
        <w:t xml:space="preserve">Montant demandé en dollars par le questionnaire ASC (S04Q04a) ; la période du versement n'est pas précisée par l'outil : le repère de 30 USD par mois est un repère analytique. Effectifs faibles (n affiché).</w:t>
      </w:r>
    </w:p>
    <w:p>
      <w:pPr>
        <w:spacing w:after="160"/>
        <w:jc w:val="left"/>
      </w:pPr>
      <w:r>
        <w:rPr>
          <w:b/>
          <w:bCs/>
          <w:color w:val="0B1F3A"/>
          <w:sz w:val="17"/>
          <w:szCs w:val="17"/>
        </w:rPr>
        <w:t xml:space="preserve">Tableau 17. </w:t>
      </w:r>
      <w:r>
        <w:rPr>
          <w:color w:val="52514E"/>
          <w:sz w:val="17"/>
          <w:szCs w:val="17"/>
        </w:rPr>
        <w:t xml:space="preserve">Logistique et intrants des agents et des CAC,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674"/>
        <w:gridCol w:w="3922"/>
        <w:gridCol w:w="1457"/>
        <w:gridCol w:w="672"/>
        <w:gridCol w:w="2241"/>
        <w:gridCol w:w="672"/>
      </w:tblGrid>
      <w:tr>
        <w:trPr>
          <w:cantSplit/>
          <w:tblHeader/>
        </w:trPr>
        <w:tc>
          <w:tcPr>
            <w:tcW w:type="dxa" w:w="67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Base</w:t>
            </w:r>
          </w:p>
        </w:tc>
        <w:tc>
          <w:tcPr>
            <w:tcW w:type="dxa" w:w="392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145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67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224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Valeur [IC 95 %]</w:t>
            </w:r>
          </w:p>
        </w:tc>
        <w:tc>
          <w:tcPr>
            <w:tcW w:type="dxa" w:w="67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61,8 [35,5 ; 88,0]</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191</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61,5 [38,6 ; 84,4]</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231</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44,4 [10,6 ; 78,2]</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232</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54,8 [41,5 ; 68,1]</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230</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81,5 [62,9 ; 100,1]</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81</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66,7 [40,6 ; 92,7]</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61,7 [29,5 ; 94,0]</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81</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Ruptures de stock au CS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63,2 [40,0 ; 86,3]</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76</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Informé de la disponibilité des produits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80,0 [63,8 ; 96,2]</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90</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Informé de la disponibilité des produits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78,9 [63,5 ; 94,2]</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Informé de la disponibilité des produits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82,8 [71,2 ; 94,3]</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Informé de la disponibilité des produits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87,2 [78,0 ; 96,3]</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Dispose d'un moyen de transport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 [-1,7 ; 10,0]</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Dispose d'un moyen de transport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11,8 [-0,3 ; 23,9]</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Dispose d'un moyen de transport (%)</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10,1 [-2,9 ; 23,0]</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Dispose d'un moyen de transport (%)</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 [-3,5 ; 14,1]</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 [0,9 ; 1,9]</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 [1,0 ; 2,3]</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 [1,4 ; 2,1]</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 [1,2 ; 2,6]</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 [1,2 ; 2,4]</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 [1,6 ; 2,7]</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 [1,1 ; 2,8]</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84</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Équipements disponibles (nombre)</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 [0,9 ; 3,4]</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EPI reçus (nombre, 0-4)</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 [0,3 ; 1,0]</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279</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EPI reçus (nombre, 0-4)</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 [0,5 ; 1,2]</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6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392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EPI reçus (nombre, 0-4)</w:t>
            </w:r>
          </w:p>
        </w:tc>
        <w:tc>
          <w:tcPr>
            <w:tcW w:type="dxa" w:w="14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24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 [0,4 ; 1,3]</w:t>
            </w:r>
          </w:p>
        </w:tc>
        <w:tc>
          <w:tcPr>
            <w:tcW w:type="dxa" w:w="6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280</w:t>
            </w:r>
          </w:p>
        </w:tc>
      </w:tr>
      <w:tr>
        <w:trPr>
          <w:cantSplit/>
        </w:trPr>
        <w:tc>
          <w:tcPr>
            <w:tcW w:type="dxa" w:w="6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392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EPI reçus (nombre, 0-4)</w:t>
            </w:r>
          </w:p>
        </w:tc>
        <w:tc>
          <w:tcPr>
            <w:tcW w:type="dxa" w:w="14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24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 [0,6 ; 1,6]</w:t>
            </w:r>
          </w:p>
        </w:tc>
        <w:tc>
          <w:tcPr>
            <w:tcW w:type="dxa" w:w="6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w:t>
            </w:r>
          </w:p>
        </w:tc>
      </w:tr>
    </w:tbl>
    <w:p>
      <w:pPr>
        <w:spacing w:after="200" w:before="60"/>
        <w:jc w:val="left"/>
      </w:pPr>
      <w:r>
        <w:rPr>
          <w:color w:val="6B7280"/>
          <w:sz w:val="15"/>
          <w:szCs w:val="15"/>
        </w:rPr>
        <w:t xml:space="preserve">IC robustes par zone de santé.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Professionnalisation et ses composantes (prime et contrat stables : premier résultat attendu), charge de ménages contre la norme de 50, supervision, participation à la riposte, ruptures de stock, équipement, désignation en assemblée. Le déficit d'ASC à T1 est rappelé avant toute comparaison.</w:t>
            </w:r>
          </w:p>
        </w:tc>
      </w:tr>
    </w:tbl>
    <w:p>
      <w:r>
        <w:br w:type="page"/>
      </w:r>
    </w:p>
    <w:p>
      <w:pPr>
        <w:pStyle w:val="Heading1"/>
        <w:spacing w:after="0" w:before="0"/>
      </w:pPr>
      <w:r>
        <w:rPr>
          <w:color w:val="FFFFFF"/>
          <w:sz w:val="2"/>
          <w:szCs w:val="2"/>
        </w:rPr>
        <w:t xml:space="preserve">5. Ménages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Tableaux T14/T15 ménages, T23 ; figure F03.</w:t>
      </w:r>
    </w:p>
    <w:p>
      <w:pPr>
        <w:keepNext/>
        <w:spacing w:after="40" w:before="8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438525"/>
                    </a:xfrm>
                    <a:prstGeom prst="rect">
                      <a:avLst/>
                    </a:prstGeom>
                  </pic:spPr>
                </pic:pic>
              </a:graphicData>
            </a:graphic>
          </wp:inline>
        </w:drawing>
      </w:r>
    </w:p>
    <w:p>
      <w:pPr>
        <w:spacing w:after="160"/>
        <w:jc w:val="left"/>
      </w:pPr>
      <w:r>
        <w:rPr>
          <w:b/>
          <w:bCs/>
          <w:color w:val="0B1F3A"/>
          <w:sz w:val="17"/>
          <w:szCs w:val="17"/>
        </w:rPr>
        <w:t xml:space="preserve">Figure 7. </w:t>
      </w:r>
      <w:r>
        <w:rPr>
          <w:color w:val="52514E"/>
          <w:sz w:val="17"/>
          <w:szCs w:val="17"/>
        </w:rPr>
        <w:t xml:space="preserve">Évolution T0 → T1 des quatre primaires par bras (moyennes des zones).</w:t>
      </w:r>
    </w:p>
    <w:p>
      <w:pPr>
        <w:spacing w:after="160"/>
        <w:jc w:val="left"/>
      </w:pPr>
      <w:r>
        <w:rPr>
          <w:b/>
          <w:bCs/>
          <w:color w:val="0B1F3A"/>
          <w:sz w:val="17"/>
          <w:szCs w:val="17"/>
        </w:rPr>
        <w:t xml:space="preserve">Tableau 18. </w:t>
      </w:r>
      <w:r>
        <w:rPr>
          <w:color w:val="52514E"/>
          <w:sz w:val="17"/>
          <w:szCs w:val="17"/>
        </w:rPr>
        <w:t xml:space="preserve">Indicateurs ménages : valeurs à T0 et T1 et écart, ensemble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858"/>
        <w:gridCol w:w="1062"/>
        <w:gridCol w:w="1552"/>
        <w:gridCol w:w="490"/>
        <w:gridCol w:w="1552"/>
        <w:gridCol w:w="490"/>
        <w:gridCol w:w="1634"/>
      </w:tblGrid>
      <w:tr>
        <w:trPr>
          <w:cantSplit/>
          <w:tblHeader/>
        </w:trPr>
        <w:tc>
          <w:tcPr>
            <w:tcW w:type="dxa" w:w="285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06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5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9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5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9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6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 [60,1 ; 67,3]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69,2 [65,8 ; 72,7]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 [0,5 ; 10,5]</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65,3 [59,8 ; 70,7]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69,3 [64,1 ; 74,4]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 [-3,5 ; 11,5]</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62,2 [57,5 ; 66,8]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69,2 [64,6 ; 73,8]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 [0,5 ; 13,6]</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32,0 [28,7 ; 35,4]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39,5 [35,6 ; 43,5]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 [2,3 ; 12,7]</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30,3 [25,1 ; 35,5]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38,9 [33,9 ; 44,0]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 [1,4 ; 15,9]</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33,8 [29,5 ; 38,0]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40,2 [34,0 ; 46,3]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 [-1,1 ; 13,8]</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[-0,1 ; 0,2]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[0,1 ; 0,3]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[0,0 ; 0,4]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[-0,2 ; 0,2]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[0,0 ; 0,3]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[-0,1 ; 0,4]</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[-0,1 ; 0,3]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[0,2 ; 0,5]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[-0,0 ; 0,5]</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82,0 [78,5 ; 85,5]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89,7 [86,5 ; 92,8]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 [3,0 ; 12,3]</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[80,7 ; 90,8]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89,9 [85,6 ; 94,3]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 [-2,5 ; 10,8]</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78,2 [73,4 ; 83,1]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89,4 [84,9 ; 93,9]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11,1 [4,5 ; 17,7]</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67,3 [62,0 ; 72,6]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73,2 [67,8 ; 78,6]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 [-1,6 ; 13,4]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68,6 [61,1 ; 76,2]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 [64,1 ; 79,7]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[-7,6 ; 14,1]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66,0 [58,6 ; 73,4]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74,5 [67,1 ; 81,9]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 [-1,9 ; 19,0]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42,9 [36,6 ; 49,2]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2531</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45,4 [39,3 ; 51,5]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2670</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 [-6,3 ; 11,2]</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42,2 [33,2 ; 51,1]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1240</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47,1 [38,9 ; 55,4]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1328</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 [-7,2 ; 17,1]</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43,7 [34,8 ; 52,5]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1291</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43,7 [34,7 ; 52,7]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1342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[-12,6 ; 12,6]</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89,4 [86,5 ; 92,3]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91,6 [88,7 ; 94,6]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 [-1,9 ; 6,4]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86,2 [81,3 ; 91,1]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90,5 [86,0 ; 95,0]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[-2,3 ; 11,0]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92,6 [89,5 ; 95,8]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92,7 [89,0 ; 96,5]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[-4,8 ; 5,0]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38,3 [32,4 ; 44,2]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48,2 [41,6 ; 54,8]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9,9 [1,1 ; 18,8]</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29,8 [21,6 ; 38,1]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41,2 [32,8 ; 49,6]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11,3 [-0,4 ; 23,1]</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46,7 [38,2 ; 55,1]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55,3 [45,2 ; 65,4]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 [-4,6 ; 21,8]</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 [3,3 ; 4,6]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[4,8 ; 6,4]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[0,7 ; 2,7]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[3,1 ; 5,4]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[4,7 ; 6,6]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 [-0,1 ; 2,9]</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[3,0 ; 4,2]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[4,4 ; 6,9]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[0,7 ; 3,4]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50,1 [45,8 ; 54,4]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56,4 [50,9 ; 61,9]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 [-0,7 ; 13,3]</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44,8 [39,2 ; 50,4]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54,9 [47,6 ; 62,2]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 [0,9 ; 19,3]</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55,4 [48,7 ; 62,0]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57,9 [49,7 ; 66,2]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 [-8,1 ; 13,1]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71,8 [66,8 ; 76,8]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78,4 [73,3 ; 83,6]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 [-0,6 ; 13,7]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 [59,2 ; 74,7]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77,3 [70,1 ; 84,6]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10,4 [-0,2 ; 21,0]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76,7 [70,5 ; 83,0]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79,5 [72,2 ; 86,7]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 [-6,9 ; 12,3]</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88,3 [83,6 ; 93,0]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90,0 [85,1 ; 94,9]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1609</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[-5,1 ; 8,5]</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84,3 [75,3 ; 93,2]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87,5 [78,5 ; 96,5]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[-9,5 ; 15,9]</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91,5 [87,3 ; 95,8]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92,3 [88,4 ; 96,3]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 [-5,0 ; 6,6]</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 [56,8 ; 70,6]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69,9 [63,4 ; 76,5]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1609</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 [-3,3 ; 15,7]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 [37,3 ; 64,3]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59,1 [48,3 ; 70,0]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 [-9,0 ; 25,7]</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74,2 [68,4 ; 79,9]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80,2 [73,3 ; 87,1]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 [-2,9 ; 15,0]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70,1 [65,2 ; 75,0]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77,8 [73,4 ; 82,1]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 [1,2 ; 14,2]</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68,4 [61,2 ; 75,6]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76,1 [69,2 ; 82,9]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 [-2,2 ; 17,6]</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71,8 [65,2 ; 78,4]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79,5 [74,1 ; 84,9]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 [-0,8 ; 16,2]</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58,9 [53,4 ; 64,5]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2006</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54,0 [48,1 ; 60,0]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2221</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 [-13,0 ; 3,2]</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54,1 [44,8 ; 63,3]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977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48,8 [39,4 ; 58,3]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1090</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[-18,4 ; 8,0]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63,6 [57,3 ; 69,8]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 [52,0 ; 66,0]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1131</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 [-13,9 ; 4,9]</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41,3 [36,2 ; 46,4]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42,0 [36,8 ; 47,3]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[-6,6 ; 8,0]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37,0 [28,9 ; 45,1]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37,1 [29,3 ; 45,0]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[-11,1 ; 11,4]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45,6 [39,4 ; 51,9]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46,9 [40,1 ; 53,8]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[-8,0 ; 10,5]</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44,2 [38,9 ; 49,6]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47,2 [41,6 ; 52,8]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 [-4,8 ; 10,7]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39,4 [31,3 ; 47,6]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41,7 [33,3 ; 50,2]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 [-9,5 ; 14,1]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49,0 [42,0 ; 56,0]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52,7 [45,3 ; 60,0]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[-6,5 ; 13,8]</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41,4 [36,0 ; 46,9]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45,8 [40,3 ; 51,3]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 [-3,3 ; 12,1]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38,8 [31,9 ; 45,8]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42,7 [34,9 ; 50,5]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 [-6,6 ; 14,4]</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44,1 [35,8 ; 52,4]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49,0 [41,2 ; 56,8]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 [-6,4 ; 16,3]</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67,5 [62,7 ; 72,2]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69,5 [64,7 ; 74,3]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[-4,7 ; 8,8]</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68,1 [61,8 ; 74,4]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67,1 [61,3 ; 72,9]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[-9,6 ; 7,5]</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 [59,8 ; 74,0]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 [64,2 ; 79,7]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 [-5,4 ; 15,6]</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58,4 [52,4 ; 64,5]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59,9 [53,4 ; 66,5]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 [-7,4 ; 10,4]</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55,0 [46,0 ; 63,9]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61,2 [52,9 ; 69,5]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 [-6,0 ; 18,5]</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61,9 [53,9 ; 70,0]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58,7 [48,6 ; 68,7]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 [-16,1 ; 9,6]</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35,8 [31,6 ; 39,9]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38,2 [33,4 ; 43,1]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 [-3,9 ; 8,8]</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36,1 [30,7 ; 41,4]</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37,0 [31,0 ; 42,9]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 [-7,1 ; 8,9]</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35,5 [29,1 ; 41,8]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39,5 [31,9 ; 47,1]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 [-5,8 ; 14,0]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62,8 [57,0 ; 68,7]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1024</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65,8 [59,9 ; 71,8]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 [-5,4 ; 11,4]</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57,4 [48,3 ; 66,4]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 [49,2 ; 64,8]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[-12,3 ; 11,6]</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68,4 [61,8 ; 75,0]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74,2 [65,8 ; 82,6]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 [-4,9 ; 16,5]</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 [5,4 ; 11,2]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1024</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14,7 [9,8 ; 19,7]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1092</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 [0,7 ; 12,1]</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 [5,0 ; 12,8]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16,4 [8,8 ; 24,0]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 [-1,0 ; 16,0]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 [3,5 ; 11,9]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13,1 [6,7 ; 19,6]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 [-2,3 ; 13,2]</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82,4 [77,1 ; 87,6]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1024</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84,3 [79,3 ; 89,3]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 [-5,3 ; 9,1]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76,4 [67,6 ; 85,3]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74,3 [65,2 ; 83,5]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[-14,8 ; 10,7]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88,4 [83,9 ; 93,0]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93,6 [90,3 ; 96,9]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 [-0,4 ; 10,8]</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 [22,3 ; 36,1]</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843</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30,9 [25,8 ; 36,0]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920</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[-7,0 ; 10,2]</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21,3 [14,0 ; 28,7]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394</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 [20,8 ; 36,1]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394</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 [-3,5 ; 17,7]</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36,2 [24,9 ; 47,5]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32,7 [25,9 ; 39,5]</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 [-16,7 ; 9,7]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67,5 [61,5 ; 73,5]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1024</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70,3 [63,8 ; 76,9]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 [-6,1 ; 11,7]</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61,8 [53,2 ; 70,4]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62,8 [53,0 ; 72,7]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[-12,1 ; 14,1]</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73,3 [65,8 ; 80,8]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77,4 [69,0 ; 85,7]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 [-7,2 ; 15,3]</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89,5 [86,2 ; 92,8]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92,5 [90,2 ; 94,9]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 [-1,0 ; 7,1]</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89,9 [85,3 ; 94,6]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91,2 [87,5 ; 94,9]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[-4,7 ; 7,2]</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89,1 [84,5 ; 93,7]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93,9 [90,9 ; 96,9]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[-0,7 ; 10,3]</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39,9 [34,9 ; 45,0]</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40,0 [34,0 ; 46,1]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[-7,7 ; 8,0]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37,3 [31,4 ; 43,2]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 [33,3 ; 49,7]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[-5,9 ; 14,3]</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42,5 [34,3 ; 50,7]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38,6 [29,7 ; 47,5]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 [-16,1 ; 8,1]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86,8 [83,4 ; 90,3]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2814</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87,8 [84,6 ; 91,0]</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2845</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[-3,7 ; 5,7]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88,0 [84,0 ; 92,1]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1400</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86,7 [81,5 ; 91,9]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[-7,9 ; 5,3]</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85,7 [80,2 ; 91,2]</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1414</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89,0 [85,2 ; 92,7]</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1422</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 [-3,3 ; 10,0]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31,4 [25,5 ; 37,3]</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2854</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42,1 [36,4 ; 47,8]</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2850</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10,7 [2,5 ; 18,9]</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31,4 [23,4 ; 39,3]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45,4 [37,1 ; 53,8]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1427</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14,1 [2,5 ; 25,7]</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31,4 [22,7 ; 40,1]</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1426</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38,8 [31,0 ; 46,5]</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 [-4,3 ; 19,0]</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37,7 [32,6 ; 42,9]</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2857</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49,0 [43,2 ; 54,8]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2856</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11,2 [3,5 ; 19,0]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39,8 [32,8 ; 46,7]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51,3 [43,0 ; 59,6]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11,6 [0,7 ; 22,4]</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35,7 [28,1 ; 43,3]</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46,6 [38,5 ; 54,6]</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 [-0,2 ; 22,0]</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Ensemble</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76,2 [71,4 ; 80,9]</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2552</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82,8 [78,3 ; 87,2]</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2541</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 [0,1 ; 13,1]</w:t>
            </w:r>
          </w:p>
        </w:tc>
      </w:tr>
      <w:tr>
        <w:trPr>
          <w:cantSplit/>
        </w:trPr>
        <w:tc>
          <w:tcPr>
            <w:tcW w:type="dxa" w:w="285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06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80,7 [75,6 ; 85,8]</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1260</w:t>
            </w:r>
          </w:p>
        </w:tc>
        <w:tc>
          <w:tcPr>
            <w:tcW w:type="dxa" w:w="15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82,8 [76,2 ; 89,4]</w:t>
            </w:r>
          </w:p>
        </w:tc>
        <w:tc>
          <w:tcPr>
            <w:tcW w:type="dxa" w:w="4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1269</w:t>
            </w:r>
          </w:p>
        </w:tc>
        <w:tc>
          <w:tcPr>
            <w:tcW w:type="dxa" w:w="1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[-6,2 ; 10,5]</w:t>
            </w:r>
          </w:p>
        </w:tc>
      </w:tr>
      <w:tr>
        <w:trPr>
          <w:cantSplit/>
        </w:trPr>
        <w:tc>
          <w:tcPr>
            <w:tcW w:type="dxa" w:w="285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06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71,7 [63,8 ; 79,7]</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1292</w:t>
            </w:r>
          </w:p>
        </w:tc>
        <w:tc>
          <w:tcPr>
            <w:tcW w:type="dxa" w:w="15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82,7 [76,8 ; 88,6]</w:t>
            </w:r>
          </w:p>
        </w:tc>
        <w:tc>
          <w:tcPr>
            <w:tcW w:type="dxa" w:w="4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1272</w:t>
            </w:r>
          </w:p>
        </w:tc>
        <w:tc>
          <w:tcPr>
            <w:tcW w:type="dxa" w:w="1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11,0 [1,1 ; 20,9]</w:t>
            </w:r>
          </w:p>
        </w:tc>
      </w:tr>
    </w:tbl>
    <w:p>
      <w:pPr>
        <w:spacing w:after="200" w:before="60"/>
        <w:jc w:val="left"/>
      </w:pPr>
      <w:r>
        <w:rPr>
          <w:color w:val="6B7280"/>
          <w:sz w:val="15"/>
          <w:szCs w:val="15"/>
        </w:rPr>
        <w:t xml:space="preserve">Pondération égale des provinces ; plan de sondage (strates ZS, grappes aires). Registre : évolution. IC à 95 % : linéarisation sur le plan. Écart : T1 - T0, IC par somme des variances (coupes indépendantes). Aucune lecture causale.</w:t>
      </w:r>
    </w:p>
    <w:p>
      <w:pPr>
        <w:spacing w:after="160"/>
        <w:jc w:val="left"/>
      </w:pPr>
      <w:r>
        <w:rPr>
          <w:b/>
          <w:bCs/>
          <w:color w:val="0B1F3A"/>
          <w:sz w:val="17"/>
          <w:szCs w:val="17"/>
        </w:rPr>
        <w:t xml:space="preserve">Tableau 19. </w:t>
      </w:r>
      <w:r>
        <w:rPr>
          <w:color w:val="52514E"/>
          <w:sz w:val="17"/>
          <w:szCs w:val="17"/>
        </w:rPr>
        <w:t xml:space="preserve">Évolutions brutes et après repondération de T1 sur la composition de T0 (province × instruction × quintiles 1-2)</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747"/>
        <w:gridCol w:w="1392"/>
        <w:gridCol w:w="643"/>
        <w:gridCol w:w="643"/>
        <w:gridCol w:w="857"/>
        <w:gridCol w:w="1071"/>
        <w:gridCol w:w="1285"/>
      </w:tblGrid>
      <w:tr>
        <w:trPr>
          <w:cantSplit/>
          <w:tblHeader/>
        </w:trPr>
        <w:tc>
          <w:tcPr>
            <w:tcW w:type="dxa" w:w="374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139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6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T0</w:t>
            </w:r>
          </w:p>
        </w:tc>
        <w:tc>
          <w:tcPr>
            <w:tcW w:type="dxa" w:w="6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T1 brut</w:t>
            </w:r>
          </w:p>
        </w:tc>
        <w:tc>
          <w:tcPr>
            <w:tcW w:type="dxa" w:w="85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T1 repondéré</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Évolution brute</w:t>
            </w:r>
          </w:p>
        </w:tc>
        <w:tc>
          <w:tcPr>
            <w:tcW w:type="dxa" w:w="128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Évolution repondérée</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65,2</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69,2</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62,2</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69,2</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7,7</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30,3</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7,9</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33,8</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40,1</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résultats ménages (écarts-types)</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résultats ménages (écarts-types)</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Connaît la Mpox (%)</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44,8</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55,1</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10,2</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Connaît la Mpox (%)</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55,4</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57,9</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68,4</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76</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74,9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7,6</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6,5</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71,8</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79,5</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7,7</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6,5</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37,1</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37,1</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35,7</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45,7</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46,9</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38,9</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42,7</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41,7</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44,1</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49</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47,2</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w:t>
            </w:r>
          </w:p>
        </w:tc>
      </w:tr>
      <w:tr>
        <w:trPr>
          <w:cantSplit/>
        </w:trPr>
        <w:tc>
          <w:tcPr>
            <w:tcW w:type="dxa" w:w="3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Se lave les mains à l'eau et au savon (%)</w:t>
            </w:r>
          </w:p>
        </w:tc>
        <w:tc>
          <w:tcPr>
            <w:tcW w:type="dxa" w:w="13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w:t>
            </w:r>
          </w:p>
        </w:tc>
        <w:tc>
          <w:tcPr>
            <w:tcW w:type="dxa" w:w="6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67</w:t>
            </w:r>
          </w:p>
        </w:tc>
        <w:tc>
          <w:tcPr>
            <w:tcW w:type="dxa" w:w="85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w:t>
            </w:r>
          </w:p>
        </w:tc>
        <w:tc>
          <w:tcPr>
            <w:tcW w:type="dxa" w:w="128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w:t>
            </w:r>
          </w:p>
        </w:tc>
      </w:tr>
      <w:tr>
        <w:trPr>
          <w:cantSplit/>
        </w:trPr>
        <w:tc>
          <w:tcPr>
            <w:tcW w:type="dxa" w:w="3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Se lave les mains à l'eau et au savon (%)</w:t>
            </w:r>
          </w:p>
        </w:tc>
        <w:tc>
          <w:tcPr>
            <w:tcW w:type="dxa" w:w="13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66,9</w:t>
            </w:r>
          </w:p>
        </w:tc>
        <w:tc>
          <w:tcPr>
            <w:tcW w:type="dxa" w:w="6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71,9</w:t>
            </w:r>
          </w:p>
        </w:tc>
        <w:tc>
          <w:tcPr>
            <w:tcW w:type="dxa" w:w="85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72</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28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5,1</w:t>
            </w:r>
          </w:p>
        </w:tc>
      </w:tr>
    </w:tbl>
    <w:p>
      <w:pPr>
        <w:spacing w:after="200" w:before="60"/>
        <w:jc w:val="left"/>
      </w:pPr>
      <w:r>
        <w:rPr>
          <w:color w:val="6B7280"/>
          <w:sz w:val="15"/>
          <w:szCs w:val="15"/>
        </w:rPr>
        <w:t xml:space="preserve">La repondération corrige un changement de composition des échantillons entre passages ; elle ne corrige pas un biais de sélection sur des caractéristiques non observées.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Exposition (connaissance des agents, VAD, animation récente), connaissances (signes de danger, Mpox), pratiques (CPS, lavage des mains, vaccination déclarée et carnet vu), satisfaction et participation au choix des agents ; évolutions par province ; effet de la repondération. Signaler les indicateurs saisonniers.</w:t>
            </w:r>
          </w:p>
        </w:tc>
      </w:tr>
    </w:tbl>
    <w:p>
      <w:pPr>
        <w:sectPr>
          <w:headerReference w:type="default" r:id="rId7"/>
          <w:footerReference w:type="default" r:id="rId8"/>
          <w:type w:val="nextPage"/>
          <w:pgSz w:w="11906" w:h="16838" w:orient="portrait"/>
          <w:pgMar w:top="1134" w:right="1134" w:bottom="1134" w:left="1134" w:header="500" w:footer="500" w:gutter="0"/>
          <w:pgNumType/>
          <w:docGrid w:linePitch="360"/>
        </w:sectPr>
      </w:pPr>
    </w:p>
    <w:p>
      <w:pPr>
        <w:pStyle w:val="Heading1"/>
        <w:spacing w:after="0" w:before="0"/>
      </w:pPr>
      <w:r>
        <w:rPr>
          <w:color w:val="FFFFFF"/>
          <w:sz w:val="2"/>
          <w:szCs w:val="2"/>
        </w:rPr>
        <w:t xml:space="preserve">6. Effet de l'intervention</w:t>
      </w:r>
    </w:p>
    <w:p>
      <w:pPr>
        <w:spacing w:after="120" w:before="0"/>
        <w:jc w:val="center"/>
      </w:pPr>
      <w:r>
        <w:drawing>
          <wp:inline distT="0" distB="0" distL="0" distR="0">
            <wp:extent cx="924877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248775" cy="1266825"/>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attribution. Tableaux T25 à T29, T19 ; figures F04a, F04b, F05, F06, F17. Estimation principale : modèle conjoint ; 16 points et permutation en complément.</w:t>
      </w:r>
    </w:p>
    <w:p>
      <w:pPr>
        <w:spacing w:after="160"/>
        <w:jc w:val="left"/>
      </w:pPr>
      <w:r>
        <w:rPr>
          <w:b/>
          <w:bCs/>
          <w:color w:val="0B1F3A"/>
          <w:sz w:val="17"/>
          <w:szCs w:val="17"/>
        </w:rPr>
        <w:t xml:space="preserve">Tableau 20. </w:t>
      </w:r>
      <w:r>
        <w:rPr>
          <w:color w:val="52514E"/>
          <w:sz w:val="17"/>
          <w:szCs w:val="17"/>
        </w:rPr>
        <w:t xml:space="preserve">Tableau des effets : indicateurs primaires et indices de domaine (registre attribution)</w:t>
      </w:r>
    </w:p>
    <w:tbl>
      <w:tblPr>
        <w:tblW w:type="dxa" w:w="14570"/>
        <w:tblBorders>
          <w:top w:val="none" w:color="FFFFFF" w:sz="0"/>
          <w:left w:val="none" w:color="FFFFFF" w:sz="0"/>
          <w:bottom w:val="single" w:color="0B1F3A" w:sz="8"/>
          <w:right w:val="none" w:color="FFFFFF" w:sz="0"/>
          <w:insideH w:val="none" w:color="FFFFFF" w:sz="0"/>
          <w:insideV w:val="none" w:color="FFFFFF" w:sz="0"/>
        </w:tblBorders>
      </w:tblPr>
      <w:tblGrid>
        <w:gridCol w:w="2894"/>
        <w:gridCol w:w="497"/>
        <w:gridCol w:w="497"/>
        <w:gridCol w:w="497"/>
        <w:gridCol w:w="497"/>
        <w:gridCol w:w="1573"/>
        <w:gridCol w:w="497"/>
        <w:gridCol w:w="497"/>
        <w:gridCol w:w="497"/>
        <w:gridCol w:w="497"/>
        <w:gridCol w:w="1573"/>
        <w:gridCol w:w="497"/>
        <w:gridCol w:w="497"/>
        <w:gridCol w:w="497"/>
        <w:gridCol w:w="497"/>
        <w:gridCol w:w="579"/>
        <w:gridCol w:w="1987"/>
      </w:tblGrid>
      <w:tr>
        <w:trPr>
          <w:cantSplit/>
          <w:tblHeader/>
        </w:trPr>
        <w:tc>
          <w:tcPr>
            <w:tcW w:type="dxa" w:w="28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T</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T</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w:t>
            </w:r>
          </w:p>
        </w:tc>
        <w:tc>
          <w:tcPr>
            <w:tcW w:type="dxa" w:w="15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DiD modèle conjoint [IC CR2]</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p Satt.</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p boot.</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ddl</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w:t>
            </w:r>
          </w:p>
        </w:tc>
        <w:tc>
          <w:tcPr>
            <w:tcW w:type="dxa" w:w="15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DiD 16 points brute [IC t11]</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p perm.</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EMD</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Seuil</w:t>
            </w:r>
          </w:p>
        </w:tc>
        <w:tc>
          <w:tcPr>
            <w:tcW w:type="dxa" w:w="4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Cas</w:t>
            </w:r>
          </w:p>
        </w:tc>
        <w:tc>
          <w:tcPr>
            <w:tcW w:type="dxa" w:w="57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p ajustée</w:t>
            </w:r>
          </w:p>
        </w:tc>
        <w:tc>
          <w:tcPr>
            <w:tcW w:type="dxa" w:w="198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Famille</w:t>
            </w:r>
          </w:p>
        </w:tc>
      </w:tr>
      <w:tr>
        <w:trPr>
          <w:cantSplit/>
        </w:trPr>
        <w:tc>
          <w:tcPr>
            <w:tcW w:type="dxa" w:w="28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62,2</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69,2</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 [-4,4 ; 10,3]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0,399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0,393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4991</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 [-4,2 ; 10,3]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w:t>
            </w:r>
          </w:p>
        </w:tc>
        <w:tc>
          <w:tcPr>
            <w:tcW w:type="dxa" w:w="49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D</w:t>
            </w:r>
          </w:p>
        </w:tc>
        <w:tc>
          <w:tcPr>
            <w:tcW w:type="dxa" w:w="57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1,000</w:t>
            </w:r>
          </w:p>
        </w:tc>
        <w:tc>
          <w:tcPr>
            <w:tcW w:type="dxa" w:w="198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Primaires (Holm)</w:t>
            </w:r>
          </w:p>
        </w:tc>
      </w:tr>
      <w:tr>
        <w:trPr>
          <w:cantSplit/>
        </w:trPr>
        <w:tc>
          <w:tcPr>
            <w:tcW w:type="dxa" w:w="28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30,3</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38,9</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33,8</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40,3</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[-10,8 ; 3,7]</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0,305</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0,33</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4991</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[-9,3 ; 5,1]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0,556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w:t>
            </w:r>
          </w:p>
        </w:tc>
        <w:tc>
          <w:tcPr>
            <w:tcW w:type="dxa" w:w="49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E</w:t>
            </w:r>
          </w:p>
        </w:tc>
        <w:tc>
          <w:tcPr>
            <w:tcW w:type="dxa" w:w="57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1,000</w:t>
            </w:r>
          </w:p>
        </w:tc>
        <w:tc>
          <w:tcPr>
            <w:tcW w:type="dxa" w:w="198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Primaires (Holm)</w:t>
            </w:r>
          </w:p>
        </w:tc>
      </w:tr>
      <w:tr>
        <w:trPr>
          <w:cantSplit/>
        </w:trPr>
        <w:tc>
          <w:tcPr>
            <w:tcW w:type="dxa" w:w="28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Fonctionnalité des CAC, 9 critères (0-100)</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70,4</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75,6</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79,4</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[-6,2 ; 6,4]</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0,966</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0,964</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1143</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[-6,0 ; 6,6]</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0,915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w:t>
            </w:r>
          </w:p>
        </w:tc>
        <w:tc>
          <w:tcPr>
            <w:tcW w:type="dxa" w:w="49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E</w:t>
            </w:r>
          </w:p>
        </w:tc>
        <w:tc>
          <w:tcPr>
            <w:tcW w:type="dxa" w:w="57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1,000</w:t>
            </w:r>
          </w:p>
        </w:tc>
        <w:tc>
          <w:tcPr>
            <w:tcW w:type="dxa" w:w="198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Primaires (Holm)</w:t>
            </w:r>
          </w:p>
        </w:tc>
      </w:tr>
      <w:tr>
        <w:trPr>
          <w:cantSplit/>
        </w:trPr>
        <w:tc>
          <w:tcPr>
            <w:tcW w:type="dxa" w:w="28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des RECO, 6 items (0-100)</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38,7</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42,3</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[-12,9 ; 6,6]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0,488</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0,494</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1148</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 [-11,9 ; 7,1]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0,69</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13,3</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w:t>
            </w:r>
          </w:p>
        </w:tc>
        <w:tc>
          <w:tcPr>
            <w:tcW w:type="dxa" w:w="49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E</w:t>
            </w:r>
          </w:p>
        </w:tc>
        <w:tc>
          <w:tcPr>
            <w:tcW w:type="dxa" w:w="57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1,000</w:t>
            </w:r>
          </w:p>
        </w:tc>
        <w:tc>
          <w:tcPr>
            <w:tcW w:type="dxa" w:w="198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Primaires (Holm)</w:t>
            </w:r>
          </w:p>
        </w:tc>
      </w:tr>
      <w:tr>
        <w:trPr>
          <w:cantSplit/>
        </w:trPr>
        <w:tc>
          <w:tcPr>
            <w:tcW w:type="dxa" w:w="28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Professionnalisation hors intrants (4 items)</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56,5</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[-15,5 ; 7,2]</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0,435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0,429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1141</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[-14,1 ; 7,6]</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0,517</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w:t>
            </w:r>
          </w:p>
        </w:tc>
        <w:tc>
          <w:tcPr>
            <w:tcW w:type="dxa" w:w="49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E</w:t>
            </w:r>
          </w:p>
        </w:tc>
        <w:tc>
          <w:tcPr>
            <w:tcW w:type="dxa" w:w="57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nd</w:t>
            </w:r>
          </w:p>
        </w:tc>
        <w:tc>
          <w:tcPr>
            <w:tcW w:type="dxa" w:w="198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Complémentaire</w:t>
            </w:r>
          </w:p>
        </w:tc>
      </w:tr>
      <w:tr>
        <w:trPr>
          <w:cantSplit/>
        </w:trPr>
        <w:tc>
          <w:tcPr>
            <w:tcW w:type="dxa" w:w="28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gouvernance communautaire (écarts-types)</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[-0,5 ; 0,6]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0,876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0,877</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186</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[-0,6 ; 0,6]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0,991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0,25</w:t>
            </w:r>
          </w:p>
        </w:tc>
        <w:tc>
          <w:tcPr>
            <w:tcW w:type="dxa" w:w="49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D</w:t>
            </w:r>
          </w:p>
        </w:tc>
        <w:tc>
          <w:tcPr>
            <w:tcW w:type="dxa" w:w="57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0,876</w:t>
            </w:r>
          </w:p>
        </w:tc>
        <w:tc>
          <w:tcPr>
            <w:tcW w:type="dxa" w:w="198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Indices de domaine (BH)</w:t>
            </w:r>
          </w:p>
        </w:tc>
      </w:tr>
      <w:tr>
        <w:trPr>
          <w:cantSplit/>
        </w:trPr>
        <w:tc>
          <w:tcPr>
            <w:tcW w:type="dxa" w:w="28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capacités des acteurs (écarts-types)</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[-0,9 ; 0,5]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0,507</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0,514</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185</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[-0,8 ; 0,5]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0,565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0,25</w:t>
            </w:r>
          </w:p>
        </w:tc>
        <w:tc>
          <w:tcPr>
            <w:tcW w:type="dxa" w:w="49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D</w:t>
            </w:r>
          </w:p>
        </w:tc>
        <w:tc>
          <w:tcPr>
            <w:tcW w:type="dxa" w:w="57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0,848</w:t>
            </w:r>
          </w:p>
        </w:tc>
        <w:tc>
          <w:tcPr>
            <w:tcW w:type="dxa" w:w="198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Indices de domaine (BH)</w:t>
            </w:r>
          </w:p>
        </w:tc>
      </w:tr>
      <w:tr>
        <w:trPr>
          <w:cantSplit/>
        </w:trPr>
        <w:tc>
          <w:tcPr>
            <w:tcW w:type="dxa" w:w="28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[-0,2 ; 0,3]</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0,566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0,556</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4991</w:t>
            </w:r>
          </w:p>
        </w:tc>
        <w:tc>
          <w:tcPr>
            <w:tcW w:type="dxa" w:w="1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[-0,2 ; 0,4]</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0,718</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w:t>
            </w:r>
          </w:p>
        </w:tc>
        <w:tc>
          <w:tcPr>
            <w:tcW w:type="dxa" w:w="4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0,25</w:t>
            </w:r>
          </w:p>
        </w:tc>
        <w:tc>
          <w:tcPr>
            <w:tcW w:type="dxa" w:w="49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D</w:t>
            </w:r>
          </w:p>
        </w:tc>
        <w:tc>
          <w:tcPr>
            <w:tcW w:type="dxa" w:w="57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0,848</w:t>
            </w:r>
          </w:p>
        </w:tc>
        <w:tc>
          <w:tcPr>
            <w:tcW w:type="dxa" w:w="198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Indices de domaine (BH)</w:t>
            </w:r>
          </w:p>
        </w:tc>
      </w:tr>
      <w:tr>
        <w:trPr>
          <w:cantSplit/>
        </w:trPr>
        <w:tc>
          <w:tcPr>
            <w:tcW w:type="dxa" w:w="28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riposte Mpox (écarts-types)</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[-1,1 ; 0,1]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0,088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0,083</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w:t>
            </w:r>
          </w:p>
        </w:tc>
        <w:tc>
          <w:tcPr>
            <w:tcW w:type="dxa" w:w="1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[-1,1 ; 0,1]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w:t>
            </w:r>
          </w:p>
        </w:tc>
        <w:tc>
          <w:tcPr>
            <w:tcW w:type="dxa" w:w="4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0,25</w:t>
            </w:r>
          </w:p>
        </w:tc>
        <w:tc>
          <w:tcPr>
            <w:tcW w:type="dxa" w:w="49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E</w:t>
            </w:r>
          </w:p>
        </w:tc>
        <w:tc>
          <w:tcPr>
            <w:tcW w:type="dxa" w:w="57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nd</w:t>
            </w:r>
          </w:p>
        </w:tc>
        <w:tc>
          <w:tcPr>
            <w:tcW w:type="dxa" w:w="198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Complémentaire</w:t>
            </w:r>
          </w:p>
        </w:tc>
      </w:tr>
    </w:tbl>
    <w:p>
      <w:pPr>
        <w:spacing w:after="200" w:before="60"/>
        <w:jc w:val="left"/>
      </w:pPr>
      <w:r>
        <w:rPr>
          <w:color w:val="6B7280"/>
          <w:sz w:val="15"/>
          <w:szCs w:val="15"/>
        </w:rPr>
        <w:t xml:space="preserve">Estimation principale : modèle conjoint à effets fixes d'aire et province × passage, interaction bras × passage, covariables individuelles pour les ménages, pondération égale des provinces ; IC CR2 avec degrés de liberté de Satterthwaite (ddl) ; p boot. : bootstrap sauvage par zone (Webb, 9 999 répliques, G = 16). Complément : DiD brute à 16 points (évolutions de zone régressées sur le bras et la province, IC de Student à 11 ddl) et p de permutation exacte des 1 296 attributions, lue sous hypothèse d'échangeabilité intra-province. EMD : précision descriptive calculée après observation. Cas : grille A-E appliquée à l'estimation principale (E = gain au moins égal au seuil non soutenu par l'IC ; une baisse n'est pas exclue). p ajustée : Holm sur les quatre primaires (p Satt.), BH sur D1-D3 ; D4 : évolution seulement.</w:t>
      </w:r>
    </w:p>
    <w:p>
      <w:pPr>
        <w:sectPr>
          <w:headerReference w:type="default" r:id="rId9"/>
          <w:footerReference w:type="default" r:id="rId10"/>
          <w:type w:val="nextPage"/>
          <w:pgSz w:w="16838" w:h="11906" w:orient="landscape"/>
          <w:pgMar w:top="1134" w:right="1134" w:bottom="1134" w:left="1134" w:header="500" w:footer="500" w:gutter="0"/>
          <w:pgNumType/>
          <w:docGrid w:linePitch="360"/>
        </w:sectPr>
      </w:pPr>
    </w:p>
    <w:p>
      <w:pPr>
        <w:keepNext/>
        <w:spacing w:after="40" w:before="80"/>
        <w:jc w:val="center"/>
      </w:pPr>
      <w:r>
        <w:drawing>
          <wp:inline distT="0" distB="0" distL="0" distR="0">
            <wp:extent cx="61245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2676525"/>
                    </a:xfrm>
                    <a:prstGeom prst="rect">
                      <a:avLst/>
                    </a:prstGeom>
                  </pic:spPr>
                </pic:pic>
              </a:graphicData>
            </a:graphic>
          </wp:inline>
        </w:drawing>
      </w:r>
    </w:p>
    <w:p>
      <w:pPr>
        <w:spacing w:after="160"/>
        <w:jc w:val="left"/>
      </w:pPr>
      <w:r>
        <w:rPr>
          <w:b/>
          <w:bCs/>
          <w:color w:val="0B1F3A"/>
          <w:sz w:val="17"/>
          <w:szCs w:val="17"/>
        </w:rPr>
        <w:t xml:space="preserve">Figure 8. </w:t>
      </w:r>
      <w:r>
        <w:rPr>
          <w:color w:val="52514E"/>
          <w:sz w:val="17"/>
          <w:szCs w:val="17"/>
        </w:rPr>
        <w:t xml:space="preserve">Forêt des effets sur les indices de domaine.</w:t>
      </w:r>
    </w:p>
    <w:p>
      <w:pPr>
        <w:keepNext/>
        <w:spacing w:after="40" w:before="80"/>
        <w:jc w:val="center"/>
      </w:pPr>
      <w:r>
        <w:drawing>
          <wp:inline distT="0" distB="0" distL="0" distR="0">
            <wp:extent cx="61245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829050"/>
                    </a:xfrm>
                    <a:prstGeom prst="rect">
                      <a:avLst/>
                    </a:prstGeom>
                  </pic:spPr>
                </pic:pic>
              </a:graphicData>
            </a:graphic>
          </wp:inline>
        </w:drawing>
      </w:r>
    </w:p>
    <w:p>
      <w:pPr>
        <w:spacing w:after="160"/>
        <w:jc w:val="left"/>
      </w:pPr>
      <w:r>
        <w:rPr>
          <w:b/>
          <w:bCs/>
          <w:color w:val="0B1F3A"/>
          <w:sz w:val="17"/>
          <w:szCs w:val="17"/>
        </w:rPr>
        <w:t xml:space="preserve">Figure 9. </w:t>
      </w:r>
      <w:r>
        <w:rPr>
          <w:color w:val="52514E"/>
          <w:sz w:val="17"/>
          <w:szCs w:val="17"/>
        </w:rPr>
        <w:t xml:space="preserve">Distributions de permutation des quatre primaires (1 296 attributions).</w:t>
      </w:r>
    </w:p>
    <w:p>
      <w:pPr>
        <w:keepNext/>
        <w:spacing w:after="40" w:before="80"/>
        <w:jc w:val="center"/>
      </w:pPr>
      <w:r>
        <w:drawing>
          <wp:inline distT="0" distB="0" distL="0" distR="0">
            <wp:extent cx="540067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00675" cy="4391025"/>
                    </a:xfrm>
                    <a:prstGeom prst="rect">
                      <a:avLst/>
                    </a:prstGeom>
                  </pic:spPr>
                </pic:pic>
              </a:graphicData>
            </a:graphic>
          </wp:inline>
        </w:drawing>
      </w:r>
    </w:p>
    <w:p>
      <w:pPr>
        <w:spacing w:after="160"/>
        <w:jc w:val="left"/>
      </w:pPr>
      <w:r>
        <w:rPr>
          <w:b/>
          <w:bCs/>
          <w:color w:val="0B1F3A"/>
          <w:sz w:val="17"/>
          <w:szCs w:val="17"/>
        </w:rPr>
        <w:t xml:space="preserve">Figure 10. </w:t>
      </w:r>
      <w:r>
        <w:rPr>
          <w:color w:val="52514E"/>
          <w:sz w:val="17"/>
          <w:szCs w:val="17"/>
        </w:rPr>
        <w:t xml:space="preserve">Évolutions ajustées par zone de santé, par province et par bras.</w:t>
      </w:r>
    </w:p>
    <w:p>
      <w:pPr>
        <w:spacing w:after="160"/>
        <w:jc w:val="left"/>
      </w:pPr>
      <w:r>
        <w:rPr>
          <w:b/>
          <w:bCs/>
          <w:color w:val="0B1F3A"/>
          <w:sz w:val="17"/>
          <w:szCs w:val="17"/>
        </w:rPr>
        <w:t xml:space="preserve">Tableau 21. </w:t>
      </w:r>
      <w:r>
        <w:rPr>
          <w:color w:val="52514E"/>
          <w:sz w:val="17"/>
          <w:szCs w:val="17"/>
        </w:rPr>
        <w:t xml:space="preserve">Indice d'exposition des ménages aux agents (0-100) : valeurs par zone de santé à T0 et T1, évolution brute et ajustée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59"/>
        <w:gridCol w:w="1266"/>
        <w:gridCol w:w="1266"/>
        <w:gridCol w:w="584"/>
        <w:gridCol w:w="584"/>
        <w:gridCol w:w="584"/>
        <w:gridCol w:w="584"/>
        <w:gridCol w:w="974"/>
        <w:gridCol w:w="1071"/>
        <w:gridCol w:w="1266"/>
      </w:tblGrid>
      <w:tr>
        <w:trPr>
          <w:cantSplit/>
          <w:tblHeader/>
        </w:trPr>
        <w:tc>
          <w:tcPr>
            <w:tcW w:type="dxa" w:w="14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Province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Zone de santé</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Bras</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T1</w:t>
            </w:r>
          </w:p>
        </w:tc>
        <w:tc>
          <w:tcPr>
            <w:tcW w:type="dxa" w:w="97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brute</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ajustée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Écart à la moyenne provinciale</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Kibombo</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Pangi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Kalima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-8,1</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Tunda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57,7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Kasansa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Miabi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81,3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87,2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Citenge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85,7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Tshishimbi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76,8</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86,8</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Katako Kombe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40,1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Ototo</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75,8</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Lodja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Minga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Katana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80,6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171</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-9,4</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Nyangezi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Nyantende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66,9</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Walungu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w:t>
            </w:r>
          </w:p>
        </w:tc>
      </w:tr>
    </w:tbl>
    <w:p>
      <w:pPr>
        <w:spacing w:after="200" w:before="60"/>
        <w:jc w:val="left"/>
      </w:pPr>
      <w:r>
        <w:rPr>
          <w:color w:val="6B7280"/>
          <w:sz w:val="15"/>
          <w:szCs w:val="15"/>
        </w:rPr>
        <w:t xml:space="preserve">Évolution ajustée : moyenne par zone des résidus du modèle ménage (covariables individuelles, effets fixes province × passage), pondération égale des provinces.</w:t>
      </w:r>
    </w:p>
    <w:p>
      <w:pPr>
        <w:spacing w:after="160"/>
        <w:jc w:val="left"/>
      </w:pPr>
      <w:r>
        <w:rPr>
          <w:b/>
          <w:bCs/>
          <w:color w:val="0B1F3A"/>
          <w:sz w:val="17"/>
          <w:szCs w:val="17"/>
        </w:rPr>
        <w:t xml:space="preserve">Tableau 22. </w:t>
      </w:r>
      <w:r>
        <w:rPr>
          <w:color w:val="52514E"/>
          <w:sz w:val="17"/>
          <w:szCs w:val="17"/>
        </w:rPr>
        <w:t xml:space="preserve">Fonctionnalité des CAC, 9 critères (0-100) : valeurs par zone de santé à T0 et T1, évolution brute et ajustée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59"/>
        <w:gridCol w:w="1266"/>
        <w:gridCol w:w="1266"/>
        <w:gridCol w:w="584"/>
        <w:gridCol w:w="584"/>
        <w:gridCol w:w="584"/>
        <w:gridCol w:w="584"/>
        <w:gridCol w:w="974"/>
        <w:gridCol w:w="1071"/>
        <w:gridCol w:w="1266"/>
      </w:tblGrid>
      <w:tr>
        <w:trPr>
          <w:cantSplit/>
          <w:tblHeader/>
        </w:trPr>
        <w:tc>
          <w:tcPr>
            <w:tcW w:type="dxa" w:w="14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Province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Zone de santé</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Bras</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T1</w:t>
            </w:r>
          </w:p>
        </w:tc>
        <w:tc>
          <w:tcPr>
            <w:tcW w:type="dxa" w:w="97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brute</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ajustée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Écart à la moyenne provinciale</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Kibombo</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76,5</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74,6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Pangi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87,9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10,5</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Kalima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Tunda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Kasansa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Miabi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98,1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98,1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Citenge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87,3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Tshishimbi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Katako Kombe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14,9</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Ototo</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Lodja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Minga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14,7</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14,7</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Katana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88,9</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Nyangezi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Nyantende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Walungu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w:t>
            </w:r>
          </w:p>
        </w:tc>
      </w:tr>
    </w:tbl>
    <w:p>
      <w:pPr>
        <w:spacing w:after="200" w:before="60"/>
        <w:jc w:val="left"/>
      </w:pPr>
      <w:r>
        <w:rPr>
          <w:color w:val="6B7280"/>
          <w:sz w:val="15"/>
          <w:szCs w:val="15"/>
        </w:rPr>
        <w:t xml:space="preserve">Évolution ajustée : égale à l'évolution brute (aucune covariable individuelle au niveau des organes/agents).</w:t>
      </w:r>
    </w:p>
    <w:p>
      <w:pPr>
        <w:pStyle w:val="Heading2"/>
        <w:spacing w:after="100" w:before="260"/>
      </w:pPr>
      <w:r>
        <w:t xml:space="preserve">6.1 Dossier de plausibilité des tendances parallèles</w:t>
      </w:r>
    </w:p>
    <w:p>
      <w:pPr>
        <w:spacing w:after="160"/>
        <w:jc w:val="left"/>
      </w:pPr>
      <w:r>
        <w:rPr>
          <w:b/>
          <w:bCs/>
          <w:color w:val="0B1F3A"/>
          <w:sz w:val="17"/>
          <w:szCs w:val="17"/>
        </w:rPr>
        <w:t xml:space="preserve">Tableau 23. </w:t>
      </w:r>
      <w:r>
        <w:rPr>
          <w:color w:val="52514E"/>
          <w:sz w:val="17"/>
          <w:szCs w:val="17"/>
        </w:rPr>
        <w:t xml:space="preserve">Tests placebo : différence de différences à 16 points sur des caractéristiques non ciblées par l'appui</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148"/>
        <w:gridCol w:w="854"/>
        <w:gridCol w:w="1220"/>
        <w:gridCol w:w="2318"/>
        <w:gridCol w:w="1098"/>
      </w:tblGrid>
      <w:tr>
        <w:trPr>
          <w:cantSplit/>
          <w:tblHeader/>
        </w:trPr>
        <w:tc>
          <w:tcPr>
            <w:tcW w:type="dxa" w:w="414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85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T0 témoin</w:t>
            </w:r>
          </w:p>
        </w:tc>
        <w:tc>
          <w:tcPr>
            <w:tcW w:type="dxa" w:w="122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T0 intervention</w:t>
            </w:r>
          </w:p>
        </w:tc>
        <w:tc>
          <w:tcPr>
            <w:tcW w:type="dxa" w:w="231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DiD [IC 95 %]</w:t>
            </w:r>
          </w:p>
        </w:tc>
        <w:tc>
          <w:tcPr>
            <w:tcW w:type="dxa" w:w="10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 permutation</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malade dans les 2 semaines</w:t>
            </w:r>
          </w:p>
        </w:tc>
        <w:tc>
          <w:tcPr>
            <w:tcW w:type="dxa" w:w="8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36,1</w:t>
            </w:r>
          </w:p>
        </w:tc>
        <w:tc>
          <w:tcPr>
            <w:tcW w:type="dxa" w:w="12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35,5</w:t>
            </w:r>
          </w:p>
        </w:tc>
        <w:tc>
          <w:tcPr>
            <w:tcW w:type="dxa" w:w="23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 [-8,1 ; 14,7]</w:t>
            </w:r>
          </w:p>
        </w:tc>
        <w:tc>
          <w:tcPr>
            <w:tcW w:type="dxa" w:w="10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0,545</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Taille du ménage</w:t>
            </w:r>
          </w:p>
        </w:tc>
        <w:tc>
          <w:tcPr>
            <w:tcW w:type="dxa" w:w="8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c>
          <w:tcPr>
            <w:tcW w:type="dxa" w:w="12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w:t>
            </w:r>
          </w:p>
        </w:tc>
        <w:tc>
          <w:tcPr>
            <w:tcW w:type="dxa" w:w="23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 [-1,2 ; 1,9]</w:t>
            </w:r>
          </w:p>
        </w:tc>
        <w:tc>
          <w:tcPr>
            <w:tcW w:type="dxa" w:w="10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0,816</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Enfants de moins de 5 ans</w:t>
            </w:r>
          </w:p>
        </w:tc>
        <w:tc>
          <w:tcPr>
            <w:tcW w:type="dxa" w:w="8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w:t>
            </w:r>
          </w:p>
        </w:tc>
        <w:tc>
          <w:tcPr>
            <w:tcW w:type="dxa" w:w="12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w:t>
            </w:r>
          </w:p>
        </w:tc>
        <w:tc>
          <w:tcPr>
            <w:tcW w:type="dxa" w:w="23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 [-0,4 ; 0,6]</w:t>
            </w:r>
          </w:p>
        </w:tc>
        <w:tc>
          <w:tcPr>
            <w:tcW w:type="dxa" w:w="10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0,927</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Âge de la répondante</w:t>
            </w:r>
          </w:p>
        </w:tc>
        <w:tc>
          <w:tcPr>
            <w:tcW w:type="dxa" w:w="8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30,1</w:t>
            </w:r>
          </w:p>
        </w:tc>
        <w:tc>
          <w:tcPr>
            <w:tcW w:type="dxa" w:w="12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31,6</w:t>
            </w:r>
          </w:p>
        </w:tc>
        <w:tc>
          <w:tcPr>
            <w:tcW w:type="dxa" w:w="23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 [-3,1 ; 2,0]</w:t>
            </w:r>
          </w:p>
        </w:tc>
        <w:tc>
          <w:tcPr>
            <w:tcW w:type="dxa" w:w="10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0,622</w:t>
            </w:r>
          </w:p>
        </w:tc>
      </w:tr>
      <w:tr>
        <w:trPr>
          <w:cantSplit/>
        </w:trPr>
        <w:tc>
          <w:tcPr>
            <w:tcW w:type="dxa" w:w="414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Quintiles 1-2 (niveau de vie)</w:t>
            </w:r>
          </w:p>
        </w:tc>
        <w:tc>
          <w:tcPr>
            <w:tcW w:type="dxa" w:w="8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37,7</w:t>
            </w:r>
          </w:p>
        </w:tc>
        <w:tc>
          <w:tcPr>
            <w:tcW w:type="dxa" w:w="122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38,7</w:t>
            </w:r>
          </w:p>
        </w:tc>
        <w:tc>
          <w:tcPr>
            <w:tcW w:type="dxa" w:w="23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 [-11,8 ; 14,8]</w:t>
            </w:r>
          </w:p>
        </w:tc>
        <w:tc>
          <w:tcPr>
            <w:tcW w:type="dxa" w:w="10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0,819</w:t>
            </w:r>
          </w:p>
        </w:tc>
      </w:tr>
      <w:tr>
        <w:trPr>
          <w:cantSplit/>
        </w:trPr>
        <w:tc>
          <w:tcPr>
            <w:tcW w:type="dxa" w:w="414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Plus d'une heure de marche</w:t>
            </w:r>
          </w:p>
        </w:tc>
        <w:tc>
          <w:tcPr>
            <w:tcW w:type="dxa" w:w="8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17,3</w:t>
            </w:r>
          </w:p>
        </w:tc>
        <w:tc>
          <w:tcPr>
            <w:tcW w:type="dxa" w:w="122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23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 [-11,5 ; 9,6]</w:t>
            </w:r>
          </w:p>
        </w:tc>
        <w:tc>
          <w:tcPr>
            <w:tcW w:type="dxa" w:w="10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0,84</w:t>
            </w:r>
          </w:p>
        </w:tc>
      </w:tr>
    </w:tbl>
    <w:p>
      <w:pPr>
        <w:spacing w:after="200" w:before="60"/>
        <w:jc w:val="left"/>
      </w:pPr>
      <w:r>
        <w:rPr>
          <w:color w:val="6B7280"/>
          <w:sz w:val="15"/>
          <w:szCs w:val="15"/>
        </w:rPr>
        <w:t xml:space="preserve">Un effet « établi » sur ces variables signalerait un changement de composition des échantillons entre bras plutôt qu'un effet de l'appui.</w:t>
      </w:r>
    </w:p>
    <w:p>
      <w:pPr>
        <w:spacing w:after="160"/>
        <w:jc w:val="left"/>
      </w:pPr>
      <w:r>
        <w:rPr>
          <w:b/>
          <w:bCs/>
          <w:color w:val="0B1F3A"/>
          <w:sz w:val="17"/>
          <w:szCs w:val="17"/>
        </w:rPr>
        <w:t xml:space="preserve">Tableau 24. </w:t>
      </w:r>
      <w:r>
        <w:rPr>
          <w:color w:val="52514E"/>
          <w:sz w:val="17"/>
          <w:szCs w:val="17"/>
        </w:rPr>
        <w:t xml:space="preserve">Sensibilité des effets à une divergence de tendance pré-existante entre bras (± 2 et ± 5 points sur 5,5 mois)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67"/>
        <w:gridCol w:w="2724"/>
        <w:gridCol w:w="4190"/>
        <w:gridCol w:w="1257"/>
      </w:tblGrid>
      <w:tr>
        <w:trPr>
          <w:cantSplit/>
          <w:tblHeader/>
        </w:trPr>
        <w:tc>
          <w:tcPr>
            <w:tcW w:type="dxa" w:w="14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272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Divergence supposée (points)</w:t>
            </w:r>
          </w:p>
        </w:tc>
        <w:tc>
          <w:tcPr>
            <w:tcW w:type="dxa" w:w="419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DiD corrigée [IC 95 %]</w:t>
            </w:r>
          </w:p>
        </w:tc>
        <w:tc>
          <w:tcPr>
            <w:tcW w:type="dxa" w:w="125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Cas</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7,9 [0,6 ; 15,3]</w:t>
            </w:r>
          </w:p>
        </w:tc>
        <w:tc>
          <w:tcPr>
            <w:tcW w:type="dxa" w:w="1257"/>
            <w:tcBorders>
              <w:top w:val="single" w:color="D9E1EC" w:sz="4"/>
              <w:left w:val="none" w:color="FFFFFF" w:sz="0"/>
              <w:bottom w:val="single" w:color="D9E1EC" w:sz="4"/>
              <w:right w:val="none" w:color="FFFFFF" w:sz="0"/>
            </w:tcBorders>
            <w:shd w:fill="2A78D6"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 [-5,8 ; 8,7]</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5,1 [-1,2 ; 11,4]</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 [-7,9 ; 11,6]</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4,9 [-2,4 ; 12,3]</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 [-8,8 ; 5,7]</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2,1 [-4,2 ; 8,4]</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 [-10,9 ; 8,6]</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 [-4,4 ; 10,3]</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 [-10,8 ; 3,7]</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 [-6,2 ; 6,4]</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 [-12,9 ; 6,6]</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 [-6,4 ; 8,3]</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 [-12,8 ; 1,7]</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 [-8,2 ; 4,4]</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 [-14,9 ; 4,6]</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-2,1 [-9,4 ; 5,3]</w:t>
            </w:r>
          </w:p>
        </w:tc>
        <w:tc>
          <w:tcPr>
            <w:tcW w:type="dxa" w:w="1257"/>
            <w:tcBorders>
              <w:top w:val="single" w:color="D9E1EC" w:sz="4"/>
              <w:left w:val="none" w:color="FFFFFF" w:sz="0"/>
              <w:bottom w:val="single" w:color="D9E1EC" w:sz="4"/>
              <w:right w:val="none" w:color="FFFFFF" w:sz="0"/>
            </w:tcBorders>
            <w:shd w:fill="EDA100"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D</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 [-15,8 ; -1,3]</w:t>
            </w:r>
          </w:p>
        </w:tc>
        <w:tc>
          <w:tcPr>
            <w:tcW w:type="dxa" w:w="1257"/>
            <w:tcBorders>
              <w:top w:val="single" w:color="D9E1EC" w:sz="4"/>
              <w:left w:val="none" w:color="FFFFFF" w:sz="0"/>
              <w:bottom w:val="single" w:color="D9E1EC" w:sz="4"/>
              <w:right w:val="none" w:color="FFFFFF" w:sz="0"/>
            </w:tcBorders>
            <w:shd w:fill="D03B3B"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N</w:t>
            </w:r>
          </w:p>
        </w:tc>
      </w:tr>
      <w:tr>
        <w:trPr>
          <w:cantSplit/>
        </w:trPr>
        <w:tc>
          <w:tcPr>
            <w:tcW w:type="dxa" w:w="14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72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-4,9 [-11,2 ; 1,4]</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r>
        <w:trPr>
          <w:cantSplit/>
        </w:trPr>
        <w:tc>
          <w:tcPr>
            <w:tcW w:type="dxa" w:w="14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72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41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-8,2 [-17,9 ; 1,6]</w:t>
            </w:r>
          </w:p>
        </w:tc>
        <w:tc>
          <w:tcPr>
            <w:tcW w:type="dxa" w:w="1257"/>
            <w:tcBorders>
              <w:top w:val="single" w:color="D9E1EC" w:sz="4"/>
              <w:left w:val="none" w:color="FFFFFF" w:sz="0"/>
              <w:bottom w:val="single" w:color="D9E1EC" w:sz="4"/>
              <w:right w:val="none" w:color="FFFFFF" w:sz="0"/>
            </w:tcBorders>
            <w:shd w:fill="52514E"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E</w:t>
            </w:r>
          </w:p>
        </w:tc>
      </w:tr>
    </w:tbl>
    <w:p>
      <w:pPr>
        <w:spacing w:after="200" w:before="60"/>
        <w:jc w:val="left"/>
      </w:pPr>
      <w:r>
        <w:rPr>
          <w:color w:val="6B7280"/>
          <w:sz w:val="15"/>
          <w:szCs w:val="15"/>
        </w:rPr>
        <w:t xml:space="preserve">Une divergence positive signifie que les zones d'intervention auraient progressé davantage même sans l'appui ; l'effet est corrigé d'autant. Lecture : le cas de la grille change-t-il ?</w:t>
      </w:r>
    </w:p>
    <w:p>
      <w:pPr>
        <w:spacing w:after="160"/>
        <w:jc w:val="left"/>
      </w:pPr>
      <w:r>
        <w:rPr>
          <w:b/>
          <w:bCs/>
          <w:color w:val="0B1F3A"/>
          <w:sz w:val="17"/>
          <w:szCs w:val="17"/>
        </w:rPr>
        <w:t xml:space="preserve">Tableau 25. </w:t>
      </w:r>
      <w:r>
        <w:rPr>
          <w:color w:val="52514E"/>
          <w:sz w:val="17"/>
          <w:szCs w:val="17"/>
        </w:rPr>
        <w:t xml:space="preserve">Effets estimés sur les unités territoriales appariées : différence de différences et ANCOVA (ajustement sur la valeur initiale)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308"/>
        <w:gridCol w:w="567"/>
        <w:gridCol w:w="1795"/>
        <w:gridCol w:w="567"/>
        <w:gridCol w:w="1795"/>
        <w:gridCol w:w="567"/>
        <w:gridCol w:w="1039"/>
      </w:tblGrid>
      <w:tr>
        <w:trPr>
          <w:cantSplit/>
          <w:tblHeader/>
        </w:trPr>
        <w:tc>
          <w:tcPr>
            <w:tcW w:type="dxa" w:w="330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Indicateur</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Unités</w:t>
            </w:r>
          </w:p>
        </w:tc>
        <w:tc>
          <w:tcPr>
            <w:tcW w:type="dxa" w:w="179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DiD appariée [IC 95 %]</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w:t>
            </w:r>
          </w:p>
        </w:tc>
        <w:tc>
          <w:tcPr>
            <w:tcW w:type="dxa" w:w="179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ANCOVA [IC 95 %]</w:t>
            </w:r>
          </w:p>
        </w:tc>
        <w:tc>
          <w:tcPr>
            <w:tcW w:type="dxa" w:w="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 ANCOVA</w:t>
            </w:r>
          </w:p>
        </w:tc>
        <w:tc>
          <w:tcPr>
            <w:tcW w:type="dxa" w:w="103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Coefficient de T0</w:t>
            </w:r>
          </w:p>
        </w:tc>
      </w:tr>
      <w:tr>
        <w:trPr>
          <w:cantSplit/>
        </w:trPr>
        <w:tc>
          <w:tcPr>
            <w:tcW w:type="dxa" w:w="33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Fonctionnalité des CODESA (aires appariées)</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179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 [-16,9 ; 19,0]</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0,903</w:t>
            </w:r>
          </w:p>
        </w:tc>
        <w:tc>
          <w:tcPr>
            <w:tcW w:type="dxa" w:w="179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 [-13,4 ; 21,2]</w:t>
            </w:r>
          </w:p>
        </w:tc>
        <w:tc>
          <w:tcPr>
            <w:tcW w:type="dxa" w:w="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0,633</w:t>
            </w:r>
          </w:p>
        </w:tc>
        <w:tc>
          <w:tcPr>
            <w:tcW w:type="dxa" w:w="10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0,34</w:t>
            </w:r>
          </w:p>
        </w:tc>
      </w:tr>
      <w:tr>
        <w:trPr>
          <w:cantSplit/>
        </w:trPr>
        <w:tc>
          <w:tcPr>
            <w:tcW w:type="dxa" w:w="33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P3 Fonctionnalité des CAC (villages appariés)</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306</w:t>
            </w:r>
          </w:p>
        </w:tc>
        <w:tc>
          <w:tcPr>
            <w:tcW w:type="dxa" w:w="179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 [-5,3 ; 9,8]</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0,53</w:t>
            </w:r>
          </w:p>
        </w:tc>
        <w:tc>
          <w:tcPr>
            <w:tcW w:type="dxa" w:w="179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9,0 [-2,6 ; 20,6]</w:t>
            </w:r>
          </w:p>
        </w:tc>
        <w:tc>
          <w:tcPr>
            <w:tcW w:type="dxa" w:w="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0,115</w:t>
            </w:r>
          </w:p>
        </w:tc>
        <w:tc>
          <w:tcPr>
            <w:tcW w:type="dxa" w:w="10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r>
    </w:tbl>
    <w:p>
      <w:pPr>
        <w:spacing w:after="200" w:before="60"/>
        <w:jc w:val="left"/>
      </w:pPr>
      <w:r>
        <w:rPr>
          <w:color w:val="6B7280"/>
          <w:sz w:val="15"/>
          <w:szCs w:val="15"/>
        </w:rPr>
        <w:t xml:space="preserve">Erreurs-types CR2 par zone de santé (estimatr). Les CODESA (6 par zone) relèvent du registre évolution : leur DiD appariée est donnée à titre de cohérence, l'EMD de 23 points interdit une lecture d'attribution.</w:t>
      </w:r>
    </w:p>
    <w:p>
      <w:pPr>
        <w:pStyle w:val="Heading2"/>
        <w:spacing w:after="100" w:before="260"/>
      </w:pPr>
      <w:r>
        <w:t xml:space="preserve">6.2 Indicateurs secondaires (exploratoire)</w:t>
      </w:r>
    </w:p>
    <w:p>
      <w:pPr>
        <w:spacing w:after="160"/>
        <w:jc w:val="left"/>
      </w:pPr>
      <w:r>
        <w:rPr>
          <w:b/>
          <w:bCs/>
          <w:color w:val="0B1F3A"/>
          <w:sz w:val="17"/>
          <w:szCs w:val="17"/>
        </w:rPr>
        <w:t xml:space="preserve">Tableau 26. </w:t>
      </w:r>
      <w:r>
        <w:rPr>
          <w:color w:val="52514E"/>
          <w:sz w:val="17"/>
          <w:szCs w:val="17"/>
        </w:rPr>
        <w:t xml:space="preserve">Indicateurs secondaires : différence de différences à 16 points (exploratoire, Benjamini-Hochberg par famille)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571"/>
        <w:gridCol w:w="3340"/>
        <w:gridCol w:w="573"/>
        <w:gridCol w:w="668"/>
        <w:gridCol w:w="668"/>
        <w:gridCol w:w="668"/>
        <w:gridCol w:w="2004"/>
        <w:gridCol w:w="573"/>
        <w:gridCol w:w="573"/>
      </w:tblGrid>
      <w:tr>
        <w:trPr>
          <w:cantSplit/>
          <w:tblHeader/>
        </w:trPr>
        <w:tc>
          <w:tcPr>
            <w:tcW w:type="dxa" w:w="5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Code</w:t>
            </w:r>
          </w:p>
        </w:tc>
        <w:tc>
          <w:tcPr>
            <w:tcW w:type="dxa" w:w="33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Indicateur</w:t>
            </w:r>
          </w:p>
        </w:tc>
        <w:tc>
          <w:tcPr>
            <w:tcW w:type="dxa" w:w="5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 T</w:t>
            </w:r>
          </w:p>
        </w:tc>
        <w:tc>
          <w:tcPr>
            <w:tcW w:type="dxa" w:w="66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 T</w:t>
            </w:r>
          </w:p>
        </w:tc>
        <w:tc>
          <w:tcPr>
            <w:tcW w:type="dxa" w:w="66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 I</w:t>
            </w:r>
          </w:p>
        </w:tc>
        <w:tc>
          <w:tcPr>
            <w:tcW w:type="dxa" w:w="66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 I</w:t>
            </w:r>
          </w:p>
        </w:tc>
        <w:tc>
          <w:tcPr>
            <w:tcW w:type="dxa" w:w="200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DiD [IC 95 %]</w:t>
            </w:r>
          </w:p>
        </w:tc>
        <w:tc>
          <w:tcPr>
            <w:tcW w:type="dxa" w:w="5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 perm.</w:t>
            </w:r>
          </w:p>
        </w:tc>
        <w:tc>
          <w:tcPr>
            <w:tcW w:type="dxa" w:w="5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 BH</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L1</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Connaît le COSA et les agents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85,8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 [-5,0 ; 19,0]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0,258</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L7</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 reçu une visite à domicile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74,6</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 [-3,3 ; 14,1]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L6</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 vu un agent animer il y a moins d'un mois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 [-18,0 ; 8,6]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0,451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0,923</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L5</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Satisfaite du travail des agents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86,2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90,5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92,6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92,7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 [-12,2 ; 3,8]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0,276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L9</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 participé au choix des agents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 [-24,6 ; 19,6]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0,793</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0,966</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SIG</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Signes de danger cités (0-18)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 [-1,7 ; 3,1]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0,526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0,923</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K1</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Connaît la Mpox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 [-24,6 ; 9,6]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0,384</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K8</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Accepterait le vaccin Mpox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 [-35,3 ; 19,7]</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0,534</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0,923</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K8c</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Accepterait le vaccin, parmi celles qui connaissent la Mpox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92,7</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 [-23,0 ; 7,9]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0,352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K7</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Sait qu'un vaccin existe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78,8</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 [-24,4 ; 16,0]</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0,665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0,955</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W1</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Enfant déclaré complètement vacciné ou suivant le calendrier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79,5</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 [-14,0 ; 13,9]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W2</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Carnet présenté, parmi les enfants déclarés vaccinés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 [-15,0 ; 15,6]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0,966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W2t</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Déclaré vacciné et carnet présenté, tous ménages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47,1</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 [-13,5 ; 15,8]</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0,867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W3</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Connaît le calendrier vaccinal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 [-10,9 ; 13,9]</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0,792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0,966</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CPS</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Amène les enfants à la pesée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49,2</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 [-16,3 ; 18,7]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0,906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SAV</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Se lave les mains à l'eau et au savon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71,9</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 [-10,7 ; 22,9]</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0,495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0,923</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J2</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Connaît les facilités de gratuité de la FOSA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58,7</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 [-30,0 ; 11,3]</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0,34</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Recours formel en première réaction (CS ou agent)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74,7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 [-12,5 ; 18,5]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0,676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0,955</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RECA</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Première réaction : agent communautaire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14,6</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 [-14,2 ; 7,6]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0,923</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CONS</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 consulté un service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90,3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 [-1,5 ; 10,8]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D24</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Consultation en moins de 24 h parmi les consultants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-16,9 [-35,7 ; 1,8]</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PEC</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Prise en charge au CS, à l'hôpital ou chez l'agent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 [-16,1 ; 12,0]</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0,733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0,966</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CPN1</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Au moins une CPN à la dernière grossesse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 [-3,9 ; 11,0]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0,336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CPN4</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Au moins quatre CPN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38,6</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 [-26,0 ; 9,7]</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0,369</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ACC</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Accouchement en structure de santé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85,6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 [-11,6 ; 21,1]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0,682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0,955</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CPoN</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Consultation postnatale à 6 semaines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38,9</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 [-22,5 ; 9,3]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VIH</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Test VIH à la dernière grossesse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46,7</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 [-18,5 ; 18,0]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0,975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0,992</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VAT</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Vaccin antitétanique reçu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80,7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82,2</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9,5 [-3,0 ; 22,1]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0,897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FCOD</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Fonctionnalité des CODESA, 7 critères (0-100)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76,2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81</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 [-17,2 ; 17,2]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PVC</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PV d'installation du CODESA vu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46,9</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-20,8 [-68,9 ; 27,2]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0,363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MPV</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Micro-plan vu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-20,2 [-56,0 ; 15,5]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0,245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0,748</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CRIP</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rôle dans la gestion de la Mpox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83,3</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-2,1 [-22,5 ; 18,4]</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CBRI</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briefing Mpox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 [-35,1 ; 22,6]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0,759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CRIX</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indice de riposte Mpox (0-100)</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78,1</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 [-26,9 ; 18,6]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0,815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CACX</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indice de riposte Mpox (0-100)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71,6</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-19,9 [-37,3 ; -2,6]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RVAD</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visites à domicile sur 3 mois (nombre)</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 [-2,8 ; 6,2]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0,424</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RSUR</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participe à la surveillance communautaire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82,8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81,6</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 [-19,4 ; 12,5]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0,681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RREC</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reconnu par l'autorité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98,6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97,9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96,2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98,2</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 [-0,1 ; 5,6]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RPAC</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impliqué dans le PAC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77,2</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 [-13,4 ; 20,3]</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0,647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CFD</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bureau formé sur la dynamique communautaire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74,3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-13,7 [-30,2 ; 2,8]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0,102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COG</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RECO dotés d'outils de gestion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64,6</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 [-23,7 ; 20,2]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0,838</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CSUP</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supervisée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83,4</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 [-13,5 ; 17,1]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0,821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CPAY</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membres payés (argent ou nature)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28,8</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 [-16,5 ; 29,9]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0,619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CPVR</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PV de réunion de monitorage vu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 [-18,1 ; 11,6]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0,676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CFR</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part des RECO actifs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83,7</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 [-7,6 ; 6,0]</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0,812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CPFR</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part des femmes parmi les RECO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33,1</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 [-8,3 ; 1,6]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0,153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CPL</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mécanisme de plaintes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 [-27,7 ; 27,7]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CREU</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réunion de monitorage dans les 3 mois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79,2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89,6</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 [-24,3 ; 11,8]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0,625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CPAYC</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membres payés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20,8</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 [-16,7 ; 29,2]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0,685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CREC</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le CS verse un pourcentage des recettes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22,9 [3,6 ; 42,2]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CPF</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CODESA : part des femmes parmi les membres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2951,1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2729,3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3103,1</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68,7 [-303,8 ; 441,2]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0,673</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PACV</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PAC vu par l'enquêteur, toutes CAC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57,8</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11,5 [-9,5 ; 32,6]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0,253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0,748</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PVE</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PV d'élection du bureau vu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53,5</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 [-21,9 ; 10,4]</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0,483</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CACR</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a participé à une riposte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78,1</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-13,8 [-32,7 ; 5,2]</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CACM</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rôle dans la gestion de la Mpox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78,1</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-22,0 [-44,2 ; 0,2]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CACB</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briefing Mpox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63,4</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-19,7 [-45,1 ; 5,8]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0,108</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CACS</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CAC : subsides de fonctionnement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57,3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60,4</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10,9 [-9,7 ; 31,5]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0,267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0,748</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RFI</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formation initiale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-16,7 [-35,1 ; 1,7]</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RCE</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certificat de formation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13,3</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 [-15,1 ; 12,5]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0,856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RFP</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formation sur le paquet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59,3</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 [-26,7 ; 15,5]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0,585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RCO</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contrat MSPHPS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13,2</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12,9</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 [-16,2 ; 11,4]</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0,747</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RPR</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prime de motivation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15,6</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 [-8,6 ; 13,5]</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0,667</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RSU</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supervisé régulièrement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73,4</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71,8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80</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8,5 [-4,0 ; 21,1]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0,159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RSM</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supervision au moins mensuelle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70,7</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10,8 [-3,9 ; 25,4]</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0,139</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RRI</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a participé à une riposte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40</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59,3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55,6</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-22,2 [-56,9 ; 12,6]</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0,185</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0,648</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RRU</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ruptures de stock au CS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51,9</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62,3</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55,1</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 [-17,7 ; 28,6]</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0,593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RCH</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ménages couverts (nombre)</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89,8</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101,3</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81,7</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99,3</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6,0 [-34,8 ; 46,9]</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0,711</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RCN</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au plus 50 ménages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61,4</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62,8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67</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64,9</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 [-22,2 ; 15,3]</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0,707</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RDA</w:t>
            </w:r>
          </w:p>
        </w:tc>
        <w:tc>
          <w:tcPr>
            <w:tcW w:type="dxa" w:w="33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désigné en assemblée communautaire (%)</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47,9</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56,5</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64,6</w:t>
            </w:r>
          </w:p>
        </w:tc>
        <w:tc>
          <w:tcPr>
            <w:tcW w:type="dxa" w:w="66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77,8</w:t>
            </w:r>
          </w:p>
        </w:tc>
        <w:tc>
          <w:tcPr>
            <w:tcW w:type="dxa" w:w="200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 [-17,9 ; 27,2]</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0,654</w:t>
            </w:r>
          </w:p>
        </w:tc>
        <w:tc>
          <w:tcPr>
            <w:tcW w:type="dxa" w:w="5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0,947</w:t>
            </w:r>
          </w:p>
        </w:tc>
      </w:tr>
      <w:tr>
        <w:trPr>
          <w:cantSplit/>
        </w:trPr>
        <w:tc>
          <w:tcPr>
            <w:tcW w:type="dxa" w:w="5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RFE</w:t>
            </w:r>
          </w:p>
        </w:tc>
        <w:tc>
          <w:tcPr>
            <w:tcW w:type="dxa" w:w="33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RECO : femmes (%)</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28,5</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30,2</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27,8</w:t>
            </w:r>
          </w:p>
        </w:tc>
        <w:tc>
          <w:tcPr>
            <w:tcW w:type="dxa" w:w="66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29,5</w:t>
            </w:r>
          </w:p>
        </w:tc>
        <w:tc>
          <w:tcPr>
            <w:tcW w:type="dxa" w:w="200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 [-6,9 ; 6,9]</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c>
          <w:tcPr>
            <w:tcW w:type="dxa" w:w="5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w:t>
            </w:r>
          </w:p>
        </w:tc>
      </w:tr>
    </w:tbl>
    <w:p>
      <w:pPr>
        <w:spacing w:after="200" w:before="60"/>
        <w:jc w:val="left"/>
      </w:pPr>
      <w:r>
        <w:rPr>
          <w:color w:val="6B7280"/>
          <w:sz w:val="15"/>
          <w:szCs w:val="15"/>
        </w:rPr>
        <w:t xml:space="preserve">T : témoin ; I : intervention. Moyennes de zone non ajustées ; permutation exacte sur 1 296 attributions ; BH par famille (ménages ; agents et organes). Aucun de ces résultats n'est confirmatoire.</w:t>
      </w:r>
    </w:p>
    <w:p>
      <w:pPr>
        <w:keepNext/>
        <w:spacing w:after="40" w:before="80"/>
        <w:jc w:val="center"/>
      </w:pPr>
      <w:r>
        <w:drawing>
          <wp:inline distT="0" distB="0" distL="0" distR="0">
            <wp:extent cx="503872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38725" cy="4448175"/>
                    </a:xfrm>
                    <a:prstGeom prst="rect">
                      <a:avLst/>
                    </a:prstGeom>
                  </pic:spPr>
                </pic:pic>
              </a:graphicData>
            </a:graphic>
          </wp:inline>
        </w:drawing>
      </w:r>
    </w:p>
    <w:p>
      <w:pPr>
        <w:spacing w:after="160"/>
        <w:jc w:val="left"/>
      </w:pPr>
      <w:r>
        <w:rPr>
          <w:b/>
          <w:bCs/>
          <w:color w:val="0B1F3A"/>
          <w:sz w:val="17"/>
          <w:szCs w:val="17"/>
        </w:rPr>
        <w:t xml:space="preserve">Figure 11. </w:t>
      </w:r>
      <w:r>
        <w:rPr>
          <w:color w:val="52514E"/>
          <w:sz w:val="17"/>
          <w:szCs w:val="17"/>
        </w:rPr>
        <w:t xml:space="preserve">DiD à 16 points sur les indicateurs secondaires, avec correction de Benjamini-Hochberg par famille.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Pour chaque primaire : les deux évolutions, la DiD du modèle conjoint (CR2, bootstrap), la DiD brute à 16 points et sa permutation, l'EMD, le cas de la grille et la correction de Holm. Puis le dossier de plausibilité (équilibre, placebos, divergence ± 2 / ± 5, unités appariées). Dose-réponse à ajouter dès réception des données d'intensité. Les secondaires restent exploratoires.</w:t>
            </w:r>
          </w:p>
        </w:tc>
      </w:tr>
    </w:tbl>
    <w:p>
      <w:r>
        <w:br w:type="page"/>
      </w:r>
    </w:p>
    <w:p>
      <w:pPr>
        <w:pStyle w:val="Heading1"/>
        <w:spacing w:after="0" w:before="0"/>
      </w:pPr>
      <w:r>
        <w:rPr>
          <w:color w:val="FFFFFF"/>
          <w:sz w:val="2"/>
          <w:szCs w:val="2"/>
        </w:rPr>
        <w:t xml:space="preserve">7. Mécanismes et analyse systémique</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association. Tableaux T30 à T34 ; figure F11. Un indice et ses composantes ne figurent jamais dans le même modèle.</w:t>
      </w:r>
    </w:p>
    <w:p>
      <w:pPr>
        <w:spacing w:after="160"/>
        <w:jc w:val="left"/>
      </w:pPr>
      <w:r>
        <w:rPr>
          <w:b/>
          <w:bCs/>
          <w:color w:val="0B1F3A"/>
          <w:sz w:val="17"/>
          <w:szCs w:val="17"/>
        </w:rPr>
        <w:t xml:space="preserve">Tableau 27. </w:t>
      </w:r>
      <w:r>
        <w:rPr>
          <w:color w:val="52514E"/>
          <w:sz w:val="17"/>
          <w:szCs w:val="17"/>
        </w:rPr>
        <w:t xml:space="preserve">Différences premières au niveau de l'aire de santé : variation des résultats ménages selon la variation des organes et des agents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154"/>
        <w:gridCol w:w="2792"/>
        <w:gridCol w:w="721"/>
        <w:gridCol w:w="1351"/>
        <w:gridCol w:w="540"/>
        <w:gridCol w:w="540"/>
        <w:gridCol w:w="540"/>
      </w:tblGrid>
      <w:tr>
        <w:trPr>
          <w:cantSplit/>
          <w:tblHeader/>
        </w:trPr>
        <w:tc>
          <w:tcPr>
            <w:tcW w:type="dxa" w:w="315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Modèle</w:t>
            </w:r>
          </w:p>
        </w:tc>
        <w:tc>
          <w:tcPr>
            <w:tcW w:type="dxa" w:w="279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Variable</w:t>
            </w:r>
          </w:p>
        </w:tc>
        <w:tc>
          <w:tcPr>
            <w:tcW w:type="dxa" w:w="72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Coefficient</w:t>
            </w:r>
          </w:p>
        </w:tc>
        <w:tc>
          <w:tcPr>
            <w:tcW w:type="dxa" w:w="13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IC 95 %</w:t>
            </w:r>
          </w:p>
        </w:tc>
        <w:tc>
          <w:tcPr>
            <w:tcW w:type="dxa" w:w="5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w:t>
            </w:r>
          </w:p>
        </w:tc>
        <w:tc>
          <w:tcPr>
            <w:tcW w:type="dxa" w:w="5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Aires</w:t>
            </w:r>
          </w:p>
        </w:tc>
        <w:tc>
          <w:tcPr>
            <w:tcW w:type="dxa" w:w="5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R²</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P1 exposition ménages ~ Δ organes et agents</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fonctionnalité CAC</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 ; 0,76]</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0,032</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P1 exposition ménages ~ Δ organes et agents</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P4 professionnalisation RECO</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[-0,26 ; 0,52]</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0,425</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P1 exposition ménages ~ Δ organes et agents</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fonctionnalité CODESA</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 ; 0,20]</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0,188</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P2 connaissances ménages ~ Δ organes et agents</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fonctionnalité CAC</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0,31</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[0,00 ; 0,61]</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0,048</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P2 connaissances ménages ~ Δ organes et agents</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P4 professionnalisation RECO</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0,13</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 ; 0,29]</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0,078</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P2 connaissances ménages ~ Δ organes et agents</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fonctionnalité CODESA</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 ; 0,19]</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0,855</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connaît la Mpox ~ Δ CAC et RECO</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fonctionnalité CAC</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0,21</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[-0,28 ; 0,70]</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0,357</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connaît la Mpox ~ Δ CAC et RECO</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P4 professionnalisation RECO</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 ; 0,88]</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0,079</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carnet vu ~ Δ CAC et RECO</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fonctionnalité CAC</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[-0,42 ; 0,79]</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0,507</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carnet vu ~ Δ CAC et RECO</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P4 professionnalisation RECO</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0,33</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 ; 0,67]</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0,056</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CPS ~ Δ CAC et RECO</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fonctionnalité CAC</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-0,14</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[-0,60 ; 0,33]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0,527</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CPS ~ Δ CAC et RECO</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P4 professionnalisation RECO</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0,34</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[-0,27 ; 0,94]</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0,214</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D3 résultats ménages ~ Δ D1 gouvernance + Δ D2 capacités</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D1 gouvernance</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 ; 0,31]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0,003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D3 résultats ménages ~ Δ D1 gouvernance + Δ D2 capacités</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D2 capacités</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[0,03 ; 0,17]</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0,013</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88</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0,18</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P1 ~ Δ prime et Δ supervision des RECO</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RECO avec prime (pts de %)</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[-0,32 ; 0,24]</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0,736</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P1 ~ Δ prime et Δ supervision des RECO</w:t>
            </w:r>
          </w:p>
        </w:tc>
        <w:tc>
          <w:tcPr>
            <w:tcW w:type="dxa" w:w="27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RECO supervisés (pts de %)</w:t>
            </w:r>
          </w:p>
        </w:tc>
        <w:tc>
          <w:tcPr>
            <w:tcW w:type="dxa" w:w="72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0,19</w:t>
            </w:r>
          </w:p>
        </w:tc>
        <w:tc>
          <w:tcPr>
            <w:tcW w:type="dxa" w:w="13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 ; 0,30]</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0,005</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93</w:t>
            </w:r>
          </w:p>
        </w:tc>
        <w:tc>
          <w:tcPr>
            <w:tcW w:type="dxa" w:w="5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0,16</w:t>
            </w:r>
          </w:p>
        </w:tc>
      </w:tr>
      <w:tr>
        <w:trPr>
          <w:cantSplit/>
        </w:trPr>
        <w:tc>
          <w:tcPr>
            <w:tcW w:type="dxa" w:w="31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P3 CAC ~ Δ fonctionnalité CODESA</w:t>
            </w:r>
          </w:p>
        </w:tc>
        <w:tc>
          <w:tcPr>
            <w:tcW w:type="dxa" w:w="27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Δ fonctionnalité CODESA</w:t>
            </w:r>
          </w:p>
        </w:tc>
        <w:tc>
          <w:tcPr>
            <w:tcW w:type="dxa" w:w="72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0,01</w:t>
            </w:r>
          </w:p>
        </w:tc>
        <w:tc>
          <w:tcPr>
            <w:tcW w:type="dxa" w:w="13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[-0,23 ; 0,25]</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91</w:t>
            </w:r>
          </w:p>
        </w:tc>
        <w:tc>
          <w:tcPr>
            <w:tcW w:type="dxa" w:w="5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0,05</w:t>
            </w:r>
          </w:p>
        </w:tc>
      </w:tr>
    </w:tbl>
    <w:p>
      <w:pPr>
        <w:spacing w:after="200" w:before="60"/>
        <w:jc w:val="left"/>
      </w:pPr>
      <w:r>
        <w:rPr>
          <w:color w:val="6B7280"/>
          <w:sz w:val="15"/>
          <w:szCs w:val="15"/>
        </w:rPr>
        <w:t xml:space="preserve">Unité : aire de santé présente aux deux passages (moyennes des ménages, CAC, RECO, CODESA de l'aire). Erreurs-types CR2 par zone de santé ; effets fixes province. Registre association : un coefficient lie des variations concomitantes, sans ordre causal établi.</w:t>
      </w:r>
    </w:p>
    <w:p>
      <w:pPr>
        <w:spacing w:after="160"/>
        <w:jc w:val="left"/>
      </w:pPr>
      <w:r>
        <w:rPr>
          <w:b/>
          <w:bCs/>
          <w:color w:val="0B1F3A"/>
          <w:sz w:val="17"/>
          <w:szCs w:val="17"/>
        </w:rPr>
        <w:t xml:space="preserve">Tableau 28. </w:t>
      </w:r>
      <w:r>
        <w:rPr>
          <w:color w:val="52514E"/>
          <w:sz w:val="17"/>
          <w:szCs w:val="17"/>
        </w:rPr>
        <w:t xml:space="preserve">Associations transversales entre la fonctionnalité des organes / la professionnalisation des agents de l'aire et les résultats des ménages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376"/>
        <w:gridCol w:w="2172"/>
        <w:gridCol w:w="882"/>
        <w:gridCol w:w="1018"/>
        <w:gridCol w:w="543"/>
        <w:gridCol w:w="611"/>
        <w:gridCol w:w="747"/>
        <w:gridCol w:w="882"/>
        <w:gridCol w:w="407"/>
      </w:tblGrid>
      <w:tr>
        <w:trPr>
          <w:cantSplit/>
          <w:tblHeader/>
        </w:trPr>
        <w:tc>
          <w:tcPr>
            <w:tcW w:type="dxa" w:w="23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Résultat</w:t>
            </w:r>
          </w:p>
        </w:tc>
        <w:tc>
          <w:tcPr>
            <w:tcW w:type="dxa" w:w="217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Exposition</w:t>
            </w:r>
          </w:p>
        </w:tc>
        <w:tc>
          <w:tcPr>
            <w:tcW w:type="dxa" w:w="88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Coefficient par 10 points</w:t>
            </w:r>
          </w:p>
        </w:tc>
        <w:tc>
          <w:tcPr>
            <w:tcW w:type="dxa" w:w="101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IC 95 %</w:t>
            </w:r>
          </w:p>
        </w:tc>
        <w:tc>
          <w:tcPr>
            <w:tcW w:type="dxa" w:w="5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p</w:t>
            </w:r>
          </w:p>
        </w:tc>
        <w:tc>
          <w:tcPr>
            <w:tcW w:type="dxa" w:w="61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d standardisé</w:t>
            </w:r>
          </w:p>
        </w:tc>
        <w:tc>
          <w:tcPr>
            <w:tcW w:type="dxa" w:w="74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Valeur E (approx.)</w:t>
            </w:r>
          </w:p>
        </w:tc>
        <w:tc>
          <w:tcPr>
            <w:tcW w:type="dxa" w:w="88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Valeur E, borne proche de 0</w:t>
            </w:r>
          </w:p>
        </w:tc>
        <w:tc>
          <w:tcPr>
            <w:tcW w:type="dxa" w:w="4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2"/>
                <w:szCs w:val="12"/>
              </w:rPr>
              <w:t xml:space="preserve">n</w:t>
            </w:r>
          </w:p>
        </w:tc>
      </w:tr>
      <w:tr>
        <w:trPr>
          <w:cantSplit/>
        </w:trPr>
        <w:tc>
          <w:tcPr>
            <w:tcW w:type="dxa" w:w="23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 exposition</w:t>
            </w:r>
          </w:p>
        </w:tc>
        <w:tc>
          <w:tcPr>
            <w:tcW w:type="dxa" w:w="2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P3 des CAC de l'aire</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2,89</w:t>
            </w:r>
          </w:p>
        </w:tc>
        <w:tc>
          <w:tcPr>
            <w:tcW w:type="dxa" w:w="10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[0,97 ; 4,81]</w:t>
            </w:r>
          </w:p>
        </w:tc>
        <w:tc>
          <w:tcPr>
            <w:tcW w:type="dxa" w:w="5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0,007</w:t>
            </w:r>
          </w:p>
        </w:tc>
        <w:tc>
          <w:tcPr>
            <w:tcW w:type="dxa" w:w="6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0,173</w:t>
            </w:r>
          </w:p>
        </w:tc>
        <w:tc>
          <w:tcPr>
            <w:tcW w:type="dxa" w:w="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1,62</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1,29</w:t>
            </w:r>
          </w:p>
        </w:tc>
        <w:tc>
          <w:tcPr>
            <w:tcW w:type="dxa" w:w="4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r>
        <w:trPr>
          <w:cantSplit/>
        </w:trPr>
        <w:tc>
          <w:tcPr>
            <w:tcW w:type="dxa" w:w="23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 exposition</w:t>
            </w:r>
          </w:p>
        </w:tc>
        <w:tc>
          <w:tcPr>
            <w:tcW w:type="dxa" w:w="2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 des RECO de l'aire</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1,34</w:t>
            </w:r>
          </w:p>
        </w:tc>
        <w:tc>
          <w:tcPr>
            <w:tcW w:type="dxa" w:w="10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[-0,12 ; 2,80]</w:t>
            </w:r>
          </w:p>
        </w:tc>
        <w:tc>
          <w:tcPr>
            <w:tcW w:type="dxa" w:w="5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0,068</w:t>
            </w:r>
          </w:p>
        </w:tc>
        <w:tc>
          <w:tcPr>
            <w:tcW w:type="dxa" w:w="6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0,076</w:t>
            </w:r>
          </w:p>
        </w:tc>
        <w:tc>
          <w:tcPr>
            <w:tcW w:type="dxa" w:w="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1,35</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4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r>
        <w:trPr>
          <w:cantSplit/>
        </w:trPr>
        <w:tc>
          <w:tcPr>
            <w:tcW w:type="dxa" w:w="23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P2 connaissances</w:t>
            </w:r>
          </w:p>
        </w:tc>
        <w:tc>
          <w:tcPr>
            <w:tcW w:type="dxa" w:w="2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P3 des CAC de l'aire</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3,08</w:t>
            </w:r>
          </w:p>
        </w:tc>
        <w:tc>
          <w:tcPr>
            <w:tcW w:type="dxa" w:w="10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[0,49 ; 5,66]</w:t>
            </w:r>
          </w:p>
        </w:tc>
        <w:tc>
          <w:tcPr>
            <w:tcW w:type="dxa" w:w="5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0,024</w:t>
            </w:r>
          </w:p>
        </w:tc>
        <w:tc>
          <w:tcPr>
            <w:tcW w:type="dxa" w:w="6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0,187</w:t>
            </w:r>
          </w:p>
        </w:tc>
        <w:tc>
          <w:tcPr>
            <w:tcW w:type="dxa" w:w="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1,65</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1,2</w:t>
            </w:r>
          </w:p>
        </w:tc>
        <w:tc>
          <w:tcPr>
            <w:tcW w:type="dxa" w:w="4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r>
        <w:trPr>
          <w:cantSplit/>
        </w:trPr>
        <w:tc>
          <w:tcPr>
            <w:tcW w:type="dxa" w:w="23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P2 connaissances</w:t>
            </w:r>
          </w:p>
        </w:tc>
        <w:tc>
          <w:tcPr>
            <w:tcW w:type="dxa" w:w="2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 des RECO de l'aire</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1,46</w:t>
            </w:r>
          </w:p>
        </w:tc>
        <w:tc>
          <w:tcPr>
            <w:tcW w:type="dxa" w:w="10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[-0,87 ; 3,80]</w:t>
            </w:r>
          </w:p>
        </w:tc>
        <w:tc>
          <w:tcPr>
            <w:tcW w:type="dxa" w:w="5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0,199</w:t>
            </w:r>
          </w:p>
        </w:tc>
        <w:tc>
          <w:tcPr>
            <w:tcW w:type="dxa" w:w="6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0,084</w:t>
            </w:r>
          </w:p>
        </w:tc>
        <w:tc>
          <w:tcPr>
            <w:tcW w:type="dxa" w:w="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1,37</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4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r>
        <w:trPr>
          <w:cantSplit/>
        </w:trPr>
        <w:tc>
          <w:tcPr>
            <w:tcW w:type="dxa" w:w="23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D3 résultats ménages</w:t>
            </w:r>
          </w:p>
        </w:tc>
        <w:tc>
          <w:tcPr>
            <w:tcW w:type="dxa" w:w="2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P3 des CAC de l'aire</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w:t>
            </w:r>
          </w:p>
        </w:tc>
        <w:tc>
          <w:tcPr>
            <w:tcW w:type="dxa" w:w="10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[0,03 ; 0,16]</w:t>
            </w:r>
          </w:p>
        </w:tc>
        <w:tc>
          <w:tcPr>
            <w:tcW w:type="dxa" w:w="5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0,009</w:t>
            </w:r>
          </w:p>
        </w:tc>
        <w:tc>
          <w:tcPr>
            <w:tcW w:type="dxa" w:w="6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0,18</w:t>
            </w:r>
          </w:p>
        </w:tc>
        <w:tc>
          <w:tcPr>
            <w:tcW w:type="dxa" w:w="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1,64</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1,28</w:t>
            </w:r>
          </w:p>
        </w:tc>
        <w:tc>
          <w:tcPr>
            <w:tcW w:type="dxa" w:w="4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4935</w:t>
            </w:r>
          </w:p>
        </w:tc>
      </w:tr>
      <w:tr>
        <w:trPr>
          <w:cantSplit/>
        </w:trPr>
        <w:tc>
          <w:tcPr>
            <w:tcW w:type="dxa" w:w="23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D3 résultats ménages</w:t>
            </w:r>
          </w:p>
        </w:tc>
        <w:tc>
          <w:tcPr>
            <w:tcW w:type="dxa" w:w="2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 des RECO de l'aire</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0,06</w:t>
            </w:r>
          </w:p>
        </w:tc>
        <w:tc>
          <w:tcPr>
            <w:tcW w:type="dxa" w:w="10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[0,00 ; 0,12]</w:t>
            </w:r>
          </w:p>
        </w:tc>
        <w:tc>
          <w:tcPr>
            <w:tcW w:type="dxa" w:w="5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0,039</w:t>
            </w:r>
          </w:p>
        </w:tc>
        <w:tc>
          <w:tcPr>
            <w:tcW w:type="dxa" w:w="6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0,114</w:t>
            </w:r>
          </w:p>
        </w:tc>
        <w:tc>
          <w:tcPr>
            <w:tcW w:type="dxa" w:w="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1,46</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1,08</w:t>
            </w:r>
          </w:p>
        </w:tc>
        <w:tc>
          <w:tcPr>
            <w:tcW w:type="dxa" w:w="4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4935</w:t>
            </w:r>
          </w:p>
        </w:tc>
      </w:tr>
      <w:tr>
        <w:trPr>
          <w:cantSplit/>
        </w:trPr>
        <w:tc>
          <w:tcPr>
            <w:tcW w:type="dxa" w:w="23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D3 résultats ménages</w:t>
            </w:r>
          </w:p>
        </w:tc>
        <w:tc>
          <w:tcPr>
            <w:tcW w:type="dxa" w:w="2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Fonctionnalité CODESA de l'aire</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-0,02</w:t>
            </w:r>
          </w:p>
        </w:tc>
        <w:tc>
          <w:tcPr>
            <w:tcW w:type="dxa" w:w="10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[-0,06 ; 0,03]</w:t>
            </w:r>
          </w:p>
        </w:tc>
        <w:tc>
          <w:tcPr>
            <w:tcW w:type="dxa" w:w="5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0,433</w:t>
            </w:r>
          </w:p>
        </w:tc>
        <w:tc>
          <w:tcPr>
            <w:tcW w:type="dxa" w:w="6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-0,038</w:t>
            </w:r>
          </w:p>
        </w:tc>
        <w:tc>
          <w:tcPr>
            <w:tcW w:type="dxa" w:w="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1,23</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4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4935</w:t>
            </w:r>
          </w:p>
        </w:tc>
      </w:tr>
      <w:tr>
        <w:trPr>
          <w:cantSplit/>
        </w:trPr>
        <w:tc>
          <w:tcPr>
            <w:tcW w:type="dxa" w:w="23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 exposition (prime, supervision)</w:t>
            </w:r>
          </w:p>
        </w:tc>
        <w:tc>
          <w:tcPr>
            <w:tcW w:type="dxa" w:w="2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 RECO avec prime (aire)</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-0,1</w:t>
            </w:r>
          </w:p>
        </w:tc>
        <w:tc>
          <w:tcPr>
            <w:tcW w:type="dxa" w:w="10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[-0,93 ; 0,73]</w:t>
            </w:r>
          </w:p>
        </w:tc>
        <w:tc>
          <w:tcPr>
            <w:tcW w:type="dxa" w:w="5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0,779</w:t>
            </w:r>
          </w:p>
        </w:tc>
        <w:tc>
          <w:tcPr>
            <w:tcW w:type="dxa" w:w="6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-0,009</w:t>
            </w:r>
          </w:p>
        </w:tc>
        <w:tc>
          <w:tcPr>
            <w:tcW w:type="dxa" w:w="74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1,1</w:t>
            </w:r>
          </w:p>
        </w:tc>
        <w:tc>
          <w:tcPr>
            <w:tcW w:type="dxa" w:w="8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w:t>
            </w:r>
          </w:p>
        </w:tc>
        <w:tc>
          <w:tcPr>
            <w:tcW w:type="dxa" w:w="4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r>
        <w:trPr>
          <w:cantSplit/>
        </w:trPr>
        <w:tc>
          <w:tcPr>
            <w:tcW w:type="dxa" w:w="23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 exposition (prime, supervision)</w:t>
            </w:r>
          </w:p>
        </w:tc>
        <w:tc>
          <w:tcPr>
            <w:tcW w:type="dxa" w:w="2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 RECO supervisés (aire)</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2,08</w:t>
            </w:r>
          </w:p>
        </w:tc>
        <w:tc>
          <w:tcPr>
            <w:tcW w:type="dxa" w:w="10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[1,43 ; 2,73]</w:t>
            </w:r>
          </w:p>
        </w:tc>
        <w:tc>
          <w:tcPr>
            <w:tcW w:type="dxa" w:w="5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&lt; 0,001</w:t>
            </w:r>
          </w:p>
        </w:tc>
        <w:tc>
          <w:tcPr>
            <w:tcW w:type="dxa" w:w="6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0,224</w:t>
            </w:r>
          </w:p>
        </w:tc>
        <w:tc>
          <w:tcPr>
            <w:tcW w:type="dxa" w:w="74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1,75</w:t>
            </w:r>
          </w:p>
        </w:tc>
        <w:tc>
          <w:tcPr>
            <w:tcW w:type="dxa" w:w="8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1,57</w:t>
            </w:r>
          </w:p>
        </w:tc>
        <w:tc>
          <w:tcPr>
            <w:tcW w:type="dxa" w:w="4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2"/>
                <w:szCs w:val="12"/>
              </w:rPr>
              <w:t xml:space="preserve">4984</w:t>
            </w:r>
          </w:p>
        </w:tc>
      </w:tr>
    </w:tbl>
    <w:p>
      <w:pPr>
        <w:spacing w:after="200" w:before="60"/>
        <w:jc w:val="left"/>
      </w:pPr>
      <w:r>
        <w:rPr>
          <w:color w:val="6B7280"/>
          <w:sz w:val="15"/>
          <w:szCs w:val="15"/>
        </w:rPr>
        <w:t xml:space="preserve">Modèle ménage, deux passages empilés, covariables individuelles, effets fixes province × passage, pondération égale des provinces, CR2 par zone. Valeur E approchée (conversion d'un coefficient standardisé continu en risque relatif, RR ≈ exp(0,91 d)) : force minimale d'association qu'un facteur non mesuré devrait avoir avec l'exposition et le résultat pour annuler l'association ; donnée pour l'estimation et pour la borne de l'IC la plus proche du nul (1 = l'IC couvre le nul). Association simultanée : aucune lecture de médiation.</w:t>
      </w:r>
    </w:p>
    <w:p>
      <w:pPr>
        <w:spacing w:after="160"/>
        <w:jc w:val="left"/>
      </w:pPr>
      <w:r>
        <w:rPr>
          <w:b/>
          <w:bCs/>
          <w:color w:val="0B1F3A"/>
          <w:sz w:val="17"/>
          <w:szCs w:val="17"/>
        </w:rPr>
        <w:t xml:space="preserve">Tableau 29. </w:t>
      </w:r>
      <w:r>
        <w:rPr>
          <w:color w:val="52514E"/>
          <w:sz w:val="17"/>
          <w:szCs w:val="17"/>
        </w:rPr>
        <w:t xml:space="preserve">Décomposition de la variance des résultats ménages par niveau (aire de santé, zone de santé),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183"/>
        <w:gridCol w:w="546"/>
        <w:gridCol w:w="818"/>
        <w:gridCol w:w="727"/>
        <w:gridCol w:w="1091"/>
        <w:gridCol w:w="636"/>
        <w:gridCol w:w="546"/>
        <w:gridCol w:w="1182"/>
        <w:gridCol w:w="1909"/>
      </w:tblGrid>
      <w:tr>
        <w:trPr>
          <w:cantSplit/>
          <w:tblHeader/>
        </w:trPr>
        <w:tc>
          <w:tcPr>
            <w:tcW w:type="dxa" w:w="218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Résultat</w:t>
            </w:r>
          </w:p>
        </w:tc>
        <w:tc>
          <w:tcPr>
            <w:tcW w:type="dxa" w:w="5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Passage</w:t>
            </w:r>
          </w:p>
        </w:tc>
        <w:tc>
          <w:tcPr>
            <w:tcW w:type="dxa" w:w="81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Variance aire</w:t>
            </w:r>
          </w:p>
        </w:tc>
        <w:tc>
          <w:tcPr>
            <w:tcW w:type="dxa" w:w="72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Variance ZS</w:t>
            </w:r>
          </w:p>
        </w:tc>
        <w:tc>
          <w:tcPr>
            <w:tcW w:type="dxa" w:w="109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Variance résiduelle</w:t>
            </w:r>
          </w:p>
        </w:tc>
        <w:tc>
          <w:tcPr>
            <w:tcW w:type="dxa" w:w="6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Part aire</w:t>
            </w:r>
          </w:p>
        </w:tc>
        <w:tc>
          <w:tcPr>
            <w:tcW w:type="dxa" w:w="5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Part ZS</w:t>
            </w:r>
          </w:p>
        </w:tc>
        <w:tc>
          <w:tcPr>
            <w:tcW w:type="dxa" w:w="118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Corrélation même aire</w:t>
            </w:r>
          </w:p>
        </w:tc>
        <w:tc>
          <w:tcPr>
            <w:tcW w:type="dxa" w:w="190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Diagnostic</w:t>
            </w:r>
          </w:p>
        </w:tc>
      </w:tr>
      <w:tr>
        <w:trPr>
          <w:cantSplit/>
        </w:trPr>
        <w:tc>
          <w:tcPr>
            <w:tcW w:type="dxa" w:w="2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P1 exposition</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T0</w:t>
            </w:r>
          </w:p>
        </w:tc>
        <w:tc>
          <w:tcPr>
            <w:tcW w:type="dxa" w:w="8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289,176</w:t>
            </w:r>
          </w:p>
        </w:tc>
        <w:tc>
          <w:tcPr>
            <w:tcW w:type="dxa" w:w="7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26,567</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689,029</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0,288</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0,026</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0,314</w:t>
            </w:r>
          </w:p>
        </w:tc>
        <w:tc>
          <w:tcPr>
            <w:tcW w:type="dxa" w:w="1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P1 exposition</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T1</w:t>
            </w:r>
          </w:p>
        </w:tc>
        <w:tc>
          <w:tcPr>
            <w:tcW w:type="dxa" w:w="8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262,2</w:t>
            </w:r>
          </w:p>
        </w:tc>
        <w:tc>
          <w:tcPr>
            <w:tcW w:type="dxa" w:w="7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521,567</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0,335</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0,335</w:t>
            </w:r>
          </w:p>
        </w:tc>
        <w:tc>
          <w:tcPr>
            <w:tcW w:type="dxa" w:w="1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ajustement singulier</w:t>
            </w:r>
          </w:p>
        </w:tc>
      </w:tr>
      <w:tr>
        <w:trPr>
          <w:cantSplit/>
        </w:trPr>
        <w:tc>
          <w:tcPr>
            <w:tcW w:type="dxa" w:w="2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P2 connaissances</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T0</w:t>
            </w:r>
          </w:p>
        </w:tc>
        <w:tc>
          <w:tcPr>
            <w:tcW w:type="dxa" w:w="8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197,755</w:t>
            </w:r>
          </w:p>
        </w:tc>
        <w:tc>
          <w:tcPr>
            <w:tcW w:type="dxa" w:w="7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77,515</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334,089</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0,325</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0,127</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0,452</w:t>
            </w:r>
          </w:p>
        </w:tc>
        <w:tc>
          <w:tcPr>
            <w:tcW w:type="dxa" w:w="1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P2 connaissances</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T1</w:t>
            </w:r>
          </w:p>
        </w:tc>
        <w:tc>
          <w:tcPr>
            <w:tcW w:type="dxa" w:w="8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309,609</w:t>
            </w:r>
          </w:p>
        </w:tc>
        <w:tc>
          <w:tcPr>
            <w:tcW w:type="dxa" w:w="7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69,957</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359,902</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0,419</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0,095</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0,513</w:t>
            </w:r>
          </w:p>
        </w:tc>
        <w:tc>
          <w:tcPr>
            <w:tcW w:type="dxa" w:w="1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D3 résultats ménages</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T0</w:t>
            </w:r>
          </w:p>
        </w:tc>
        <w:tc>
          <w:tcPr>
            <w:tcW w:type="dxa" w:w="8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0,321</w:t>
            </w:r>
          </w:p>
        </w:tc>
        <w:tc>
          <w:tcPr>
            <w:tcW w:type="dxa" w:w="7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0,075</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0,458</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0,376</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0,088</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0,463</w:t>
            </w:r>
          </w:p>
        </w:tc>
        <w:tc>
          <w:tcPr>
            <w:tcW w:type="dxa" w:w="1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D3 résultats ménages</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T1</w:t>
            </w:r>
          </w:p>
        </w:tc>
        <w:tc>
          <w:tcPr>
            <w:tcW w:type="dxa" w:w="8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0,226</w:t>
            </w:r>
          </w:p>
        </w:tc>
        <w:tc>
          <w:tcPr>
            <w:tcW w:type="dxa" w:w="7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0,044</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0,431</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0,322</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0,063</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0,385</w:t>
            </w:r>
          </w:p>
        </w:tc>
        <w:tc>
          <w:tcPr>
            <w:tcW w:type="dxa" w:w="1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Signes de danger (0-18)</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T0</w:t>
            </w:r>
          </w:p>
        </w:tc>
        <w:tc>
          <w:tcPr>
            <w:tcW w:type="dxa" w:w="81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8,003</w:t>
            </w:r>
          </w:p>
        </w:tc>
        <w:tc>
          <w:tcPr>
            <w:tcW w:type="dxa" w:w="7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1,19</w:t>
            </w:r>
          </w:p>
        </w:tc>
        <w:tc>
          <w:tcPr>
            <w:tcW w:type="dxa" w:w="10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4,793</w:t>
            </w:r>
          </w:p>
        </w:tc>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0,572</w:t>
            </w:r>
          </w:p>
        </w:tc>
        <w:tc>
          <w:tcPr>
            <w:tcW w:type="dxa" w:w="5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0,085</w:t>
            </w:r>
          </w:p>
        </w:tc>
        <w:tc>
          <w:tcPr>
            <w:tcW w:type="dxa" w:w="11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0,657</w:t>
            </w:r>
          </w:p>
        </w:tc>
        <w:tc>
          <w:tcPr>
            <w:tcW w:type="dxa" w:w="190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r>
        <w:trPr>
          <w:cantSplit/>
        </w:trPr>
        <w:tc>
          <w:tcPr>
            <w:tcW w:type="dxa" w:w="218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Signes de danger (0-18)</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T1</w:t>
            </w:r>
          </w:p>
        </w:tc>
        <w:tc>
          <w:tcPr>
            <w:tcW w:type="dxa" w:w="81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14,323</w:t>
            </w:r>
          </w:p>
        </w:tc>
        <w:tc>
          <w:tcPr>
            <w:tcW w:type="dxa" w:w="7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3,606</w:t>
            </w:r>
          </w:p>
        </w:tc>
        <w:tc>
          <w:tcPr>
            <w:tcW w:type="dxa" w:w="10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7,531</w:t>
            </w:r>
          </w:p>
        </w:tc>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0,563</w:t>
            </w:r>
          </w:p>
        </w:tc>
        <w:tc>
          <w:tcPr>
            <w:tcW w:type="dxa" w:w="5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0,142</w:t>
            </w:r>
          </w:p>
        </w:tc>
        <w:tc>
          <w:tcPr>
            <w:tcW w:type="dxa" w:w="11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0,704</w:t>
            </w:r>
          </w:p>
        </w:tc>
        <w:tc>
          <w:tcPr>
            <w:tcW w:type="dxa" w:w="190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convergent</w:t>
            </w:r>
          </w:p>
        </w:tc>
      </w:tr>
    </w:tbl>
    <w:p>
      <w:pPr>
        <w:spacing w:after="200" w:before="60"/>
        <w:jc w:val="left"/>
      </w:pPr>
      <w:r>
        <w:rPr>
          <w:color w:val="6B7280"/>
          <w:sz w:val="15"/>
          <w:szCs w:val="15"/>
        </w:rPr>
        <w:t xml:space="preserve">Modèles linéaires mixtes (lme4, sans poids) avec covariables individuelles et effets fixes province. Part aire = variance propre à l'aire / totale ; corrélation même aire = (variance ZS + variance aire) / totale. La variance d'aire peut confondre l'aire et l'enquêteur (un enquêteur par aire ; paradonnées non vérifiées). Diagnostic d'ajustement affiché.</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12. </w:t>
      </w:r>
      <w:r>
        <w:rPr>
          <w:color w:val="52514E"/>
          <w:sz w:val="17"/>
          <w:szCs w:val="17"/>
        </w:rPr>
        <w:t xml:space="preserve">Effets aléatoires d'aire sur l'exposition des ménages (P1), par passage.</w:t>
      </w:r>
    </w:p>
    <w:p>
      <w:pPr>
        <w:spacing w:after="160"/>
        <w:jc w:val="left"/>
      </w:pPr>
      <w:r>
        <w:rPr>
          <w:b/>
          <w:bCs/>
          <w:color w:val="0B1F3A"/>
          <w:sz w:val="17"/>
          <w:szCs w:val="17"/>
        </w:rPr>
        <w:t xml:space="preserve">Tableau 30. </w:t>
      </w:r>
      <w:r>
        <w:rPr>
          <w:color w:val="52514E"/>
          <w:sz w:val="17"/>
          <w:szCs w:val="17"/>
        </w:rPr>
        <w:t xml:space="preserve">Visites à domicile déclarées par les RECO sur trois mois selon la professionnalisation, la prime et le contrat (binomiale négative, n = 1141)</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5034"/>
        <w:gridCol w:w="1439"/>
        <w:gridCol w:w="2014"/>
        <w:gridCol w:w="1151"/>
      </w:tblGrid>
      <w:tr>
        <w:trPr>
          <w:cantSplit/>
          <w:tblHeader/>
        </w:trPr>
        <w:tc>
          <w:tcPr>
            <w:tcW w:type="dxa" w:w="50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Variable</w:t>
            </w:r>
          </w:p>
        </w:tc>
        <w:tc>
          <w:tcPr>
            <w:tcW w:type="dxa" w:w="143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Rapport de taux</w:t>
            </w:r>
          </w:p>
        </w:tc>
        <w:tc>
          <w:tcPr>
            <w:tcW w:type="dxa" w:w="201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IC 95 %</w:t>
            </w:r>
          </w:p>
        </w:tc>
        <w:tc>
          <w:tcPr>
            <w:tcW w:type="dxa" w:w="11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w:t>
            </w:r>
          </w:p>
        </w:tc>
      </w:tr>
      <w:tr>
        <w:trPr>
          <w:cantSplit/>
        </w:trPr>
        <w:tc>
          <w:tcPr>
            <w:tcW w:type="dxa" w:w="50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Professionnalisation hors intrants (par 10 points)</w:t>
            </w:r>
          </w:p>
        </w:tc>
        <w:tc>
          <w:tcPr>
            <w:tcW w:type="dxa" w:w="14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w:t>
            </w:r>
          </w:p>
        </w:tc>
        <w:tc>
          <w:tcPr>
            <w:tcW w:type="dxa" w:w="20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[0,95 ; 1,06]</w:t>
            </w:r>
          </w:p>
        </w:tc>
        <w:tc>
          <w:tcPr>
            <w:tcW w:type="dxa" w:w="11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0,931</w:t>
            </w:r>
          </w:p>
        </w:tc>
      </w:tr>
      <w:tr>
        <w:trPr>
          <w:cantSplit/>
        </w:trPr>
        <w:tc>
          <w:tcPr>
            <w:tcW w:type="dxa" w:w="50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Prime (oui)</w:t>
            </w:r>
          </w:p>
        </w:tc>
        <w:tc>
          <w:tcPr>
            <w:tcW w:type="dxa" w:w="143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1,84</w:t>
            </w:r>
          </w:p>
        </w:tc>
        <w:tc>
          <w:tcPr>
            <w:tcW w:type="dxa" w:w="20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[1,51 ; 2,24]</w:t>
            </w:r>
          </w:p>
        </w:tc>
        <w:tc>
          <w:tcPr>
            <w:tcW w:type="dxa" w:w="11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&lt; 0,001</w:t>
            </w:r>
          </w:p>
        </w:tc>
      </w:tr>
      <w:tr>
        <w:trPr>
          <w:cantSplit/>
        </w:trPr>
        <w:tc>
          <w:tcPr>
            <w:tcW w:type="dxa" w:w="50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Contrat (oui)</w:t>
            </w:r>
          </w:p>
        </w:tc>
        <w:tc>
          <w:tcPr>
            <w:tcW w:type="dxa" w:w="143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0,85</w:t>
            </w:r>
          </w:p>
        </w:tc>
        <w:tc>
          <w:tcPr>
            <w:tcW w:type="dxa" w:w="20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[0,64 ; 1,11]</w:t>
            </w:r>
          </w:p>
        </w:tc>
        <w:tc>
          <w:tcPr>
            <w:tcW w:type="dxa" w:w="11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0,237</w:t>
            </w:r>
          </w:p>
        </w:tc>
      </w:tr>
    </w:tbl>
    <w:p>
      <w:pPr>
        <w:spacing w:after="200" w:before="60"/>
        <w:jc w:val="left"/>
      </w:pPr>
      <w:r>
        <w:rPr>
          <w:color w:val="6B7280"/>
          <w:sz w:val="15"/>
          <w:szCs w:val="15"/>
        </w:rPr>
        <w:t xml:space="preserve">Effets fixes province × passage ; erreurs-types robustes par zone de santé. Registre association ; les VAD sont déclarées par l'agent.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Lire les différences premières (où la fonctionnalité des CAC a progressé, l'exposition des ménages a-t-elle suivi ?), les associations transversales et leurs valeurs E, la part de variance portée par l'aire (confondue avec l'enquêteur) et les aires hors de l'attendu, à transmettre au volet qualitatif.</w:t>
            </w:r>
          </w:p>
        </w:tc>
      </w:tr>
    </w:tbl>
    <w:p>
      <w:r>
        <w:br w:type="page"/>
      </w:r>
    </w:p>
    <w:p>
      <w:pPr>
        <w:pStyle w:val="Heading1"/>
        <w:spacing w:after="0" w:before="0"/>
      </w:pPr>
      <w:r>
        <w:rPr>
          <w:color w:val="FFFFFF"/>
          <w:sz w:val="2"/>
          <w:szCs w:val="2"/>
        </w:rPr>
        <w:t xml:space="preserve">8. Équité</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attribution (sous-groupes pré-spécifiés) et association. Tableaux T35 à T38 ; figures F12, F16.</w:t>
      </w:r>
    </w:p>
    <w:p>
      <w:pPr>
        <w:spacing w:after="160"/>
        <w:jc w:val="left"/>
      </w:pPr>
      <w:r>
        <w:rPr>
          <w:b/>
          <w:bCs/>
          <w:color w:val="0B1F3A"/>
          <w:sz w:val="17"/>
          <w:szCs w:val="17"/>
        </w:rPr>
        <w:t xml:space="preserve">Tableau 31. </w:t>
      </w:r>
      <w:r>
        <w:rPr>
          <w:color w:val="52514E"/>
          <w:sz w:val="17"/>
          <w:szCs w:val="17"/>
        </w:rPr>
        <w:t xml:space="preserve">Hétérogénéité pré-spécifiée de l'effet sur P1 et P2 : DiD par sous-groupe et test global d'hétérogénéité, issus du même modèle conjoint</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636"/>
        <w:gridCol w:w="2012"/>
        <w:gridCol w:w="1801"/>
        <w:gridCol w:w="635"/>
        <w:gridCol w:w="635"/>
        <w:gridCol w:w="1589"/>
        <w:gridCol w:w="2330"/>
      </w:tblGrid>
      <w:tr>
        <w:trPr>
          <w:cantSplit/>
          <w:tblHeader/>
        </w:trPr>
        <w:tc>
          <w:tcPr>
            <w:tcW w:type="dxa" w:w="6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Résultat</w:t>
            </w:r>
          </w:p>
        </w:tc>
        <w:tc>
          <w:tcPr>
            <w:tcW w:type="dxa" w:w="201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Sous-groupe</w:t>
            </w:r>
          </w:p>
        </w:tc>
        <w:tc>
          <w:tcPr>
            <w:tcW w:type="dxa" w:w="180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Niveau</w:t>
            </w:r>
          </w:p>
        </w:tc>
        <w:tc>
          <w:tcPr>
            <w:tcW w:type="dxa" w:w="63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63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DiD</w:t>
            </w:r>
          </w:p>
        </w:tc>
        <w:tc>
          <w:tcPr>
            <w:tcW w:type="dxa" w:w="158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IC 95 %</w:t>
            </w:r>
          </w:p>
        </w:tc>
        <w:tc>
          <w:tcPr>
            <w:tcW w:type="dxa" w:w="233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 hétérogénéité (HTZ)</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Niveau de vie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Quintiles 1-2</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1900</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[-5,8 ; 13,9]</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0,721</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Niveau de vie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Quintiles 3-5</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3091</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 ; 10,9]</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0,721</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Instruite</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3999</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 ; 9,1]</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0,340</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Sans instruction</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992</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8,9</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 ; 24,4]</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0,340</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Distance à la FOSA</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&lt; 1 h de marche</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4071</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 ; 10,0]</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0,600</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Distance à la FOSA</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1 h de marche</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920</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[-6,4 ; 16,7]</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0,600</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Niveau de vie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Quintiles 1-2</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1900</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[-12,6 ; 5,4]</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0,959</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Niveau de vie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Quintiles 3-5</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3091</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[-11,8 ; 5,1]</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0,959</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Instruite</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3999</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[-10,7 ; 4,5]</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0,726</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Sans instruction</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992</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[-17,9 ; 7,5]</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0,726</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Distance à la FOSA</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&lt; 1 h de marche</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4071</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[-10,9 ; 2,9]</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0,781</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Distance à la FOSA</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1 h de marche</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920</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[-15,5 ; 10,4]</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0,781</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58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r>
        <w:trPr>
          <w:cantSplit/>
        </w:trPr>
        <w:tc>
          <w:tcPr>
            <w:tcW w:type="dxa" w:w="6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1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Province</w:t>
            </w:r>
          </w:p>
        </w:tc>
        <w:tc>
          <w:tcPr>
            <w:tcW w:type="dxa" w:w="18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c>
          <w:tcPr>
            <w:tcW w:type="dxa" w:w="63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58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nd</w:t>
            </w:r>
          </w:p>
        </w:tc>
        <w:tc>
          <w:tcPr>
            <w:tcW w:type="dxa" w:w="233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nd (2 zones contre 2)</w:t>
            </w:r>
          </w:p>
        </w:tc>
      </w:tr>
    </w:tbl>
    <w:p>
      <w:pPr>
        <w:spacing w:after="200" w:before="60"/>
        <w:jc w:val="left"/>
      </w:pPr>
      <w:r>
        <w:rPr>
          <w:color w:val="6B7280"/>
          <w:sz w:val="15"/>
          <w:szCs w:val="15"/>
        </w:rPr>
        <w:t xml:space="preserve">Modèle ménage à effets fixes d'aire et province × passage avec interaction bras × passage × sous-groupe et tous les termes d'ordre inférieur identifiables ; CR2 par zone, IC et ddl de Satterthwaite (clubSandwich), le modèle étant re-paramétré avec chaque sous-groupe en référence. Test global : Wald HTZ sur les interactions. Province : estimation ponctuelle brute (2 zones contre 2), sans IC. Six tests pour P1 et P2 : lecture exploratoire ; un sous-groupe n'est commenté que si le test global est significatif.</w:t>
      </w:r>
    </w:p>
    <w:p>
      <w:pPr>
        <w:keepNext/>
        <w:spacing w:after="40" w:before="80"/>
        <w:jc w:val="center"/>
      </w:pPr>
      <w:r>
        <w:drawing>
          <wp:inline distT="0" distB="0" distL="0" distR="0">
            <wp:extent cx="61245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2867025"/>
                    </a:xfrm>
                    <a:prstGeom prst="rect">
                      <a:avLst/>
                    </a:prstGeom>
                  </pic:spPr>
                </pic:pic>
              </a:graphicData>
            </a:graphic>
          </wp:inline>
        </w:drawing>
      </w:r>
    </w:p>
    <w:p>
      <w:pPr>
        <w:spacing w:after="160"/>
        <w:jc w:val="left"/>
      </w:pPr>
      <w:r>
        <w:rPr>
          <w:b/>
          <w:bCs/>
          <w:color w:val="0B1F3A"/>
          <w:sz w:val="17"/>
          <w:szCs w:val="17"/>
        </w:rPr>
        <w:t xml:space="preserve">Figure 13. </w:t>
      </w:r>
      <w:r>
        <w:rPr>
          <w:color w:val="52514E"/>
          <w:sz w:val="17"/>
          <w:szCs w:val="17"/>
        </w:rPr>
        <w:t xml:space="preserve">DiD à 16 points par sous-groupe pré-spécifié et test global d'hétérogénéité.</w:t>
      </w:r>
    </w:p>
    <w:p>
      <w:pPr>
        <w:spacing w:after="160"/>
        <w:jc w:val="left"/>
      </w:pPr>
      <w:r>
        <w:rPr>
          <w:b/>
          <w:bCs/>
          <w:color w:val="0B1F3A"/>
          <w:sz w:val="17"/>
          <w:szCs w:val="17"/>
        </w:rPr>
        <w:t xml:space="preserve">Tableau 32. </w:t>
      </w:r>
      <w:r>
        <w:rPr>
          <w:color w:val="52514E"/>
          <w:sz w:val="17"/>
          <w:szCs w:val="17"/>
        </w:rPr>
        <w:t xml:space="preserve">Inégalités sociales : indice de concentration d'Erreygers par bras et par passage (ménages classés par le score de niveau de vie)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114"/>
        <w:gridCol w:w="1528"/>
        <w:gridCol w:w="705"/>
        <w:gridCol w:w="1293"/>
        <w:gridCol w:w="1998"/>
      </w:tblGrid>
      <w:tr>
        <w:trPr>
          <w:cantSplit/>
          <w:tblHeader/>
        </w:trPr>
        <w:tc>
          <w:tcPr>
            <w:tcW w:type="dxa" w:w="411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152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70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2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Indice d'Erreygers</w:t>
            </w:r>
          </w:p>
        </w:tc>
        <w:tc>
          <w:tcPr>
            <w:tcW w:type="dxa" w:w="19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IC 95 %</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0,107</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[0,027 ; 0,169]</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0,013</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[-0,083 ; 0,106]</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0,18</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[0,055 ; 0,300]</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0,054</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[-0,058 ; 0,174]</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0,093</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[-0,099 ; 0,254]</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0,112</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[-0,080 ; 0,265]</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0,238</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[0,077 ; 0,388]</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0,133</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[-0,055 ; 0,285]</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0,138</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[-0,005 ; 0,260]</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-0,004</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[-0,236 ; 0,194]</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0,31</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[0,003 ; 0,592]</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Enfant déclaré complètement vacciné ou suivant le calendrier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0,158</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[0,018 ; 0,305]</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0,035</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[-0,095 ; 0,190]</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-0,058</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[-0,239 ; 0,165]</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0,255</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[0,047 ; 0,446]</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Déclaré vacciné et carnet présenté, tous ménages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0,075</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[-0,081 ; 0,221]</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0,17</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[-0,009 ; 0,324]</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0,066</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[-0,117 ; 0,210]</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0,348</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[0,156 ; 0,511]</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Amène les enfants à la pesée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0,269</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[0,045 ; 0,450]</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Accouchement en structure de santé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0,163</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[0,063 ; 0,261]</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Accouchement en structure de santé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0,191</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[0,079 ; 0,324]</w:t>
            </w:r>
          </w:p>
        </w:tc>
      </w:tr>
      <w:tr>
        <w:trPr>
          <w:cantSplit/>
        </w:trPr>
        <w:tc>
          <w:tcPr>
            <w:tcW w:type="dxa" w:w="41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Accouchement en structure de santé (%)</w:t>
            </w:r>
          </w:p>
        </w:tc>
        <w:tc>
          <w:tcPr>
            <w:tcW w:type="dxa" w:w="152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2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0,206</w:t>
            </w:r>
          </w:p>
        </w:tc>
        <w:tc>
          <w:tcPr>
            <w:tcW w:type="dxa" w:w="19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[0,011 ; 0,350]</w:t>
            </w:r>
          </w:p>
        </w:tc>
      </w:tr>
      <w:tr>
        <w:trPr>
          <w:cantSplit/>
        </w:trPr>
        <w:tc>
          <w:tcPr>
            <w:tcW w:type="dxa" w:w="41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Accouchement en structure de santé (%)</w:t>
            </w:r>
          </w:p>
        </w:tc>
        <w:tc>
          <w:tcPr>
            <w:tcW w:type="dxa" w:w="152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2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0,145</w:t>
            </w:r>
          </w:p>
        </w:tc>
        <w:tc>
          <w:tcPr>
            <w:tcW w:type="dxa" w:w="19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[0,003 ; 0,269]</w:t>
            </w:r>
          </w:p>
        </w:tc>
      </w:tr>
    </w:tbl>
    <w:p>
      <w:pPr>
        <w:spacing w:after="200" w:before="60"/>
        <w:jc w:val="left"/>
      </w:pPr>
      <w:r>
        <w:rPr>
          <w:color w:val="6B7280"/>
          <w:sz w:val="15"/>
          <w:szCs w:val="15"/>
        </w:rPr>
        <w:t xml:space="preserve">Indice borné entre -1 et 1 ; positif = concentration chez les mieux dotés. IC par bootstrap par zone de santé (400 répliques). Les indicateurs 0-100 sont ramenés à 0-1.</w:t>
      </w:r>
    </w:p>
    <w:p>
      <w:pPr>
        <w:keepNext/>
        <w:spacing w:after="40" w:before="80"/>
        <w:jc w:val="center"/>
      </w:pPr>
      <w:r>
        <w:drawing>
          <wp:inline distT="0" distB="0" distL="0" distR="0">
            <wp:extent cx="61245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248025"/>
                    </a:xfrm>
                    <a:prstGeom prst="rect">
                      <a:avLst/>
                    </a:prstGeom>
                  </pic:spPr>
                </pic:pic>
              </a:graphicData>
            </a:graphic>
          </wp:inline>
        </w:drawing>
      </w:r>
    </w:p>
    <w:p>
      <w:pPr>
        <w:spacing w:after="160"/>
        <w:jc w:val="left"/>
      </w:pPr>
      <w:r>
        <w:rPr>
          <w:b/>
          <w:bCs/>
          <w:color w:val="0B1F3A"/>
          <w:sz w:val="17"/>
          <w:szCs w:val="17"/>
        </w:rPr>
        <w:t xml:space="preserve">Figure 14. </w:t>
      </w:r>
      <w:r>
        <w:rPr>
          <w:color w:val="52514E"/>
          <w:sz w:val="17"/>
          <w:szCs w:val="17"/>
        </w:rPr>
        <w:t xml:space="preserve">Gradient par quintile de niveau de vie, par bras et par passage.</w:t>
      </w:r>
    </w:p>
    <w:p>
      <w:pPr>
        <w:spacing w:after="160"/>
        <w:jc w:val="left"/>
      </w:pPr>
      <w:r>
        <w:rPr>
          <w:b/>
          <w:bCs/>
          <w:color w:val="0B1F3A"/>
          <w:sz w:val="17"/>
          <w:szCs w:val="17"/>
        </w:rPr>
        <w:t xml:space="preserve">Tableau 33. </w:t>
      </w:r>
      <w:r>
        <w:rPr>
          <w:color w:val="52514E"/>
          <w:sz w:val="17"/>
          <w:szCs w:val="17"/>
        </w:rPr>
        <w:t xml:space="preserve">Part des femmes parmi les agents, les membres et les répondants des organes,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686"/>
        <w:gridCol w:w="1740"/>
        <w:gridCol w:w="803"/>
        <w:gridCol w:w="1606"/>
        <w:gridCol w:w="803"/>
      </w:tblGrid>
      <w:tr>
        <w:trPr>
          <w:cantSplit/>
          <w:tblHeader/>
        </w:trPr>
        <w:tc>
          <w:tcPr>
            <w:tcW w:type="dxa" w:w="468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Acteur</w:t>
            </w:r>
          </w:p>
        </w:tc>
        <w:tc>
          <w:tcPr>
            <w:tcW w:type="dxa" w:w="174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80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6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Part des femmes (%)</w:t>
            </w:r>
          </w:p>
        </w:tc>
        <w:tc>
          <w:tcPr>
            <w:tcW w:type="dxa" w:w="80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30,3</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27,8</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29,5</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désignés depuis moins d'un an (T1)</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90</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16,9</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19,5</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des CAC (déclaré par la CAC)</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36,6</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des CAC (déclaré par la CAC)</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36,6</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des CAC (déclaré par la CAC)</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36,6</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des CAC (déclaré par la CAC)</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33,1</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CAC (président ou membre) femme</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24,9</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CAC (président ou membre) femme</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18,2</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CAC (président ou membre) femme</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20,1</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CAC (président ou membre) femme</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18,3</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Membres des CODESA</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25,9</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Membres des CODESA</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Membres des CODESA</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26,4</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Membres des CODESA</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30,1</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CODESA femme</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CODESA femme</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CODESA femme</w:t>
            </w:r>
          </w:p>
        </w:tc>
        <w:tc>
          <w:tcPr>
            <w:tcW w:type="dxa" w:w="174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w:t>
            </w:r>
          </w:p>
        </w:tc>
        <w:tc>
          <w:tcPr>
            <w:tcW w:type="dxa" w:w="80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r>
        <w:trPr>
          <w:cantSplit/>
        </w:trPr>
        <w:tc>
          <w:tcPr>
            <w:tcW w:type="dxa" w:w="468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Répondant CODESA femme</w:t>
            </w:r>
          </w:p>
        </w:tc>
        <w:tc>
          <w:tcPr>
            <w:tcW w:type="dxa" w:w="174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12,5</w:t>
            </w:r>
          </w:p>
        </w:tc>
        <w:tc>
          <w:tcPr>
            <w:tcW w:type="dxa" w:w="80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r>
    </w:tbl>
    <w:p>
      <w:pPr>
        <w:spacing w:after="200" w:before="60"/>
        <w:jc w:val="left"/>
      </w:pPr>
      <w:r>
        <w:rPr>
          <w:color w:val="6B7280"/>
          <w:sz w:val="15"/>
          <w:szCs w:val="15"/>
        </w:rPr>
        <w:t xml:space="preserve">Postes renseignés seulement ; le sexe du répondant d'un organe ne renseigne pas sur le pouvoir de décision. Repère PSN SACO : 50 % de femmes selon le contexte.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Un sous-groupe n'est commenté que si le test global est significatif. Décrire les gradients sociaux (carnet vu, accouchement en structure) et leur évolution, les indices de concentration, la place des femmes parmi les agents et dans les organes.</w:t>
            </w:r>
          </w:p>
        </w:tc>
      </w:tr>
    </w:tbl>
    <w:p>
      <w:r>
        <w:br w:type="page"/>
      </w:r>
    </w:p>
    <w:p>
      <w:pPr>
        <w:pStyle w:val="Heading1"/>
        <w:spacing w:after="0" w:before="0"/>
      </w:pPr>
      <w:r>
        <w:rPr>
          <w:color w:val="FFFFFF"/>
          <w:sz w:val="2"/>
          <w:szCs w:val="2"/>
        </w:rPr>
        <w:t xml:space="preserve">9. Thématiques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838200"/>
                    </a:xfrm>
                    <a:prstGeom prst="rect">
                      <a:avLst/>
                    </a:prstGeom>
                  </pic:spPr>
                </pic:pic>
              </a:graphicData>
            </a:graphic>
          </wp:inline>
        </w:drawing>
      </w:r>
    </w:p>
    <w:p>
      <w:pPr>
        <w:pStyle w:val="Heading2"/>
        <w:spacing w:after="100" w:before="260"/>
      </w:pPr>
      <w:r>
        <w:t xml:space="preserve">9.1 Continuum maternel</w:t>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Tableaux T39, T40 ; figure F08. Évolution lue sur les naissances des 6 derniers mois.</w:t>
      </w:r>
    </w:p>
    <w:p>
      <w:pPr>
        <w:keepNext/>
        <w:spacing w:after="40" w:before="80"/>
        <w:jc w:val="center"/>
      </w:pPr>
      <w:r>
        <w:drawing>
          <wp:inline distT="0" distB="0" distL="0" distR="0">
            <wp:extent cx="61245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3638550"/>
                    </a:xfrm>
                    <a:prstGeom prst="rect">
                      <a:avLst/>
                    </a:prstGeom>
                  </pic:spPr>
                </pic:pic>
              </a:graphicData>
            </a:graphic>
          </wp:inline>
        </w:drawing>
      </w:r>
    </w:p>
    <w:p>
      <w:pPr>
        <w:spacing w:after="160"/>
        <w:jc w:val="left"/>
      </w:pPr>
      <w:r>
        <w:rPr>
          <w:b/>
          <w:bCs/>
          <w:color w:val="0B1F3A"/>
          <w:sz w:val="17"/>
          <w:szCs w:val="17"/>
        </w:rPr>
        <w:t xml:space="preserve">Figure 15. </w:t>
      </w:r>
      <w:r>
        <w:rPr>
          <w:color w:val="52514E"/>
          <w:sz w:val="17"/>
          <w:szCs w:val="17"/>
        </w:rPr>
        <w:t xml:space="preserve">Cascade CPN1 → CPN4+ → accouchement en structure → consultation postnatale.</w:t>
      </w:r>
    </w:p>
    <w:p>
      <w:pPr>
        <w:spacing w:after="160"/>
        <w:jc w:val="left"/>
      </w:pPr>
      <w:r>
        <w:rPr>
          <w:b/>
          <w:bCs/>
          <w:color w:val="0B1F3A"/>
          <w:sz w:val="17"/>
          <w:szCs w:val="17"/>
        </w:rPr>
        <w:t xml:space="preserve">Tableau 34. </w:t>
      </w:r>
      <w:r>
        <w:rPr>
          <w:color w:val="52514E"/>
          <w:sz w:val="17"/>
          <w:szCs w:val="17"/>
        </w:rPr>
        <w:t xml:space="preserve">Continuum maternel : probabilités de franchir chaque étape conditionnellement à la précédente, et co-couverture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900"/>
        <w:gridCol w:w="876"/>
        <w:gridCol w:w="1460"/>
        <w:gridCol w:w="1752"/>
        <w:gridCol w:w="1752"/>
        <w:gridCol w:w="1898"/>
      </w:tblGrid>
      <w:tr>
        <w:trPr>
          <w:cantSplit/>
          <w:tblHeader/>
        </w:trPr>
        <w:tc>
          <w:tcPr>
            <w:tcW w:type="dxa" w:w="190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8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46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P(CPN4+ | CPN1)</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P(structure | CPN4+)</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P(CPoN | structure)</w:t>
            </w:r>
          </w:p>
        </w:tc>
        <w:tc>
          <w:tcPr>
            <w:tcW w:type="dxa" w:w="18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Co-couverture des 4 étapes (%)</w:t>
            </w:r>
          </w:p>
        </w:tc>
      </w:tr>
      <w:tr>
        <w:trPr>
          <w:cantSplit/>
        </w:trPr>
        <w:tc>
          <w:tcPr>
            <w:tcW w:type="dxa" w:w="190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4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41,5</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94,3</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r>
      <w:tr>
        <w:trPr>
          <w:cantSplit/>
        </w:trPr>
        <w:tc>
          <w:tcPr>
            <w:tcW w:type="dxa" w:w="190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4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45,5</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95,1</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49,5</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24,2</w:t>
            </w:r>
          </w:p>
        </w:tc>
      </w:tr>
      <w:tr>
        <w:trPr>
          <w:cantSplit/>
        </w:trPr>
        <w:tc>
          <w:tcPr>
            <w:tcW w:type="dxa" w:w="190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4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47,8</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36,6</w:t>
            </w:r>
          </w:p>
        </w:tc>
        <w:tc>
          <w:tcPr>
            <w:tcW w:type="dxa" w:w="18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19,9</w:t>
            </w:r>
          </w:p>
        </w:tc>
      </w:tr>
      <w:tr>
        <w:trPr>
          <w:cantSplit/>
        </w:trPr>
        <w:tc>
          <w:tcPr>
            <w:tcW w:type="dxa" w:w="190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4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41,1</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93,4</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42,7</w:t>
            </w:r>
          </w:p>
        </w:tc>
        <w:tc>
          <w:tcPr>
            <w:tcW w:type="dxa" w:w="18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18,2</w:t>
            </w:r>
          </w:p>
        </w:tc>
      </w:tr>
    </w:tbl>
    <w:p>
      <w:pPr>
        <w:spacing w:after="200" w:before="60"/>
        <w:jc w:val="left"/>
      </w:pPr>
      <w:r>
        <w:rPr>
          <w:color w:val="6B7280"/>
          <w:sz w:val="15"/>
          <w:szCs w:val="15"/>
        </w:rPr>
        <w:t xml:space="preserve">Pondération égale des provinces ; toutes les femmes avec une dernière grossesse ; dénominateur de chaque colonne = femmes ayant franchi l'étape précédente.</w:t>
      </w:r>
    </w:p>
    <w:p>
      <w:pPr>
        <w:pStyle w:val="Heading2"/>
        <w:spacing w:after="100" w:before="260"/>
      </w:pPr>
      <w:r>
        <w:t xml:space="preserve">9.2 Recours pour l'enfant malade</w:t>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et association. Tableaux T41 à T43 ; figure F18.</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16. </w:t>
      </w:r>
      <w:r>
        <w:rPr>
          <w:color w:val="52514E"/>
          <w:sz w:val="17"/>
          <w:szCs w:val="17"/>
        </w:rPr>
        <w:t xml:space="preserve">Première réaction devant l'enfant malade, par bras et par passage.</w:t>
      </w:r>
    </w:p>
    <w:p>
      <w:pPr>
        <w:spacing w:after="160"/>
        <w:jc w:val="left"/>
      </w:pPr>
      <w:r>
        <w:rPr>
          <w:b/>
          <w:bCs/>
          <w:color w:val="0B1F3A"/>
          <w:sz w:val="17"/>
          <w:szCs w:val="17"/>
        </w:rPr>
        <w:t xml:space="preserve">Tableau 35. </w:t>
      </w:r>
      <w:r>
        <w:rPr>
          <w:color w:val="52514E"/>
          <w:sz w:val="17"/>
          <w:szCs w:val="17"/>
        </w:rPr>
        <w:t xml:space="preserve">Première réaction devant l'enfant malade : probabilités prédites (%) par bras et passage, modèle multinomial ajusté</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694"/>
        <w:gridCol w:w="781"/>
        <w:gridCol w:w="1302"/>
        <w:gridCol w:w="1563"/>
        <w:gridCol w:w="1172"/>
        <w:gridCol w:w="1693"/>
        <w:gridCol w:w="1433"/>
      </w:tblGrid>
      <w:tr>
        <w:trPr>
          <w:cantSplit/>
          <w:tblHeader/>
        </w:trPr>
        <w:tc>
          <w:tcPr>
            <w:tcW w:type="dxa" w:w="169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78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30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Centre.de.santé</w:t>
            </w:r>
          </w:p>
        </w:tc>
        <w:tc>
          <w:tcPr>
            <w:tcW w:type="dxa" w:w="156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Agent.communautaire</w:t>
            </w:r>
          </w:p>
        </w:tc>
        <w:tc>
          <w:tcPr>
            <w:tcW w:type="dxa" w:w="117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Automédication</w:t>
            </w:r>
          </w:p>
        </w:tc>
        <w:tc>
          <w:tcPr>
            <w:tcW w:type="dxa" w:w="169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Médecine.traditionnelle</w:t>
            </w:r>
          </w:p>
        </w:tc>
        <w:tc>
          <w:tcPr>
            <w:tcW w:type="dxa" w:w="143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Attente.à.domicile</w:t>
            </w:r>
          </w:p>
        </w:tc>
      </w:tr>
      <w:tr>
        <w:trPr>
          <w:cantSplit/>
        </w:trPr>
        <w:tc>
          <w:tcPr>
            <w:tcW w:type="dxa" w:w="16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3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47,6</w:t>
            </w:r>
          </w:p>
        </w:tc>
        <w:tc>
          <w:tcPr>
            <w:tcW w:type="dxa" w:w="15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8,8</w:t>
            </w:r>
          </w:p>
        </w:tc>
        <w:tc>
          <w:tcPr>
            <w:tcW w:type="dxa" w:w="1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26,6</w:t>
            </w:r>
          </w:p>
        </w:tc>
        <w:tc>
          <w:tcPr>
            <w:tcW w:type="dxa" w:w="16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8,8</w:t>
            </w:r>
          </w:p>
        </w:tc>
        <w:tc>
          <w:tcPr>
            <w:tcW w:type="dxa" w:w="14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w:t>
            </w:r>
          </w:p>
        </w:tc>
      </w:tr>
      <w:tr>
        <w:trPr>
          <w:cantSplit/>
        </w:trPr>
        <w:tc>
          <w:tcPr>
            <w:tcW w:type="dxa" w:w="16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3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58,9</w:t>
            </w:r>
          </w:p>
        </w:tc>
        <w:tc>
          <w:tcPr>
            <w:tcW w:type="dxa" w:w="15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w:t>
            </w:r>
          </w:p>
        </w:tc>
        <w:tc>
          <w:tcPr>
            <w:tcW w:type="dxa" w:w="1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19,4</w:t>
            </w:r>
          </w:p>
        </w:tc>
        <w:tc>
          <w:tcPr>
            <w:tcW w:type="dxa" w:w="16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w:t>
            </w:r>
          </w:p>
        </w:tc>
        <w:tc>
          <w:tcPr>
            <w:tcW w:type="dxa" w:w="14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w:t>
            </w:r>
          </w:p>
        </w:tc>
      </w:tr>
      <w:tr>
        <w:trPr>
          <w:cantSplit/>
        </w:trPr>
        <w:tc>
          <w:tcPr>
            <w:tcW w:type="dxa" w:w="169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7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30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40,5</w:t>
            </w:r>
          </w:p>
        </w:tc>
        <w:tc>
          <w:tcPr>
            <w:tcW w:type="dxa" w:w="15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15,8</w:t>
            </w:r>
          </w:p>
        </w:tc>
        <w:tc>
          <w:tcPr>
            <w:tcW w:type="dxa" w:w="117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27,9</w:t>
            </w:r>
          </w:p>
        </w:tc>
        <w:tc>
          <w:tcPr>
            <w:tcW w:type="dxa" w:w="169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w:t>
            </w:r>
          </w:p>
        </w:tc>
        <w:tc>
          <w:tcPr>
            <w:tcW w:type="dxa" w:w="14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10,6</w:t>
            </w:r>
          </w:p>
        </w:tc>
      </w:tr>
      <w:tr>
        <w:trPr>
          <w:cantSplit/>
        </w:trPr>
        <w:tc>
          <w:tcPr>
            <w:tcW w:type="dxa" w:w="169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7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30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61,2</w:t>
            </w:r>
          </w:p>
        </w:tc>
        <w:tc>
          <w:tcPr>
            <w:tcW w:type="dxa" w:w="15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12,4</w:t>
            </w:r>
          </w:p>
        </w:tc>
        <w:tc>
          <w:tcPr>
            <w:tcW w:type="dxa" w:w="117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14,7</w:t>
            </w:r>
          </w:p>
        </w:tc>
        <w:tc>
          <w:tcPr>
            <w:tcW w:type="dxa" w:w="169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w:t>
            </w:r>
          </w:p>
        </w:tc>
        <w:tc>
          <w:tcPr>
            <w:tcW w:type="dxa" w:w="14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w:t>
            </w:r>
          </w:p>
        </w:tc>
      </w:tr>
    </w:tbl>
    <w:p>
      <w:pPr>
        <w:spacing w:after="200" w:before="60"/>
        <w:jc w:val="left"/>
      </w:pPr>
      <w:r>
        <w:rPr>
          <w:color w:val="6B7280"/>
          <w:sz w:val="15"/>
          <w:szCs w:val="15"/>
        </w:rPr>
        <w:t xml:space="preserve">Modèle multinomial (nnet) avec covariables individuelles et province, pondération égale des provinces ; probabilités moyennes prédites sur l'échantillon. Registre association.</w:t>
      </w:r>
    </w:p>
    <w:p>
      <w:pPr>
        <w:spacing w:after="160"/>
        <w:jc w:val="left"/>
      </w:pPr>
      <w:r>
        <w:rPr>
          <w:b/>
          <w:bCs/>
          <w:color w:val="0B1F3A"/>
          <w:sz w:val="17"/>
          <w:szCs w:val="17"/>
        </w:rPr>
        <w:t xml:space="preserve">Tableau 36. </w:t>
      </w:r>
      <w:r>
        <w:rPr>
          <w:color w:val="52514E"/>
          <w:sz w:val="17"/>
          <w:szCs w:val="17"/>
        </w:rPr>
        <w:t xml:space="preserve">Recours pour l'enfant malade en deux parties : consultation ou non, puis délai parmi les consultants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373"/>
        <w:gridCol w:w="3181"/>
        <w:gridCol w:w="964"/>
        <w:gridCol w:w="1349"/>
        <w:gridCol w:w="771"/>
      </w:tblGrid>
      <w:tr>
        <w:trPr>
          <w:cantSplit/>
          <w:tblHeader/>
        </w:trPr>
        <w:tc>
          <w:tcPr>
            <w:tcW w:type="dxa" w:w="337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Partie</w:t>
            </w:r>
          </w:p>
        </w:tc>
        <w:tc>
          <w:tcPr>
            <w:tcW w:type="dxa" w:w="318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Terme</w:t>
            </w:r>
          </w:p>
        </w:tc>
        <w:tc>
          <w:tcPr>
            <w:tcW w:type="dxa" w:w="96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Rapport de cotes</w:t>
            </w:r>
          </w:p>
        </w:tc>
        <w:tc>
          <w:tcPr>
            <w:tcW w:type="dxa" w:w="134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IC 95 %</w:t>
            </w:r>
          </w:p>
        </w:tc>
        <w:tc>
          <w:tcPr>
            <w:tcW w:type="dxa" w:w="7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p</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bras_labIntervention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2,12</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[1,31 ; 3,44]</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0,002</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vague_labT1</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0,84</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[0,61 ; 1,17]</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0,302</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J2_yn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1,98</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[1,42 ; 2,75]</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&lt; 0,001</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factor(quintile)2</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0,92</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[0,60 ; 1,40]</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0,689</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factor(quintile)3</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1,19</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[0,74 ; 1,93]</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0,472</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factor(quintile)4</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1,47</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[0,76 ; 2,85]</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0,252</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factor(quintile)5</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2,63</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[1,37 ; 5,04]</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0,004</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marche30–60 min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1,24</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[0,71 ; 2,15]</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0,456</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marche&gt; 60 min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0,91</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[0,55 ; 1,50]</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0,708</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 A consulté un service (logit)</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bras_labIntervention:vague_labT1</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2,39</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[1,45 ; 3,93]</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&lt; 0,001</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bras_labIntervention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0,53</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[0,36 ; 0,78]</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0,001</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vague_labT1</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0,74</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[0,49 ; 1,12]</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0,155</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J2_yn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0,78</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[0,62 ; 0,98]</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0,034</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factor(quintile)2</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0,87</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[0,57 ; 1,34]</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0,541</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factor(quintile)3</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[0,61 ; 1,64]</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0,994</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factor(quintile)4</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0,77</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[0,52 ; 1,13]</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0,174</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factor(quintile)5</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0,91</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[0,65 ; 1,26]</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0,567</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marche30–60 min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1,09</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[0,92 ; 1,30]</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0,305</w:t>
            </w:r>
          </w:p>
        </w:tc>
      </w:tr>
      <w:tr>
        <w:trPr>
          <w:cantSplit/>
        </w:trPr>
        <w:tc>
          <w:tcPr>
            <w:tcW w:type="dxa" w:w="337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marche&gt; 60 min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1,3</w:t>
            </w:r>
          </w:p>
        </w:tc>
        <w:tc>
          <w:tcPr>
            <w:tcW w:type="dxa" w:w="134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[0,94 ; 1,81]</w:t>
            </w:r>
          </w:p>
        </w:tc>
        <w:tc>
          <w:tcPr>
            <w:tcW w:type="dxa" w:w="7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0,114</w:t>
            </w:r>
          </w:p>
        </w:tc>
      </w:tr>
      <w:tr>
        <w:trPr>
          <w:cantSplit/>
        </w:trPr>
        <w:tc>
          <w:tcPr>
            <w:tcW w:type="dxa" w:w="337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2. Délai plus long parmi les consultants (logit ordinal)</w:t>
            </w:r>
          </w:p>
        </w:tc>
        <w:tc>
          <w:tcPr>
            <w:tcW w:type="dxa" w:w="31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bras_labIntervention:vague_labT1</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1,53</w:t>
            </w:r>
          </w:p>
        </w:tc>
        <w:tc>
          <w:tcPr>
            <w:tcW w:type="dxa" w:w="134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[0,94 ; 2,50]</w:t>
            </w:r>
          </w:p>
        </w:tc>
        <w:tc>
          <w:tcPr>
            <w:tcW w:type="dxa" w:w="7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0,087</w:t>
            </w:r>
          </w:p>
        </w:tc>
      </w:tr>
    </w:tbl>
    <w:p>
      <w:pPr>
        <w:spacing w:after="200" w:before="60"/>
        <w:jc w:val="left"/>
      </w:pPr>
      <w:r>
        <w:rPr>
          <w:color w:val="6B7280"/>
          <w:sz w:val="15"/>
          <w:szCs w:val="15"/>
        </w:rPr>
        <w:t xml:space="preserve">Covariables individuelles et province ; erreurs-types robustes par zone de santé. Partie 2 : cotes proportionnelles (MASS::polr) ; l'hypothèse de proportionnalité est à vérifier (test de Brant) avant publication. Registre association.</w:t>
      </w:r>
    </w:p>
    <w:p>
      <w:pPr>
        <w:pStyle w:val="Heading2"/>
        <w:spacing w:after="100" w:before="260"/>
      </w:pPr>
      <w:r>
        <w:t xml:space="preserve">9.3 Vaccination déclarée et carnet vu</w:t>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et association. Tableau T44 ; figure F09. L'écart n'est jamais présenté comme un taux de fausses déclarations.</w:t>
      </w:r>
    </w:p>
    <w:p>
      <w:pPr>
        <w:keepNext/>
        <w:spacing w:after="40" w:before="80"/>
        <w:jc w:val="center"/>
      </w:pPr>
      <w:r>
        <w:drawing>
          <wp:inline distT="0" distB="0" distL="0" distR="0">
            <wp:extent cx="61245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3057525"/>
                    </a:xfrm>
                    <a:prstGeom prst="rect">
                      <a:avLst/>
                    </a:prstGeom>
                  </pic:spPr>
                </pic:pic>
              </a:graphicData>
            </a:graphic>
          </wp:inline>
        </w:drawing>
      </w:r>
    </w:p>
    <w:p>
      <w:pPr>
        <w:spacing w:after="160"/>
        <w:jc w:val="left"/>
      </w:pPr>
      <w:r>
        <w:rPr>
          <w:b/>
          <w:bCs/>
          <w:color w:val="0B1F3A"/>
          <w:sz w:val="17"/>
          <w:szCs w:val="17"/>
        </w:rPr>
        <w:t xml:space="preserve">Figure 17. </w:t>
      </w:r>
      <w:r>
        <w:rPr>
          <w:color w:val="52514E"/>
          <w:sz w:val="17"/>
          <w:szCs w:val="17"/>
        </w:rPr>
        <w:t xml:space="preserve">Vaccination déclarée (évidé) et carnet vu (plein), par province, bras et passage.</w:t>
      </w:r>
    </w:p>
    <w:p>
      <w:pPr>
        <w:spacing w:after="160"/>
        <w:jc w:val="left"/>
      </w:pPr>
      <w:r>
        <w:rPr>
          <w:b/>
          <w:bCs/>
          <w:color w:val="0B1F3A"/>
          <w:sz w:val="17"/>
          <w:szCs w:val="17"/>
        </w:rPr>
        <w:t xml:space="preserve">Tableau 37. </w:t>
      </w:r>
      <w:r>
        <w:rPr>
          <w:color w:val="52514E"/>
          <w:sz w:val="17"/>
          <w:szCs w:val="17"/>
        </w:rPr>
        <w:t xml:space="preserve">Vaccination de l'enfant : déclaration et carnet vu par province, bras et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125"/>
        <w:gridCol w:w="1843"/>
        <w:gridCol w:w="850"/>
        <w:gridCol w:w="1701"/>
        <w:gridCol w:w="1276"/>
        <w:gridCol w:w="1843"/>
      </w:tblGrid>
      <w:tr>
        <w:trPr>
          <w:cantSplit/>
          <w:tblHeader/>
        </w:trPr>
        <w:tc>
          <w:tcPr>
            <w:tcW w:type="dxa" w:w="212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Province</w:t>
            </w:r>
          </w:p>
        </w:tc>
        <w:tc>
          <w:tcPr>
            <w:tcW w:type="dxa" w:w="18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85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70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Vacciné déclaré (%)</w:t>
            </w:r>
          </w:p>
        </w:tc>
        <w:tc>
          <w:tcPr>
            <w:tcW w:type="dxa" w:w="12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Carnet vu (%)</w:t>
            </w:r>
          </w:p>
        </w:tc>
        <w:tc>
          <w:tcPr>
            <w:tcW w:type="dxa" w:w="18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Écart déclaré - vu (points)</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Ensemble</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68,4</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31,4</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Ensemble</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71,8</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45,6</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26,2</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Ensemble</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76,1</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37,1</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38,9</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Ensemble</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79,5</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46,9</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32,6</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41,1</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20,6</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20,6</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81,7</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46,1</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35,6</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63,6</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37,8</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25,8</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87,2</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43,5</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43,7</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59,7</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32,8</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26,9</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88,9</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67,2</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21,7</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44,7</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30,1</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14,6</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93,9</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52,5</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41,4</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53,4</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19,9</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33,4</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91,9</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34,7</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69,1</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36,5</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32,6</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89,7</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34,9</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54,7</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71,4</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44,5</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26,9</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88,9</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55,4</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33,4</w:t>
            </w:r>
          </w:p>
        </w:tc>
      </w:tr>
      <w:tr>
        <w:trPr>
          <w:cantSplit/>
        </w:trPr>
        <w:tc>
          <w:tcPr>
            <w:tcW w:type="dxa" w:w="21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62,1</w:t>
            </w:r>
          </w:p>
        </w:tc>
        <w:tc>
          <w:tcPr>
            <w:tcW w:type="dxa" w:w="12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39,6</w:t>
            </w:r>
          </w:p>
        </w:tc>
        <w:tc>
          <w:tcPr>
            <w:tcW w:type="dxa" w:w="18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22,5</w:t>
            </w:r>
          </w:p>
        </w:tc>
      </w:tr>
      <w:tr>
        <w:trPr>
          <w:cantSplit/>
        </w:trPr>
        <w:tc>
          <w:tcPr>
            <w:tcW w:type="dxa" w:w="21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7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95,7</w:t>
            </w:r>
          </w:p>
        </w:tc>
        <w:tc>
          <w:tcPr>
            <w:tcW w:type="dxa" w:w="12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48,1</w:t>
            </w:r>
          </w:p>
        </w:tc>
        <w:tc>
          <w:tcPr>
            <w:tcW w:type="dxa" w:w="18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47,6</w:t>
            </w:r>
          </w:p>
        </w:tc>
      </w:tr>
    </w:tbl>
    <w:p>
      <w:pPr>
        <w:spacing w:after="200" w:before="60"/>
        <w:jc w:val="left"/>
      </w:pPr>
      <w:r>
        <w:rPr>
          <w:color w:val="6B7280"/>
          <w:sz w:val="15"/>
          <w:szCs w:val="15"/>
        </w:rPr>
        <w:t xml:space="preserve">Plan de sondage, pondération égale des provinces. Écart entre bras à T1 (intervention - témoin, ajusté sur la province) : -6,3 points, p = 0,200. L'écart n'est pas un taux de fausses déclarations : il mêle absence de carnet, carnet non présenté et déclaration erronée.</w:t>
      </w:r>
    </w:p>
    <w:p>
      <w:pPr>
        <w:pStyle w:val="Heading2"/>
        <w:spacing w:after="100" w:before="260"/>
      </w:pPr>
      <w:r>
        <w:t xml:space="preserve">9.4 Mpox : connaissances, attitudes, acceptabilité</w:t>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et association. Tableaux T45, T46 ; figure F10. Incidence et campagnes par zone à fusionner avant toute lecture contextuelle.</w:t>
      </w:r>
    </w:p>
    <w:p>
      <w:pPr>
        <w:keepNext/>
        <w:spacing w:after="40" w:before="80"/>
        <w:jc w:val="center"/>
      </w:pPr>
      <w:r>
        <w:drawing>
          <wp:inline distT="0" distB="0" distL="0" distR="0">
            <wp:extent cx="540067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00675" cy="5067300"/>
                    </a:xfrm>
                    <a:prstGeom prst="rect">
                      <a:avLst/>
                    </a:prstGeom>
                  </pic:spPr>
                </pic:pic>
              </a:graphicData>
            </a:graphic>
          </wp:inline>
        </w:drawing>
      </w:r>
    </w:p>
    <w:p>
      <w:pPr>
        <w:spacing w:after="160"/>
        <w:jc w:val="left"/>
      </w:pPr>
      <w:r>
        <w:rPr>
          <w:b/>
          <w:bCs/>
          <w:color w:val="0B1F3A"/>
          <w:sz w:val="17"/>
          <w:szCs w:val="17"/>
        </w:rPr>
        <w:t xml:space="preserve">Figure 18. </w:t>
      </w:r>
      <w:r>
        <w:rPr>
          <w:color w:val="52514E"/>
          <w:sz w:val="17"/>
          <w:szCs w:val="17"/>
        </w:rPr>
        <w:t xml:space="preserve">Connaissances et attitudes sur la Mpox, par item, bras et passage.</w:t>
      </w:r>
    </w:p>
    <w:p>
      <w:pPr>
        <w:spacing w:after="160"/>
        <w:jc w:val="left"/>
      </w:pPr>
      <w:r>
        <w:rPr>
          <w:b/>
          <w:bCs/>
          <w:color w:val="0B1F3A"/>
          <w:sz w:val="17"/>
          <w:szCs w:val="17"/>
        </w:rPr>
        <w:t xml:space="preserve">Tableau 38. </w:t>
      </w:r>
      <w:r>
        <w:rPr>
          <w:color w:val="52514E"/>
          <w:sz w:val="17"/>
          <w:szCs w:val="17"/>
        </w:rPr>
        <w:t xml:space="preserve">Acceptation déclarée du vaccin Mpox (K8) : rapports de cotes ajustés (n = 4991)</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663"/>
        <w:gridCol w:w="1555"/>
        <w:gridCol w:w="2176"/>
        <w:gridCol w:w="1244"/>
      </w:tblGrid>
      <w:tr>
        <w:trPr>
          <w:cantSplit/>
          <w:tblHeader/>
        </w:trPr>
        <w:tc>
          <w:tcPr>
            <w:tcW w:type="dxa" w:w="466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Terme</w:t>
            </w:r>
          </w:p>
        </w:tc>
        <w:tc>
          <w:tcPr>
            <w:tcW w:type="dxa" w:w="155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Rapport de cotes</w:t>
            </w:r>
          </w:p>
        </w:tc>
        <w:tc>
          <w:tcPr>
            <w:tcW w:type="dxa" w:w="217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IC 95 %</w:t>
            </w:r>
          </w:p>
        </w:tc>
        <w:tc>
          <w:tcPr>
            <w:tcW w:type="dxa" w:w="124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Connaît la Mpox</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4,35</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 ; 6,57]</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&lt; 0,001</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Sait qu'un vaccin existe</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4,99</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[3,08 ; 8,09]</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&lt; 0,001</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Source : agent (VAD)</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0,97</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[0,59 ; 1,58]</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0,894</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Source : radio</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0,93</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[0,64 ; 1,36]</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0,717</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Source : centre de santé</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[0,57 ; 1,42]</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0,648</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 reçu une VAD</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[1,40 ; 2,24]</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&lt; 0,001</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instructionPrimaire</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[0,52 ; 1,58]</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0,717</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instructionSecondaire ou plus</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1,15</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[0,71 ; 1,86]</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0,574</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factor(quintile)2</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0,77</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[0,53 ; 1,12]</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0,170</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factor(quintile)3</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0,66</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[0,41 ; 1,05]</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0,077</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factor(quintile)4</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0,54</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[0,33 ; 0,86]</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0,010</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factor(quintile)5</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0,48</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[0,29 ; 0,79]</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0,004</w:t>
            </w:r>
          </w:p>
        </w:tc>
      </w:tr>
      <w:tr>
        <w:trPr>
          <w:cantSplit/>
        </w:trPr>
        <w:tc>
          <w:tcPr>
            <w:tcW w:type="dxa" w:w="466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marche30–60 min</w:t>
            </w:r>
          </w:p>
        </w:tc>
        <w:tc>
          <w:tcPr>
            <w:tcW w:type="dxa" w:w="155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0,71</w:t>
            </w:r>
          </w:p>
        </w:tc>
        <w:tc>
          <w:tcPr>
            <w:tcW w:type="dxa" w:w="217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[0,61 ; 0,82]</w:t>
            </w:r>
          </w:p>
        </w:tc>
        <w:tc>
          <w:tcPr>
            <w:tcW w:type="dxa" w:w="124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&lt; 0,001</w:t>
            </w:r>
          </w:p>
        </w:tc>
      </w:tr>
      <w:tr>
        <w:trPr>
          <w:cantSplit/>
        </w:trPr>
        <w:tc>
          <w:tcPr>
            <w:tcW w:type="dxa" w:w="466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marche&gt; 60 min</w:t>
            </w:r>
          </w:p>
        </w:tc>
        <w:tc>
          <w:tcPr>
            <w:tcW w:type="dxa" w:w="155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0,69</w:t>
            </w:r>
          </w:p>
        </w:tc>
        <w:tc>
          <w:tcPr>
            <w:tcW w:type="dxa" w:w="217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[0,46 ; 1,06]</w:t>
            </w:r>
          </w:p>
        </w:tc>
        <w:tc>
          <w:tcPr>
            <w:tcW w:type="dxa" w:w="124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0,088</w:t>
            </w:r>
          </w:p>
        </w:tc>
      </w:tr>
    </w:tbl>
    <w:p>
      <w:pPr>
        <w:spacing w:after="200" w:before="60"/>
        <w:jc w:val="left"/>
      </w:pPr>
      <w:r>
        <w:rPr>
          <w:color w:val="6B7280"/>
          <w:sz w:val="15"/>
          <w:szCs w:val="15"/>
        </w:rPr>
        <w:t xml:space="preserve">Régression logistique, effets fixes province × passage, pondération égale des provinces, erreurs-types robustes par zone. Les canaux d'information sont des associations, pas des effets causaux ; l'incidence locale manque au modèle.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Un paragraphe par thème : constat principal, évolution par bras, un résultat de modèle (probabilités prédites, rapports de cotes), limites propres au thème (déclaratif, saison, conditionnalité des items). Les chapitres thématiques ne concluent jamais sur un effet de l'appui.</w:t>
            </w:r>
          </w:p>
        </w:tc>
      </w:tr>
    </w:tbl>
    <w:p>
      <w:r>
        <w:br w:type="page"/>
      </w:r>
    </w:p>
    <w:p>
      <w:pPr>
        <w:pStyle w:val="Heading1"/>
        <w:spacing w:after="0" w:before="0"/>
      </w:pPr>
      <w:r>
        <w:rPr>
          <w:color w:val="FFFFFF"/>
          <w:sz w:val="2"/>
          <w:szCs w:val="2"/>
        </w:rPr>
        <w:t xml:space="preserve">10. Alignement avec le PSN SACO 2025-2030</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évolution. Tableaux T51, T52 ; figure F14. Être conforme n'est pas être efficace : le lien conformité → résultats relève du chapitre 7.</w:t>
      </w:r>
    </w:p>
    <w:p>
      <w:pPr>
        <w:spacing w:after="160"/>
        <w:jc w:val="left"/>
      </w:pPr>
      <w:r>
        <w:rPr>
          <w:b/>
          <w:bCs/>
          <w:color w:val="0B1F3A"/>
          <w:sz w:val="17"/>
          <w:szCs w:val="17"/>
        </w:rPr>
        <w:t xml:space="preserve">Tableau 39. </w:t>
      </w:r>
      <w:r>
        <w:rPr>
          <w:color w:val="52514E"/>
          <w:sz w:val="17"/>
          <w:szCs w:val="17"/>
        </w:rPr>
        <w:t xml:space="preserve">Conformité aux normes du PSN SACO (% d'unités conformes)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878"/>
        <w:gridCol w:w="775"/>
        <w:gridCol w:w="775"/>
        <w:gridCol w:w="775"/>
        <w:gridCol w:w="1108"/>
        <w:gridCol w:w="1108"/>
        <w:gridCol w:w="1219"/>
      </w:tblGrid>
      <w:tr>
        <w:trPr>
          <w:cantSplit/>
          <w:tblHeader/>
        </w:trPr>
        <w:tc>
          <w:tcPr>
            <w:tcW w:type="dxa" w:w="38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Norme</w:t>
            </w:r>
          </w:p>
        </w:tc>
        <w:tc>
          <w:tcPr>
            <w:tcW w:type="dxa" w:w="7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Unité</w:t>
            </w:r>
          </w:p>
        </w:tc>
        <w:tc>
          <w:tcPr>
            <w:tcW w:type="dxa" w:w="7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Témoin T0</w:t>
            </w:r>
          </w:p>
        </w:tc>
        <w:tc>
          <w:tcPr>
            <w:tcW w:type="dxa" w:w="7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Témoin T1</w:t>
            </w:r>
          </w:p>
        </w:tc>
        <w:tc>
          <w:tcPr>
            <w:tcW w:type="dxa" w:w="110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Intervention T0</w:t>
            </w:r>
          </w:p>
        </w:tc>
        <w:tc>
          <w:tcPr>
            <w:tcW w:type="dxa" w:w="110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Intervention T1</w:t>
            </w:r>
          </w:p>
        </w:tc>
        <w:tc>
          <w:tcPr>
            <w:tcW w:type="dxa" w:w="121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Contenu de l'appui</w:t>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élu par la communauté en assemblée</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47,9</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56,4</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64,6</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77,9</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désigné en assemblée / par les RECO</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53,3</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63,4</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69</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79,5</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Femmes parmi les RECO (cible 50 %)</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30,3</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27,8</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29,5</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Femmes parmi les ASC (cible 50 %)</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16,9</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19,5</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au niveau requis (8e année)</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70,7</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60,4</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61,1</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avec diplôme d'État</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40,7</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48,6</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26,6</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31,2</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Un RECO pour au plus 50 ménages</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61,3</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62,7</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66,9</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64,9</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formé et certifié</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10,8</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12,2</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13,3</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formé et certifié</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15,5</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16,1</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12,8</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supervisé au moins chaque mois</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68,8</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60,6</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68,9</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70,7</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supervisé au moins chaque mois</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61,6</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68,1</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72,1</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84,6</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percevant une prime</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31,1</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22,5</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26,4</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24,4</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oui</w:t>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avec contrat</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7,3</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13,2</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oui</w:t>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avec contrat</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5,6</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11,3</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26,4</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10,3</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oui</w:t>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 disposant d'un PAC (2 dernières années)</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58,2</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75</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80,3</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 disposant d'un micro-plan</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68,8</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72,9</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85,4</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87,5</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 tenant des réunions mensuelles de monitorage</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80,4</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89,2</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92,6</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 tenant des réunions mensuelles</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83,3</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93,8</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87,5</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95,8</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r>
        <w:trPr>
          <w:cantSplit/>
        </w:trPr>
        <w:tc>
          <w:tcPr>
            <w:tcW w:type="dxa" w:w="38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 recevant des subsides de fonctionnement</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44,2</w:t>
            </w:r>
          </w:p>
        </w:tc>
        <w:tc>
          <w:tcPr>
            <w:tcW w:type="dxa" w:w="7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36,7</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10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60,2</w:t>
            </w:r>
          </w:p>
        </w:tc>
        <w:tc>
          <w:tcPr>
            <w:tcW w:type="dxa" w:w="12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oui</w:t>
            </w:r>
          </w:p>
        </w:tc>
      </w:tr>
      <w:tr>
        <w:trPr>
          <w:cantSplit/>
        </w:trPr>
        <w:tc>
          <w:tcPr>
            <w:tcW w:type="dxa" w:w="38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 : membres payés (argent ou nature)</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c>
          <w:tcPr>
            <w:tcW w:type="dxa" w:w="7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8,3</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22,9</w:t>
            </w:r>
          </w:p>
        </w:tc>
        <w:tc>
          <w:tcPr>
            <w:tcW w:type="dxa" w:w="110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20,8</w:t>
            </w:r>
          </w:p>
        </w:tc>
        <w:tc>
          <w:tcPr>
            <w:tcW w:type="dxa" w:w="12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
            </w:r>
          </w:p>
        </w:tc>
      </w:tr>
    </w:tbl>
    <w:p>
      <w:pPr>
        <w:spacing w:after="200" w:before="60"/>
        <w:jc w:val="left"/>
      </w:pPr>
      <w:r>
        <w:rPr>
          <w:color w:val="6B7280"/>
          <w:sz w:val="15"/>
          <w:szCs w:val="15"/>
        </w:rPr>
        <w:t xml:space="preserve">Conformité mesurée par les questionnaires ; les seuils sont des repères analytiques tant que le texte national (PSN SACO 2025-2030, pages de référence) n'est pas joint : aucune certification officielle. Les normes qui constituent le contenu de l'appui (prime, contrat, subsides) sont signalées : leur conformité mesure la mise en œuvre, pas un résultat. Être conforme n'est pas être efficace (bloc D).</w:t>
      </w:r>
    </w:p>
    <w:p>
      <w:pPr>
        <w:spacing w:after="160"/>
        <w:jc w:val="left"/>
      </w:pPr>
      <w:r>
        <w:rPr>
          <w:b/>
          <w:bCs/>
          <w:color w:val="0B1F3A"/>
          <w:sz w:val="17"/>
          <w:szCs w:val="17"/>
        </w:rPr>
        <w:t xml:space="preserve">Tableau 40. </w:t>
      </w:r>
      <w:r>
        <w:rPr>
          <w:color w:val="52514E"/>
          <w:sz w:val="17"/>
          <w:szCs w:val="17"/>
        </w:rPr>
        <w:t xml:space="preserve">Indice de conformité des agents aux normes du PSN SACO (part des normes applicables respectées, 0-100)</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570"/>
        <w:gridCol w:w="2088"/>
        <w:gridCol w:w="964"/>
        <w:gridCol w:w="3052"/>
        <w:gridCol w:w="964"/>
      </w:tblGrid>
      <w:tr>
        <w:trPr>
          <w:cantSplit/>
          <w:tblHeader/>
        </w:trPr>
        <w:tc>
          <w:tcPr>
            <w:tcW w:type="dxa" w:w="257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Agent</w:t>
            </w:r>
          </w:p>
        </w:tc>
        <w:tc>
          <w:tcPr>
            <w:tcW w:type="dxa" w:w="20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96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30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Indice de conformité [IC 95 %]</w:t>
            </w:r>
          </w:p>
        </w:tc>
        <w:tc>
          <w:tcPr>
            <w:tcW w:type="dxa" w:w="96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r>
      <w:tr>
        <w:trPr>
          <w:cantSplit/>
        </w:trPr>
        <w:tc>
          <w:tcPr>
            <w:tcW w:type="dxa" w:w="25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(6 normes)</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30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41,7 [37,8 ; 45,5]</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25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(6 normes)</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30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45,0 [37,5 ; 52,4]</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287</w:t>
            </w:r>
          </w:p>
        </w:tc>
      </w:tr>
      <w:tr>
        <w:trPr>
          <w:cantSplit/>
        </w:trPr>
        <w:tc>
          <w:tcPr>
            <w:tcW w:type="dxa" w:w="25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(6 normes)</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30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47,6 [41,5 ; 53,8]</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288</w:t>
            </w:r>
          </w:p>
        </w:tc>
      </w:tr>
      <w:tr>
        <w:trPr>
          <w:cantSplit/>
        </w:trPr>
        <w:tc>
          <w:tcPr>
            <w:tcW w:type="dxa" w:w="25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 (6 normes)</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30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50,0 [44,1 ; 55,9]</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w:t>
            </w:r>
          </w:p>
        </w:tc>
      </w:tr>
      <w:tr>
        <w:trPr>
          <w:cantSplit/>
        </w:trPr>
        <w:tc>
          <w:tcPr>
            <w:tcW w:type="dxa" w:w="25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(6 normes)</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30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33,4 [22,8 ; 44,1]</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90</w:t>
            </w:r>
          </w:p>
        </w:tc>
      </w:tr>
      <w:tr>
        <w:trPr>
          <w:cantSplit/>
        </w:trPr>
        <w:tc>
          <w:tcPr>
            <w:tcW w:type="dxa" w:w="25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(6 normes)</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30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38,0 [31,0 ; 44,9]</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r>
      <w:tr>
        <w:trPr>
          <w:cantSplit/>
        </w:trPr>
        <w:tc>
          <w:tcPr>
            <w:tcW w:type="dxa" w:w="25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(6 normes)</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30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39,4 [33,4 ; 45,3]</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87</w:t>
            </w:r>
          </w:p>
        </w:tc>
      </w:tr>
      <w:tr>
        <w:trPr>
          <w:cantSplit/>
        </w:trPr>
        <w:tc>
          <w:tcPr>
            <w:tcW w:type="dxa" w:w="25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 (6 normes)</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30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40,5 [35,5 ; 45,5]</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78</w:t>
            </w:r>
          </w:p>
        </w:tc>
      </w:tr>
    </w:tbl>
    <w:p>
      <w:pPr>
        <w:spacing w:after="200" w:before="60"/>
        <w:jc w:val="left"/>
      </w:pPr>
      <w:r>
        <w:rPr>
          <w:color w:val="6B7280"/>
          <w:sz w:val="15"/>
          <w:szCs w:val="15"/>
        </w:rPr>
        <w:t xml:space="preserve">IC robustes par zone de santé.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Distance à chaque norme, normes qui progressent et normes qui stagnent, normes non mesurables par les questionnaires (à nommer), cibles 2030 en repères. Les normes qui sont le contenu de l'appui (prime, contrat, subsides) mesurent la mise en œuvre.</w:t>
            </w:r>
          </w:p>
        </w:tc>
      </w:tr>
    </w:tbl>
    <w:p>
      <w:r>
        <w:br w:type="page"/>
      </w:r>
    </w:p>
    <w:p>
      <w:pPr>
        <w:pStyle w:val="Heading1"/>
        <w:spacing w:after="0" w:before="0"/>
      </w:pPr>
      <w:r>
        <w:rPr>
          <w:color w:val="FFFFFF"/>
          <w:sz w:val="2"/>
          <w:szCs w:val="2"/>
        </w:rPr>
        <w:t xml:space="preserve">11. Robustesse et limites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attribution. Tableaux T53 (une matrice par primaire et par indice), T54, T55 ; figures F13, F15.</w:t>
      </w:r>
    </w:p>
    <w:p>
      <w:pPr>
        <w:spacing w:after="160"/>
        <w:jc w:val="left"/>
      </w:pPr>
      <w:r>
        <w:rPr>
          <w:b/>
          <w:bCs/>
          <w:color w:val="0B1F3A"/>
          <w:sz w:val="17"/>
          <w:szCs w:val="17"/>
        </w:rPr>
        <w:t xml:space="preserve">Tableau 41. </w:t>
      </w:r>
      <w:r>
        <w:rPr>
          <w:color w:val="52514E"/>
          <w:sz w:val="17"/>
          <w:szCs w:val="17"/>
        </w:rPr>
        <w:t xml:space="preserve">Synthèse des matrices de sensibilité : variantes, étendue des estimations et part des variantes de même classe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115"/>
        <w:gridCol w:w="823"/>
        <w:gridCol w:w="1410"/>
        <w:gridCol w:w="705"/>
        <w:gridCol w:w="705"/>
        <w:gridCol w:w="705"/>
        <w:gridCol w:w="1175"/>
      </w:tblGrid>
      <w:tr>
        <w:trPr>
          <w:cantSplit/>
          <w:tblHeader/>
        </w:trPr>
        <w:tc>
          <w:tcPr>
            <w:tcW w:type="dxa" w:w="411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82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Variantes</w:t>
            </w:r>
          </w:p>
        </w:tc>
        <w:tc>
          <w:tcPr>
            <w:tcW w:type="dxa" w:w="141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Conclusion inchangée</w:t>
            </w:r>
          </w:p>
        </w:tc>
        <w:tc>
          <w:tcPr>
            <w:tcW w:type="dxa" w:w="70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Part (%)</w:t>
            </w:r>
          </w:p>
        </w:tc>
        <w:tc>
          <w:tcPr>
            <w:tcW w:type="dxa" w:w="70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Min DiD</w:t>
            </w:r>
          </w:p>
        </w:tc>
        <w:tc>
          <w:tcPr>
            <w:tcW w:type="dxa" w:w="70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Max DiD</w:t>
            </w:r>
          </w:p>
        </w:tc>
        <w:tc>
          <w:tcPr>
            <w:tcW w:type="dxa" w:w="11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IC le plus large</w:t>
            </w:r>
          </w:p>
        </w:tc>
      </w:tr>
      <w:tr>
        <w:trPr>
          <w:cantSplit/>
        </w:trPr>
        <w:tc>
          <w:tcPr>
            <w:tcW w:type="dxa" w:w="41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Fonctionnalité des CAC, 9 critères (0-100)</w:t>
            </w:r>
          </w:p>
        </w:tc>
        <w:tc>
          <w:tcPr>
            <w:tcW w:type="dxa" w:w="8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w:t>
            </w:r>
          </w:p>
        </w:tc>
        <w:tc>
          <w:tcPr>
            <w:tcW w:type="dxa" w:w="1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95</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23,2</w:t>
            </w:r>
          </w:p>
        </w:tc>
      </w:tr>
      <w:tr>
        <w:trPr>
          <w:cantSplit/>
        </w:trPr>
        <w:tc>
          <w:tcPr>
            <w:tcW w:type="dxa" w:w="41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d'exposition des ménages aux agents (0-100)</w:t>
            </w:r>
          </w:p>
        </w:tc>
        <w:tc>
          <w:tcPr>
            <w:tcW w:type="dxa" w:w="8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w:t>
            </w:r>
          </w:p>
        </w:tc>
        <w:tc>
          <w:tcPr>
            <w:tcW w:type="dxa" w:w="1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100</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19,6</w:t>
            </w:r>
          </w:p>
        </w:tc>
      </w:tr>
      <w:tr>
        <w:trPr>
          <w:cantSplit/>
        </w:trPr>
        <w:tc>
          <w:tcPr>
            <w:tcW w:type="dxa" w:w="41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capacités des acteurs (écarts-types)</w:t>
            </w:r>
          </w:p>
        </w:tc>
        <w:tc>
          <w:tcPr>
            <w:tcW w:type="dxa" w:w="8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86</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r>
      <w:tr>
        <w:trPr>
          <w:cantSplit/>
        </w:trPr>
        <w:tc>
          <w:tcPr>
            <w:tcW w:type="dxa" w:w="41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connaissances déclarées des ménages (citations, 0-100)</w:t>
            </w:r>
          </w:p>
        </w:tc>
        <w:tc>
          <w:tcPr>
            <w:tcW w:type="dxa" w:w="8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w:t>
            </w:r>
          </w:p>
        </w:tc>
        <w:tc>
          <w:tcPr>
            <w:tcW w:type="dxa" w:w="1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-5,8</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22,8</w:t>
            </w:r>
          </w:p>
        </w:tc>
      </w:tr>
      <w:tr>
        <w:trPr>
          <w:cantSplit/>
        </w:trPr>
        <w:tc>
          <w:tcPr>
            <w:tcW w:type="dxa" w:w="41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gouvernance communautaire (écarts-types)</w:t>
            </w:r>
          </w:p>
        </w:tc>
        <w:tc>
          <w:tcPr>
            <w:tcW w:type="dxa" w:w="8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100</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1,5</w:t>
            </w:r>
          </w:p>
        </w:tc>
      </w:tr>
      <w:tr>
        <w:trPr>
          <w:cantSplit/>
        </w:trPr>
        <w:tc>
          <w:tcPr>
            <w:tcW w:type="dxa" w:w="41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de résultats ménages (écarts-types)</w:t>
            </w:r>
          </w:p>
        </w:tc>
        <w:tc>
          <w:tcPr>
            <w:tcW w:type="dxa" w:w="82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c>
          <w:tcPr>
            <w:tcW w:type="dxa" w:w="1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92</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7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w:t>
            </w:r>
          </w:p>
        </w:tc>
      </w:tr>
      <w:tr>
        <w:trPr>
          <w:cantSplit/>
        </w:trPr>
        <w:tc>
          <w:tcPr>
            <w:tcW w:type="dxa" w:w="41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Professionnalisation des RECO, 6 items (0-100)</w:t>
            </w:r>
          </w:p>
        </w:tc>
        <w:tc>
          <w:tcPr>
            <w:tcW w:type="dxa" w:w="82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w:t>
            </w:r>
          </w:p>
        </w:tc>
        <w:tc>
          <w:tcPr>
            <w:tcW w:type="dxa" w:w="1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w:t>
            </w:r>
          </w:p>
        </w:tc>
        <w:tc>
          <w:tcPr>
            <w:tcW w:type="dxa" w:w="7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26,8</w:t>
            </w:r>
          </w:p>
        </w:tc>
      </w:tr>
    </w:tbl>
    <w:p>
      <w:pPr>
        <w:spacing w:after="200" w:before="60"/>
        <w:jc w:val="left"/>
      </w:pPr>
      <w:r>
        <w:rPr>
          <w:color w:val="6B7280"/>
          <w:sz w:val="15"/>
          <w:szCs w:val="15"/>
        </w:rPr>
        <w:t xml:space="preserve">Hors variantes de divergence de tendance (hypothèse, non estimation). La part de variantes de même classe dépend du nombre et du choix des variantes : elle décrit, elle ne mesure pas une probabilité de robustesse.</w:t>
      </w:r>
    </w:p>
    <w:p>
      <w:pPr>
        <w:keepNext/>
        <w:spacing w:after="40" w:before="8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3438525"/>
                    </a:xfrm>
                    <a:prstGeom prst="rect">
                      <a:avLst/>
                    </a:prstGeom>
                  </pic:spPr>
                </pic:pic>
              </a:graphicData>
            </a:graphic>
          </wp:inline>
        </w:drawing>
      </w:r>
    </w:p>
    <w:p>
      <w:pPr>
        <w:spacing w:after="160"/>
        <w:jc w:val="left"/>
      </w:pPr>
      <w:r>
        <w:rPr>
          <w:b/>
          <w:bCs/>
          <w:color w:val="0B1F3A"/>
          <w:sz w:val="17"/>
          <w:szCs w:val="17"/>
        </w:rPr>
        <w:t xml:space="preserve">Figure 19. </w:t>
      </w:r>
      <w:r>
        <w:rPr>
          <w:color w:val="52514E"/>
          <w:sz w:val="17"/>
          <w:szCs w:val="17"/>
        </w:rPr>
        <w:t xml:space="preserve">Courbes de spécification des quatre primaires.</w:t>
      </w:r>
    </w:p>
    <w:p>
      <w:pPr>
        <w:keepNext/>
        <w:spacing w:after="40" w:before="8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3438525"/>
                    </a:xfrm>
                    <a:prstGeom prst="rect">
                      <a:avLst/>
                    </a:prstGeom>
                  </pic:spPr>
                </pic:pic>
              </a:graphicData>
            </a:graphic>
          </wp:inline>
        </w:drawing>
      </w:r>
    </w:p>
    <w:p>
      <w:pPr>
        <w:spacing w:after="160"/>
        <w:jc w:val="left"/>
      </w:pPr>
      <w:r>
        <w:rPr>
          <w:b/>
          <w:bCs/>
          <w:color w:val="0B1F3A"/>
          <w:sz w:val="17"/>
          <w:szCs w:val="17"/>
        </w:rPr>
        <w:t xml:space="preserve">Figure 20. </w:t>
      </w:r>
      <w:r>
        <w:rPr>
          <w:color w:val="52514E"/>
          <w:sz w:val="17"/>
          <w:szCs w:val="17"/>
        </w:rPr>
        <w:t xml:space="preserve">Estimations en retirant chaque zone à tour de rôle.</w:t>
      </w:r>
    </w:p>
    <w:p>
      <w:pPr>
        <w:spacing w:after="160"/>
        <w:jc w:val="left"/>
      </w:pPr>
      <w:r>
        <w:rPr>
          <w:b/>
          <w:bCs/>
          <w:color w:val="0B1F3A"/>
          <w:sz w:val="17"/>
          <w:szCs w:val="17"/>
        </w:rPr>
        <w:t xml:space="preserve">Tableau 42. </w:t>
      </w:r>
      <w:r>
        <w:rPr>
          <w:color w:val="52514E"/>
          <w:sz w:val="17"/>
          <w:szCs w:val="17"/>
        </w:rPr>
        <w:t xml:space="preserve">Matrice de sensibilité : Indice d'exposition des ménages aux agents (0-100)</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84"/>
        <w:gridCol w:w="3478"/>
        <w:gridCol w:w="1888"/>
        <w:gridCol w:w="596"/>
        <w:gridCol w:w="1192"/>
      </w:tblGrid>
      <w:tr>
        <w:trPr>
          <w:cantSplit/>
          <w:tblHeader/>
        </w:trPr>
        <w:tc>
          <w:tcPr>
            <w:tcW w:type="dxa" w:w="24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Famille</w:t>
            </w:r>
          </w:p>
        </w:tc>
        <w:tc>
          <w:tcPr>
            <w:tcW w:type="dxa" w:w="3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Variante</w:t>
            </w:r>
          </w:p>
        </w:tc>
        <w:tc>
          <w:tcPr>
            <w:tcW w:type="dxa" w:w="18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DiD [IC 95 %]</w:t>
            </w:r>
          </w:p>
        </w:tc>
        <w:tc>
          <w:tcPr>
            <w:tcW w:type="dxa" w:w="59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p</w:t>
            </w:r>
          </w:p>
        </w:tc>
        <w:tc>
          <w:tcPr>
            <w:tcW w:type="dxa" w:w="119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Conclusion inchangée</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Principale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Estimation principale : modèle conjoint à effets fixes d'aire (CR2)</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2,9 [-4,4 ; 10,3]</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0,399</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Complément</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DiD brute à 16 points (permutation exacte)</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3,0 [-4,2 ; 10,3]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0,380</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16 points, évolutions résidualisées sur les covariables (ancienne estimation principale)</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[-4,5 ; 8,2]</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0,535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pondérée</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[-4,5 ; 8,2]</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0,535</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T1 repondéré sur la composition de T0</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2,2 [-4,3 ; 8,6]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0,476</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les entretiens hors fenêtre de dates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[-4,7 ; 8,3]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0,553</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Sud-Kivu</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3,2 [-3,9 ; 10,3]</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0,333</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Maniema</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1,2 [-6,8 ; 9,1]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0,747</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Kasaï-Oriental</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2,5 [-5,7 ; 10,6]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0,505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Sankuru</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 [-7,2 ; 9,1]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0,798</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zone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une zone à tour de rôle : plage des estimations [0,6 ; 3,2]</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[-5,8 ; 9,5]</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L1_yn</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 [-10,5 ; 9,1]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0,885</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L7_yn</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 [-6,5 ; 8,0]</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0,821</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L6_recent</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5,4 [-0,6 ; 11,5]</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0,073</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Version de l'indicateur</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Composante vérifiable : VAD déclarée seule (L7)</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4,4 [-3,9 ; 12,6]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0,269</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Données manquantes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Imputation multiple (mice, m = 20, pmm ; FMI = 0,00 ; ddl Barnard-Rubin = 9,4)</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2,9 [-4,4 ; 10,2]</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Estimateur</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Analyse pondérée ajustée : pondération par l'inverse de la propension au bras (tronquée au 99e centile) + ajustement sur les covariables (n'est pas un estimateur DR-DiD)</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2,6 [-3,0 ; 8,2]</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0,335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8,0 [0,8 ; 15,3]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(B)</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5,0 [-2,2 ; 12,3]</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1,0 [-6,2 ; 8,3]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-2,0 [-9,2 ; 5,3]</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bl>
    <w:p>
      <w:pPr>
        <w:spacing w:after="200" w:before="60"/>
        <w:jc w:val="left"/>
      </w:pPr>
      <w:r>
        <w:rPr>
          <w:color w:val="6B7280"/>
          <w:sz w:val="15"/>
          <w:szCs w:val="15"/>
        </w:rPr>
        <w:t xml:space="preserve">Cas de référence : D (seuil 5), estimation principale = modèle conjoint. « Conclusion inchangée » compare le cas de la grille A-E de la variante à celui de l'estimation principale ; le détail des variations de signe, d'amplitude et de bornes se lit dans les colonnes. Retrait d'une zone : estimation médiane et enveloppe des IC (une enveloppe, pas un intervalle unique).</w:t>
      </w:r>
    </w:p>
    <w:p>
      <w:pPr>
        <w:spacing w:after="160"/>
        <w:jc w:val="left"/>
      </w:pPr>
      <w:r>
        <w:rPr>
          <w:b/>
          <w:bCs/>
          <w:color w:val="0B1F3A"/>
          <w:sz w:val="17"/>
          <w:szCs w:val="17"/>
        </w:rPr>
        <w:t xml:space="preserve">Tableau 43. </w:t>
      </w:r>
      <w:r>
        <w:rPr>
          <w:color w:val="52514E"/>
          <w:sz w:val="17"/>
          <w:szCs w:val="17"/>
        </w:rPr>
        <w:t xml:space="preserve">Matrice de sensibilité : Indice de connaissances déclarées des ménages (citations, 0-100)</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84"/>
        <w:gridCol w:w="3478"/>
        <w:gridCol w:w="1888"/>
        <w:gridCol w:w="596"/>
        <w:gridCol w:w="1192"/>
      </w:tblGrid>
      <w:tr>
        <w:trPr>
          <w:cantSplit/>
          <w:tblHeader/>
        </w:trPr>
        <w:tc>
          <w:tcPr>
            <w:tcW w:type="dxa" w:w="24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Famille</w:t>
            </w:r>
          </w:p>
        </w:tc>
        <w:tc>
          <w:tcPr>
            <w:tcW w:type="dxa" w:w="3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Variante</w:t>
            </w:r>
          </w:p>
        </w:tc>
        <w:tc>
          <w:tcPr>
            <w:tcW w:type="dxa" w:w="18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DiD [IC 95 %]</w:t>
            </w:r>
          </w:p>
        </w:tc>
        <w:tc>
          <w:tcPr>
            <w:tcW w:type="dxa" w:w="59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p</w:t>
            </w:r>
          </w:p>
        </w:tc>
        <w:tc>
          <w:tcPr>
            <w:tcW w:type="dxa" w:w="119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Conclusion inchangée</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Principale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Estimation principale : modèle conjoint à effets fixes d'aire (CR2)</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-3,6 [-10,8 ; 3,7]</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0,305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Complément</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DiD brute à 16 points (permutation exacte)</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-2,1 [-9,3 ; 5,1]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0,556</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16 points, évolutions résidualisées sur les covariables (ancienne estimation principale)</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-2,2 [-9,3 ; 4,8]</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0,498</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pondérée</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-2,2 [-9,3 ; 4,8]</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0,499</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T1 repondéré sur la composition de T0</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-3,0 [-10,3 ; 4,3]</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0,384</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Spécification</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les entretiens hors fenêtre de dates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-2,3 [-9,4 ; 4,7]</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0,483</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Sud-Kivu</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-1,2 [-10,2 ; 7,7]</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0,757</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Maniema</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 [-5,1 ; 5,6]</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0,926</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Kasaï-Oriental</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-3,0 [-12,8 ; 6,8]</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0,495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Sankuru</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-5,2 [-13,9 ; 3,4]</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0,202</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zone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une zone à tour de rôle : plage des estimations [-3,7 ; 0,4]</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-2,5 [-10,9 ; 6,2]</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la composante signes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-5,8 [-17,2 ; 5,6]</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0,289</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la composante K1</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1,0 [-5,9 ; 7,9]</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0,754</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la composante K3</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-2,0 [-9,6 ; 5,7]</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0,586</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Données manquantes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Imputation multiple (mice, m = 20, pmm ; FMI = 0,00 ; ddl Barnard-Rubin = 9,4)</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-2,1 [-8,3 ; 4,2]</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Estimateur</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Analyse pondérée ajustée : pondération par l'inverse de la propension au bras (tronquée au 99e centile) + ajustement sur les covariables (n'est pas un estimateur DR-DiD)</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[-8,9 ; 5,3]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0,594</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2,9 [-4,3 ; 10,1]</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 [-7,3 ; 7,1]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-4,1 [-11,3 ; 3,1]</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-7,1 [-14,3 ; 0,1]</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bl>
    <w:p>
      <w:pPr>
        <w:spacing w:after="200" w:before="60"/>
        <w:jc w:val="left"/>
      </w:pPr>
      <w:r>
        <w:rPr>
          <w:color w:val="6B7280"/>
          <w:sz w:val="15"/>
          <w:szCs w:val="15"/>
        </w:rPr>
        <w:t xml:space="preserve">Cas de référence : E (seuil 5), estimation principale = modèle conjoint. « Conclusion inchangée » compare le cas de la grille A-E de la variante à celui de l'estimation principale ; le détail des variations de signe, d'amplitude et de bornes se lit dans les colonnes. Retrait d'une zone : estimation médiane et enveloppe des IC (une enveloppe, pas un intervalle unique).</w:t>
      </w:r>
    </w:p>
    <w:p>
      <w:pPr>
        <w:spacing w:after="160"/>
        <w:jc w:val="left"/>
      </w:pPr>
      <w:r>
        <w:rPr>
          <w:b/>
          <w:bCs/>
          <w:color w:val="0B1F3A"/>
          <w:sz w:val="17"/>
          <w:szCs w:val="17"/>
        </w:rPr>
        <w:t xml:space="preserve">Tableau 44. </w:t>
      </w:r>
      <w:r>
        <w:rPr>
          <w:color w:val="52514E"/>
          <w:sz w:val="17"/>
          <w:szCs w:val="17"/>
        </w:rPr>
        <w:t xml:space="preserve">Matrice de sensibilité : Fonctionnalité des CAC, 9 critères (0-100)</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84"/>
        <w:gridCol w:w="3478"/>
        <w:gridCol w:w="1888"/>
        <w:gridCol w:w="596"/>
        <w:gridCol w:w="1192"/>
      </w:tblGrid>
      <w:tr>
        <w:trPr>
          <w:cantSplit/>
          <w:tblHeader/>
        </w:trPr>
        <w:tc>
          <w:tcPr>
            <w:tcW w:type="dxa" w:w="24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Famille</w:t>
            </w:r>
          </w:p>
        </w:tc>
        <w:tc>
          <w:tcPr>
            <w:tcW w:type="dxa" w:w="347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Variante</w:t>
            </w:r>
          </w:p>
        </w:tc>
        <w:tc>
          <w:tcPr>
            <w:tcW w:type="dxa" w:w="18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DiD [IC 95 %]</w:t>
            </w:r>
          </w:p>
        </w:tc>
        <w:tc>
          <w:tcPr>
            <w:tcW w:type="dxa" w:w="59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p</w:t>
            </w:r>
          </w:p>
        </w:tc>
        <w:tc>
          <w:tcPr>
            <w:tcW w:type="dxa" w:w="119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Conclusion inchangée</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Principale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Estimation principale : modèle conjoint à effets fixes d'aire (CR2)</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 [-6,2 ; 6,4]</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0,966</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Complément</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DiD brute à 16 points (permutation exacte)</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 [-6,0 ; 6,6]</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0,915</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Sud-Kivu</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 [-6,9 ; 8,7]</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0,793</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Maniema</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 [-8,4 ; 6,8]</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0,811</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Kasaï-Oriental</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1,5 [-6,6 ; 9,5]</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0,684</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Sankuru</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 [-7,6 ; 6,8]</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0,896</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zone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une zone à tour de rôle : plage des estimations [-1,1 ; 1,6]</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 [-7,2 ; 7,8]</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c1_diagnostic</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0,2 [-5,5 ; 5,9]</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0,945</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c2_pac_issu</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 [-5,8 ; 5,9]</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0,998</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c3_pac_mis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 [-5,8 ; 5,3]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0,921</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c4_denombrement</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 [-5,6 ; 6,8]</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0,841</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c5_actualise_m</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 [-8,3 ; 8,3]</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0,999</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c6_monitorage</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 [-5,7 ; 7,0]</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0,833</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c7_rapport_m</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1,1 [-5,6 ; 7,7]</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0,732</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c8_delegue</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 [-6,5 ; 7,2]</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0,905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le critère c9_activites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0,0 [-6,7 ; 6,7]</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0,997</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Version de l'indicateur</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Version vérifiée (PAC vu, PV de réunion vu)</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1,2 [-6,3 ; 8,7]</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0,730</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Unités appariées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Villages appariés seulement (DiD)</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2,2 [-5,3 ; 9,8]</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0,530</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Unités appariées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Villages appariés, ajustement sur la valeur initiale (ANCOVA)</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9,0 [-2,6 ; 20,6]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0,115</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5,3 [-1,0 ; 11,6]</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2,3 [-4,0 ; 8,6]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8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-1,7 [-8,0 ; 4,6]</w:t>
            </w:r>
          </w:p>
        </w:tc>
        <w:tc>
          <w:tcPr>
            <w:tcW w:type="dxa" w:w="59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7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8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-4,7 [-11,0 ; 1,6]</w:t>
            </w:r>
          </w:p>
        </w:tc>
        <w:tc>
          <w:tcPr>
            <w:tcW w:type="dxa" w:w="59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9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bl>
    <w:p>
      <w:pPr>
        <w:spacing w:after="200" w:before="60"/>
        <w:jc w:val="left"/>
      </w:pPr>
      <w:r>
        <w:rPr>
          <w:color w:val="6B7280"/>
          <w:sz w:val="15"/>
          <w:szCs w:val="15"/>
        </w:rPr>
        <w:t xml:space="preserve">Cas de référence : E (seuil 11), estimation principale = modèle conjoint. « Conclusion inchangée » compare le cas de la grille A-E de la variante à celui de l'estimation principale ; le détail des variations de signe, d'amplitude et de bornes se lit dans les colonnes. Retrait d'une zone : estimation médiane et enveloppe des IC (une enveloppe, pas un intervalle unique).</w:t>
      </w:r>
    </w:p>
    <w:p>
      <w:pPr>
        <w:spacing w:after="160"/>
        <w:jc w:val="left"/>
      </w:pPr>
      <w:r>
        <w:rPr>
          <w:b/>
          <w:bCs/>
          <w:color w:val="0B1F3A"/>
          <w:sz w:val="17"/>
          <w:szCs w:val="17"/>
        </w:rPr>
        <w:t xml:space="preserve">Tableau 45. </w:t>
      </w:r>
      <w:r>
        <w:rPr>
          <w:color w:val="52514E"/>
          <w:sz w:val="17"/>
          <w:szCs w:val="17"/>
        </w:rPr>
        <w:t xml:space="preserve">Matrice de sensibilité : Professionnalisation des RECO, 6 items (0-100)</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59"/>
        <w:gridCol w:w="3442"/>
        <w:gridCol w:w="1967"/>
        <w:gridCol w:w="590"/>
        <w:gridCol w:w="1180"/>
      </w:tblGrid>
      <w:tr>
        <w:trPr>
          <w:cantSplit/>
          <w:tblHeader/>
        </w:trPr>
        <w:tc>
          <w:tcPr>
            <w:tcW w:type="dxa" w:w="24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Famille</w:t>
            </w:r>
          </w:p>
        </w:tc>
        <w:tc>
          <w:tcPr>
            <w:tcW w:type="dxa" w:w="344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Variante</w:t>
            </w:r>
          </w:p>
        </w:tc>
        <w:tc>
          <w:tcPr>
            <w:tcW w:type="dxa" w:w="19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DiD [IC 95 %]</w:t>
            </w:r>
          </w:p>
        </w:tc>
        <w:tc>
          <w:tcPr>
            <w:tcW w:type="dxa" w:w="59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5"/>
                <w:szCs w:val="15"/>
              </w:rPr>
              <w:t xml:space="preserve">p</w:t>
            </w:r>
          </w:p>
        </w:tc>
        <w:tc>
          <w:tcPr>
            <w:tcW w:type="dxa" w:w="118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5"/>
                <w:szCs w:val="15"/>
              </w:rPr>
              <w:t xml:space="preserve">Conclusion inchangée</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Principale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Estimation principale : modèle conjoint à effets fixes d'aire (CR2)</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-3,2 [-12,9 ; 6,6]</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0,488</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Complément</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DiD brute à 16 points (permutation exacte)</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-2,4 [-11,9 ; 7,1]</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0,690</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Sud-Kivu</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-3,0 [-16,4 ; 10,4]</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0,618</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Maniema</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-3,4 [-16,2 ; 9,3]</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0,550</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Kasaï-Oriental</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-1,4 [-14,1 ; 11,3]</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0,807</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province</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Sankuru</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-1,8 [-8,0 ; 4,5]</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0,530</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Retrait d'une zone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une zone à tour de rôle : plage des estimations [-5,5 ; 1,0]</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-2,4 [-13,7 ; 9,0]</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formation_initiale</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 [-8,6 ; 9,5]</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0,913</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certificat</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-2,6 [-12,3 ; 7,2]</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0,575</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formation_paquet</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-2,0 [-12,1 ; 8,2]</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0,680</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contrat</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-2,4 [-12,2 ; 7,5]</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0,606</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prime</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-3,4 [-13,5 ; 6,7]</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0,473</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Construction de l'indice</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Sans l'item supervision</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-4,6 [-14,6 ; 5,4]</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0,330</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Version de l'indicateur</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Version hors intrants (sans contrat ni prime)</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-3,2 [-14,1 ; 7,6]</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0,525</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2,6 [-6,9 ; 12,1]</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-0,4 [-9,9 ; 9,1]</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non (D)</w:t>
            </w:r>
          </w:p>
        </w:tc>
      </w:tr>
      <w:tr>
        <w:trPr>
          <w:cantSplit/>
        </w:trPr>
        <w:tc>
          <w:tcPr>
            <w:tcW w:type="dxa" w:w="2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4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+2 points</w:t>
            </w:r>
          </w:p>
        </w:tc>
        <w:tc>
          <w:tcPr>
            <w:tcW w:type="dxa" w:w="19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-4,4 [-13,9 ; 5,1]</w:t>
            </w:r>
          </w:p>
        </w:tc>
        <w:tc>
          <w:tcPr>
            <w:tcW w:type="dxa" w:w="5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r>
        <w:trPr>
          <w:cantSplit/>
        </w:trPr>
        <w:tc>
          <w:tcPr>
            <w:tcW w:type="dxa" w:w="2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Tendances parallèles</w:t>
            </w:r>
          </w:p>
        </w:tc>
        <w:tc>
          <w:tcPr>
            <w:tcW w:type="dxa" w:w="344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Divergence de tendance supposée de +5 points</w:t>
            </w:r>
          </w:p>
        </w:tc>
        <w:tc>
          <w:tcPr>
            <w:tcW w:type="dxa" w:w="19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-7,4 [-16,9 ; 2,1]</w:t>
            </w:r>
          </w:p>
        </w:tc>
        <w:tc>
          <w:tcPr>
            <w:tcW w:type="dxa" w:w="5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5"/>
                <w:szCs w:val="15"/>
              </w:rPr>
              <w:t xml:space="preserve">nd</w:t>
            </w:r>
          </w:p>
        </w:tc>
        <w:tc>
          <w:tcPr>
            <w:tcW w:type="dxa" w:w="11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5"/>
                <w:szCs w:val="15"/>
              </w:rPr>
              <w:t xml:space="preserve">oui</w:t>
            </w:r>
          </w:p>
        </w:tc>
      </w:tr>
    </w:tbl>
    <w:p>
      <w:pPr>
        <w:spacing w:after="200" w:before="60"/>
        <w:jc w:val="left"/>
      </w:pPr>
      <w:r>
        <w:rPr>
          <w:color w:val="6B7280"/>
          <w:sz w:val="15"/>
          <w:szCs w:val="15"/>
        </w:rPr>
        <w:t xml:space="preserve">Cas de référence : E (seuil 8), estimation principale = modèle conjoint. « Conclusion inchangée » compare le cas de la grille A-E de la variante à celui de l'estimation principale ; le détail des variations de signe, d'amplitude et de bornes se lit dans les colonnes. Retrait d'une zone : estimation médiane et enveloppe des IC (une enveloppe, pas un intervalle unique).</w:t>
      </w:r>
    </w:p>
    <w:p>
      <w:pPr>
        <w:pStyle w:val="Heading2"/>
        <w:spacing w:after="100" w:before="260"/>
      </w:pPr>
      <w:r>
        <w:t xml:space="preserve">11.1 Limites</w:t>
      </w:r>
    </w:p>
    <w:p>
      <w:pPr>
        <w:pStyle w:val="ListParagraph"/>
        <w:numPr>
          <w:ilvl w:val="0"/>
          <w:numId w:val="2"/>
        </w:numPr>
        <w:spacing w:after="60" w:line="264"/>
      </w:pPr>
      <w:r>
        <w:t xml:space="preserve">L'effet estimé porte sur 5,5 mois d'appui supplémentaire, pas sur l'effet total de l'intervention commencée avant T0 ; les covariables d'ajustement sont des caractéristiques stables ou antérieures à l'exposition (âge, instruction, religion, taille du ménage, niveau de vie, distance).</w:t>
      </w:r>
    </w:p>
    <w:p>
      <w:pPr>
        <w:pStyle w:val="ListParagraph"/>
        <w:numPr>
          <w:ilvl w:val="0"/>
          <w:numId w:val="2"/>
        </w:numPr>
        <w:spacing w:after="60" w:line="264"/>
      </w:pPr>
      <w:r>
        <w:t xml:space="preserve">L'affectation des zones est programmatique (référentiel validé) ; l'attribution repose sur un dossier de plausibilité, pas sur un tirage au sort ; la permutation exacte est une sensibilité, pas une inférence de randomisation.</w:t>
      </w:r>
    </w:p>
    <w:p>
      <w:pPr>
        <w:pStyle w:val="ListParagraph"/>
        <w:numPr>
          <w:ilvl w:val="0"/>
          <w:numId w:val="2"/>
        </w:numPr>
        <w:spacing w:after="60" w:line="264"/>
      </w:pPr>
      <w:r>
        <w:t xml:space="preserve">Seize zones : pour un indicateur ménage pris seul, seuls des effets de 13 à 37 points sont détectables (précision descriptive) ; les CODESA sont lus en évolution, leur DiD appariée étant donnée à titre de cohérence.</w:t>
      </w:r>
    </w:p>
    <w:p>
      <w:pPr>
        <w:pStyle w:val="ListParagraph"/>
        <w:numPr>
          <w:ilvl w:val="0"/>
          <w:numId w:val="2"/>
        </w:numPr>
        <w:spacing w:after="60" w:line="264"/>
      </w:pPr>
      <w:r>
        <w:t xml:space="preserve">Les tendances parallèles ne sont pas testables avec deux passages ; la saison diffère entre eux.</w:t>
      </w:r>
    </w:p>
    <w:p>
      <w:pPr>
        <w:pStyle w:val="ListParagraph"/>
        <w:numPr>
          <w:ilvl w:val="0"/>
          <w:numId w:val="2"/>
        </w:numPr>
        <w:spacing w:after="60" w:line="264"/>
      </w:pPr>
      <w:r>
        <w:t xml:space="preserve">Aucun panel individuel : les comparaisons d'agents et de CAC sont des coupes répétées, complétées par un appariement territorial partiel dont le taux est publié.</w:t>
      </w:r>
    </w:p>
    <w:p>
      <w:pPr>
        <w:pStyle w:val="ListParagraph"/>
        <w:numPr>
          <w:ilvl w:val="0"/>
          <w:numId w:val="2"/>
        </w:numPr>
        <w:spacing w:after="60" w:line="264"/>
      </w:pPr>
      <w:r>
        <w:t xml:space="preserve">Les données sont déclaratives et l'écart avec les pièces vues se creuse à T1. L'effet d'aire confond l'aire et l'enquêteur.</w:t>
      </w:r>
    </w:p>
    <w:p>
      <w:pPr>
        <w:pStyle w:val="ListParagraph"/>
        <w:numPr>
          <w:ilvl w:val="0"/>
          <w:numId w:val="2"/>
        </w:numPr>
        <w:spacing w:after="60" w:line="264"/>
      </w:pPr>
      <w:r>
        <w:t xml:space="preserve">Aucune pondération de population : les chiffres « Ensemble » sont des moyennes de quatre provinces.</w:t>
      </w:r>
    </w:p>
    <w:p>
      <w:pPr>
        <w:pStyle w:val="ListParagraph"/>
        <w:numPr>
          <w:ilvl w:val="0"/>
          <w:numId w:val="2"/>
        </w:numPr>
        <w:spacing w:after="60" w:line="264"/>
      </w:pPr>
      <w:r>
        <w:t xml:space="preserve">Les indicateurs Mpox dépendent du contexte épidémique local ; sans journal des événements et données de routine, ils restent descriptifs.</w:t>
      </w:r>
    </w:p>
    <w:p>
      <w:pPr>
        <w:pStyle w:val="ListParagraph"/>
        <w:numPr>
          <w:ilvl w:val="0"/>
          <w:numId w:val="2"/>
        </w:numPr>
        <w:spacing w:after="60" w:line="264"/>
      </w:pPr>
      <w:r>
        <w:t xml:space="preserve">Les seuils de pertinence sont des conventions validées avant l'analyse. Les analyses sont conduites sous R.</w:t>
      </w:r>
    </w:p>
    <w:p>
      <w:r>
        <w:br w:type="page"/>
      </w:r>
    </w:p>
    <w:p>
      <w:pPr>
        <w:pStyle w:val="Heading1"/>
        <w:spacing w:after="0" w:before="0"/>
      </w:pPr>
      <w:r>
        <w:rPr>
          <w:color w:val="FFFFFF"/>
          <w:sz w:val="2"/>
          <w:szCs w:val="2"/>
        </w:rPr>
        <w:t xml:space="preserve">12. Synthèse conjointe par dynamique</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838200"/>
                    </a:xfrm>
                    <a:prstGeom prst="rect">
                      <a:avLst/>
                    </a:prstGeom>
                  </pic:spPr>
                </pic:pic>
              </a:graphicData>
            </a:graphic>
          </wp:inline>
        </w:drawing>
      </w:r>
    </w:p>
    <w:p>
      <w:pPr>
        <w:pBdr>
          <w:bottom w:val="single" w:color="D9E1EC" w:sz="4" w:space="2"/>
        </w:pBdr>
        <w:spacing w:after="120" w:before="40"/>
      </w:pPr>
      <w:r>
        <w:rPr>
          <w:b/>
          <w:bCs/>
          <w:color w:val="0B1F3A"/>
          <w:sz w:val="15"/>
          <w:szCs w:val="15"/>
        </w:rPr>
        <w:t xml:space="preserve">REGISTRE · </w:t>
      </w:r>
      <w:r>
        <w:rPr>
          <w:i/>
          <w:iCs/>
          <w:color w:val="52514E"/>
          <w:sz w:val="15"/>
          <w:szCs w:val="15"/>
        </w:rPr>
        <w:t xml:space="preserve">intégration mixte. Affichage conjoint : constat quantitatif (registre), éléments qualitatifs, code de convergence (convergent, complémentaire, divergent, silence d'un volet), explications concurrentes, conclusion et condition d'action.</w:t>
      </w:r>
    </w:p>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1361"/>
        <w:gridCol w:w="2948"/>
        <w:gridCol w:w="2268"/>
        <w:gridCol w:w="1134"/>
        <w:gridCol w:w="1928"/>
      </w:tblGrid>
      <w:tr>
        <w:trPr>
          <w:tblHeader/>
        </w:trPr>
        <w:tc>
          <w:tcPr>
            <w:tcW w:type="dxa" w:w="1361"/>
            <w:tcBorders>
              <w:top w:val="none" w:color="FFFFFF" w:sz="0"/>
              <w:left w:val="none" w:color="FFFFFF" w:sz="0"/>
              <w:bottom w:val="single" w:color="D9E1EC" w:sz="4"/>
              <w:right w:val="none" w:color="FFFFFF" w:sz="0"/>
            </w:tcBorders>
            <w:shd w:fill="0B1F3A" w:color="auto" w:val="clear"/>
            <w:tcMar>
              <w:top w:type="dxa" w:w="60"/>
              <w:left w:type="dxa" w:w="80"/>
              <w:bottom w:type="dxa" w:w="60"/>
              <w:right w:type="dxa" w:w="80"/>
            </w:tcMar>
          </w:tcPr>
          <w:p>
            <w:pPr>
              <w:spacing w:after="0"/>
            </w:pPr>
            <w:r>
              <w:rPr>
                <w:b/>
                <w:bCs/>
                <w:color w:val="FFFFFF"/>
                <w:sz w:val="15"/>
                <w:szCs w:val="15"/>
              </w:rPr>
              <w:t xml:space="preserve">Dynamique</w:t>
            </w:r>
          </w:p>
        </w:tc>
        <w:tc>
          <w:tcPr>
            <w:tcW w:type="dxa" w:w="2948"/>
            <w:tcBorders>
              <w:top w:val="none" w:color="FFFFFF" w:sz="0"/>
              <w:left w:val="none" w:color="FFFFFF" w:sz="0"/>
              <w:bottom w:val="single" w:color="D9E1EC" w:sz="4"/>
              <w:right w:val="none" w:color="FFFFFF" w:sz="0"/>
            </w:tcBorders>
            <w:shd w:fill="0B1F3A" w:color="auto" w:val="clear"/>
            <w:tcMar>
              <w:top w:type="dxa" w:w="60"/>
              <w:left w:type="dxa" w:w="80"/>
              <w:bottom w:type="dxa" w:w="60"/>
              <w:right w:type="dxa" w:w="80"/>
            </w:tcMar>
          </w:tcPr>
          <w:p>
            <w:pPr>
              <w:spacing w:after="0"/>
            </w:pPr>
            <w:r>
              <w:rPr>
                <w:b/>
                <w:bCs/>
                <w:color w:val="FFFFFF"/>
                <w:sz w:val="15"/>
                <w:szCs w:val="15"/>
              </w:rPr>
              <w:t xml:space="preserve">Constat quantitatif (registre, estimation, IC, N)</w:t>
            </w:r>
          </w:p>
        </w:tc>
        <w:tc>
          <w:tcPr>
            <w:tcW w:type="dxa" w:w="2268"/>
            <w:tcBorders>
              <w:top w:val="none" w:color="FFFFFF" w:sz="0"/>
              <w:left w:val="none" w:color="FFFFFF" w:sz="0"/>
              <w:bottom w:val="single" w:color="D9E1EC" w:sz="4"/>
              <w:right w:val="none" w:color="FFFFFF" w:sz="0"/>
            </w:tcBorders>
            <w:shd w:fill="0B1F3A" w:color="auto" w:val="clear"/>
            <w:tcMar>
              <w:top w:type="dxa" w:w="60"/>
              <w:left w:type="dxa" w:w="80"/>
              <w:bottom w:type="dxa" w:w="60"/>
              <w:right w:type="dxa" w:w="80"/>
            </w:tcMar>
          </w:tcPr>
          <w:p>
            <w:pPr>
              <w:spacing w:after="0"/>
            </w:pPr>
            <w:r>
              <w:rPr>
                <w:b/>
                <w:bCs/>
                <w:color w:val="FFFFFF"/>
                <w:sz w:val="15"/>
                <w:szCs w:val="15"/>
              </w:rPr>
              <w:t xml:space="preserve">Éléments qualitatifs (source, extrait vérifié)</w:t>
            </w:r>
          </w:p>
        </w:tc>
        <w:tc>
          <w:tcPr>
            <w:tcW w:type="dxa" w:w="1134"/>
            <w:tcBorders>
              <w:top w:val="none" w:color="FFFFFF" w:sz="0"/>
              <w:left w:val="none" w:color="FFFFFF" w:sz="0"/>
              <w:bottom w:val="single" w:color="D9E1EC" w:sz="4"/>
              <w:right w:val="none" w:color="FFFFFF" w:sz="0"/>
            </w:tcBorders>
            <w:shd w:fill="0B1F3A" w:color="auto" w:val="clear"/>
            <w:tcMar>
              <w:top w:type="dxa" w:w="60"/>
              <w:left w:type="dxa" w:w="80"/>
              <w:bottom w:type="dxa" w:w="60"/>
              <w:right w:type="dxa" w:w="80"/>
            </w:tcMar>
          </w:tcPr>
          <w:p>
            <w:pPr>
              <w:spacing w:after="0"/>
            </w:pPr>
            <w:r>
              <w:rPr>
                <w:b/>
                <w:bCs/>
                <w:color w:val="FFFFFF"/>
                <w:sz w:val="15"/>
                <w:szCs w:val="15"/>
              </w:rPr>
              <w:t xml:space="preserve">Convergence</w:t>
            </w:r>
          </w:p>
        </w:tc>
        <w:tc>
          <w:tcPr>
            <w:tcW w:type="dxa" w:w="1928"/>
            <w:tcBorders>
              <w:top w:val="none" w:color="FFFFFF" w:sz="0"/>
              <w:left w:val="none" w:color="FFFFFF" w:sz="0"/>
              <w:bottom w:val="single" w:color="D9E1EC" w:sz="4"/>
              <w:right w:val="none" w:color="FFFFFF" w:sz="0"/>
            </w:tcBorders>
            <w:shd w:fill="0B1F3A" w:color="auto" w:val="clear"/>
            <w:tcMar>
              <w:top w:type="dxa" w:w="60"/>
              <w:left w:type="dxa" w:w="80"/>
              <w:bottom w:type="dxa" w:w="60"/>
              <w:right w:type="dxa" w:w="80"/>
            </w:tcMar>
          </w:tcPr>
          <w:p>
            <w:pPr>
              <w:spacing w:after="0"/>
            </w:pPr>
            <w:r>
              <w:rPr>
                <w:b/>
                <w:bCs/>
                <w:color w:val="FFFFFF"/>
                <w:sz w:val="15"/>
                <w:szCs w:val="15"/>
              </w:rPr>
              <w:t xml:space="preserve">Conclusion et condition d'action</w:t>
            </w:r>
          </w:p>
        </w:tc>
      </w:tr>
      <w:tr>
        <w:tc>
          <w:tcPr>
            <w:tcW w:type="dxa" w:w="1361"/>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bCs/>
                <w:color w:val="10233F"/>
                <w:sz w:val="15"/>
                <w:szCs w:val="15"/>
              </w:rPr>
              <w:t xml:space="preserve">Gouvernance</w:t>
            </w:r>
          </w:p>
        </w:tc>
        <w:tc>
          <w:tcPr>
            <w:tcW w:type="dxa" w:w="294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P3 CAC : DiD 0,1 [-6,2 ; 6,4] (attribution, cas E) ; fonctionnalité des CODESA : témoin 71,1 → 75,9, intervention 76,2 → 81,0 (évolution ; DiD appariée 1,0 [-16,9 ; 19,0]) ; mouvements T21</w:t>
            </w:r>
          </w:p>
        </w:tc>
        <w:tc>
          <w:tcPr>
            <w:tcW w:type="dxa" w:w="226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à renseigner</w:t>
            </w:r>
          </w:p>
        </w:tc>
        <w:tc>
          <w:tcPr>
            <w:tcW w:type="dxa" w:w="1134"/>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à coder</w:t>
            </w:r>
          </w:p>
        </w:tc>
        <w:tc>
          <w:tcPr>
            <w:tcW w:type="dxa" w:w="192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à rédiger</w:t>
            </w:r>
          </w:p>
        </w:tc>
      </w:tr>
      <w:tr>
        <w:tc>
          <w:tcPr>
            <w:tcW w:type="dxa" w:w="1361"/>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bCs/>
                <w:color w:val="10233F"/>
                <w:sz w:val="15"/>
                <w:szCs w:val="15"/>
              </w:rPr>
              <w:t xml:space="preserve">Financement</w:t>
            </w:r>
          </w:p>
        </w:tc>
        <w:tc>
          <w:tcPr>
            <w:tcW w:type="dxa" w:w="294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P4 : DiD -3,2 [-12,9 ; 6,6] (cas E) ; prime et contrat stables (T47)</w:t>
            </w:r>
          </w:p>
        </w:tc>
        <w:tc>
          <w:tcPr>
            <w:tcW w:type="dxa" w:w="226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mode de paiement dominant par ZS</w:t>
            </w:r>
          </w:p>
        </w:tc>
        <w:tc>
          <w:tcPr>
            <w:tcW w:type="dxa" w:w="1134"/>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
            </w:r>
          </w:p>
        </w:tc>
        <w:tc>
          <w:tcPr>
            <w:tcW w:type="dxa" w:w="192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
            </w:r>
          </w:p>
        </w:tc>
      </w:tr>
      <w:tr>
        <w:tc>
          <w:tcPr>
            <w:tcW w:type="dxa" w:w="1361"/>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bCs/>
                <w:color w:val="10233F"/>
                <w:sz w:val="15"/>
                <w:szCs w:val="15"/>
              </w:rPr>
              <w:t xml:space="preserve">Participation</w:t>
            </w:r>
          </w:p>
        </w:tc>
        <w:tc>
          <w:tcPr>
            <w:tcW w:type="dxa" w:w="294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P1 : DiD 2,9 [-4,4 ; 10,3] (cas D) ; satisfaction et participation au choix (T14 ménages)</w:t>
            </w:r>
          </w:p>
        </w:tc>
        <w:tc>
          <w:tcPr>
            <w:tcW w:type="dxa" w:w="226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légitimité perçue des RECO</w:t>
            </w:r>
          </w:p>
        </w:tc>
        <w:tc>
          <w:tcPr>
            <w:tcW w:type="dxa" w:w="1134"/>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
            </w:r>
          </w:p>
        </w:tc>
        <w:tc>
          <w:tcPr>
            <w:tcW w:type="dxa" w:w="192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
            </w:r>
          </w:p>
        </w:tc>
      </w:tr>
      <w:tr>
        <w:tc>
          <w:tcPr>
            <w:tcW w:type="dxa" w:w="1361"/>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bCs/>
                <w:color w:val="10233F"/>
                <w:sz w:val="15"/>
                <w:szCs w:val="15"/>
              </w:rPr>
              <w:t xml:space="preserve">Redevabilité</w:t>
            </w:r>
          </w:p>
        </w:tc>
        <w:tc>
          <w:tcPr>
            <w:tcW w:type="dxa" w:w="294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Écart déclaré / vérifié (T44, pièces vues CAC et CODESA) ; mécanismes de plaintes</w:t>
            </w:r>
          </w:p>
        </w:tc>
        <w:tc>
          <w:tcPr>
            <w:tcW w:type="dxa" w:w="226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pratiques réelles de redevabilité</w:t>
            </w:r>
          </w:p>
        </w:tc>
        <w:tc>
          <w:tcPr>
            <w:tcW w:type="dxa" w:w="1134"/>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
            </w:r>
          </w:p>
        </w:tc>
        <w:tc>
          <w:tcPr>
            <w:tcW w:type="dxa" w:w="1928"/>
            <w:tcBorders>
              <w:top w:val="none" w:color="FFFFFF" w:sz="0"/>
              <w:left w:val="none" w:color="FFFFFF" w:sz="0"/>
              <w:bottom w:val="single" w:color="D9E1EC" w:sz="4"/>
              <w:right w:val="none" w:color="FFFFFF" w:sz="0"/>
            </w:tcBorders>
            <w:shd w:fill="EEF3FA" w:color="auto" w:val="clear"/>
            <w:tcMar>
              <w:top w:type="dxa" w:w="60"/>
              <w:left w:type="dxa" w:w="80"/>
              <w:bottom w:type="dxa" w:w="60"/>
              <w:right w:type="dxa" w:w="80"/>
            </w:tcMar>
          </w:tcPr>
          <w:p>
            <w:pPr>
              <w:spacing w:after="0"/>
            </w:pPr>
            <w:r>
              <w:rPr>
                <w:b w:val="false"/>
                <w:bCs w:val="false"/>
                <w:color w:val="10233F"/>
                <w:sz w:val="15"/>
                <w:szCs w:val="15"/>
              </w:rPr>
              <w:t xml:space="preserve"/>
            </w:r>
          </w:p>
        </w:tc>
      </w:tr>
      <w:tr>
        <w:tc>
          <w:tcPr>
            <w:tcW w:type="dxa" w:w="1361"/>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bCs/>
                <w:color w:val="10233F"/>
                <w:sz w:val="15"/>
                <w:szCs w:val="15"/>
              </w:rPr>
              <w:t xml:space="preserve">Réponse épidémique</w:t>
            </w:r>
          </w:p>
        </w:tc>
        <w:tc>
          <w:tcPr>
            <w:tcW w:type="dxa" w:w="294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D4 : DiD -0,5 [-1,1 ; 0,1] (évolution seulement) ; CAP Mpox (T45)</w:t>
            </w:r>
          </w:p>
        </w:tc>
        <w:tc>
          <w:tcPr>
            <w:tcW w:type="dxa" w:w="226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récit de la riposte par ZS</w:t>
            </w:r>
          </w:p>
        </w:tc>
        <w:tc>
          <w:tcPr>
            <w:tcW w:type="dxa" w:w="1134"/>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
            </w:r>
          </w:p>
        </w:tc>
        <w:tc>
          <w:tcPr>
            <w:tcW w:type="dxa" w:w="1928"/>
            <w:tcBorders>
              <w:top w:val="none" w:color="FFFFFF" w:sz="0"/>
              <w:left w:val="none" w:color="FFFFFF" w:sz="0"/>
              <w:bottom w:val="single" w:color="D9E1EC" w:sz="4"/>
              <w:right w:val="none" w:color="FFFFFF" w:sz="0"/>
            </w:tcBorders>
            <w:shd w:fill="FFFFFF" w:color="auto" w:val="clear"/>
            <w:tcMar>
              <w:top w:type="dxa" w:w="60"/>
              <w:left w:type="dxa" w:w="80"/>
              <w:bottom w:type="dxa" w:w="60"/>
              <w:right w:type="dxa" w:w="80"/>
            </w:tcMar>
          </w:tcPr>
          <w:p>
            <w:pPr>
              <w:spacing w:after="0"/>
            </w:pPr>
            <w:r>
              <w:rPr>
                <w:b w:val="false"/>
                <w:bCs w:val="false"/>
                <w:color w:val="10233F"/>
                <w:sz w:val="15"/>
                <w:szCs w:val="15"/>
              </w:rPr>
              <w:t xml:space="preserve"/>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Un affichage conjoint par dynamique et par zone, après l'atelier d'intégration ; une divergence est publiée avec les deux lectures. Liste des cas contrastés : T22 (unités en mouvement), T33 (aires hors de l'attendu), T19 (zones extrêmes par primaire).</w:t>
            </w:r>
          </w:p>
        </w:tc>
      </w:tr>
    </w:tbl>
    <w:p>
      <w:r>
        <w:br w:type="page"/>
      </w:r>
    </w:p>
    <w:p>
      <w:pPr>
        <w:pStyle w:val="Heading1"/>
        <w:spacing w:after="0" w:before="0"/>
      </w:pPr>
      <w:r>
        <w:rPr>
          <w:color w:val="FFFFFF"/>
          <w:sz w:val="2"/>
          <w:szCs w:val="2"/>
        </w:rPr>
        <w:t xml:space="preserve">13. Discussion et recommandations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838200"/>
                    </a:xfrm>
                    <a:prstGeom prst="rect">
                      <a:avLst/>
                    </a:prstGeom>
                  </pic:spPr>
                </pic:pic>
              </a:graphicData>
            </a:graphic>
          </wp:inline>
        </w:drawing>
      </w:r>
    </w:p>
    <w:p>
      <w:pPr>
        <w:pStyle w:val="Heading2"/>
        <w:spacing w:after="100" w:before="260"/>
      </w:pPr>
      <w:r>
        <w:t xml:space="preserve">13.1 Discussion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Interprétation des résultats d'attribution à la lumière de l'EMD (absence d'effet détecté n'est pas absence d'effet : nommer la taille d'effet exclue par l'IC), des évolutions partagées (effet de seconde visite, saison, événements), des mécanismes (différences premières) et des limites. Comparaison avec la phase 1 (note de correction de T0 en annexe) et avec la littérature SACO en RDC.</w:t>
            </w:r>
          </w:p>
        </w:tc>
      </w:tr>
    </w:tbl>
    <w:p>
      <w:pPr>
        <w:pStyle w:val="Heading2"/>
        <w:spacing w:after="100" w:before="260"/>
      </w:pPr>
      <w:r>
        <w:t xml:space="preserve">13.2 Recommandations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Recommandations hiérarchisées par acteur (ministère, DPS/ZS, partenaire, organes communautaires), chacune rattachée à un constat chiffré et à une norme du PSN SACO ; distinguer ce qui relève de la mise en œuvre de l'appui (prime, contrat) de ce qui relève du système (supervision, charge des RECO, écart déclaré / vérifié).</w:t>
            </w:r>
          </w:p>
        </w:tc>
      </w:tr>
    </w:tbl>
    <w:p>
      <w:r>
        <w:br w:type="page"/>
      </w:r>
    </w:p>
    <w:p>
      <w:pPr>
        <w:pStyle w:val="Heading1"/>
        <w:spacing w:after="0" w:before="0"/>
      </w:pPr>
      <w:r>
        <w:rPr>
          <w:color w:val="FFFFFF"/>
          <w:sz w:val="2"/>
          <w:szCs w:val="2"/>
        </w:rPr>
        <w:t xml:space="preserve">Annexes</w:t>
      </w:r>
    </w:p>
    <w:p>
      <w:pPr>
        <w:spacing w:after="160" w:before="0"/>
        <w:jc w:val="center"/>
      </w:pPr>
      <w:r>
        <w:drawing>
          <wp:inline distT="0" distB="0" distL="0" distR="0">
            <wp:extent cx="61245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838200"/>
                    </a:xfrm>
                    <a:prstGeom prst="rect">
                      <a:avLst/>
                    </a:prstGeom>
                  </pic:spPr>
                </pic:pic>
              </a:graphicData>
            </a:graphic>
          </wp:inline>
        </w:drawing>
      </w:r>
    </w:p>
    <w:p>
      <w:pPr>
        <w:pStyle w:val="Heading2"/>
        <w:spacing w:after="100" w:before="260"/>
      </w:pPr>
      <w:r>
        <w:t xml:space="preserve">A. Note de correction des valeurs de T0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pPr>
            <w:r>
              <w:rPr>
                <w:b/>
                <w:bCs/>
                <w:color w:val="6C3FD1"/>
                <w:sz w:val="18"/>
                <w:szCs w:val="18"/>
              </w:rPr>
              <w:t xml:space="preserve">À rédiger — contenu attendu</w:t>
            </w:r>
          </w:p>
          <w:p>
            <w:pPr>
              <w:spacing w:after="60" w:line="264"/>
              <w:jc w:val="left"/>
            </w:pPr>
            <w:r>
              <w:rPr>
                <w:sz w:val="18"/>
                <w:szCs w:val="18"/>
              </w:rPr>
              <w:t xml:space="preserve">Indicateurs dont la valeur recalculée avec le code de la phase 2 s'écarte de plus d'un point de la valeur publiée dans le rapport de phase 1 : valeur publiée, valeur recalculée, cause (définition, dénominateur, pondération, correction de saisie). Le tableau des ménages à trois volets (colonne T0) fournit les valeurs recalculées.</w:t>
            </w:r>
          </w:p>
        </w:tc>
      </w:tr>
    </w:tbl>
    <w:p>
      <w:pPr>
        <w:pStyle w:val="Heading2"/>
        <w:spacing w:after="100" w:before="260"/>
      </w:pPr>
      <w:r>
        <w:t xml:space="preserve">B. Indicateurs, indices et EMD</w:t>
      </w:r>
    </w:p>
    <w:p>
      <w:pPr>
        <w:spacing w:after="160"/>
        <w:jc w:val="left"/>
      </w:pPr>
      <w:r>
        <w:rPr>
          <w:b/>
          <w:bCs/>
          <w:color w:val="0B1F3A"/>
          <w:sz w:val="17"/>
          <w:szCs w:val="17"/>
        </w:rPr>
        <w:t xml:space="preserve">Tableau 46. </w:t>
      </w:r>
      <w:r>
        <w:rPr>
          <w:color w:val="52514E"/>
          <w:sz w:val="17"/>
          <w:szCs w:val="17"/>
        </w:rPr>
        <w:t xml:space="preserve">Dictionnaire des indicateurs : définition, base, registre et population</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26"/>
        <w:gridCol w:w="2480"/>
        <w:gridCol w:w="425"/>
        <w:gridCol w:w="780"/>
        <w:gridCol w:w="850"/>
        <w:gridCol w:w="2197"/>
        <w:gridCol w:w="2480"/>
      </w:tblGrid>
      <w:tr>
        <w:trPr>
          <w:cantSplit/>
          <w:tblHeader/>
        </w:trPr>
        <w:tc>
          <w:tcPr>
            <w:tcW w:type="dxa" w:w="42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Code</w:t>
            </w:r>
          </w:p>
        </w:tc>
        <w:tc>
          <w:tcPr>
            <w:tcW w:type="dxa" w:w="248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Indicateur</w:t>
            </w:r>
          </w:p>
        </w:tc>
        <w:tc>
          <w:tcPr>
            <w:tcW w:type="dxa" w:w="42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Base</w:t>
            </w:r>
          </w:p>
        </w:tc>
        <w:tc>
          <w:tcPr>
            <w:tcW w:type="dxa" w:w="78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Type</w:t>
            </w:r>
          </w:p>
        </w:tc>
        <w:tc>
          <w:tcPr>
            <w:tcW w:type="dxa" w:w="85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Registre</w:t>
            </w:r>
          </w:p>
        </w:tc>
        <w:tc>
          <w:tcPr>
            <w:tcW w:type="dxa" w:w="219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Population</w:t>
            </w:r>
          </w:p>
        </w:tc>
        <w:tc>
          <w:tcPr>
            <w:tcW w:type="dxa" w:w="248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2"/>
                <w:szCs w:val="12"/>
              </w:rPr>
              <w:t xml:space="preserve">Définition</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d'exposition des ménages aux agents (0-100)</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primaire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de : connaît le COSA et les agents (L1) ; a reçu une VAD (L7) ; a vu un agent animer il y a moins d'un mois (L6 = 1). Au moins 2 items renseignés.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P2</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 connaissances déclarées des ménages (citations, 0-100)</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primaire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de : signes de danger cités / 18 (L10) ; connaît la Mpox (K1) ; modes de transmission cités / 5 (K3, 0 si K1 = non).</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P3</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Fonctionnalité des CAC, 9 critères (0-100)</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primaire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enquêtées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Diagnostic ; PAC issu du diagnostic ; PAC mis en œuvre ; dénombrement ; actualisation mensuelle ; réunion mensuelle de monitorage ; rapport mensuel au CODESA ; délégué aux réunions du CODESA ; au moins 3 activités du paquet (tableau 19, phase 1).</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Professionnalisation des RECO, 6 items (0-100)</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primaire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enquêtés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Formation initiale ; certificat ; formation sur le paquet ; contrat MSPHPS ; prime ; supervision régulière.</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P4b</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Professionnalisation hors intrants (4 items)</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enquêtés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Formation initiale ; certificat ; formation sur le paquet ; supervision régulière.</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D1</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 gouvernance communautaire (écarts-types)</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domaine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Aires de santé</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standardisée de : P3 moyen des CAC, fonctionnalité CODESA (7 critères), PAC vu, PV d'installation vu, micro-plan vu.</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D2</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 capacités des acteurs (écarts-types)</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domaine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Aires de santé</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standardisée de : P4 moyen des RECO, formation initiale, autre formation et supervision des ASC.</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D3</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 résultats ménages (écarts-types)</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domaine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attribution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standardisée de : P1, P2, lavage des mains au savon, CPS, carnet vu (composantes applicables à tous les ménages).</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D4</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Indice de riposte Mpox (écarts-types)</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domaine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Aires de santé</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standardisée de : participation à la riposte et rôle Mpox des CAC, riposte et briefing des CODESA, RECO en riposte, K1 et K8 des ménages.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L1</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Connaît le COSA et les agents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L1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L7</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 reçu une visite à domicile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L7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L6</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 vu un agent animer il y a moins d'un mois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Ménages répondant à L6</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L6 = 1</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L5</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Satisfaite du travail des agents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Ménages avec avis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L5 dans {très satisfaite, satisfaite, assez satisfaite}</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L9</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 participé au choix des agents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L9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SIG</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Signes de danger cités (0-18)</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Somme des items L10</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K1</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Connaît la Mpox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K1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K8</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Accepterait le vaccin Mpox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K8 = oui ; posée à tous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K8c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Accepterait le vaccin, parmi celles qui connaissent la Mpox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K1 = oui</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K8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K7</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Sait qu'un vaccin existe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K7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déclaré complètement vacciné ou suivant le calendrier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 = oui (libellé composite)</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W2</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Carnet présenté, parmi les enfants déclarés vaccinés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 = oui</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W2 = carnet vu</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W2t</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Déclaré vacciné et carnet présenté, tous ménages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 = oui et W2 = vu</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W3</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Connaît le calendrier vaccinal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W3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Amène les enfants à la pesée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S07Q04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SAV</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 lave les mains à l'eau et au savon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W17 = eau plus savon</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J2</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Connaît les facilités de gratuité de la FOSA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J2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J5</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 dans les deux semaines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contexte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Tous les ménages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J5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Recours formel en première réaction (CS ou agent)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gg dans {1, 2}</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Première réaction : agent communautaire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gg = 2</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CONS</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 consulté un service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SS différent de 96</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D24</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Consultation en moins de 24 h parmi les consultants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 ayant consulté</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SS = 1</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PEC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Prise en charge au CS, à l'hôpital ou chez l'agent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Enfant malade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CC dans {1, 2, 3}</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CPN1</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Au moins une CPN à la dernière grossesse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u4 ≥ 2 (1 fois ou plus)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CPN4</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Au moins quatre CPN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u4 codes 5 à 9</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ACC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Accouchement en structure de santé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W15 dans {HGR, CSI, PS}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CPoN</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Consultation postnatale à 6 semaines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W13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VIH</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Test VIH à la dernière grossesse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W8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VAT</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Vaccin antitétanique reçu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men</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Femmes avec dernière grossesse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W10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FCOD</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Fonctionnalité des CODESA, 7 critères (0-100)</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Formation manuel ; outils de gestion ; supervision ; micro-plan ; réunion mensuelle ; rapport au BCZ/UCODESA ; mécanisme de plaintes</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PVC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PV d'installation du CODESA vu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QA5 = oui et QA7 = vu ; 0 si non installé</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MPV</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Micro-plan vu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G3 = oui et g2 = vu</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CRIP</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rôle dans la gestion de la Mpox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P1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CBRI</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briefing Mpox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P4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CRIX</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indice de riposte Mpox (0-100)</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de P1 et P4</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CACX</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indice de riposte Mpox (0-100)</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Moyenne de S05Q02, S06Q01, S06Q02</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RVAD</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visites à domicile sur 3 mois (nombre)</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S02Q05</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RSUR</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participe à la surveillance communautaire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S07Q03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RREC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reconnu par l'autorité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S01Q02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RPAC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impliqué dans le PAC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S07Q02a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ASUP</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supervisé régulièrement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S02Q055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ACON</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contrat MSPHPS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S03Q01a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AFOR</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formation initiale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S01Q055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ARIP</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a participé à une riposte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S06Q09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CFD</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bureau formé sur la dynamique communautaire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S03Q17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COG</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RECO dotés d'outils de gestion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S03Q20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CSUP</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supervisée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S03Q24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CPAY</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membres payés (argent ou nature)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S04Q21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CPVR</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PV de réunion de monitorage vu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S04Q16 = oui et S04Q16c = vu</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CFR</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part des RECO actifs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S03Q02 / S03Q01</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CPFR</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part des femmes parmi les RECO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S02Q04 / S02Q02</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CPL</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mécanisme de plaintes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H1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CREU</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réunion de monitorage dans les 3 mois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g8 = oui et g9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CPAYC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membres payés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G20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CREC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le CS verse un pourcentage des recettes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G18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CPF</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 : part des femmes parmi les membres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CODESA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Q3 / Q4</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PACV</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PAC vu par l'enquêteur, toutes CAC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S04Q02 = oui et S04Q03 = vu ; 0 sinon</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PVE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PV d'élection du bureau vu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S03Q16 = oui et S03Q16a = vu</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CACR</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a participé à une riposte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S05Q02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CACM</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rôle dans la gestion de la Mpox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S06Q01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CACB</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briefing Mpox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S06Q03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CACS</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 : subsides de fonctionnement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CAC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S04Q20b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RFI</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formation initiale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S01Q04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RCE</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certificat de formation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S01Q07 = oui ; 0 si non formé</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RFP</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formation sur le paquet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S03Q02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contrat MSPHPS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S03Q01a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RPR</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prime de motivation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S05Q06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RSU</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supervisé régulièrement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S03Q05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RSM</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supervision au moins mensuelle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S03Q05 = oui et S03Q06 ≤ mensuel</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RRI</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a participé à une riposte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S07Q07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RRU</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ruptures de stock au CS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S02Q06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RCH</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ménages couverts (nombre)</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S06Q04</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RCN</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au plus 50 ménages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S06Q04 ≤ 50</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RDA</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désigné en assemblée communautaire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S05Q01 = 1</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RFE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 : femmes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RECO</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S01Q1 = féminin</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APR</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professionnalisation, 6 items (0-100)</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Formation initiale ; certificat ; formation paquet ; contrat ; prime ; supervision</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APM</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prime de motivation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S04Q04 = oui</w:t>
            </w:r>
          </w:p>
        </w:tc>
      </w:tr>
      <w:tr>
        <w:trPr>
          <w:cantSplit/>
        </w:trPr>
        <w:tc>
          <w:tcPr>
            <w:tcW w:type="dxa" w:w="4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ARU</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ruptures de stock (%)</w:t>
            </w:r>
          </w:p>
        </w:tc>
        <w:tc>
          <w:tcPr>
            <w:tcW w:type="dxa" w:w="42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S01Q04 = oui</w:t>
            </w:r>
          </w:p>
        </w:tc>
      </w:tr>
      <w:tr>
        <w:trPr>
          <w:cantSplit/>
        </w:trPr>
        <w:tc>
          <w:tcPr>
            <w:tcW w:type="dxa" w:w="4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AFE</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 : femmes (%)</w:t>
            </w:r>
          </w:p>
        </w:tc>
        <w:tc>
          <w:tcPr>
            <w:tcW w:type="dxa" w:w="42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7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secondaire</w:t>
            </w:r>
          </w:p>
        </w:tc>
        <w:tc>
          <w:tcPr>
            <w:tcW w:type="dxa" w:w="8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évolution</w:t>
            </w:r>
          </w:p>
        </w:tc>
        <w:tc>
          <w:tcPr>
            <w:tcW w:type="dxa" w:w="219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ASC</w:t>
            </w:r>
          </w:p>
        </w:tc>
        <w:tc>
          <w:tcPr>
            <w:tcW w:type="dxa" w:w="248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2"/>
                <w:szCs w:val="12"/>
              </w:rPr>
              <w:t xml:space="preserve">S01Q1 = féminin</w:t>
            </w:r>
          </w:p>
        </w:tc>
      </w:tr>
    </w:tbl>
    <w:p>
      <w:pPr>
        <w:spacing w:after="200" w:before="60"/>
        <w:jc w:val="left"/>
      </w:pPr>
      <w:r>
        <w:rPr>
          <w:color w:val="6B7280"/>
          <w:sz w:val="15"/>
          <w:szCs w:val="15"/>
        </w:rPr>
        <w:t xml:space="preserve">Les primaires et les indices de domaine sont lus en attribution (DiD à 16 points) ; les secondaires en évolution et en association.</w:t>
      </w:r>
    </w:p>
    <w:p>
      <w:pPr>
        <w:spacing w:after="160"/>
        <w:jc w:val="left"/>
      </w:pPr>
      <w:r>
        <w:rPr>
          <w:b/>
          <w:bCs/>
          <w:color w:val="0B1F3A"/>
          <w:sz w:val="17"/>
          <w:szCs w:val="17"/>
        </w:rPr>
        <w:t xml:space="preserve">Tableau 47. </w:t>
      </w:r>
      <w:r>
        <w:rPr>
          <w:color w:val="52514E"/>
          <w:sz w:val="17"/>
          <w:szCs w:val="17"/>
        </w:rPr>
        <w:t xml:space="preserve">Indices de domaine : composantes ; poids de la variante d'Anderson (sensibilité)</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950"/>
        <w:gridCol w:w="3634"/>
        <w:gridCol w:w="2054"/>
      </w:tblGrid>
      <w:tr>
        <w:trPr>
          <w:cantSplit/>
          <w:tblHeader/>
        </w:trPr>
        <w:tc>
          <w:tcPr>
            <w:tcW w:type="dxa" w:w="395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Indice</w:t>
            </w:r>
          </w:p>
        </w:tc>
        <w:tc>
          <w:tcPr>
            <w:tcW w:type="dxa" w:w="363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Composante</w:t>
            </w:r>
          </w:p>
        </w:tc>
        <w:tc>
          <w:tcPr>
            <w:tcW w:type="dxa" w:w="205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Poids Anderson (sensibilité)</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D1 Gouvernance</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cac_P3</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0,168</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D1 Gouvernance</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cod_F_codesa</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0,344</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D1 Gouvernance</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cac_pac_vu_tous</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0,013</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D1 Gouvernance</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cod_pv_vu</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0,462</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D1 Gouvernance</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cod_microplan_vu</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0,013</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D2 Capacités des acteurs</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reco_P4</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0,191</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D2 Capacités des acteurs</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asc_formation_initiale</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0,307</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D2 Capacités des acteurs</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asc_autre_formation</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0,197</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D2 Capacités des acteurs</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asc_supervision</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0,305</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 Résultats ménages</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0,218</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 Résultats ménages</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0,191</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 Résultats ménages</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savon</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0,234</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 Résultats ménages</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CPS</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0,178</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 Résultats ménages</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W2_vu_tous</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0,179</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cac_riposte</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0,153</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cac_role_mpox</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0,18</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cac_actions_mpox</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0,015</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cod_riposte_P1</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0,139</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cod_briefing_P4</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0,188</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reco_riposte</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0,097</w:t>
            </w:r>
          </w:p>
        </w:tc>
      </w:tr>
      <w:tr>
        <w:trPr>
          <w:cantSplit/>
        </w:trPr>
        <w:tc>
          <w:tcPr>
            <w:tcW w:type="dxa" w:w="395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men_K1_yn</w:t>
            </w:r>
          </w:p>
        </w:tc>
        <w:tc>
          <w:tcPr>
            <w:tcW w:type="dxa" w:w="205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0,015</w:t>
            </w:r>
          </w:p>
        </w:tc>
      </w:tr>
      <w:tr>
        <w:trPr>
          <w:cantSplit/>
        </w:trPr>
        <w:tc>
          <w:tcPr>
            <w:tcW w:type="dxa" w:w="395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D4 Riposte Mpox</w:t>
            </w:r>
          </w:p>
        </w:tc>
        <w:tc>
          <w:tcPr>
            <w:tcW w:type="dxa" w:w="363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men_K8_yn</w:t>
            </w:r>
          </w:p>
        </w:tc>
        <w:tc>
          <w:tcPr>
            <w:tcW w:type="dxa" w:w="205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0,213</w:t>
            </w:r>
          </w:p>
        </w:tc>
      </w:tr>
    </w:tbl>
    <w:p>
      <w:pPr>
        <w:spacing w:after="200" w:before="60"/>
        <w:jc w:val="left"/>
      </w:pPr>
      <w:r>
        <w:rPr>
          <w:color w:val="6B7280"/>
          <w:sz w:val="15"/>
          <w:szCs w:val="15"/>
        </w:rPr>
        <w:t xml:space="preserve">Indice principal : moyenne des composantes standardisées sur la référence témoin T0 (poids égaux, au moins la moitié des composantes renseignées), re-standardisée (moyenne 0, écart-type 1 dans la référence). Variante d'Anderson (2008, poids inverses de la covariance, plancher 0,05) conservée en sensibilité. D1, D2, D4 : niveau aire de santé ; D3 : niveau ménage.</w:t>
      </w:r>
    </w:p>
    <w:p>
      <w:pPr>
        <w:spacing w:after="160"/>
        <w:jc w:val="left"/>
      </w:pPr>
      <w:r>
        <w:rPr>
          <w:b/>
          <w:bCs/>
          <w:color w:val="0B1F3A"/>
          <w:sz w:val="17"/>
          <w:szCs w:val="17"/>
        </w:rPr>
        <w:t xml:space="preserve">Tableau 48. </w:t>
      </w:r>
      <w:r>
        <w:rPr>
          <w:color w:val="52514E"/>
          <w:sz w:val="17"/>
          <w:szCs w:val="17"/>
        </w:rPr>
        <w:t xml:space="preserve">Fiabilité des indices réflexifs de connaissances (ménages)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381"/>
        <w:gridCol w:w="751"/>
        <w:gridCol w:w="751"/>
        <w:gridCol w:w="1127"/>
        <w:gridCol w:w="1001"/>
        <w:gridCol w:w="1627"/>
      </w:tblGrid>
      <w:tr>
        <w:trPr>
          <w:cantSplit/>
          <w:tblHeader/>
        </w:trPr>
        <w:tc>
          <w:tcPr>
            <w:tcW w:type="dxa" w:w="438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Indice</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Items</w:t>
            </w:r>
          </w:p>
        </w:tc>
        <w:tc>
          <w:tcPr>
            <w:tcW w:type="dxa" w:w="75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112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Alpha (KR-20)</w:t>
            </w:r>
          </w:p>
        </w:tc>
        <w:tc>
          <w:tcPr>
            <w:tcW w:type="dxa" w:w="100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Oméga total</w:t>
            </w:r>
          </w:p>
        </w:tc>
        <w:tc>
          <w:tcPr>
            <w:tcW w:type="dxa" w:w="162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Corrélation inter-items moyenne</w:t>
            </w:r>
          </w:p>
        </w:tc>
      </w:tr>
      <w:tr>
        <w:trPr>
          <w:cantSplit/>
        </w:trPr>
        <w:tc>
          <w:tcPr>
            <w:tcW w:type="dxa" w:w="43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Signes de danger de l'enfant (L10, 18 items)</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5713</w:t>
            </w:r>
          </w:p>
        </w:tc>
        <w:tc>
          <w:tcPr>
            <w:tcW w:type="dxa" w:w="11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0,909</w:t>
            </w:r>
          </w:p>
        </w:tc>
        <w:tc>
          <w:tcPr>
            <w:tcW w:type="dxa" w:w="10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0,922</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0,386</w:t>
            </w:r>
          </w:p>
        </w:tc>
      </w:tr>
      <w:tr>
        <w:trPr>
          <w:cantSplit/>
        </w:trPr>
        <w:tc>
          <w:tcPr>
            <w:tcW w:type="dxa" w:w="43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Modes de transmission Mpox (K3, 5 items, si connaît)</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2849</w:t>
            </w:r>
          </w:p>
        </w:tc>
        <w:tc>
          <w:tcPr>
            <w:tcW w:type="dxa" w:w="11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0,694</w:t>
            </w:r>
          </w:p>
        </w:tc>
        <w:tc>
          <w:tcPr>
            <w:tcW w:type="dxa" w:w="10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0,701</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0,307</w:t>
            </w:r>
          </w:p>
        </w:tc>
      </w:tr>
      <w:tr>
        <w:trPr>
          <w:cantSplit/>
        </w:trPr>
        <w:tc>
          <w:tcPr>
            <w:tcW w:type="dxa" w:w="43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Prévention Mpox (K6, 6 items, si connaît)</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2849</w:t>
            </w:r>
          </w:p>
        </w:tc>
        <w:tc>
          <w:tcPr>
            <w:tcW w:type="dxa" w:w="11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0,78</w:t>
            </w:r>
          </w:p>
        </w:tc>
        <w:tc>
          <w:tcPr>
            <w:tcW w:type="dxa" w:w="10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0,784</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0,363</w:t>
            </w:r>
          </w:p>
        </w:tc>
      </w:tr>
      <w:tr>
        <w:trPr>
          <w:cantSplit/>
        </w:trPr>
        <w:tc>
          <w:tcPr>
            <w:tcW w:type="dxa" w:w="43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Indice P2 (ensemble des items)</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5524</w:t>
            </w:r>
          </w:p>
        </w:tc>
        <w:tc>
          <w:tcPr>
            <w:tcW w:type="dxa" w:w="11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0,916</w:t>
            </w:r>
          </w:p>
        </w:tc>
        <w:tc>
          <w:tcPr>
            <w:tcW w:type="dxa" w:w="10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0,926</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0,334</w:t>
            </w:r>
          </w:p>
        </w:tc>
      </w:tr>
      <w:tr>
        <w:trPr>
          <w:cantSplit/>
        </w:trPr>
        <w:tc>
          <w:tcPr>
            <w:tcW w:type="dxa" w:w="43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 – T0 Témoin</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1428</w:t>
            </w:r>
          </w:p>
        </w:tc>
        <w:tc>
          <w:tcPr>
            <w:tcW w:type="dxa" w:w="11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0,901</w:t>
            </w:r>
          </w:p>
        </w:tc>
        <w:tc>
          <w:tcPr>
            <w:tcW w:type="dxa" w:w="10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0,923</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0,385</w:t>
            </w:r>
          </w:p>
        </w:tc>
      </w:tr>
      <w:tr>
        <w:trPr>
          <w:cantSplit/>
        </w:trPr>
        <w:tc>
          <w:tcPr>
            <w:tcW w:type="dxa" w:w="43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 – T1 Témoin</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1433</w:t>
            </w:r>
          </w:p>
        </w:tc>
        <w:tc>
          <w:tcPr>
            <w:tcW w:type="dxa" w:w="11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0,916</w:t>
            </w:r>
          </w:p>
        </w:tc>
        <w:tc>
          <w:tcPr>
            <w:tcW w:type="dxa" w:w="10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0,926</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0,398</w:t>
            </w:r>
          </w:p>
        </w:tc>
      </w:tr>
      <w:tr>
        <w:trPr>
          <w:cantSplit/>
        </w:trPr>
        <w:tc>
          <w:tcPr>
            <w:tcW w:type="dxa" w:w="438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 – T0 Intervention</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5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1429</w:t>
            </w:r>
          </w:p>
        </w:tc>
        <w:tc>
          <w:tcPr>
            <w:tcW w:type="dxa" w:w="11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0,841</w:t>
            </w:r>
          </w:p>
        </w:tc>
        <w:tc>
          <w:tcPr>
            <w:tcW w:type="dxa" w:w="100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0,874</w:t>
            </w:r>
          </w:p>
        </w:tc>
        <w:tc>
          <w:tcPr>
            <w:tcW w:type="dxa" w:w="162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0,272</w:t>
            </w:r>
          </w:p>
        </w:tc>
      </w:tr>
      <w:tr>
        <w:trPr>
          <w:cantSplit/>
        </w:trPr>
        <w:tc>
          <w:tcPr>
            <w:tcW w:type="dxa" w:w="438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 – T1 Intervention</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75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1423</w:t>
            </w:r>
          </w:p>
        </w:tc>
        <w:tc>
          <w:tcPr>
            <w:tcW w:type="dxa" w:w="11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0,927</w:t>
            </w:r>
          </w:p>
        </w:tc>
        <w:tc>
          <w:tcPr>
            <w:tcW w:type="dxa" w:w="100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0,933</w:t>
            </w:r>
          </w:p>
        </w:tc>
        <w:tc>
          <w:tcPr>
            <w:tcW w:type="dxa" w:w="162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0,425</w:t>
            </w:r>
          </w:p>
        </w:tc>
      </w:tr>
    </w:tbl>
    <w:p>
      <w:pPr>
        <w:spacing w:after="200" w:before="60"/>
        <w:jc w:val="left"/>
      </w:pPr>
      <w:r>
        <w:rPr>
          <w:color w:val="6B7280"/>
          <w:sz w:val="15"/>
          <w:szCs w:val="15"/>
        </w:rPr>
        <w:t xml:space="preserve">Alpha de Cronbach sur items binaires (équivalent KR-20) ; oméga total sur un facteur. Lignes L10 par passage et par bras : contrôle d'invariance approché.</w:t>
      </w:r>
    </w:p>
    <w:p>
      <w:pPr>
        <w:spacing w:after="160"/>
        <w:jc w:val="left"/>
      </w:pPr>
      <w:r>
        <w:rPr>
          <w:b/>
          <w:bCs/>
          <w:color w:val="0B1F3A"/>
          <w:sz w:val="17"/>
          <w:szCs w:val="17"/>
        </w:rPr>
        <w:t xml:space="preserve">Tableau 49. </w:t>
      </w:r>
      <w:r>
        <w:rPr>
          <w:color w:val="52514E"/>
          <w:sz w:val="17"/>
          <w:szCs w:val="17"/>
        </w:rPr>
        <w:t xml:space="preserve">Paramètres IRT approchés (2PL via corrélations tétrachoriques) des 18 signes de danger</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3213"/>
        <w:gridCol w:w="3614"/>
        <w:gridCol w:w="2811"/>
      </w:tblGrid>
      <w:tr>
        <w:trPr>
          <w:cantSplit/>
          <w:tblHeader/>
        </w:trPr>
        <w:tc>
          <w:tcPr>
            <w:tcW w:type="dxa" w:w="321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Item</w:t>
            </w:r>
          </w:p>
        </w:tc>
        <w:tc>
          <w:tcPr>
            <w:tcW w:type="dxa" w:w="361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Discrimination</w:t>
            </w:r>
          </w:p>
        </w:tc>
        <w:tc>
          <w:tcPr>
            <w:tcW w:type="dxa" w:w="281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Difficulté</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0,57</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-0,32</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L10__2</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0,57</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-0,44</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L10__3</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0,73</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-0,04</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L10__4</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1,31</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1,09</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L10__5</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1,23</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1,06</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L10__6</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1,75</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1,74</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L10__7</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0,73</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0,22</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L10__8</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1,99</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L10__9</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2,55</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3,01</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L10__10</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2,35</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L10__11</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2,06</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L10__12</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2,33</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2,37</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L10__13</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1,35</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1,18</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L10__14</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2,45</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2,72</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L10__15</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1,92</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2,17</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L10__16</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3,41</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4,51</w:t>
            </w:r>
          </w:p>
        </w:tc>
      </w:tr>
      <w:tr>
        <w:trPr>
          <w:cantSplit/>
        </w:trPr>
        <w:tc>
          <w:tcPr>
            <w:tcW w:type="dxa" w:w="321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L10__17</w:t>
            </w:r>
          </w:p>
        </w:tc>
        <w:tc>
          <w:tcPr>
            <w:tcW w:type="dxa" w:w="361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1,71</w:t>
            </w:r>
          </w:p>
        </w:tc>
        <w:tc>
          <w:tcPr>
            <w:tcW w:type="dxa" w:w="281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2,13</w:t>
            </w:r>
          </w:p>
        </w:tc>
      </w:tr>
      <w:tr>
        <w:trPr>
          <w:cantSplit/>
        </w:trPr>
        <w:tc>
          <w:tcPr>
            <w:tcW w:type="dxa" w:w="321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L10__18</w:t>
            </w:r>
          </w:p>
        </w:tc>
        <w:tc>
          <w:tcPr>
            <w:tcW w:type="dxa" w:w="361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0,92</w:t>
            </w:r>
          </w:p>
        </w:tc>
        <w:tc>
          <w:tcPr>
            <w:tcW w:type="dxa" w:w="281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0,84</w:t>
            </w:r>
          </w:p>
        </w:tc>
      </w:tr>
    </w:tbl>
    <w:p>
      <w:pPr>
        <w:spacing w:after="200" w:before="60"/>
        <w:jc w:val="left"/>
      </w:pPr>
      <w:r>
        <w:rPr>
          <w:color w:val="6B7280"/>
          <w:sz w:val="15"/>
          <w:szCs w:val="15"/>
        </w:rPr>
        <w:t xml:space="preserve">psych::irt.fa. La difficulté élevée signale un signe rarement cité ; la discrimination faible, un item peu informatif sur le trait.</w:t>
      </w:r>
    </w:p>
    <w:p>
      <w:pPr>
        <w:pStyle w:val="Heading2"/>
        <w:spacing w:after="100" w:before="260"/>
      </w:pPr>
      <w:r>
        <w:t xml:space="preserve">C. Qualité des données</w:t>
      </w:r>
    </w:p>
    <w:p>
      <w:pPr>
        <w:spacing w:after="160"/>
        <w:jc w:val="left"/>
      </w:pPr>
      <w:r>
        <w:rPr>
          <w:b/>
          <w:bCs/>
          <w:color w:val="0B1F3A"/>
          <w:sz w:val="17"/>
          <w:szCs w:val="17"/>
        </w:rPr>
        <w:t xml:space="preserve">Tableau 50. </w:t>
      </w:r>
      <w:r>
        <w:rPr>
          <w:color w:val="52514E"/>
          <w:sz w:val="17"/>
          <w:szCs w:val="17"/>
        </w:rPr>
        <w:t xml:space="preserve">Couverture des ASC par province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382"/>
        <w:gridCol w:w="1752"/>
        <w:gridCol w:w="1752"/>
        <w:gridCol w:w="1752"/>
      </w:tblGrid>
      <w:tr>
        <w:trPr>
          <w:cantSplit/>
          <w:tblHeader/>
        </w:trPr>
        <w:tc>
          <w:tcPr>
            <w:tcW w:type="dxa" w:w="438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Province</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T0</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T1</w:t>
            </w:r>
          </w:p>
        </w:tc>
        <w:tc>
          <w:tcPr>
            <w:tcW w:type="dxa" w:w="1752"/>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Écart</w:t>
            </w:r>
          </w:p>
        </w:tc>
      </w:tr>
      <w:tr>
        <w:trPr>
          <w:cantSplit/>
        </w:trPr>
        <w:tc>
          <w:tcPr>
            <w:tcW w:type="dxa" w:w="43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37</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r>
      <w:tr>
        <w:trPr>
          <w:cantSplit/>
        </w:trPr>
        <w:tc>
          <w:tcPr>
            <w:tcW w:type="dxa" w:w="43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43</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r>
      <w:tr>
        <w:trPr>
          <w:cantSplit/>
        </w:trPr>
        <w:tc>
          <w:tcPr>
            <w:tcW w:type="dxa" w:w="438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60</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w:t>
            </w:r>
          </w:p>
        </w:tc>
        <w:tc>
          <w:tcPr>
            <w:tcW w:type="dxa" w:w="1752"/>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w:t>
            </w:r>
          </w:p>
        </w:tc>
      </w:tr>
      <w:tr>
        <w:trPr>
          <w:cantSplit/>
        </w:trPr>
        <w:tc>
          <w:tcPr>
            <w:tcW w:type="dxa" w:w="438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w:t>
            </w:r>
          </w:p>
        </w:tc>
        <w:tc>
          <w:tcPr>
            <w:tcW w:type="dxa" w:w="1752"/>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bl>
    <w:p>
      <w:pPr>
        <w:spacing w:after="200" w:before="60"/>
        <w:jc w:val="left"/>
      </w:pPr>
      <w:r>
        <w:rPr>
          <w:color w:val="6B7280"/>
          <w:sz w:val="15"/>
          <w:szCs w:val="15"/>
        </w:rPr>
        <w:t xml:space="preserve">Source : base ASC combinée. Le déficit de T1 (Maniema, Sankuru) est un problème de couverture en coupes répétées : instruit par ZS avant toute comparaison.</w:t>
      </w:r>
    </w:p>
    <w:p>
      <w:pPr>
        <w:spacing w:after="160"/>
        <w:jc w:val="left"/>
      </w:pPr>
      <w:r>
        <w:rPr>
          <w:b/>
          <w:bCs/>
          <w:color w:val="0B1F3A"/>
          <w:sz w:val="17"/>
          <w:szCs w:val="17"/>
        </w:rPr>
        <w:t xml:space="preserve">Tableau 51. </w:t>
      </w:r>
      <w:r>
        <w:rPr>
          <w:color w:val="52514E"/>
          <w:sz w:val="17"/>
          <w:szCs w:val="17"/>
        </w:rPr>
        <w:t xml:space="preserve">Valeurs manquantes des variables d'analyse, par base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375"/>
        <w:gridCol w:w="1377"/>
        <w:gridCol w:w="1033"/>
        <w:gridCol w:w="1033"/>
        <w:gridCol w:w="1377"/>
        <w:gridCol w:w="1377"/>
        <w:gridCol w:w="1033"/>
        <w:gridCol w:w="1033"/>
      </w:tblGrid>
      <w:tr>
        <w:trPr>
          <w:cantSplit/>
          <w:tblHeader/>
        </w:trPr>
        <w:tc>
          <w:tcPr>
            <w:tcW w:type="dxa" w:w="13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Base</w:t>
            </w:r>
          </w:p>
        </w:tc>
        <w:tc>
          <w:tcPr>
            <w:tcW w:type="dxa" w:w="13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Variable</w:t>
            </w:r>
          </w:p>
        </w:tc>
        <w:tc>
          <w:tcPr>
            <w:tcW w:type="dxa" w:w="103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 T0</w:t>
            </w:r>
          </w:p>
        </w:tc>
        <w:tc>
          <w:tcPr>
            <w:tcW w:type="dxa" w:w="103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 T1</w:t>
            </w:r>
          </w:p>
        </w:tc>
        <w:tc>
          <w:tcPr>
            <w:tcW w:type="dxa" w:w="13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manquants T0</w:t>
            </w:r>
          </w:p>
        </w:tc>
        <w:tc>
          <w:tcPr>
            <w:tcW w:type="dxa" w:w="13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manquants T1</w:t>
            </w:r>
          </w:p>
        </w:tc>
        <w:tc>
          <w:tcPr>
            <w:tcW w:type="dxa" w:w="103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pct T0</w:t>
            </w:r>
          </w:p>
        </w:tc>
        <w:tc>
          <w:tcPr>
            <w:tcW w:type="dxa" w:w="103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pct T1</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L1</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K1</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K8</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W1</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W2</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851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635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29,8</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22,2</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S07Q04</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J5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J1</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T2</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C16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C17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255</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8,9</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u4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W15</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Ménages</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W13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2856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0,1</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0,2</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S01Q04</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S01Q07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134</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24,5</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S03Q02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S03Q01a</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S05Q06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S03Q05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S07Q07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S06Q04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RECO</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S05Q01</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S01Q055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S01Q088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S02Q055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S04Q04</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S03Q01a</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ASC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S02Q02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149</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S04Q01</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S04Q02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S04Q04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191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179</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31,3</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S04Q08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S04Q12</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S04Q13b</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23,7</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16,5</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S04Q18</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S04Q19</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5,4</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4,6</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S04Q20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S05Q02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S06Q01</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CAC</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S06Q02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571</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QA8</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QA13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QA15</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G3</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g8</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g12</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H1</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QA7</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25</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18,8</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g2</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31,2</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13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CODESA</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Q4</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96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48</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w:t>
            </w:r>
          </w:p>
        </w:tc>
        <w:tc>
          <w:tcPr>
            <w:tcW w:type="dxa" w:w="103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bl>
    <w:p>
      <w:pPr>
        <w:spacing w:after="200" w:before="60"/>
        <w:jc w:val="left"/>
      </w:pPr>
      <w:r>
        <w:rPr>
          <w:color w:val="6B7280"/>
          <w:sz w:val="15"/>
          <w:szCs w:val="15"/>
        </w:rPr>
        <w:t xml:space="preserve">Les manquants structurels (questions conditionnelles) sont inclus ; la part à imputer est évaluée au bloc C sur les primaires.</w:t>
      </w:r>
    </w:p>
    <w:p>
      <w:pPr>
        <w:spacing w:after="160"/>
        <w:jc w:val="left"/>
      </w:pPr>
      <w:r>
        <w:rPr>
          <w:b/>
          <w:bCs/>
          <w:color w:val="0B1F3A"/>
          <w:sz w:val="17"/>
          <w:szCs w:val="17"/>
        </w:rPr>
        <w:t xml:space="preserve">Tableau 52. </w:t>
      </w:r>
      <w:r>
        <w:rPr>
          <w:color w:val="52514E"/>
          <w:sz w:val="17"/>
          <w:szCs w:val="17"/>
        </w:rPr>
        <w:t xml:space="preserve">Part de valeurs manquantes des indicateurs primaires et des covariables,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06"/>
        <w:gridCol w:w="2610"/>
        <w:gridCol w:w="1205"/>
        <w:gridCol w:w="1807"/>
        <w:gridCol w:w="2610"/>
      </w:tblGrid>
      <w:tr>
        <w:trPr>
          <w:cantSplit/>
          <w:tblHeader/>
        </w:trPr>
        <w:tc>
          <w:tcPr>
            <w:tcW w:type="dxa" w:w="14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Indicateur</w:t>
            </w:r>
          </w:p>
        </w:tc>
        <w:tc>
          <w:tcPr>
            <w:tcW w:type="dxa" w:w="261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120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18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Manquants (%)</w:t>
            </w:r>
          </w:p>
        </w:tc>
        <w:tc>
          <w:tcPr>
            <w:tcW w:type="dxa" w:w="261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Covariables incomplètes (%)</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12,3</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11,7</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13,6</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P1</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12,3</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11,7</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13,6</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P2</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12,3</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11,7</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13,6</w:t>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D3</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13</w:t>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P3</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18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r>
        <w:trPr>
          <w:cantSplit/>
        </w:trPr>
        <w:tc>
          <w:tcPr>
            <w:tcW w:type="dxa" w:w="14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P4</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20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18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c>
          <w:tcPr>
            <w:tcW w:type="dxa" w:w="26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
            </w:r>
          </w:p>
        </w:tc>
      </w:tr>
    </w:tbl>
    <w:p>
      <w:pPr>
        <w:spacing w:after="200" w:before="60"/>
        <w:jc w:val="left"/>
      </w:pPr>
      <w:r>
        <w:rPr>
          <w:color w:val="6B7280"/>
          <w:sz w:val="15"/>
          <w:szCs w:val="15"/>
        </w:rPr>
        <w:t xml:space="preserve">Les indices tolèrent un item manquant (règle du minimum d'items) ; les covariables incomplètes sont imputées en sensibilité.</w:t>
      </w:r>
    </w:p>
    <w:p>
      <w:pPr>
        <w:pStyle w:val="Heading2"/>
        <w:spacing w:after="100" w:before="260"/>
      </w:pPr>
      <w:r>
        <w:t xml:space="preserve">D. Tableaux complémentaires</w:t>
      </w:r>
    </w:p>
    <w:p>
      <w:pPr>
        <w:spacing w:after="160"/>
        <w:jc w:val="left"/>
      </w:pPr>
      <w:r>
        <w:rPr>
          <w:b/>
          <w:bCs/>
          <w:color w:val="0B1F3A"/>
          <w:sz w:val="17"/>
          <w:szCs w:val="17"/>
        </w:rPr>
        <w:t xml:space="preserve">Tableau 53. </w:t>
      </w:r>
      <w:r>
        <w:rPr>
          <w:color w:val="52514E"/>
          <w:sz w:val="17"/>
          <w:szCs w:val="17"/>
        </w:rPr>
        <w:t xml:space="preserve">Indicateurs ménages par province : T0, T1 et écart</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743"/>
        <w:gridCol w:w="1175"/>
        <w:gridCol w:w="1567"/>
        <w:gridCol w:w="470"/>
        <w:gridCol w:w="1567"/>
        <w:gridCol w:w="470"/>
        <w:gridCol w:w="1646"/>
      </w:tblGrid>
      <w:tr>
        <w:trPr>
          <w:cantSplit/>
          <w:tblHeader/>
        </w:trPr>
        <w:tc>
          <w:tcPr>
            <w:tcW w:type="dxa" w:w="2743"/>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Indicateur</w:t>
            </w:r>
          </w:p>
        </w:tc>
        <w:tc>
          <w:tcPr>
            <w:tcW w:type="dxa" w:w="117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Groupe</w:t>
            </w:r>
          </w:p>
        </w:tc>
        <w:tc>
          <w:tcPr>
            <w:tcW w:type="dxa" w:w="1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T0 [IC 95 %]</w:t>
            </w:r>
          </w:p>
        </w:tc>
        <w:tc>
          <w:tcPr>
            <w:tcW w:type="dxa" w:w="47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T0</w:t>
            </w:r>
          </w:p>
        </w:tc>
        <w:tc>
          <w:tcPr>
            <w:tcW w:type="dxa" w:w="156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T1 [IC 95 %]</w:t>
            </w:r>
          </w:p>
        </w:tc>
        <w:tc>
          <w:tcPr>
            <w:tcW w:type="dxa" w:w="47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 T1</w:t>
            </w:r>
          </w:p>
        </w:tc>
        <w:tc>
          <w:tcPr>
            <w:tcW w:type="dxa" w:w="164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Écart [IC 95 %]</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57,9 [50,5 ; 65,3]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62,4 [55,2 ; 69,7]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 [-5,8 ; 14,9]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72,9 [65,5 ; 80,3]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84,2 [78,9 ; 89,5]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11,3 [2,1 ; 20,4]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57,0 [50,4 ; 63,7]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64,9 [57,6 ; 72,3]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 [-2,0 ; 17,8]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d'exposition des ménages aux agents (0-100)</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67,0 [59,9 ; 74,1]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65,3 [57,7 ; 72,9]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[-12,1 ; 8,7]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17,8 [13,9 ; 21,6]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29,7 [23,2 ; 36,2]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12,0 [4,4 ; 19,5]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21,6 [16,3 ; 26,9]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21,7 [15,3 ; 28,1]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[-8,2 ; 8,4]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34,2 [27,8 ; 40,5]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44,2 [36,1 ; 52,3]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10,1 [-0,2 ; 20,3]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connaissances déclarées des ménages (citations, 0-100)</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54,6 [46,2 ; 63,0]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62,5 [54,1 ; 70,9]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 [-4,0 ; 19,7]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[-0,6 ; -0,3]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[-0,5 ; -0,1]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[-0,1 ; 0,4]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[0,0 ; 0,5]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[0,3 ; 0,6]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[-0,1 ; 0,4]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[-0,6 ; 0,0]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[-0,1 ; 0,4]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[0,1 ; 0,8]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Indice de résultats ménages (écarts-types)</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[0,4 ; 1,0]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[0,4 ; 0,9]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[-0,4 ; 0,4]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 [71,5 ; 86,9]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89,9 [84,2 ; 95,6]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10,7 [1,2 ; 20,3]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88,2 [81,7 ; 94,7]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94,4 [90,7 ; 98,2]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 [-1,2 ; 13,7]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68,6 [59,9 ; 77,3]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87,0 [79,4 ; 94,6]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18,4 [6,8 ; 29,9]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COSA et les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92,1 [87,8 ; 96,3]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87,3 [79,8 ; 94,8]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[-13,4 ; 3,8]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57,8 [48,3 ; 67,3]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 [50,1 ; 76,1]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 [-10,8 ; 21,5]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75,7 [64,4 ; 87,0]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86,1 [81,1 ; 91,1]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10,4 [-2,0 ; 22,7]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60,6 [48,4 ; 72,8]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 [54,9 ; 80,5]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 [-10,6 ; 24,8]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reçu une visite à domicile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75,1 [66,2 ; 84,0]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75,9 [65,8 ; 86,0]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 [-12,7 ; 14,2]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39,3 [27,0 ; 51,7]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636</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34,7 [23,5 ; 45,9]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 [-21,3 ; 12,1]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 [44,9 ; 69,4]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626</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72,6 [60,9 ; 84,3]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711</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15,4 [-1,5 ; 32,3]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42,2 [29,6 ; 54,8]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39,0 [26,2 ; 51,8]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656</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 [-21,1 ; 14,8]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vu un agent animer il y a moins d'un mois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33,8 [20,7 ; 46,8]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 [20,5 ; 45,7]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634</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-0,7 [-18,8 ; 17,5]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88,8 [82,2 ; 95,3]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88,6 [83,5 ; 93,8]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-0,1 [-8,5 ; 8,2]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90,3 [85,2 ; 95,4]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98,1 [97,0 ; 99,1]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 [2,6 ; 13,0]</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89,8 [83,7 ; 96,0]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90,1 [81,8 ; 98,3]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[-10,0 ; 10,5]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Satisfaite du travail des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88,7 [83,4 ; 94,1]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89,7 [83,2 ; 96,2]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[-7,5 ; 9,4]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39,6 [30,6 ; 48,5]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46,1 [34,8 ; 57,5]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 [-7,9 ; 21,0]</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33,9 [21,0 ; 46,7]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45,6 [33,1 ; 58,2]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11,7 [-6,2 ; 29,7]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39,7 [28,6 ; 50,8]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53,4 [38,7 ; 68,2]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13,7 [-4,7 ; 32,2]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participé au choix des agents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39,9 [26,2 ; 53,7]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47,7 [33,8 ; 61,5]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 [-11,8 ; 27,3]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[2,5 ; 3,9]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 [3,6 ; 6,3]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 [0,3 ; 3,3]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 [2,4 ; 5,1]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[3,2 ; 5,5]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0,6 [-1,2 ; 2,3]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 [1,5 ; 3,9]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[3,0 ; 6,5]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[-0,1 ; 4,2]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Signes de danger cités (0-18)</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 [4,4 ; 7,6]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 [6,7 ; 10,2]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 [0,1 ; 4,8]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26,2 [18,9 ; 33,6]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[32,9 ; 52,7]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16,5 [4,2 ; 28,9]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32,6 [24,1 ; 41,2]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29,1 [16,7 ; 41,4]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 [-18,6 ; 11,5]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59,7 [50,7 ; 68,8]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70,6 [59,7 ; 81,6]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 [-3,3 ; 25,1]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81,8 [74,3 ; 89,3]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83,2 [74,9 ; 91,6]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 [-9,8 ; 12,7]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49,7 [38,9 ; 60,6]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62,4 [51,8 ; 73,0]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12,7 [-2,5 ; 27,8]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83,6 [73,9 ; 93,3]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[75,2 ; 96,4]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 [-12,1 ; 16,5]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78,1 [69,6 ; 86,5]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87,6 [80,7 ; 94,4]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9,5 [-1,4 ; 20,3]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75,9 [65,1 ; 86,7]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77,9 [65,5 ; 90,2]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 [-14,5 ; 18,3]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76,2 [66,3 ; 86,1]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189</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85,6 [75,6 ; 95,6]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 [-4,7 ; 23,5]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98,3 [96,5 ; 100,1]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235</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98,6 [97,0 ; 100,1]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[-2,1 ; 2,7]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95,2 [91,2 ; 99,2]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417</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95,2 [91,9 ; 98,6]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0,0 [-5,2 ; 5,2]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83,2 [72,6 ; 93,7]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84,7 [73,2 ; 96,3]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[-14,1 ; 17,2]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47,1 [31,7 ; 62,5]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189</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41,3 [27,3 ; 55,4]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 [-26,6 ; 15,1]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54,9 [40,2 ; 69,5]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235</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76,6 [62,6 ; 90,5]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21,7 [1,5 ; 41,9]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65,9 [51,6 ; 80,3]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417</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79,0 [66,7 ; 91,4]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13,1 [-5,9 ; 32,0]</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 [60,1 ; 81,7]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74,6 [63,4 ; 85,8]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 [-11,9 ; 19,2]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50,4 [38,8 ; 62,0]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62,4 [50,7 ; 74,1]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12,0 [-4,5 ; 28,5]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85,3 [76,6 ; 94,0]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90,4 [86,2 ; 94,6]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 [-4,5 ; 14,8]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54,2 [42,8 ; 65,5]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65,6 [55,0 ; 76,2]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11,4 [-4,1 ; 27,0]</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déclaré complètement vacciné ou suivant le calendrier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90,5 [85,0 ; 96,1]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92,7 [87,9 ; 97,4]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[-5,2 ; 9,4]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52,9 [41,6 ; 64,2]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363</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51,7 [38,9 ; 64,5]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 [-18,3 ; 15,9]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66,4 [56,0 ; 76,9]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614</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62,3 [50,3 ; 74,3]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 [-20,0 ; 11,8]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62,7 [50,3 ; 75,1]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58,0 [46,9 ; 69,1]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469</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 [-21,3 ; 11,9]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Carnet présenté, parmi les enfants déclarés vaccinés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 [43,0 ; 63,0]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651</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44,7 [34,3 ; 55,2]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 [-22,7 ; 6,2]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26,7 [19,1 ; 34,2]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32,3 [22,0 ; 42,6]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[-7,2 ; 18,4]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56,7 [46,1 ; 67,2]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56,3 [44,9 ; 67,8]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[-15,9 ; 15,2]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34,0 [22,2 ; 45,7]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38,0 [27,7 ; 48,4]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 [-11,6 ; 19,8]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Déclaré vacciné et carnet présenté, tous ménages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48,0 [37,5 ; 58,4]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 [31,6 ; 51,4]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 [-20,9 ; 7,9]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18,3 [12,4 ; 24,3]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20,5 [12,1 ; 28,9]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 [-8,2 ; 12,4]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64,6 [54,4 ; 74,7]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65,4 [55,8 ; 74,9]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 [-13,2 ; 14,7]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23,2 [11,3 ; 35,2]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27,6 [14,1 ; 41,0]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[-13,7 ; 22,4]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 calendrier vaccinal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70,8 [58,5 ; 83,1]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75,3 [65,0 ; 85,6]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 [-11,5 ; 20,6]</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24,7 [16,7 ; 32,8]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23,4 [14,3 ; 32,5]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[-13,4 ; 10,8]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52,4 [39,0 ; 65,7]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 [46,4 ; 71,5]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 [-11,7 ; 24,9]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22,5 [12,1 ; 32,9]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36,8 [26,0 ; 47,6]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 [-0,7 ; 29,3]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Amène les enfants à la pesée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66,2 [55,7 ; 76,7]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64,2 [53,8 ; 74,5]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[-16,7 ; 12,7]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55,7 [46,2 ; 65,2]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50,1 [41,7 ; 58,5]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 [-18,3 ; 7,1]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75,1 [68,7 ; 81,5]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74,7 [67,0 ; 82,4]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[-10,5 ; 9,6]</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52,1 [39,0 ; 65,3]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68,0 [55,9 ; 80,0]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15,8 [-2,1 ; 33,7]</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 lave les mains à l'eau et au savon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86,9 [80,3 ; 93,5]</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85,3 [75,9 ; 94,8]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[-13,1 ; 9,9]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58,1 [45,8 ; 70,3]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54,6 [41,8 ; 67,3]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 [-21,2 ; 14,2]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79,4 [71,9 ; 87,0]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78,4 [67,0 ; 89,9]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[-14,7 ; 12,7]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[30,5 ; 55,2]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53,7 [40,3 ; 67,1]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10,9 [-7,4 ; 29,1]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les facilités de gratuité de la FOSA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53,4 [38,4 ; 68,4]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 [38,3 ; 67,8]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[-21,4 ; 20,7]</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26,1 [20,6 ; 31,6]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29,9 [21,6 ; 38,1]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 [-6,2 ; 13,7]</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48,1 [39,0 ; 57,1]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45,5 [34,9 ; 56,0]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 [-16,5 ; 11,3]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24,6 [15,7 ; 33,6]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32,6 [23,5 ; 41,7]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 [-4,8 ; 20,7]</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Enfant malade dans les deux semaines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44,2 [35,7 ; 52,7]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45,0 [34,8 ; 55,2]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 [-12,5 ; 14,1]</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68,1 [56,4 ; 79,8]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81,2 [71,7 ; 90,7]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13,1 [-1,9 ; 28,2]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57,2 [47,1 ; 67,4]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346</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59,9 [48,1 ; 71,8]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 [-12,9 ; 18,3]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68,6 [50,4 ; 86,8]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67,8 [58,5 ; 77,2]</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-0,8 [-21,3 ; 19,7]</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Recours formel en première réaction (CS ou agent)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62,6 [52,9 ; 72,3]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60,2 [47,1 ; 73,2]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 [-18,6 ; 13,9]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17,6 [7,8 ; 27,3]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16,0 [8,2 ; 23,7]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[-14,0 ; 10,9]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 [-0,0 ; 4,1]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346</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12,8 [2,7 ; 23,0]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10,8 [0,4 ; 21,2]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12,2 [3,8 ; 20,7]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27,5 [14,4 ; 40,5]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15,3 [-0,3 ; 30,8]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Première réaction : agent communautaire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 [3,0 ; 12,1]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 [0,2 ; 12,9]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[-8,8 ; 6,8]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83,5 [72,6 ; 94,4]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90,6 [82,4 ; 98,8]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 [-6,6 ; 20,8]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77,5 [67,3 ; 87,6]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346</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 [68,7 ; 89,8]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[-12,9 ; 16,4]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90,1 [82,6 ; 97,7]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[76,3 ; 95,4]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[-16,5 ; 7,9]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 consulté un service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82,7 [72,4 ; 93,0]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84,0 [74,2 ; 93,8]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 [-12,9 ; 15,5]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30,6 [21,6 ; 39,6]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157</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38,3 [28,3 ; 48,4]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 [-5,7 ; 21,2]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25,0 [10,1 ; 39,9]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29,3 [19,4 ; 39,3]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[-13,5 ; 22,2]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40,0 [23,4 ; 56,6]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155</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34,0 [22,3 ; 45,7]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200</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 [-26,3 ; 14,3]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en moins de 24 h parmi les consultants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26,2 [15,9 ; 36,6]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263</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24,6 [15,7 ; 33,6]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[-15,3 ; 12,1]</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73,4 [63,5 ; 83,3]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83,1 [74,4 ; 91,8]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9,7 [-3,5 ; 22,9]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62,4 [53,6 ; 71,2]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346</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66,4 [53,5 ; 79,2]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 [-11,7 ; 19,5]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75,0 [55,1 ; 94,9]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71,7 [59,3 ; 84,0]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 [-26,7 ; 20,1]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Prise en charge au CS, à l'hôpital ou chez l'agent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65,4 [54,2 ; 76,6]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64,9 [50,8 ; 79,0]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[-18,5 ; 17,5]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79,0 [70,4 ; 87,7]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88,9 [83,0 ; 94,9]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9,9 [-0,6 ; 20,4]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91,5 [83,9 ; 99,2]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96,4 [94,2 ; 98,6]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 [-3,1 ; 12,8]</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90,8 [86,0 ; 95,7]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89,7 [83,2 ; 96,1]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 [-9,2 ; 6,9]</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96,7 [93,0 ; 100,4]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95,2 [92,1 ; 98,3]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-1,5 [-6,3 ; 3,4]</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24,2 [14,2 ; 34,1]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24,0 [14,2 ; 33,7]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-0,2 [-14,1 ; 13,7]</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41,1 [32,6 ; 49,7]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45,3 [33,9 ; 56,8]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 [-10,1 ; 18,5]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31,7 [21,0 ; 42,3]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45,6 [30,6 ; 60,6]</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13,9 [-4,4 ; 32,3]</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62,7 [51,4 ; 74,1]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45,3 [33,7 ; 56,8]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-17,5 [-33,6 ; -1,3]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78,7 [71,4 ; 86,0]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 [71,9 ; 86,5]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712</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0,5 [-9,8 ; 10,8]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93,7 [90,1 ; 97,4]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94,2 [86,1 ; 102,2]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0,4 [-8,4 ; 9,2]</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75,0 [63,9 ; 86,1]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79,5 [73,2 ; 85,8]</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712</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 [-8,3 ; 17,2]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99,6 [99,0 ; 100,2]</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98,6 [97,4 ; 99,7]</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702</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 [-2,3 ; 0,3]</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11,8 [5,3 ; 18,3]</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25,7 [14,3 ; 37,1]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712</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13,9 [0,7 ; 27,1]</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53,0 [39,5 ; 66,4]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69,2 [57,3 ; 81,0]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717</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16,2 [-1,8 ; 34,1]</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20,4 [8,8 ; 32,0]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697</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23,6 [13,1 ; 34,0]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[-12,4 ; 18,8]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40,4 [26,3 ; 54,4]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50,0 [38,4 ; 61,6]</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708</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9,6 [-8,6 ; 27,9]</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11,7 [4,8 ; 18,5]</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22,9 [12,7 ; 33,1]</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713</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11,2 [-1,1 ; 23,5]</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29,3 [17,9 ; 40,8]</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720</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52,0 [37,1 ; 66,9]</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22,7 [3,9 ; 41,5]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29,7 [18,9 ; 40,4]</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698</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39,2 [28,3 ; 50,0]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715</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9,5 [-5,8 ; 24,8]</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Test VIH à la dernière grossesse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80,3 [69,5 ; 91,0]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719</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81,8 [74,6 ; 89,0]</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 [-11,4 ; 14,5]</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Maniema</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70,9 [62,8 ; 79,0]</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636</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80,8 [72,9 ; 88,7]</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9,9 [-1,4 ; 21,2]</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Kasaï-Oriental</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84,1 [76,1 ; 92,1]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648</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91,0 [85,6 ; 96,4]</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680</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6,9 [-2,8 ; 16,6]</w:t>
            </w:r>
          </w:p>
        </w:tc>
      </w:tr>
      <w:tr>
        <w:trPr>
          <w:cantSplit/>
        </w:trPr>
        <w:tc>
          <w:tcPr>
            <w:tcW w:type="dxa" w:w="2743"/>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17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Sankuru</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57,5 [43,1 ; 71,9]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623</w:t>
            </w:r>
          </w:p>
        </w:tc>
        <w:tc>
          <w:tcPr>
            <w:tcW w:type="dxa" w:w="156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66,4 [51,9 ; 80,9]</w:t>
            </w:r>
          </w:p>
        </w:tc>
        <w:tc>
          <w:tcPr>
            <w:tcW w:type="dxa" w:w="47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607</w:t>
            </w:r>
          </w:p>
        </w:tc>
        <w:tc>
          <w:tcPr>
            <w:tcW w:type="dxa" w:w="164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 [-11,5 ; 29,4]</w:t>
            </w:r>
          </w:p>
        </w:tc>
      </w:tr>
      <w:tr>
        <w:trPr>
          <w:cantSplit/>
        </w:trPr>
        <w:tc>
          <w:tcPr>
            <w:tcW w:type="dxa" w:w="2743"/>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Vaccin antitétanique reçu (%)</w:t>
            </w:r>
          </w:p>
        </w:tc>
        <w:tc>
          <w:tcPr>
            <w:tcW w:type="dxa" w:w="117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Sud-Kivu</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91,9 [87,8 ; 96,1]</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645</w:t>
            </w:r>
          </w:p>
        </w:tc>
        <w:tc>
          <w:tcPr>
            <w:tcW w:type="dxa" w:w="156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91,7 [87,0 ; 96,3]</w:t>
            </w:r>
          </w:p>
        </w:tc>
        <w:tc>
          <w:tcPr>
            <w:tcW w:type="dxa" w:w="47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623</w:t>
            </w:r>
          </w:p>
        </w:tc>
        <w:tc>
          <w:tcPr>
            <w:tcW w:type="dxa" w:w="164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-0,3 [-6,5 ; 5,9]</w:t>
            </w:r>
          </w:p>
        </w:tc>
      </w:tr>
    </w:tbl>
    <w:p>
      <w:pPr>
        <w:spacing w:after="200" w:before="60"/>
        <w:jc w:val="left"/>
      </w:pPr>
      <w:r>
        <w:rPr>
          <w:color w:val="6B7280"/>
          <w:sz w:val="15"/>
          <w:szCs w:val="15"/>
        </w:rPr>
        <w:t xml:space="preserve">Mêmes conventions que le tableau par bras.</w:t>
      </w:r>
    </w:p>
    <w:p>
      <w:pPr>
        <w:spacing w:after="160"/>
        <w:jc w:val="left"/>
      </w:pPr>
      <w:r>
        <w:rPr>
          <w:b/>
          <w:bCs/>
          <w:color w:val="0B1F3A"/>
          <w:sz w:val="17"/>
          <w:szCs w:val="17"/>
        </w:rPr>
        <w:t xml:space="preserve">Tableau 54. </w:t>
      </w:r>
      <w:r>
        <w:rPr>
          <w:color w:val="52514E"/>
          <w:sz w:val="17"/>
          <w:szCs w:val="17"/>
        </w:rPr>
        <w:t xml:space="preserve">Indice de connaissances déclarées des ménages (citations, 0-100) : valeurs par zone de santé à T0 et T1, évolution brute et ajustée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59"/>
        <w:gridCol w:w="1266"/>
        <w:gridCol w:w="1266"/>
        <w:gridCol w:w="584"/>
        <w:gridCol w:w="584"/>
        <w:gridCol w:w="584"/>
        <w:gridCol w:w="584"/>
        <w:gridCol w:w="974"/>
        <w:gridCol w:w="1071"/>
        <w:gridCol w:w="1266"/>
      </w:tblGrid>
      <w:tr>
        <w:trPr>
          <w:cantSplit/>
          <w:tblHeader/>
        </w:trPr>
        <w:tc>
          <w:tcPr>
            <w:tcW w:type="dxa" w:w="14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Province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Zone de santé</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Bras</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T1</w:t>
            </w:r>
          </w:p>
        </w:tc>
        <w:tc>
          <w:tcPr>
            <w:tcW w:type="dxa" w:w="97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brute</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ajustée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Écart à la moyenne provinciale</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Kibombo</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30,7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-6,4</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Pangi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10,1</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Kalima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Tunda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15,7</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15,6</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Kasansa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0,3</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Miabi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-0,4</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Citenge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16,1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Tshishimbi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15,8</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Katako Kombe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Ototo</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Lodja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-3,2</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Minga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10,9</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Katana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65,5</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171</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Nyangezi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Nyantende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54,2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68,4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180</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14,2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Walungu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48,4</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58,2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178</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9,8</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w:t>
            </w:r>
          </w:p>
        </w:tc>
      </w:tr>
    </w:tbl>
    <w:p>
      <w:pPr>
        <w:spacing w:after="200" w:before="60"/>
        <w:jc w:val="left"/>
      </w:pPr>
      <w:r>
        <w:rPr>
          <w:color w:val="6B7280"/>
          <w:sz w:val="15"/>
          <w:szCs w:val="15"/>
        </w:rPr>
        <w:t xml:space="preserve">Évolution ajustée : moyenne par zone des résidus du modèle ménage (covariables individuelles, effets fixes province × passage), pondération égale des provinces.</w:t>
      </w:r>
    </w:p>
    <w:p>
      <w:pPr>
        <w:spacing w:after="160"/>
        <w:jc w:val="left"/>
      </w:pPr>
      <w:r>
        <w:rPr>
          <w:b/>
          <w:bCs/>
          <w:color w:val="0B1F3A"/>
          <w:sz w:val="17"/>
          <w:szCs w:val="17"/>
        </w:rPr>
        <w:t xml:space="preserve">Tableau 55. </w:t>
      </w:r>
      <w:r>
        <w:rPr>
          <w:color w:val="52514E"/>
          <w:sz w:val="17"/>
          <w:szCs w:val="17"/>
        </w:rPr>
        <w:t xml:space="preserve">Professionnalisation des RECO, 6 items (0-100) : valeurs par zone de santé à T0 et T1, évolution brute et ajustée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1459"/>
        <w:gridCol w:w="1266"/>
        <w:gridCol w:w="1266"/>
        <w:gridCol w:w="584"/>
        <w:gridCol w:w="584"/>
        <w:gridCol w:w="584"/>
        <w:gridCol w:w="584"/>
        <w:gridCol w:w="974"/>
        <w:gridCol w:w="1071"/>
        <w:gridCol w:w="1266"/>
      </w:tblGrid>
      <w:tr>
        <w:trPr>
          <w:cantSplit/>
          <w:tblHeader/>
        </w:trPr>
        <w:tc>
          <w:tcPr>
            <w:tcW w:type="dxa" w:w="14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Province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Zone de santé</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4"/>
                <w:szCs w:val="14"/>
              </w:rPr>
              <w:t xml:space="preserve">Bras</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T0</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T1</w:t>
            </w:r>
          </w:p>
        </w:tc>
        <w:tc>
          <w:tcPr>
            <w:tcW w:type="dxa" w:w="58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n T1</w:t>
            </w:r>
          </w:p>
        </w:tc>
        <w:tc>
          <w:tcPr>
            <w:tcW w:type="dxa" w:w="97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brute</w:t>
            </w:r>
          </w:p>
        </w:tc>
        <w:tc>
          <w:tcPr>
            <w:tcW w:type="dxa" w:w="107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Évolution ajustée</w:t>
            </w:r>
          </w:p>
        </w:tc>
        <w:tc>
          <w:tcPr>
            <w:tcW w:type="dxa" w:w="126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4"/>
                <w:szCs w:val="14"/>
              </w:rPr>
              <w:t xml:space="preserve">Écart à la moyenne provinciale</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Kibombo</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41,2</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-7,2</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Pangi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50,6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Kalima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51,9</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-6,5</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Maniema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Tunda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18,6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Kasansa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41,9</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Miabi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49,5</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47,1</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-2,9</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Citenge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56,5</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9,4</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9,4</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8,9</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Kasaï-Oriental</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Tshishimbi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37,2</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34,3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Katako Kombe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23,7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45,8</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22,1</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22,1</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15,7</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Ototo</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39,9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26,4</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-13,5</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-13,5</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-20</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Lodja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41,7</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48,6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6,9</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0,5</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Sankuru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Minga</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19,4</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29,7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10,3</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10,3</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3,8</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Katana</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53,1</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56,4</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35</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3,3</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0,2</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Nyangezi</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Intervention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25,9</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28,3</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2,4</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-0,8</w:t>
            </w:r>
          </w:p>
        </w:tc>
      </w:tr>
      <w:tr>
        <w:trPr>
          <w:cantSplit/>
        </w:trPr>
        <w:tc>
          <w:tcPr>
            <w:tcW w:type="dxa" w:w="14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Nyantende</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42,3</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44,5</w:t>
            </w:r>
          </w:p>
        </w:tc>
        <w:tc>
          <w:tcPr>
            <w:tcW w:type="dxa" w:w="58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w:t>
            </w:r>
          </w:p>
        </w:tc>
        <w:tc>
          <w:tcPr>
            <w:tcW w:type="dxa" w:w="107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2,2</w:t>
            </w:r>
          </w:p>
        </w:tc>
        <w:tc>
          <w:tcPr>
            <w:tcW w:type="dxa" w:w="126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-0,9</w:t>
            </w:r>
          </w:p>
        </w:tc>
      </w:tr>
      <w:tr>
        <w:trPr>
          <w:cantSplit/>
        </w:trPr>
        <w:tc>
          <w:tcPr>
            <w:tcW w:type="dxa" w:w="14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Sud-Kivu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Walungu</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4"/>
                <w:szCs w:val="14"/>
              </w:rPr>
              <w:t xml:space="preserve">Témoin</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27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31,7</w:t>
            </w:r>
          </w:p>
        </w:tc>
        <w:tc>
          <w:tcPr>
            <w:tcW w:type="dxa" w:w="58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36</w:t>
            </w:r>
          </w:p>
        </w:tc>
        <w:tc>
          <w:tcPr>
            <w:tcW w:type="dxa" w:w="97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w:t>
            </w:r>
          </w:p>
        </w:tc>
        <w:tc>
          <w:tcPr>
            <w:tcW w:type="dxa" w:w="107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4,6</w:t>
            </w:r>
          </w:p>
        </w:tc>
        <w:tc>
          <w:tcPr>
            <w:tcW w:type="dxa" w:w="126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4"/>
                <w:szCs w:val="14"/>
              </w:rPr>
              <w:t xml:space="preserve">1,5</w:t>
            </w:r>
          </w:p>
        </w:tc>
      </w:tr>
    </w:tbl>
    <w:p>
      <w:pPr>
        <w:spacing w:after="200" w:before="60"/>
        <w:jc w:val="left"/>
      </w:pPr>
      <w:r>
        <w:rPr>
          <w:color w:val="6B7280"/>
          <w:sz w:val="15"/>
          <w:szCs w:val="15"/>
        </w:rPr>
        <w:t xml:space="preserve">Évolution ajustée : égale à l'évolution brute (aucune covariable individuelle au niveau des organes/agents).</w:t>
      </w:r>
    </w:p>
    <w:p>
      <w:pPr>
        <w:spacing w:after="160"/>
        <w:jc w:val="left"/>
      </w:pPr>
      <w:r>
        <w:rPr>
          <w:b/>
          <w:bCs/>
          <w:color w:val="0B1F3A"/>
          <w:sz w:val="17"/>
          <w:szCs w:val="17"/>
        </w:rPr>
        <w:t xml:space="preserve">Tableau 56. </w:t>
      </w:r>
      <w:r>
        <w:rPr>
          <w:color w:val="52514E"/>
          <w:sz w:val="17"/>
          <w:szCs w:val="17"/>
        </w:rPr>
        <w:t xml:space="preserve">Continuum maternel : CPN1, CPN4+, accouchement en structure, consultation postnatale,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960"/>
        <w:gridCol w:w="2959"/>
        <w:gridCol w:w="1099"/>
        <w:gridCol w:w="507"/>
        <w:gridCol w:w="1606"/>
        <w:gridCol w:w="507"/>
      </w:tblGrid>
      <w:tr>
        <w:trPr>
          <w:cantSplit/>
          <w:tblHeader/>
        </w:trPr>
        <w:tc>
          <w:tcPr>
            <w:tcW w:type="dxa" w:w="296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Population</w:t>
            </w:r>
          </w:p>
        </w:tc>
        <w:tc>
          <w:tcPr>
            <w:tcW w:type="dxa" w:w="29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Étape</w:t>
            </w:r>
          </w:p>
        </w:tc>
        <w:tc>
          <w:tcPr>
            <w:tcW w:type="dxa" w:w="109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Bras</w:t>
            </w:r>
          </w:p>
        </w:tc>
        <w:tc>
          <w:tcPr>
            <w:tcW w:type="dxa" w:w="5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Passage</w:t>
            </w:r>
          </w:p>
        </w:tc>
        <w:tc>
          <w:tcPr>
            <w:tcW w:type="dxa" w:w="16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 [IC 95 %]</w:t>
            </w:r>
          </w:p>
        </w:tc>
        <w:tc>
          <w:tcPr>
            <w:tcW w:type="dxa" w:w="5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89,9 [85,3 ; 94,6]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89,1 [84,5 ; 93,7]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91,2 [87,5 ; 94,9]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93,9 [90,9 ; 96,9]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37,3 [31,4 ; 43,2]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42,5 [34,3 ; 50,8]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 [33,4 ; 49,7]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38,6 [29,7 ; 47,5]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88,0 [83,9 ; 92,1]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1400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85,7 [80,1 ; 91,2]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1414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86,7 [81,6 ; 91,9]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89,0 [85,2 ; 92,7]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31,4 [23,5 ; 39,3]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31,4 [22,7 ; 40,2]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45,4 [37,1 ; 53,8]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Toutes les femmes avec une dernière grossesse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38,8 [31,0 ; 46,5]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85,0 [75,3 ; 94,7]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89,8 [83,4 ; 96,2]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91,8 [86,7 ; 96,8]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une CPN à la dernière grossesse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94,2 [91,0 ; 97,4]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39,2 [30,8 ; 47,6]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 [37,4 ; 57,5]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46,3 [33,3 ; 59,3]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Au moins quatre CPN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41,5 [25,9 ; 57,1]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88,4 [82,3 ; 94,6]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89,4 [82,1 ; 96,8]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[80,2 ; 91,4]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Accouchement en structure de santé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90,7 [83,5 ; 97,9]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26,6 [16,8 ; 36,4]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29,8 [17,2 ; 42,3]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205</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49,6 [35,5 ; 63,6]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119</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Sous-population avec enfant de référence &lt; 6 mois</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Consultation postnatale à 6 semaines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43,7 [28,1 ; 59,2]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135</w:t>
            </w:r>
          </w:p>
        </w:tc>
      </w:tr>
    </w:tbl>
    <w:p>
      <w:pPr>
        <w:spacing w:after="200" w:before="60"/>
        <w:jc w:val="left"/>
      </w:pPr>
      <w:r>
        <w:rPr>
          <w:color w:val="6B7280"/>
          <w:sz w:val="15"/>
          <w:szCs w:val="15"/>
        </w:rPr>
        <w:t xml:space="preserve">Plan de sondage et pondération égale des provinces. Couvertures marginales par étape (les étapes ne sont pas emboîtées : une femme peut accoucher en structure sans quatre CPN) ; probabilités conditionnelles et co-couverture au tableau suivant. L'évolution se lit sur la sous-population avec enfant de référence né dans les 6 mois ; la CPoN y est restreinte aux enfants d'au moins 2 mois (exposition à la visite de 6 semaines). La grossesse de référence est celle déclarée comme dernière grossesse.</w:t>
      </w:r>
    </w:p>
    <w:p>
      <w:pPr>
        <w:spacing w:after="160"/>
        <w:jc w:val="left"/>
      </w:pPr>
      <w:r>
        <w:rPr>
          <w:b/>
          <w:bCs/>
          <w:color w:val="0B1F3A"/>
          <w:sz w:val="17"/>
          <w:szCs w:val="17"/>
        </w:rPr>
        <w:t xml:space="preserve">Tableau 57. </w:t>
      </w:r>
      <w:r>
        <w:rPr>
          <w:color w:val="52514E"/>
          <w:sz w:val="17"/>
          <w:szCs w:val="17"/>
        </w:rPr>
        <w:t xml:space="preserve">Mpox : connaissances, attitudes et sources d'information, par bras et par passage</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960"/>
        <w:gridCol w:w="2959"/>
        <w:gridCol w:w="1099"/>
        <w:gridCol w:w="507"/>
        <w:gridCol w:w="1606"/>
        <w:gridCol w:w="507"/>
      </w:tblGrid>
      <w:tr>
        <w:trPr>
          <w:cantSplit/>
          <w:tblHeader/>
        </w:trPr>
        <w:tc>
          <w:tcPr>
            <w:tcW w:type="dxa" w:w="296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Bloc</w:t>
            </w:r>
          </w:p>
        </w:tc>
        <w:tc>
          <w:tcPr>
            <w:tcW w:type="dxa" w:w="295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Item</w:t>
            </w:r>
          </w:p>
        </w:tc>
        <w:tc>
          <w:tcPr>
            <w:tcW w:type="dxa" w:w="109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Bras</w:t>
            </w:r>
          </w:p>
        </w:tc>
        <w:tc>
          <w:tcPr>
            <w:tcW w:type="dxa" w:w="5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3"/>
                <w:szCs w:val="13"/>
              </w:rPr>
              <w:t xml:space="preserve">Passage</w:t>
            </w:r>
          </w:p>
        </w:tc>
        <w:tc>
          <w:tcPr>
            <w:tcW w:type="dxa" w:w="160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 [IC 95 %]</w:t>
            </w:r>
          </w:p>
        </w:tc>
        <w:tc>
          <w:tcPr>
            <w:tcW w:type="dxa" w:w="50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3"/>
                <w:szCs w:val="13"/>
              </w:rPr>
              <w:t xml:space="preserve">n</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COSA lors d'une VAD</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42,0 [31,1 ; 53,0]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COSA lors d'une VAD</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51,8 [43,1 ; 60,5]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COSA lors d'une VAD</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53,9 [43,8 ; 63,9]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ASC / COSA lors d'une VAD</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56,4 [46,9 ; 65,9]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Amis, famille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40,5 [29,5 ; 51,5]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Amis, famille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[32,9 ; 52,7]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Amis, famille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 [22,7 ; 41,1]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Amis, famille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40,9 [31,3 ; 50,6]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Centre ou poste de santé</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40,9 [31,0 ; 50,9]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Centre ou poste de santé</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40,5 [31,6 ; 49,3]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Centre ou poste de santé</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37,9 [28,5 ; 47,2]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Centre ou poste de santé</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39,7 [29,7 ; 49,7]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Lecture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 [1,6 ; 13,1]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Lecture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9,8 [5,2 ; 14,4]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Lecture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 [1,6 ; 16,6]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Lecture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20,9 [12,0 ; 29,9]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Radio</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48,5 [38,4 ; 58,7]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Radio</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52,7 [42,9 ; 62,5]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Radio</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47,4 [38,2 ; 56,5]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Radio</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50,0 [40,8 ; 59,2]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Télévision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 [1,4 ; 9,6]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Télévision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 [3,7 ; 13,1]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Télévision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 [1,4 ; 14,8]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Télévision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14,1 [6,7 ; 21,5]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Église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32,1 [21,4 ; 42,8]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Église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40,2 [29,6 ; 50,8]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Église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16,8 [7,1 ; 26,5]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K2</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Église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27,9 [17,9 ; 37,9]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les animaux</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53,5 [39,3 ; 67,6]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les animaux</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62,2 [52,0 ; 72,5]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les animaux</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53,6 [43,1 ; 64,2]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les animaux</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66,1 [55,4 ; 76,8]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une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 [76,2 ; 88,4]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une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85,0 [78,6 ; 91,4]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une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81,8 [74,7 ; 88,9]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Contact avec une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82,4 [74,3 ; 90,5]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Habits du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41,7 [28,1 ; 55,4]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Habits du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46,7 [36,8 ; 56,7]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Habits du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40,0 [29,9 ; 50,0]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Habits du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43,2 [31,6 ; 54,8]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Manger avec le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29,1 [16,0 ; 42,3]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Manger avec le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37,1 [27,4 ; 46,8]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Manger avec le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26,3 [17,3 ; 35,3]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Manger avec le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 [21,4 ; 43,4]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Rapports sexuels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49,3 [35,0 ; 63,7]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Rapports sexuels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47,2 [35,0 ; 59,3]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Rapports sexuels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43,7 [32,6 ; 54,8]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K3</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Rapports sexuels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46,3 [33,7 ; 58,9]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Informer les autorités sanitaires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50,9 [39,2 ; 62,6]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Informer les autorités sanitaires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55,4 [45,4 ; 65,3]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Informer les autorités sanitaires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45,1 [35,0 ; 55,2]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Informer les autorités sanitaires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58,0 [46,9 ; 69,1]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Isoler la personne suspecte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44,3 [33,4 ; 55,2]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Isoler la personne suspecte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60,5 [50,8 ; 70,1]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Isoler la personne suspecte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46,8 [36,1 ; 57,4]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Isoler la personne suspecte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60,8 [49,6 ; 72,0]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rien faire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 [1,3 ; 4,9]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rien faire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 [0,4 ; 3,9]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rien faire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 [0,8 ; 3,7]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rien faire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 [1,7 ; 7,8]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Porter des équipements de protection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18,2 [5,9 ; 30,5]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Porter des équipements de protection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25,0 [14,9 ; 35,0]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Porter des équipements de protection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18,7 [10,3 ; 27,1]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Porter des équipements de protection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35,6 [23,0 ; 48,3]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Sensibiliser l'entourage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24,6 [11,5 ; 37,8]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Sensibiliser l'entourage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37,5 [27,4 ; 47,6]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Sensibiliser l'entourage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24,0 [15,1 ; 32,9]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Sensibiliser l'entourage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41,9 [30,4 ; 53,4]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tout contact direct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[29,7 ; 55,9]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tout contact direct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55,5 [44,4 ; 66,7]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tout contact direct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42,2 [32,2 ; 52,2]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K5</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tout contact direct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47,8 [36,0 ; 59,6]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de manger avec le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31,1 [16,7 ; 45,5]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de manger avec le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37,9 [27,2 ; 48,5]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de manger avec le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28,1 [17,6 ; 38,6]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de manger avec le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37,8 [26,0 ; 49,7]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la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87,5 [82,2 ; 92,8]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la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89,8 [84,9 ; 94,8]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la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86,6 [80,9 ; 92,3]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la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85,8 [78,4 ; 93,2]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les animaux</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57,5 [44,3 ; 70,7]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les animaux</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61,6 [51,1 ; 72,1]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les animaux</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 [38,8 ; 64,5]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 contact avec les animaux</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67,7 [57,5 ; 77,8]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objets du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[29,4 ; 56,3]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objets du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51,6 [41,5 ; 61,7]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objets du malade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40,7 [30,0 ; 51,5]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objets du malade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48,8 [37,3 ; 60,3]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rapports sexuels avec une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56,5 [42,5 ; 70,5]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rapports sexuels avec une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56,2 [46,3 ; 66,0]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rapports sexuels avec une personne infectée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49,4 [37,8 ; 60,9]</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les rapports sexuels avec une personne infectée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56,1 [43,9 ; 68,3]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un animal malade ou trouvé mort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33,5 [19,1 ; 48,0]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un animal malade ou trouvé mort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44,7 [32,7 ; 56,7]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un animal malade ou trouvé mort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33,9 [20,9 ; 46,8]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650</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K6</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Éviter un animal malade ou trouvé mort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42,8 [30,6 ; 55,0]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Manque de confiance dans le vaccin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43,5 [33,7 ; 53,4]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Manque de confiance dans le vaccin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50,6 [40,3 ; 60,9]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Manque de confiance dans le vaccin</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29,5 [20,0 ; 39,0]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Manque de confiance dans le vaccin</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31,9 [20,5 ; 43,4]</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N'en voit pas l'intérêt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14,7 [5,3 ; 24,2]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N'en voit pas l'intérêt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13,9 [6,3 ; 21,5]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N'en voit pas l'intérêt</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11,7 [7,0 ; 16,4]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N'en voit pas l'intérêt</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19,5 [9,0 ; 30,1]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connaît pas d'endroit pour se faire vacciner</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 [0,4 ; 4,2]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connaît pas d'endroit pour se faire vacciner</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4,3 [1,2 ; 7,5]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connaît pas d'endroit pour se faire vacciner</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4,5 [1,7 ; 7,3]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connaît pas d'endroit pour se faire vacciner</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3,1 [0,4 ; 5,8]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croit pas à la maladie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14,1 [8,0 ; 20,2]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croit pas à la maladie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19,7 [9,9 ; 29,5]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croit pas à la maladie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14,4 [5,4 ; 23,5]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Ne croit pas à la maladie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26,1 [13,7 ; 38,5]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d'être contrôlé</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1,7 [-0,7 ; 4,1]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d'être contrôlé</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2,5 [-0,0 ; 4,9]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d'être contrôlé</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1,2 [-0,7 ; 3,1]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d'être contrôlé</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10,0 [1,3 ; 18,7]</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devenir stérile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 [1,6 ; 4,7]</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devenir stérile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5,3 [2,4 ; 8,1]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devenir stérile</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6,0 [2,5 ; 9,5]</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devenir stérile</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11,7 [2,7 ; 20,6]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mourir</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22,1 [10,8 ; 33,4]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mourir</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18,8 [11,4 ; 26,2]</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mourir</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34,9 [21,1 ; 48,8]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 mourir</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37,0 [20,8 ; 53,1]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des effets secondaires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37,2 [28,4 ; 46,1]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475</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des effets secondaires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41,1 [28,5 ; 53,6]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324</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des effets secondaires</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23,7 [14,1 ; 33,4]</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331</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K9 (motifs de refus, parmi K8 = non)</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Peur des effets secondaires</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37,0 [22,4 ; 51,6]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292</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66,9 [59,2 ; 74,6]</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77,3 [70,1 ; 84,6]</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76,7 [70,4 ; 83,0]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79,5 [72,2 ; 86,8]</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84,3 [75,5 ; 93,1]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87,5 [78,5 ; 96,5]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91,5 [87,3 ; 95,8]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Accepterait le vaccin, parmi celles qui connaissent la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92,3 [88,4 ; 96,3]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44,8 [38,9 ; 50,8]</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54,9 [47,5 ; 62,3]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55,4 [48,4 ; 62,3]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Connaît la Mpox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57,9 [49,5 ; 66,3]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50,8 [37,3 ; 64,2]</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637</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59,1 [48,3 ; 70,0]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786</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74,2 [68,4 ; 80,0]</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792</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Sait qu'un vaccin existe (%)</w:t>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80,2 [73,3 ; 87,1]</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823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55,5 [46,7 ; 64,3]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61,5 [52,5 ; 70,5]</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1428</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62,6 [53,8 ; 71,3]</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Témoin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73,1 [65,4 ; 80,9]</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1433</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66,7 [59,2 ; 74,1]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T0</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74,6 [67,1 ; 82,0]</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1429</w:t>
            </w:r>
          </w:p>
        </w:tc>
      </w:tr>
      <w:tr>
        <w:trPr>
          <w:cantSplit/>
        </w:trPr>
        <w:tc>
          <w:tcPr>
            <w:tcW w:type="dxa" w:w="296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72,3 [63,5 ; 81,1]</w:t>
            </w:r>
          </w:p>
        </w:tc>
        <w:tc>
          <w:tcPr>
            <w:tcW w:type="dxa" w:w="50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r>
        <w:trPr>
          <w:cantSplit/>
        </w:trPr>
        <w:tc>
          <w:tcPr>
            <w:tcW w:type="dxa" w:w="296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Synthèse</w:t>
            </w:r>
          </w:p>
        </w:tc>
        <w:tc>
          <w:tcPr>
            <w:tcW w:type="dxa" w:w="295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
            </w:r>
          </w:p>
        </w:tc>
        <w:tc>
          <w:tcPr>
            <w:tcW w:type="dxa" w:w="109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Intervention</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3"/>
                <w:szCs w:val="13"/>
              </w:rPr>
              <w:t xml:space="preserve">T1</w:t>
            </w:r>
          </w:p>
        </w:tc>
        <w:tc>
          <w:tcPr>
            <w:tcW w:type="dxa" w:w="160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76,1 [67,8 ; 84,3]</w:t>
            </w:r>
          </w:p>
        </w:tc>
        <w:tc>
          <w:tcPr>
            <w:tcW w:type="dxa" w:w="50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3"/>
                <w:szCs w:val="13"/>
              </w:rPr>
              <w:t xml:space="preserve">1423</w:t>
            </w:r>
          </w:p>
        </w:tc>
      </w:tr>
    </w:tbl>
    <w:p>
      <w:pPr>
        <w:spacing w:after="200" w:before="60"/>
        <w:jc w:val="left"/>
      </w:pPr>
      <w:r>
        <w:rPr>
          <w:color w:val="6B7280"/>
          <w:sz w:val="15"/>
          <w:szCs w:val="15"/>
        </w:rPr>
        <w:t xml:space="preserve">Items K2, K3, K5, K6 : parmi les personnes connaissant la Mpox (K1 = oui) ; K9 : parmi celles qui refuseraient le vaccin ; K8 posée à tous. La conduite K5 « consulter immédiatement » n'existe qu'au questionnaire de T0 : elle est exclue des comparaisons. Plan de sondage, pondération égale des provinces. L'incidence et les campagnes par zone ne sont pas encore fusionnées : lecture descriptive.</w:t>
      </w:r>
    </w:p>
    <w:p>
      <w:pPr>
        <w:spacing w:after="160"/>
        <w:jc w:val="left"/>
      </w:pPr>
      <w:r>
        <w:rPr>
          <w:b/>
          <w:bCs/>
          <w:color w:val="0B1F3A"/>
          <w:sz w:val="17"/>
          <w:szCs w:val="17"/>
        </w:rPr>
        <w:t xml:space="preserve">Tableau 58. </w:t>
      </w:r>
      <w:r>
        <w:rPr>
          <w:color w:val="52514E"/>
          <w:sz w:val="17"/>
          <w:szCs w:val="17"/>
        </w:rPr>
        <w:t xml:space="preserve">UCODESA : fonctions et pièces déclarées, par bras et par passage (effectifs)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4819"/>
        <w:gridCol w:w="1790"/>
        <w:gridCol w:w="826"/>
        <w:gridCol w:w="826"/>
        <w:gridCol w:w="1377"/>
      </w:tblGrid>
      <w:tr>
        <w:trPr>
          <w:cantSplit/>
          <w:tblHeader/>
        </w:trPr>
        <w:tc>
          <w:tcPr>
            <w:tcW w:type="dxa" w:w="4819"/>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Fonction</w:t>
            </w:r>
          </w:p>
        </w:tc>
        <w:tc>
          <w:tcPr>
            <w:tcW w:type="dxa" w:w="179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82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82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Oui (n)</w:t>
            </w:r>
          </w:p>
        </w:tc>
        <w:tc>
          <w:tcPr>
            <w:tcW w:type="dxa" w:w="1377"/>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Renseignées (n)</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Élection du bureau par les délégués des CODESA</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Élection du bureau par les délégués des CODESA</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Élection du bureau par les délégués des CODESA</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Élection du bureau par les délégués des CODESA</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Installation officielle</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Installation officielle</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Installation officielle</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Installation officielle</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Supervisée par les supérieurs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Supervisée par les supérieurs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Supervisée par les supérieurs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Supervisée par les supérieurs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trimestrielle en session ordinaire</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trimestrielle en session ordinaire</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trimestrielle en session ordinaire</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trimestrielle en session ordinaire</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des activités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des activités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des activités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des activités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revue mensuelle de l'ECZS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revue mensuelle de l'ECZS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revue mensuelle de l'ECZS</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revue mensuelle de l'ECZS</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formation des membres des CODESA</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formation des membres des CODESA</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formation des membres des CODESA</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Participe à la formation des membres des CODESA</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 participé au briefing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 participé au briefing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 participé au briefing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A participé au briefing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Suivi des activités des CODESA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Suivi des activités des CODESA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Suivi des activités des CODESA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Suivi des activités des CODESA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sur la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sur la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sur la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Réunion mensuelle sur la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Restitution de l'évolution de la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Restitution de l'évolution de la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Restitution de l'évolution de la Mpox</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Restitution de l'évolution de la Mpox</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Dotée en EPI</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Dotée en EPI</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Dotée en EPI</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Dotée en EPI</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8</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PV d'installation vu par l'enquêteur</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6</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PV d'installation vu par l'enquêteur</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r>
      <w:tr>
        <w:trPr>
          <w:cantSplit/>
        </w:trPr>
        <w:tc>
          <w:tcPr>
            <w:tcW w:type="dxa" w:w="4819"/>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PV d'installation vu par l'enquêteur</w:t>
            </w:r>
          </w:p>
        </w:tc>
        <w:tc>
          <w:tcPr>
            <w:tcW w:type="dxa" w:w="179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82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w:t>
            </w:r>
          </w:p>
        </w:tc>
        <w:tc>
          <w:tcPr>
            <w:tcW w:type="dxa" w:w="1377"/>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w:t>
            </w:r>
          </w:p>
        </w:tc>
      </w:tr>
      <w:tr>
        <w:trPr>
          <w:cantSplit/>
        </w:trPr>
        <w:tc>
          <w:tcPr>
            <w:tcW w:type="dxa" w:w="4819"/>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PV d'installation vu par l'enquêteur</w:t>
            </w:r>
          </w:p>
        </w:tc>
        <w:tc>
          <w:tcPr>
            <w:tcW w:type="dxa" w:w="179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82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c>
          <w:tcPr>
            <w:tcW w:type="dxa" w:w="1377"/>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w:t>
            </w:r>
          </w:p>
        </w:tc>
      </w:tr>
    </w:tbl>
    <w:p>
      <w:pPr>
        <w:spacing w:after="200" w:before="60"/>
        <w:jc w:val="left"/>
      </w:pPr>
      <w:r>
        <w:rPr>
          <w:color w:val="6B7280"/>
          <w:sz w:val="15"/>
          <w:szCs w:val="15"/>
        </w:rPr>
        <w:t xml:space="preserve">Quinze UCODESA par passage (Kalima : absente de l'échantillon, ce qui ne signifie pas l'inexistence de l'organe). Effectifs seulement : aucun modèle.</w:t>
      </w:r>
    </w:p>
    <w:p>
      <w:pPr>
        <w:spacing w:after="160"/>
        <w:jc w:val="left"/>
      </w:pPr>
      <w:r>
        <w:rPr>
          <w:b/>
          <w:bCs/>
          <w:color w:val="0B1F3A"/>
          <w:sz w:val="17"/>
          <w:szCs w:val="17"/>
        </w:rPr>
        <w:t xml:space="preserve">Tableau 59. </w:t>
      </w:r>
      <w:r>
        <w:rPr>
          <w:color w:val="52514E"/>
          <w:sz w:val="17"/>
          <w:szCs w:val="17"/>
        </w:rPr>
        <w:t xml:space="preserve">UCODESA enquêtées : identification et composition</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410"/>
        <w:gridCol w:w="2088"/>
        <w:gridCol w:w="2088"/>
        <w:gridCol w:w="964"/>
        <w:gridCol w:w="2088"/>
      </w:tblGrid>
      <w:tr>
        <w:trPr>
          <w:cantSplit/>
          <w:tblHeader/>
        </w:trPr>
        <w:tc>
          <w:tcPr>
            <w:tcW w:type="dxa" w:w="2410"/>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Province</w:t>
            </w:r>
          </w:p>
        </w:tc>
        <w:tc>
          <w:tcPr>
            <w:tcW w:type="dxa" w:w="20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Zone de santé</w:t>
            </w:r>
          </w:p>
        </w:tc>
        <w:tc>
          <w:tcPr>
            <w:tcW w:type="dxa" w:w="20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964"/>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Passage</w:t>
            </w:r>
          </w:p>
        </w:tc>
        <w:tc>
          <w:tcPr>
            <w:tcW w:type="dxa" w:w="208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Femmes parmi les membres (%)</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Kibombo</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Kibombo</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Pangi</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Pangi</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Tunda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12,5</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Tunda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Citenge</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14,3</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Citenge</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Kasansa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Kasansa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28,6</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Miabi</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14,3</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Miabi</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7,1</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Tshishimbi</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Tshishimbi</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Katako Kombe</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Katako Kombe</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Lodja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Lodja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Minga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Minga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Ototo</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Ototo</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Katana</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Katana</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42,9</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Nyangezi</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50</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Nyangezi</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0</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Nyantende</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18,2</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Nyantende</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18,2</w:t>
            </w:r>
          </w:p>
        </w:tc>
      </w:tr>
      <w:tr>
        <w:trPr>
          <w:cantSplit/>
        </w:trPr>
        <w:tc>
          <w:tcPr>
            <w:tcW w:type="dxa" w:w="2410"/>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Walungu</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T0</w:t>
            </w:r>
          </w:p>
        </w:tc>
        <w:tc>
          <w:tcPr>
            <w:tcW w:type="dxa" w:w="208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33,3</w:t>
            </w:r>
          </w:p>
        </w:tc>
      </w:tr>
      <w:tr>
        <w:trPr>
          <w:cantSplit/>
        </w:trPr>
        <w:tc>
          <w:tcPr>
            <w:tcW w:type="dxa" w:w="2410"/>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Walungu</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964"/>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T1</w:t>
            </w:r>
          </w:p>
        </w:tc>
        <w:tc>
          <w:tcPr>
            <w:tcW w:type="dxa" w:w="208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16,7</w:t>
            </w:r>
          </w:p>
        </w:tc>
      </w:tr>
    </w:tbl>
    <w:p>
      <w:pPr>
        <w:spacing w:after="200" w:before="60"/>
        <w:jc w:val="left"/>
      </w:pPr>
      <w:r>
        <w:rPr>
          <w:color w:val="6B7280"/>
          <w:sz w:val="15"/>
          <w:szCs w:val="15"/>
        </w:rPr>
        <w:t xml:space="preserve">Quinze unités par passage.</w:t>
      </w:r>
    </w:p>
    <w:p>
      <w:pPr>
        <w:spacing w:after="160"/>
        <w:jc w:val="left"/>
      </w:pPr>
      <w:r>
        <w:rPr>
          <w:b/>
          <w:bCs/>
          <w:color w:val="0B1F3A"/>
          <w:sz w:val="17"/>
          <w:szCs w:val="17"/>
        </w:rPr>
        <w:t xml:space="preserve">Tableau 60. </w:t>
      </w:r>
      <w:r>
        <w:rPr>
          <w:color w:val="52514E"/>
          <w:sz w:val="17"/>
          <w:szCs w:val="17"/>
        </w:rPr>
        <w:t xml:space="preserve">Repondération de T1 : taille effective de Kish et étendue des poids par province et par bras</w:t>
      </w:r>
    </w:p>
    <w:tbl>
      <w:tblPr>
        <w:tblW w:type="dxa" w:w="9638"/>
        <w:tblBorders>
          <w:top w:val="none" w:color="FFFFFF" w:sz="0"/>
          <w:left w:val="none" w:color="FFFFFF" w:sz="0"/>
          <w:bottom w:val="single" w:color="0B1F3A" w:sz="8"/>
          <w:right w:val="none" w:color="FFFFFF" w:sz="0"/>
          <w:insideH w:val="none" w:color="FFFFFF" w:sz="0"/>
          <w:insideV w:val="none" w:color="FFFFFF" w:sz="0"/>
        </w:tblBorders>
      </w:tblPr>
      <w:tblGrid>
        <w:gridCol w:w="2536"/>
        <w:gridCol w:w="2198"/>
        <w:gridCol w:w="1015"/>
        <w:gridCol w:w="2198"/>
        <w:gridCol w:w="1691"/>
      </w:tblGrid>
      <w:tr>
        <w:trPr>
          <w:cantSplit/>
          <w:tblHeader/>
        </w:trPr>
        <w:tc>
          <w:tcPr>
            <w:tcW w:type="dxa" w:w="2536"/>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Province</w:t>
            </w:r>
          </w:p>
        </w:tc>
        <w:tc>
          <w:tcPr>
            <w:tcW w:type="dxa" w:w="21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6"/>
                <w:szCs w:val="16"/>
              </w:rPr>
              <w:t xml:space="preserve">Bras</w:t>
            </w:r>
          </w:p>
        </w:tc>
        <w:tc>
          <w:tcPr>
            <w:tcW w:type="dxa" w:w="1015"/>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n</w:t>
            </w:r>
          </w:p>
        </w:tc>
        <w:tc>
          <w:tcPr>
            <w:tcW w:type="dxa" w:w="2198"/>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Taille effective (Kish)</w:t>
            </w:r>
          </w:p>
        </w:tc>
        <w:tc>
          <w:tcPr>
            <w:tcW w:type="dxa" w:w="1691"/>
            <w:tcBorders>
              <w:top w:val="single" w:color="0B1F3A" w:sz="4"/>
              <w:left w:val="none" w:color="FFFFFF" w:sz="0"/>
              <w:bottom w:val="single" w:color="D9E1EC" w:sz="4"/>
              <w:right w:val="none" w:color="FFFFFF" w:sz="0"/>
            </w:tcBorders>
            <w:shd w:fill="0B1F3A" w:color="auto" w:val="clear"/>
            <w:tcMar>
              <w:top w:type="dxa" w:w="40"/>
              <w:left w:type="dxa" w:w="70"/>
              <w:bottom w:type="dxa" w:w="40"/>
              <w:right w:type="dxa" w:w="70"/>
            </w:tcMar>
            <w:vAlign w:val="center"/>
          </w:tcPr>
          <w:p>
            <w:pPr>
              <w:spacing w:after="0" w:line="240"/>
              <w:jc w:val="right"/>
            </w:pPr>
            <w:r>
              <w:rPr>
                <w:rFonts w:ascii="Calibri" w:cs="Calibri" w:eastAsia="Calibri" w:hAnsi="Calibri"/>
                <w:b/>
                <w:bCs/>
                <w:color w:val="FFFFFF"/>
                <w:sz w:val="16"/>
                <w:szCs w:val="16"/>
              </w:rPr>
              <w:t xml:space="preserve">Poids max / min</w:t>
            </w:r>
          </w:p>
        </w:tc>
      </w:tr>
      <w:tr>
        <w:trPr>
          <w:cantSplit/>
        </w:trPr>
        <w:tc>
          <w:tcPr>
            <w:tcW w:type="dxa" w:w="25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0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356</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332</w:t>
            </w:r>
          </w:p>
        </w:tc>
        <w:tc>
          <w:tcPr>
            <w:tcW w:type="dxa" w:w="16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2,05</w:t>
            </w:r>
          </w:p>
        </w:tc>
      </w:tr>
      <w:tr>
        <w:trPr>
          <w:cantSplit/>
        </w:trPr>
        <w:tc>
          <w:tcPr>
            <w:tcW w:type="dxa" w:w="25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Maniema</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0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357</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248</w:t>
            </w:r>
          </w:p>
        </w:tc>
        <w:tc>
          <w:tcPr>
            <w:tcW w:type="dxa" w:w="16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10,9</w:t>
            </w:r>
          </w:p>
        </w:tc>
      </w:tr>
      <w:tr>
        <w:trPr>
          <w:cantSplit/>
        </w:trPr>
        <w:tc>
          <w:tcPr>
            <w:tcW w:type="dxa" w:w="25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0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360</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325</w:t>
            </w:r>
          </w:p>
        </w:tc>
        <w:tc>
          <w:tcPr>
            <w:tcW w:type="dxa" w:w="16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4,43</w:t>
            </w:r>
          </w:p>
        </w:tc>
      </w:tr>
      <w:tr>
        <w:trPr>
          <w:cantSplit/>
        </w:trPr>
        <w:tc>
          <w:tcPr>
            <w:tcW w:type="dxa" w:w="25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Kasaï-Oriental</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0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359</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316</w:t>
            </w:r>
          </w:p>
        </w:tc>
        <w:tc>
          <w:tcPr>
            <w:tcW w:type="dxa" w:w="16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11,18</w:t>
            </w:r>
          </w:p>
        </w:tc>
      </w:tr>
      <w:tr>
        <w:trPr>
          <w:cantSplit/>
        </w:trPr>
        <w:tc>
          <w:tcPr>
            <w:tcW w:type="dxa" w:w="25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0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359</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331</w:t>
            </w:r>
          </w:p>
        </w:tc>
        <w:tc>
          <w:tcPr>
            <w:tcW w:type="dxa" w:w="16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7,57</w:t>
            </w:r>
          </w:p>
        </w:tc>
      </w:tr>
      <w:tr>
        <w:trPr>
          <w:cantSplit/>
        </w:trPr>
        <w:tc>
          <w:tcPr>
            <w:tcW w:type="dxa" w:w="25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Sankuru</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0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356</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297</w:t>
            </w:r>
          </w:p>
        </w:tc>
        <w:tc>
          <w:tcPr>
            <w:tcW w:type="dxa" w:w="16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4</w:t>
            </w:r>
          </w:p>
        </w:tc>
      </w:tr>
      <w:tr>
        <w:trPr>
          <w:cantSplit/>
        </w:trPr>
        <w:tc>
          <w:tcPr>
            <w:tcW w:type="dxa" w:w="2536"/>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Témoin</w:t>
            </w:r>
          </w:p>
        </w:tc>
        <w:tc>
          <w:tcPr>
            <w:tcW w:type="dxa" w:w="1015"/>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358</w:t>
            </w:r>
          </w:p>
        </w:tc>
        <w:tc>
          <w:tcPr>
            <w:tcW w:type="dxa" w:w="2198"/>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319</w:t>
            </w:r>
          </w:p>
        </w:tc>
        <w:tc>
          <w:tcPr>
            <w:tcW w:type="dxa" w:w="1691"/>
            <w:tcBorders>
              <w:top w:val="single" w:color="D9E1EC" w:sz="4"/>
              <w:left w:val="none" w:color="FFFFFF" w:sz="0"/>
              <w:bottom w:val="single" w:color="D9E1EC" w:sz="4"/>
              <w:right w:val="none" w:color="FFFFFF" w:sz="0"/>
            </w:tcBorders>
            <w:shd w:fill="FFFFFF"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3,06</w:t>
            </w:r>
          </w:p>
        </w:tc>
      </w:tr>
      <w:tr>
        <w:trPr>
          <w:cantSplit/>
        </w:trPr>
        <w:tc>
          <w:tcPr>
            <w:tcW w:type="dxa" w:w="2536"/>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Sud-Kivu</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color w:val="10233F"/>
                <w:sz w:val="16"/>
                <w:szCs w:val="16"/>
              </w:rPr>
              <w:t xml:space="preserve">Intervention</w:t>
            </w:r>
          </w:p>
        </w:tc>
        <w:tc>
          <w:tcPr>
            <w:tcW w:type="dxa" w:w="1015"/>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351</w:t>
            </w:r>
          </w:p>
        </w:tc>
        <w:tc>
          <w:tcPr>
            <w:tcW w:type="dxa" w:w="2198"/>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341</w:t>
            </w:r>
          </w:p>
        </w:tc>
        <w:tc>
          <w:tcPr>
            <w:tcW w:type="dxa" w:w="1691"/>
            <w:tcBorders>
              <w:top w:val="single" w:color="D9E1EC" w:sz="4"/>
              <w:left w:val="none" w:color="FFFFFF" w:sz="0"/>
              <w:bottom w:val="single" w:color="D9E1EC" w:sz="4"/>
              <w:right w:val="none" w:color="FFFFFF" w:sz="0"/>
            </w:tcBorders>
            <w:shd w:fill="EEF3FA" w:color="auto" w:val="clear"/>
            <w:tcMar>
              <w:top w:type="dxa" w:w="40"/>
              <w:left w:type="dxa" w:w="70"/>
              <w:bottom w:type="dxa" w:w="40"/>
              <w:right w:type="dxa" w:w="70"/>
            </w:tcMar>
            <w:vAlign w:val="center"/>
          </w:tcPr>
          <w:p>
            <w:pPr>
              <w:spacing w:after="0" w:line="240"/>
              <w:jc w:val="right"/>
            </w:pPr>
            <w:r>
              <w:rPr>
                <w:rFonts w:ascii="Calibri" w:cs="Calibri" w:eastAsia="Calibri" w:hAnsi="Calibri"/>
                <w:b w:val="false"/>
                <w:bCs w:val="false"/>
                <w:color w:val="10233F"/>
                <w:sz w:val="16"/>
                <w:szCs w:val="16"/>
              </w:rPr>
              <w:t xml:space="preserve">1,87</w:t>
            </w:r>
          </w:p>
        </w:tc>
      </w:tr>
    </w:tbl>
    <w:p>
      <w:pPr>
        <w:spacing w:after="200" w:before="60"/>
        <w:jc w:val="left"/>
      </w:pPr>
      <w:r>
        <w:rPr>
          <w:color w:val="6B7280"/>
          <w:sz w:val="15"/>
          <w:szCs w:val="15"/>
        </w:rPr>
        <w:t xml:space="preserve">Poids normalisés dans chaque cellule province × bras ; une étendue élevée signale des strates peu représentées à T1.</w:t>
      </w:r>
    </w:p>
    <w:p>
      <w:pPr>
        <w:pStyle w:val="Heading2"/>
        <w:spacing w:after="100" w:before="260"/>
      </w:pPr>
      <w:r>
        <w:t xml:space="preserve">E. Fiches par zone de santé</w:t>
      </w:r>
    </w:p>
    <w:p>
      <w:pPr>
        <w:spacing w:after="100" w:line="276"/>
        <w:jc w:val="both"/>
      </w:pPr>
      <w:r>
        <w:t xml:space="preserve">Une page par zone (seize zones) : identité, ménages, organes, agents, position de la zone dans sa province et son bras, signalements pour le volet qualitatif.</w:t>
      </w:r>
    </w:p>
    <w:p>
      <w:r>
        <w:br w:type="page"/>
      </w:r>
    </w:p>
    <w:p>
      <w:pPr>
        <w:pStyle w:val="Heading2"/>
        <w:spacing w:after="100" w:before="0"/>
      </w:pPr>
      <w:r>
        <w:t xml:space="preserve">Fiche de zone : Kibombo (Maniema)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Maniema · Bras : Intervention (référentiel validé) · Aires enquêtées : 6 · Villages déclarés : 51 · Ménages : 180 à T0, 179 à T1 · Entretiens : CAC 36/35, CODESA 6/6, RECO 36/36, ASC 8/7</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74,9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46,4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76,5</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74,6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58,6</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4,9 ; P2 -6,5 ; P3 -4,4 ; P4 -4,6.</w:t>
      </w:r>
    </w:p>
    <w:p>
      <w:pPr>
        <w:spacing w:after="100" w:line="276"/>
        <w:jc w:val="both"/>
      </w:pPr>
      <w:r>
        <w:rPr>
          <w:b/>
          <w:bCs/>
        </w:rPr>
        <w:t xml:space="preserve">Signalements.</w:t>
      </w:r>
      <w:r>
        <w:t xml:space="preserve"> 5 aire(s) hors de l'attendu sur P1 à T1 : AS_02_041_0789 (-24,2) ; AS_02_041_0787 (-23,7) ; AS_02_041_0783 (22,3) ; AS_02_041_0786 (16,4) ; AS_02_041_0782 (10,1). 8 unité(s) en amélioration, 4 en dégradation (CODESA AS_02_041_0782 ↑ ; CODESA AS_02_041_0783 ↑ ; CODESA AS_02_041_0784 ↑ ; CODESA AS_02_041_0786 ↑ ; CODESA AS_02_041_0789 ↑ ; CAC DIKO ↓ ; …). Alertes de qualité : 2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Pangi (Maniema)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Maniema · Bras : Intervention (référentiel validé) · Aires enquêtées : 7 · Villages déclarés : 55 · Ménages : 180 à T0, 178 à T1 · Entretiens : CAC 36/35, CODESA 6/6, RECO 36/36, ASC 9/9</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26,6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77,5</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58,6</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P1 -0,7 ; P2 -3,3 ; P3 8,0 ; P4 5,3.</w:t>
      </w:r>
    </w:p>
    <w:p>
      <w:pPr>
        <w:spacing w:after="100" w:line="276"/>
        <w:jc w:val="both"/>
      </w:pPr>
      <w:r>
        <w:rPr>
          <w:b/>
          <w:bCs/>
        </w:rPr>
        <w:t xml:space="preserve">Signalements.</w:t>
      </w:r>
      <w:r>
        <w:t xml:space="preserve"> 3 aire(s) hors de l'attendu sur P1 à T1 : AS_02_047_0902 (34,8) ; AS_02_047_0900 (-24,9) ; AS_02_047_0905 (10,0). 14 unité(s) en amélioration, 5 en dégradation (CODESA AS_02_047_0891 ↑ ; CODESA AS_02_047_0892 ↑ ; CODESA AS_02_047_0900 ↑ ; CODESA AS_02_047_0901 ↑ ; CODESA AS_02_047_0902 ↓ ; CODESA AS_02_047_0905 ↑ ; …). Alertes de qualité : 1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Kalima (Maniema)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Maniema · Bras : Témoin (référentiel validé) · Aires enquêtées : 6 · Villages déclarés : 69 · Ménages : 180 à T0, 180 à T1 · Entretiens : CAC 34/36, CODESA 6/6, RECO 36/36, ASC 13/10</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26,5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P1 -8,1 ; P2 -5,8 ; P3 -3,3 ; P4 -3,9.</w:t>
      </w:r>
    </w:p>
    <w:p>
      <w:pPr>
        <w:spacing w:after="100" w:line="276"/>
        <w:jc w:val="both"/>
      </w:pPr>
      <w:r>
        <w:rPr>
          <w:b/>
          <w:bCs/>
        </w:rPr>
        <w:t xml:space="preserve">Signalements.</w:t>
      </w:r>
      <w:r>
        <w:t xml:space="preserve"> 3 aire(s) hors de l'attendu sur P1 à T1 : AS_02_038_0724 (-13,8) ; AS_02_038_0726 (11,0) ; AS_02_038_0740 (8,7). 7 unité(s) en amélioration, 8 en dégradation (CODESA AS_02_038_0723 ↓ ; CODESA AS_02_038_0726 ↑ ; CODESA AS_02_038_0731 ↓ ; CAC ITAMPO ↓ ; CAC KAGELYA ↓ ; CAC KINDI KIMOZI ↓ ; …). Alertes de qualité : 3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Tunda (Maniema)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Maniema · Bras : Témoin (référentiel validé) · Aires enquêtées : 6 · Villages déclarés : 43 · Ménages : 180 à T0, 176 à T1 · Entretiens : CAC 36/36, CODESA 6/6, RECO 36/35, ASC 18/11</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26,0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36,4</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3,9 ; P2 15,6 ; P3 -0,3 ; P4 3,1.</w:t>
      </w:r>
    </w:p>
    <w:p>
      <w:pPr>
        <w:spacing w:after="100" w:line="276"/>
        <w:jc w:val="both"/>
      </w:pPr>
      <w:r>
        <w:rPr>
          <w:b/>
          <w:bCs/>
        </w:rPr>
        <w:t xml:space="preserve">Signalements.</w:t>
      </w:r>
      <w:r>
        <w:t xml:space="preserve"> 2 aire(s) hors de l'attendu sur P1 à T1 : AS_02_051_0953 (-27,5) ; AS_02_051_0962 (8,5). 10 unité(s) en amélioration, 13 en dégradation (CODESA AS_02_051_0953 ↑ ; CODESA AS_02_051_0960 ↓ ; CAC DEMBO ↓ ; CAC ENYAMBA ↓ ; CAC LOKANGO ↑ ; CAC LOMAMOSWE ↓ ; …). Alertes de qualité : 2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Kasansa (Kasaï-Oriental)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Kasaï-Oriental · Bras : Intervention (référentiel validé) · Aires enquêtées : 8 · Villages déclarés : 67 · Ménages : 180 à T0, 180 à T1 · Entretiens : CAC 36/36, CODESA 6/6, RECO 36/36, ASC 7/6</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55,4</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60,4</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6,5 ; P2 0,3 ; P3 -1,8 ; P4 -2,5.</w:t>
      </w:r>
    </w:p>
    <w:p>
      <w:pPr>
        <w:spacing w:after="100" w:line="276"/>
        <w:jc w:val="both"/>
      </w:pPr>
      <w:r>
        <w:rPr>
          <w:b/>
          <w:bCs/>
        </w:rPr>
        <w:t xml:space="preserve">Signalements.</w:t>
      </w:r>
      <w:r>
        <w:t xml:space="preserve"> 4 aire(s) hors de l'attendu sur P1 à T1 : AS_03_061_1122 (-22,9) ; AS_03_061_1115 (16,2) ; AS_03_061_1129 (-14,0) ; AS_03_061_1112 (-8,2). 6 unité(s) en amélioration, 9 en dégradation (CODESA AS_03_061_1122 ↓ ; CODESA AS_03_061_1129 ↓ ; CAC BENA KABENGELA ↓ ; CAC BENA NDAYA ↓ ; CAC BENA YOWA ↓ ; CAC NGANDU ↓ ; …). Alertes de qualité : 0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Miabi (Kasaï-Oriental)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Kasaï-Oriental · Bras : Intervention (référentiel validé) · Aires enquêtées : 6 · Villages déclarés : 63 · Ménages : 180 à T0, 179 à T1 · Entretiens : CAC 36/36, CODESA 6/6, RECO 36/35, ASC 15/15</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55,4</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60,4</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P1 -5,1 ; P2 -0,5 ; P3 -1,5 ; P4 -2,9.</w:t>
      </w:r>
    </w:p>
    <w:p>
      <w:pPr>
        <w:spacing w:after="100" w:line="276"/>
        <w:jc w:val="both"/>
      </w:pPr>
      <w:r>
        <w:rPr>
          <w:b/>
          <w:bCs/>
        </w:rPr>
        <w:t xml:space="preserve">Signalements.</w:t>
      </w:r>
      <w:r>
        <w:t xml:space="preserve"> 3 aire(s) hors de l'attendu sur P1 à T1 : AS_03_064_1177 (11,7) ; AS_03_064_1174 (10,2) ; AS_03_064_1165 (-9,0). 5 unité(s) en amélioration, 3 en dégradation (CODESA AS_03_064_1165 ↑ ; CODESA AS_03_064_1169 ↓ ; CODESA AS_03_064_1174 ↑ ; CAC BENA KABUYA ↓ ; CAC BENA KALAMBAYI ↑ ; CAC BENA MUANZA ↓ ; …). Alertes de qualité : 3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Citenge (Kasaï-Oriental)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Kasaï-Oriental · Bras : Témoin (référentiel validé) · Aires enquêtées : 7 · Villages déclarés : 57 · Ménages : 180 à T0, 180 à T1 · Entretiens : CAC 36/35, CODESA 6/6, RECO 36/36, ASC 11/11</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74,3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89,3</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0,5 ; P2 3,2 ; P3 6,5 ; P4 8,9.</w:t>
      </w:r>
    </w:p>
    <w:p>
      <w:pPr>
        <w:spacing w:after="100" w:line="276"/>
        <w:jc w:val="both"/>
      </w:pPr>
      <w:r>
        <w:rPr>
          <w:b/>
          <w:bCs/>
        </w:rPr>
        <w:t xml:space="preserve">Signalements.</w:t>
      </w:r>
      <w:r>
        <w:t xml:space="preserve"> 4 aire(s) hors de l'attendu sur P1 à T1 : AS_03_056_1043 (-18,5) ; AS_03_056_1041 (16,8) ; AS_03_056_1038 (12,0) ; AS_03_056_1039 (11,8). 9 unité(s) en amélioration, 6 en dégradation (CODESA AS_03_056_1038 ↑ ; CODESA AS_03_056_1041 ↑ ; CODESA AS_03_056_1043 ↑ ; CODESA AS_03_056_1045 ↑ ; CAC KALONGU ↓ ; CAC MUNGEDI ↓ ; …). Alertes de qualité : 0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Tshishimbi (Kasaï-Oriental)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Kasaï-Oriental · Bras : Témoin (référentiel validé) · Aires enquêtées : 6 · Villages déclarés : 46 · Ménages : 180 à T0, 180 à T1 · Entretiens : CAC 36/35, CODESA 6/6, RECO 36/36, ASC 10/8</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85,8</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57,5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89,3</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34,3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96,5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P1 -1,9 ; P2 -3,0 ; P3 -3,3 ; P4 -3,5.</w:t>
      </w:r>
    </w:p>
    <w:p>
      <w:pPr>
        <w:spacing w:after="100" w:line="276"/>
        <w:jc w:val="both"/>
      </w:pPr>
      <w:r>
        <w:rPr>
          <w:b/>
          <w:bCs/>
        </w:rPr>
        <w:t xml:space="preserve">Signalements.</w:t>
      </w:r>
      <w:r>
        <w:t xml:space="preserve"> 4 aire(s) hors de l'attendu sur P1 à T1 : AS_03_070_1275 (-24,3) ; AS_03_070_1281 (13,9) ; AS_03_070_1276 (12,6) ; AS_03_070_1269 (8,8). 10 unité(s) en amélioration, 10 en dégradation (CODESA AS_03_070_1269 ↑ ; CODESA AS_03_070_1271 ↑ ; CODESA AS_03_070_1275 ↓ ; CODESA AS_03_070_1276 ↓ ; CODESA AS_03_070_1281 ↑ ; CAC KASEYA 1 ↓ ; …). Alertes de qualité : 0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Katako Kombe (Sankuru)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Sankuru · Bras : Intervention (référentiel validé) · Aires enquêtées : 6 · Villages déclarés : 48 · Ménages : 177 à T0, 178 à T1 · Entretiens : CAC 36/35, CODESA 6/6, RECO 36/36, ASC 7/6</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64,9</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44,2</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34,3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36,2</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23,0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P1 -0,8 ; P2 3,0 ; P3 5,4 ; P4 15,7.</w:t>
      </w:r>
    </w:p>
    <w:p>
      <w:pPr>
        <w:spacing w:after="100" w:line="276"/>
        <w:jc w:val="both"/>
      </w:pPr>
      <w:r>
        <w:rPr>
          <w:b/>
          <w:bCs/>
        </w:rPr>
        <w:t xml:space="preserve">Signalements.</w:t>
      </w:r>
      <w:r>
        <w:t xml:space="preserve"> 4 aire(s) hors de l'attendu sur P1 à T1 : AS_04_074_1335 (-19,9) ; AS_04_074_1333 (-18,3) ; AS_04_074_1334 (-17,6) ; AS_04_074_1338 (-9,0). 17 unité(s) en amélioration, 6 en dégradation (CODESA AS_04_074_1327 ↓ ; CODESA AS_04_074_1330 ↑ ; CODESA AS_04_074_1333 ↓ ; CODESA AS_04_074_1334 ↑ ; CODESA AS_04_074_1335 ↓ ; CODESA AS_04_074_1338 ↑ ; …). Alertes de qualité : 3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Ototo (Sankuru)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Sankuru · Bras : Intervention (référentiel validé) · Aires enquêtées : 6 · Villages déclarés : 65 · Ménages : 172 à T0, 178 à T1 · Entretiens : CAC 36/36, CODESA 6/6, RECO 36/35, ASC 28/22</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64,9</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44,2</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36,2</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26,4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5,3 ; P2 3,7 ; P3 -3,0 ; P4 -20,0.</w:t>
      </w:r>
    </w:p>
    <w:p>
      <w:pPr>
        <w:spacing w:after="100" w:line="276"/>
        <w:jc w:val="both"/>
      </w:pPr>
      <w:r>
        <w:rPr>
          <w:b/>
          <w:bCs/>
        </w:rPr>
        <w:t xml:space="preserve">Signalements.</w:t>
      </w:r>
      <w:r>
        <w:t xml:space="preserve"> 2 aire(s) hors de l'attendu sur P1 à T1 : AS_04_081_1453 (33,2) ; AS_04_081_1458 (15,7). 8 unité(s) en amélioration, 4 en dégradation (CODESA AS_04_081_1454 ↑ ; CODESA AS_04_081_1457 ↑ ; CODESA AS_04_081_1458 ↓ ; CAC EKEMBA ↓ ; CAC YOTO ↑ ; CAC DOMBA ↑ ; …). Alertes de qualité : 2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Lodja (Sankuru)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Sankuru · Bras : Témoin (référentiel validé) · Aires enquêtées : 6 · Villages déclarés : 65 · Ménages : 170 à T0, 180 à T1 · Entretiens : CAC 36/36, CODESA 6/6, RECO 36/36, ASC 17/10</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64,9</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44,2</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P1 -7,1 ; P2 -3,2 ; P3 -7,6 ; P4 0,5.</w:t>
      </w:r>
    </w:p>
    <w:p>
      <w:pPr>
        <w:spacing w:after="100" w:line="276"/>
        <w:jc w:val="both"/>
      </w:pPr>
      <w:r>
        <w:rPr>
          <w:b/>
          <w:bCs/>
        </w:rPr>
        <w:t xml:space="preserve">Signalements.</w:t>
      </w:r>
      <w:r>
        <w:t xml:space="preserve"> 4 aire(s) hors de l'attendu sur P1 à T1 : AS_04_076_1367 (-30,1) ; AS_04_076_1357 (20,9) ; AS_04_076_1368 (-16,8) ; AS_04_076_1372 (-14,0). 5 unité(s) en amélioration, 5 en dégradation (CODESA AS_04_076_1357 ↑ ; CODESA AS_04_076_1367 ↑ ; CODESA AS_04_076_1368 ↑ ; CODESA AS_04_076_1375 ↑ ; CAC DIHOKAMANGA ↓ ; CAC SENDJU ↓ ; …). Alertes de qualité : 1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Minga (Sankuru)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Sankuru · Bras : Témoin (référentiel validé) · Aires enquêtées : 6 · Villages déclarés : 53 · Ménages : 179 à T0, 179 à T1 · Entretiens : CAC 36/36, CODESA 6/6, RECO 36/36, ASC 8/8</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64,9</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46,9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44,2</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95,5</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20,1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37,3</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66,6</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22,4</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31,9</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91,7</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29,7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39,2</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13,3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19,6</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56,7</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2,6 ; P2 -3,4 ; P3 5,2 ; P4 3,8.</w:t>
      </w:r>
    </w:p>
    <w:p>
      <w:pPr>
        <w:spacing w:after="100" w:line="276"/>
        <w:jc w:val="both"/>
      </w:pPr>
      <w:r>
        <w:rPr>
          <w:b/>
          <w:bCs/>
        </w:rPr>
        <w:t xml:space="preserve">Signalements.</w:t>
      </w:r>
      <w:r>
        <w:t xml:space="preserve"> 4 aire(s) hors de l'attendu sur P1 à T1 : AS_04_079_1418 (-28,4) ; AS_04_079_1421 (20,7) ; AS_04_079_1423 (17,2) ; AS_04_079_1426 (11,5). 16 unité(s) en amélioration, 6 en dégradation (CODESA AS_04_079_1412 ↓ ; CODESA AS_04_079_1413 ↑ ; CODESA AS_04_079_1421 ↑ ; CODESA AS_04_079_1423 ↑ ; CODESA AS_04_079_1426 ↑ ; CAC ENGO DIHOKA ↑ ; …). Alertes de qualité : 3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Katana (Sud-Kivu)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Sud-Kivu · Bras : Intervention (référentiel validé) · Aires enquêtées : 8 · Villages déclarés : 53 · Ménages : 180 à T0, 171 à T1 · Entretiens : CAC 36/35, CODESA 6/6, RECO 36/35, ASC 7/7</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67,3</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65,5</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95,9</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68,9</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22,2</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97,1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93,0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P1 -6,4 ; P2 1,7 ; P3 -1,1 ; P4 0,2.</w:t>
      </w:r>
    </w:p>
    <w:p>
      <w:pPr>
        <w:spacing w:after="100" w:line="276"/>
        <w:jc w:val="both"/>
      </w:pPr>
      <w:r>
        <w:rPr>
          <w:b/>
          <w:bCs/>
        </w:rPr>
        <w:t xml:space="preserve">Signalements.</w:t>
      </w:r>
      <w:r>
        <w:t xml:space="preserve"> 3 aire(s) hors de l'attendu sur P1 à T1 : AS_01_009_0166 (27,6) ; AS_01_009_0158 (18,1) ; AS_01_009_0165 (-16,8). 2 unité(s) en amélioration, 5 en dégradation (CODESA AS_01_009_0165 ↓ ; CODESA AS_01_009_0176 ↑ ; CAC BIYENGA ↓ ; CAC IZIMERO ↓ ; CAC BUTAMU ↑ ; CAC LUKAYU ↓ ; …). Alertes de qualité : 0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Nyangezi (Sud-Kivu)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Sud-Kivu · Bras : Intervention (référentiel validé) · Aires enquêtées : 7 · Villages déclarés : 58 · Ménages : 180 à T0, 180 à T1 · Entretiens : CAC 36/36, CODESA 6/6, RECO 36/36, ASC 6/6</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67,3</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61,7</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68,9</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71,9</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72,5</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0,6</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64,8</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-19,4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-11,9</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11,1</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76,5</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86,8</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93,0</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3,8 ; P2 -7,3 ; P3 -0,5 ; P4 -0,8.</w:t>
      </w:r>
    </w:p>
    <w:p>
      <w:pPr>
        <w:spacing w:after="100" w:line="276"/>
        <w:jc w:val="both"/>
      </w:pPr>
      <w:r>
        <w:rPr>
          <w:b/>
          <w:bCs/>
        </w:rPr>
        <w:t xml:space="preserve">Signalements.</w:t>
      </w:r>
      <w:r>
        <w:t xml:space="preserve"> 1 aire(s) hors de l'attendu sur P1 à T1 : AS_01_032_0645 (-19,0). 10 unité(s) en amélioration, 9 en dégradation (CODESA AS_01_032_0635 ↑ ; CODESA AS_01_032_0639 ↓ ; CODESA AS_01_032_0646 ↓ ; CODESA AS_01_032_0649 ↓ ; CAC BUKERA ↓ ; CAC BUSHANYI ↓ ; …). Alertes de qualité : 2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Nyantende (Sud-Kivu)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Sud-Kivu · Bras : Témoin (référentiel validé) · Aires enquêtées : 5 · Villages déclarés : 46 · Ménages : 180 à T0, 180 à T1 · Entretiens : CAC 35/36, CODESA 6/6, RECO 36/36, ASC 6/6</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66,9</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63,1</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68,4</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14,2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68,3</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73,3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87,8</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32,2</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34,9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75,6</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47,2</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10,1</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37,1</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38,9</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88,1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16,7</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94,4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85,3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26,5</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90,6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86,1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-4,5</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P1 -4,1 ; P2 2,3 ; P3 7,1 ; P4 -0,9.</w:t>
      </w:r>
    </w:p>
    <w:p>
      <w:pPr>
        <w:spacing w:after="100" w:line="276"/>
        <w:jc w:val="both"/>
      </w:pPr>
      <w:r>
        <w:rPr>
          <w:b/>
          <w:bCs/>
        </w:rPr>
        <w:t xml:space="preserve">Signalements.</w:t>
      </w:r>
      <w:r>
        <w:t xml:space="preserve"> 2 aire(s) hors de l'attendu sur P1 à T1 : AS_01_011_0203 (-41,8) ; AS_01_011_0199 (25,4). 10 unité(s) en amélioration, 4 en dégradation (CODESA AS_01_011_0199 ↑ ; CODESA AS_01_011_0205 ↓ ; CAC ITARA 1 ↓ ; CAC ITARA 2 ↓ ; CAC MULONGE 2 ↑ ; CAC CIDUNDU 3 ↑ ; …). Alertes de qualité : 1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0"/>
      </w:pPr>
      <w:r>
        <w:t xml:space="preserve">Fiche de zone : Walungu (Sud-Kivu)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sz w:val="18"/>
                <w:szCs w:val="18"/>
              </w:rPr>
              <w:t xml:space="preserve">Province : Sud-Kivu · Bras : Témoin (référentiel validé) · Aires enquêtées : 6 · Villages déclarés : 55 · Ménages : 179 à T0, 178 à T1 · Entretiens : CAC 36/36, CODESA 6/6, RECO 36/36, ASC 7/7</w:t>
            </w:r>
          </w:p>
        </w:tc>
      </w:tr>
    </w:tbl>
    <w:tbl>
      <w:tblPr>
        <w:tblW w:type="dxa" w:w="9639"/>
        <w:tblBorders>
          <w:top w:val="none" w:color="FFFFFF" w:sz="0"/>
          <w:left w:val="none" w:color="FFFFFF" w:sz="0"/>
          <w:bottom w:val="single" w:color="0B1F3A" w:sz="8"/>
          <w:right w:val="none" w:color="FFFFFF" w:sz="0"/>
          <w:insideH w:val="none" w:color="FFFFFF" w:sz="0"/>
          <w:insideV w:val="none" w:color="FFFFFF" w:sz="0"/>
        </w:tblBorders>
      </w:tblPr>
      <w:tblGrid>
        <w:gridCol w:w="3742"/>
        <w:gridCol w:w="964"/>
        <w:gridCol w:w="964"/>
        <w:gridCol w:w="1134"/>
        <w:gridCol w:w="1304"/>
        <w:gridCol w:w="1531"/>
      </w:tblGrid>
      <w:tr>
        <w:trPr>
          <w:tblHeader/>
        </w:trPr>
        <w:tc>
          <w:tcPr>
            <w:tcW w:type="dxa" w:w="3742"/>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left"/>
            </w:pPr>
            <w:r>
              <w:rPr>
                <w:rFonts w:ascii="Calibri" w:cs="Calibri" w:eastAsia="Calibri" w:hAnsi="Calibri"/>
                <w:b/>
                <w:bCs/>
                <w:color w:val="FFFFFF"/>
                <w:sz w:val="15"/>
                <w:szCs w:val="15"/>
              </w:rPr>
              <w:t xml:space="preserve">Indicateur</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T0</w:t>
            </w:r>
          </w:p>
        </w:tc>
        <w:tc>
          <w:tcPr>
            <w:tcW w:type="dxa" w:w="96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T1</w:t>
            </w:r>
          </w:p>
        </w:tc>
        <w:tc>
          <w:tcPr>
            <w:tcW w:type="dxa" w:w="113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Évolution</w:t>
            </w:r>
          </w:p>
        </w:tc>
        <w:tc>
          <w:tcPr>
            <w:tcW w:type="dxa" w:w="1304"/>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Province T1</w:t>
            </w:r>
          </w:p>
        </w:tc>
        <w:tc>
          <w:tcPr>
            <w:tcW w:type="dxa" w:w="1531"/>
            <w:tcBorders>
              <w:top w:val="none" w:color="FFFFFF" w:sz="0"/>
              <w:left w:val="none" w:color="FFFFFF" w:sz="0"/>
              <w:bottom w:val="single" w:color="D9E1EC" w:sz="4"/>
              <w:right w:val="none" w:color="FFFFFF" w:sz="0"/>
            </w:tcBorders>
            <w:shd w:fill="0B1F3A" w:color="auto" w:val="clear"/>
            <w:tcMar>
              <w:top w:type="dxa" w:w="35"/>
              <w:left w:type="dxa" w:w="70"/>
              <w:bottom w:type="dxa" w:w="35"/>
              <w:right w:type="dxa" w:w="70"/>
            </w:tcMar>
          </w:tcPr>
          <w:p>
            <w:pPr>
              <w:spacing w:after="0"/>
              <w:jc w:val="right"/>
            </w:pPr>
            <w:r>
              <w:rPr>
                <w:rFonts w:ascii="Calibri" w:cs="Calibri" w:eastAsia="Calibri" w:hAnsi="Calibri"/>
                <w:b/>
                <w:bCs/>
                <w:color w:val="FFFFFF"/>
                <w:sz w:val="15"/>
                <w:szCs w:val="15"/>
              </w:rPr>
              <w:t xml:space="preserve">Bras × province T1</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Ménages (pondération égale sans objet : une seule zone)</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P1 Exposition aux agents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65,3</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P2 Connaissances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58,2</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62,5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63,3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Connaît la Mpox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75,3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78,5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Accepterait le vaccin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65,4</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77,9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71,5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Enfant vacciné déclaré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84,4</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91,6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92,7</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89,7</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Carnet de vaccination vu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59,6</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41,5</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34,9</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Amène les enfants à la pesée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53,1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58,4</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64,2</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59,5</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Organes</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P3 Fonctionnalité des CAC (0-100)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79,3</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-4,3</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79,9</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79,3</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CAC fonctionnelles (≥ 80 %)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61,1</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55,6</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58,0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51,4</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PAC vu par l'enquêteur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80,6</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36,1</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-44,4</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48,3</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37,5</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Fonctionnalité des CODESA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83,3</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2,4</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84,5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CODESA : rôle dans la gestion de la Mpox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100,0</w:t>
            </w:r>
          </w:p>
        </w:tc>
      </w:tr>
      <w:tr>
        <w:tc>
          <w:tcPr>
            <w:tcW w:type="dxa" w:w="9639"/>
            <w:gridSpan w:val="6"/>
            <w:tcBorders>
              <w:top w:val="none" w:color="FFFFFF" w:sz="0"/>
              <w:left w:val="none" w:color="FFFFFF" w:sz="0"/>
              <w:bottom w:val="none" w:color="FFFFFF" w:sz="0"/>
              <w:right w:val="none" w:color="FFFFFF" w:sz="0"/>
            </w:tcBorders>
            <w:shd w:fill="DCE7F7" w:color="auto" w:val="clear"/>
            <w:tcMar>
              <w:top w:type="dxa" w:w="35"/>
              <w:left w:type="dxa" w:w="70"/>
              <w:bottom w:type="dxa" w:w="35"/>
              <w:right w:type="dxa" w:w="70"/>
            </w:tcMar>
          </w:tcPr>
          <w:p>
            <w:pPr>
              <w:spacing w:after="0"/>
            </w:pPr>
            <w:r>
              <w:rPr>
                <w:b/>
                <w:bCs/>
                <w:color w:val="0B1F3A"/>
                <w:sz w:val="15"/>
                <w:szCs w:val="15"/>
              </w:rPr>
              <w:t xml:space="preserve">Agents</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P4 Professionnalisation des RECO (0-100)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31,7</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4,6</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40,1</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38,1</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prime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4,2</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avec contrat (%)</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-2,8</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9,8</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12,5</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supervisés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60,0</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72,7</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12,7</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83,0</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79,1</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Ménages par RECO (médiane)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40,5</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-9,5</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50,0</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25,0</w:t>
            </w:r>
          </w:p>
        </w:tc>
      </w:tr>
      <w:tr>
        <w:tc>
          <w:tcPr>
            <w:tcW w:type="dxa" w:w="3742"/>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RECO en riposte (%)</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65,7</w:t>
            </w:r>
          </w:p>
        </w:tc>
        <w:tc>
          <w:tcPr>
            <w:tcW w:type="dxa" w:w="96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52,8</w:t>
            </w:r>
          </w:p>
        </w:tc>
        <w:tc>
          <w:tcPr>
            <w:tcW w:type="dxa" w:w="113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-12,9</w:t>
            </w:r>
          </w:p>
        </w:tc>
        <w:tc>
          <w:tcPr>
            <w:tcW w:type="dxa" w:w="1304"/>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81,1</w:t>
            </w:r>
          </w:p>
        </w:tc>
        <w:tc>
          <w:tcPr>
            <w:tcW w:type="dxa" w:w="1531"/>
            <w:tcBorders>
              <w:top w:val="none" w:color="FFFFFF" w:sz="0"/>
              <w:left w:val="none" w:color="FFFFFF" w:sz="0"/>
              <w:bottom w:val="single" w:color="D9E1EC" w:sz="4"/>
              <w:right w:val="none" w:color="FFFFFF" w:sz="0"/>
            </w:tcBorders>
            <w:shd w:fill="EEF3FA"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69,4</w:t>
            </w:r>
          </w:p>
        </w:tc>
      </w:tr>
      <w:tr>
        <w:tc>
          <w:tcPr>
            <w:tcW w:type="dxa" w:w="3742"/>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left"/>
            </w:pPr>
            <w:r>
              <w:rPr>
                <w:rFonts w:ascii="Calibri" w:cs="Calibri" w:eastAsia="Calibri" w:hAnsi="Calibri"/>
                <w:b w:val="false"/>
                <w:bCs w:val="false"/>
                <w:color w:val="10233F"/>
                <w:sz w:val="15"/>
                <w:szCs w:val="15"/>
              </w:rPr>
              <w:t xml:space="preserve">ASC enquêtés (nombre)</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96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7,0</w:t>
            </w:r>
          </w:p>
        </w:tc>
        <w:tc>
          <w:tcPr>
            <w:tcW w:type="dxa" w:w="113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0,0</w:t>
            </w:r>
          </w:p>
        </w:tc>
        <w:tc>
          <w:tcPr>
            <w:tcW w:type="dxa" w:w="1304"/>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c>
          <w:tcPr>
            <w:tcW w:type="dxa" w:w="1531"/>
            <w:tcBorders>
              <w:top w:val="none" w:color="FFFFFF" w:sz="0"/>
              <w:left w:val="none" w:color="FFFFFF" w:sz="0"/>
              <w:bottom w:val="single" w:color="D9E1EC" w:sz="4"/>
              <w:right w:val="none" w:color="FFFFFF" w:sz="0"/>
            </w:tcBorders>
            <w:shd w:fill="FFFFFF" w:color="auto" w:val="clear"/>
            <w:tcMar>
              <w:top w:type="dxa" w:w="35"/>
              <w:left w:type="dxa" w:w="70"/>
              <w:bottom w:type="dxa" w:w="35"/>
              <w:right w:type="dxa" w:w="70"/>
            </w:tcMar>
          </w:tcPr>
          <w:p>
            <w:pPr>
              <w:spacing w:after="0"/>
              <w:jc w:val="right"/>
            </w:pPr>
            <w:r>
              <w:rPr>
                <w:rFonts w:ascii="Calibri" w:cs="Calibri" w:eastAsia="Calibri" w:hAnsi="Calibri"/>
                <w:b w:val="false"/>
                <w:bCs w:val="false"/>
                <w:color w:val="10233F"/>
                <w:sz w:val="15"/>
                <w:szCs w:val="15"/>
              </w:rPr>
              <w:t xml:space="preserve">nd</w:t>
            </w:r>
          </w:p>
        </w:tc>
      </w:tr>
    </w:tbl>
    <w:p>
      <w:pPr>
        <w:spacing w:after="80" w:before="140"/>
        <w:jc w:val="both"/>
      </w:pPr>
      <w:r>
        <w:rPr>
          <w:b/>
          <w:bCs/>
        </w:rPr>
        <w:t xml:space="preserve">Position de la zone</w:t>
      </w:r>
      <w:r>
        <w:t xml:space="preserve"> (évolution ajustée, écart à la moyenne provinciale, points) : P1 6,7 ; P2 3,4 ; P3 -5,5 ; P4 1,5.</w:t>
      </w:r>
    </w:p>
    <w:p>
      <w:pPr>
        <w:spacing w:after="100" w:line="276"/>
        <w:jc w:val="both"/>
      </w:pPr>
      <w:r>
        <w:rPr>
          <w:b/>
          <w:bCs/>
        </w:rPr>
        <w:t xml:space="preserve">Signalements.</w:t>
      </w:r>
      <w:r>
        <w:t xml:space="preserve"> 4 aire(s) hors de l'attendu sur P1 à T1 : AS_01_033_0669 (-25,2) ; AS_01_033_0666 (23,6) ; AS_01_033_0665 (-22,8) ; AS_01_033_0672 (11,7). 6 unité(s) en amélioration, 9 en dégradation (CODESA AS_01_033_0658 ↑ ; CODESA AS_01_033_0665 ↓ ; CODESA AS_01_033_0668 ↑ ; CODESA AS_01_033_0672 ↓ ; CAC CIGAKO ↓ ; CAC MURHERA ↓ ; …). Alertes de qualité : 1 entretien(s) ménage avec date hors fenêtre ou âge implausible.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6C3FD1" w:sz="24"/>
              <w:bottom w:val="none" w:color="FFFFFF" w:sz="0"/>
              <w:right w:val="none" w:color="FFFFFF" w:sz="0"/>
            </w:tcBorders>
            <w:shd w:fill="F1ECFB" w:color="auto" w:val="clear"/>
            <w:tcMar>
              <w:top w:type="dxa" w:w="120"/>
              <w:left w:type="dxa" w:w="180"/>
              <w:bottom w:type="dxa" w:w="120"/>
              <w:right w:type="dxa" w:w="160"/>
            </w:tcMar>
          </w:tcPr>
          <w:p>
            <w:pPr>
              <w:spacing w:after="60" w:line="264"/>
              <w:jc w:val="left"/>
            </w:pPr>
            <w:r>
              <w:rPr>
                <w:b/>
                <w:bCs/>
                <w:sz w:val="18"/>
                <w:szCs w:val="18"/>
              </w:rPr>
              <w:t xml:space="preserve">Contexte (volet qualitatif) :</w:t>
            </w:r>
            <w:r>
              <w:rPr>
                <w:sz w:val="18"/>
                <w:szCs w:val="18"/>
              </w:rPr>
              <w:t xml:space="preserve"> événements, note de mise en œuvre, mode de paiement dominant, style de supervision. </w:t>
            </w:r>
            <w:r>
              <w:rPr>
                <w:i/>
                <w:iCs/>
                <w:sz w:val="18"/>
                <w:szCs w:val="18"/>
              </w:rPr>
              <w:t xml:space="preserve">À renseigner.</w:t>
            </w:r>
          </w:p>
          <w:p>
            <w:pPr>
              <w:spacing w:after="60" w:line="264"/>
              <w:jc w:val="left"/>
            </w:pPr>
            <w:r>
              <w:rPr>
                <w:b/>
                <w:bCs/>
                <w:sz w:val="18"/>
                <w:szCs w:val="18"/>
              </w:rPr>
              <w:t xml:space="preserve">Lecture conjointe :</w:t>
            </w:r>
            <w:r>
              <w:rPr>
                <w:sz w:val="18"/>
                <w:szCs w:val="18"/>
              </w:rPr>
              <w:t xml:space="preserve"> </w:t>
            </w:r>
            <w:r>
              <w:rPr>
                <w:i/>
                <w:iCs/>
                <w:sz w:val="18"/>
                <w:szCs w:val="18"/>
              </w:rPr>
              <w:t xml:space="preserve">à rédiger après l'atelier d'intégration.</w:t>
            </w:r>
          </w:p>
          <w:p>
            <w:pPr>
              <w:spacing w:after="60" w:line="264"/>
              <w:jc w:val="left"/>
            </w:pPr>
            <w:r>
              <w:rPr>
                <w:sz w:val="18"/>
                <w:szCs w:val="18"/>
              </w:rPr>
              <w:t xml:space="preserve"> </w:t>
            </w:r>
          </w:p>
          <w:p>
            <w:pPr>
              <w:spacing w:after="60" w:line="264"/>
              <w:jc w:val="left"/>
            </w:pPr>
            <w:r>
              <w:rPr>
                <w:sz w:val="18"/>
                <w:szCs w:val="18"/>
              </w:rPr>
              <w:t xml:space="preserve"> </w:t>
            </w:r>
          </w:p>
          <w:p>
            <w:pPr>
              <w:spacing w:after="60" w:line="264"/>
              <w:jc w:val="left"/>
            </w:pPr>
            <w:r>
              <w:rPr>
                <w:sz w:val="18"/>
                <w:szCs w:val="18"/>
              </w:rPr>
              <w:t xml:space="preserve"> </w:t>
            </w:r>
          </w:p>
        </w:tc>
      </w:tr>
    </w:tbl>
    <w:p>
      <w:r>
        <w:br w:type="page"/>
      </w:r>
    </w:p>
    <w:p>
      <w:pPr>
        <w:pStyle w:val="Heading2"/>
        <w:spacing w:after="100" w:before="260"/>
      </w:pPr>
      <w:r>
        <w:t xml:space="preserve">F. Listes de contrôle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F3F5F9" w:color="auto" w:val="clear"/>
            <w:tcMar>
              <w:top w:type="dxa" w:w="120"/>
              <w:left w:type="dxa" w:w="180"/>
              <w:bottom w:type="dxa" w:w="120"/>
              <w:right w:type="dxa" w:w="160"/>
            </w:tcMar>
          </w:tcPr>
          <w:p>
            <w:pPr>
              <w:spacing w:after="60" w:line="264"/>
              <w:jc w:val="left"/>
            </w:pPr>
            <w:r>
              <w:rPr>
                <w:b/>
                <w:bCs/>
                <w:sz w:val="18"/>
                <w:szCs w:val="18"/>
              </w:rPr>
              <w:t xml:space="preserve">TREND</w:t>
            </w:r>
            <w:r>
              <w:rPr>
                <w:sz w:val="18"/>
                <w:szCs w:val="18"/>
              </w:rPr>
              <w:t xml:space="preserve"> (évaluation sans tirage au sort) : items à cocher avant la remise — titre et résumé ; contexte ; participants et éligibilité ; intervention et comparateur ; objectifs ; résultats (primaires, secondaires, EMD) ; taille d'échantillon ; méthode d'affectation ; insu (sans objet) ; unité d'analyse ; méthodes statistiques (16 grappes) ; flux des participants ; recrutement ; données de base ; effectifs analysés ; résultats et estimations avec IC ; analyses auxiliaires ; événements indésirables ; interprétation ; généralisabilité ; preuves globales.</w:t>
            </w:r>
          </w:p>
          <w:p>
            <w:pPr>
              <w:spacing w:after="60" w:line="264"/>
              <w:jc w:val="left"/>
            </w:pPr>
            <w:r>
              <w:rPr>
                <w:b/>
                <w:bCs/>
                <w:sz w:val="18"/>
                <w:szCs w:val="18"/>
              </w:rPr>
              <w:t xml:space="preserve">STROBE</w:t>
            </w:r>
            <w:r>
              <w:rPr>
                <w:sz w:val="18"/>
                <w:szCs w:val="18"/>
              </w:rPr>
              <w:t xml:space="preserve"> (parties descriptives) et </w:t>
            </w:r>
            <w:r>
              <w:rPr>
                <w:b/>
                <w:bCs/>
                <w:sz w:val="18"/>
                <w:szCs w:val="18"/>
              </w:rPr>
              <w:t xml:space="preserve">GRAMMS</w:t>
            </w:r>
            <w:r>
              <w:rPr>
                <w:sz w:val="18"/>
                <w:szCs w:val="18"/>
              </w:rPr>
              <w:t xml:space="preserve"> (intégration mixte) : listes à joindre, renseignées par le volet quantitatif et le volet qualitatif.</w:t>
            </w:r>
          </w:p>
        </w:tc>
      </w:tr>
    </w:tbl>
    <w:p>
      <w:pPr>
        <w:pStyle w:val="Heading2"/>
        <w:spacing w:after="100" w:before="260"/>
      </w:pPr>
      <w:r>
        <w:t xml:space="preserve">G. Catalogue des sorties</w:t>
      </w:r>
    </w:p>
    <w:p>
      <w:pPr>
        <w:spacing w:after="100" w:line="276"/>
        <w:jc w:val="both"/>
      </w:pPr>
      <w:r>
        <w:t xml:space="preserve">Le catalogue complet (code, type, titre, script, registre, population) est le fichier 04_resultats/tableaux/_catalogue_sorties.csv ; le classeur 04_resultats/SACO_Phase2_Tableaux.xlsx rassemble tous les tableaux, un onglet par tableau. Le journal des décisions (04_resultats/journal/journal_des_decisions.csv) consigne chaque correction avec son effectif ; session_info.txt fixe les versions de R et des paquets.</w:t>
      </w:r>
    </w:p>
    <w:sectPr>
      <w:headerReference w:type="default" r:id="rId11"/>
      <w:footerReference w:type="default" r:id="rId12"/>
      <w:type w:val="nextPage"/>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p>
    <w:pPr>
      <w:tabs>
        <w:tab w:val="right" w:pos="9638"/>
      </w:tabs>
      <w:spacing w:after="0" w:before="40"/>
    </w:pPr>
    <w:r>
      <w:rPr>
        <w:color w:val="52514E"/>
        <w:sz w:val="15"/>
        <w:szCs w:val="15"/>
      </w:rPr>
      <w:t xml:space="preserve">Rapport de résultats quantitatifs · Phase 2 · SACO / Mpox (RDC)</w:t>
    </w:r>
    <w:r>
      <w:rPr>
        <w:color w:val="52514E"/>
        <w:sz w:val="15"/>
        <w:szCs w:val="15"/>
      </w:rPr>
      <w:t xml:space="preserve">	Modèle de rapport — sorties de la chaîne d'analyse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9248775"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248775" cy="762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p>
    <w:pPr>
      <w:tabs>
        <w:tab w:val="right" w:pos="9638"/>
      </w:tabs>
      <w:spacing w:after="0" w:before="40"/>
    </w:pPr>
    <w:r>
      <w:rPr>
        <w:color w:val="52514E"/>
        <w:sz w:val="15"/>
        <w:szCs w:val="15"/>
      </w:rPr>
      <w:t xml:space="preserve">Rapport de résultats quantitatifs · Phase 2 · SACO / Mpox (RDC)</w:t>
    </w:r>
    <w:r>
      <w:rPr>
        <w:color w:val="52514E"/>
        <w:sz w:val="15"/>
        <w:szCs w:val="15"/>
      </w:rPr>
      <w:t xml:space="preserve">	Modèle de rapport — sorties de la chaîne d'analyse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A78D6"/>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3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color w:val="FFFFFF"/>
      <w:sz w:val="2"/>
      <w:szCs w:val="2"/>
    </w:rPr>
  </w:style>
  <w:style w:type="paragraph" w:styleId="Heading2">
    <w:name w:val="Heading 2"/>
    <w:basedOn w:val="Normal"/>
    <w:next w:val="Normal"/>
    <w:qFormat/>
    <w:pPr>
      <w:pBdr>
        <w:bottom w:val="single" w:color="D9E1EC" w:sz="6" w:space="2"/>
      </w:pBdr>
      <w:spacing w:after="100" w:before="26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A78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5ecf93754ea3682e564c4141d9ab215db4a36e6.png"/><Relationship Id="rId14" Type="http://schemas.openxmlformats.org/officeDocument/2006/relationships/image" Target="media/573800223a55bc4f89fd4a1bf3ee54e2f0efe5d6.png"/><Relationship Id="rId15" Type="http://schemas.openxmlformats.org/officeDocument/2006/relationships/image" Target="media/4f4d793be28ef42f1b8bb9d6092dbd6cabe33637.png"/><Relationship Id="rId16" Type="http://schemas.openxmlformats.org/officeDocument/2006/relationships/image" Target="media/9be355babda068431d8261fe176a5d3eaf98f87b.png"/><Relationship Id="rId17" Type="http://schemas.openxmlformats.org/officeDocument/2006/relationships/image" Target="media/8f1d86105c9c0f13d48619a2382d3f8f1ab80627.png"/><Relationship Id="rId18" Type="http://schemas.openxmlformats.org/officeDocument/2006/relationships/image" Target="media/fb33c7114a0d7ee3a5dd20c7dc1f0987a83098a2.png"/><Relationship Id="rId19" Type="http://schemas.openxmlformats.org/officeDocument/2006/relationships/image" Target="media/03416a46002585538b05a53552aa1b1492190c50.png"/><Relationship Id="rId20" Type="http://schemas.openxmlformats.org/officeDocument/2006/relationships/image" Target="media/b92c53247f830df713deb0651f3db5bc45401f1e.png"/><Relationship Id="rId21" Type="http://schemas.openxmlformats.org/officeDocument/2006/relationships/image" Target="media/e43a25c3555bb06e18c200a0261eb0b3808297eb.png"/><Relationship Id="rId22" Type="http://schemas.openxmlformats.org/officeDocument/2006/relationships/image" Target="media/5eb8c34656b9538d47336db606b7277ed3573e7f.png"/><Relationship Id="rId23" Type="http://schemas.openxmlformats.org/officeDocument/2006/relationships/image" Target="media/a784ad34319c654738b95be3f946ef7c3bad5c7d.png"/><Relationship Id="rId24" Type="http://schemas.openxmlformats.org/officeDocument/2006/relationships/image" Target="media/5a3ceac6f66f96cdd39847a20fef9e43faec478b.png"/><Relationship Id="rId25" Type="http://schemas.openxmlformats.org/officeDocument/2006/relationships/image" Target="media/61b076cd1ea1108dd41d6c8d6d738e41c70f171e.png"/><Relationship Id="rId26" Type="http://schemas.openxmlformats.org/officeDocument/2006/relationships/image" Target="media/3d766d60a4af91aad4ac3640f69dc698b74cb6b1.png"/><Relationship Id="rId27" Type="http://schemas.openxmlformats.org/officeDocument/2006/relationships/image" Target="media/f6ad952218a2840bd61cb781827a9b367c94f91d.png"/><Relationship Id="rId28" Type="http://schemas.openxmlformats.org/officeDocument/2006/relationships/image" Target="media/041e59eb158403bb5f517fa419c54cf3c1540482.png"/><Relationship Id="rId29" Type="http://schemas.openxmlformats.org/officeDocument/2006/relationships/image" Target="media/767a698a07aa0cfd90f04714d4e124a43074b762.png"/><Relationship Id="rId30" Type="http://schemas.openxmlformats.org/officeDocument/2006/relationships/image" Target="media/996e87e22b9d4301577e27c55838adb071ecea82.png"/><Relationship Id="rId31" Type="http://schemas.openxmlformats.org/officeDocument/2006/relationships/image" Target="media/f510af9a3fee4114f13ea99df647f74b1b5777cc.png"/><Relationship Id="rId32" Type="http://schemas.openxmlformats.org/officeDocument/2006/relationships/image" Target="media/873485aaad891467d97bdc5bf3ddb86f0737e558.png"/><Relationship Id="rId33" Type="http://schemas.openxmlformats.org/officeDocument/2006/relationships/image" Target="media/a3366995f79e91dca387d2b0f0a879a5d02ea213.png"/><Relationship Id="rId34" Type="http://schemas.openxmlformats.org/officeDocument/2006/relationships/image" Target="media/b6f84a1cbf10f667e7b108d2e5c8a3cf2dfb6e12.png"/><Relationship Id="rId35" Type="http://schemas.openxmlformats.org/officeDocument/2006/relationships/image" Target="media/4503ad413da58c8773354b9e62e86edd30c627d6.png"/><Relationship Id="rId36" Type="http://schemas.openxmlformats.org/officeDocument/2006/relationships/image" Target="media/fea1340974c39eaaa4471a4eccbc14bd8db32114.png"/><Relationship Id="rId37" Type="http://schemas.openxmlformats.org/officeDocument/2006/relationships/image" Target="media/59c2df95a2811a45b2c82da9e8c404842576bb1b.png"/><Relationship Id="rId38" Type="http://schemas.openxmlformats.org/officeDocument/2006/relationships/image" Target="media/b0a2945521e7e24ed1fe49126056580bdc40c967.png"/><Relationship Id="rId39" Type="http://schemas.openxmlformats.org/officeDocument/2006/relationships/image" Target="media/4aa3dcd23777edfd1f8785767f7d6de99ef0d7cb.png"/><Relationship Id="rId40" Type="http://schemas.openxmlformats.org/officeDocument/2006/relationships/image" Target="media/10557ce8ca9322ac6d2fbcad6f7606a4b225e344.png"/><Relationship Id="rId41" Type="http://schemas.openxmlformats.org/officeDocument/2006/relationships/image" Target="media/a54b126c07e0f7ddad6ab0d41b0675b6d53bcbfa.png"/><Relationship Id="rId42" Type="http://schemas.openxmlformats.org/officeDocument/2006/relationships/image" Target="media/94d23a724409db62b000e079dc2ad13ff3045205.png"/><Relationship Id="rId43" Type="http://schemas.openxmlformats.org/officeDocument/2006/relationships/image" Target="media/d2dc33851130f6b12525019c87c475a653d69642.png"/><Relationship Id="rId44" Type="http://schemas.openxmlformats.org/officeDocument/2006/relationships/image" Target="media/80f4c383dbc524e9ef074746e88b27c4fe1e2a67.png"/><Relationship Id="rId45" Type="http://schemas.openxmlformats.org/officeDocument/2006/relationships/image" Target="media/414f5c7383eb5e8a3b8a1b3a3893b09560c68876.png"/><Relationship Id="rId46" Type="http://schemas.openxmlformats.org/officeDocument/2006/relationships/image" Target="media/0a0bd656c020641817ae82ead60450a3abd5f065.png"/><Relationship Id="rId47" Type="http://schemas.openxmlformats.org/officeDocument/2006/relationships/image" Target="media/82e37aae4e0ec6dbcaa34fe9c17f4c6cb32cbaa3.png"/><Relationship Id="rId48" Type="http://schemas.openxmlformats.org/officeDocument/2006/relationships/image" Target="media/91308c66d19de86d9580d75fcb4dbd97836aa664.png"/><Relationship Id="rId49" Type="http://schemas.openxmlformats.org/officeDocument/2006/relationships/image" Target="media/4e295a7da0753df4ffdcbde661423bd55ef10d75.png"/><Relationship Id="rId50" Type="http://schemas.openxmlformats.org/officeDocument/2006/relationships/image" Target="media/2dd0c042160685a4e2d8ab5011e2a19bfb2caa51.png"/><Relationship Id="rId51" Type="http://schemas.openxmlformats.org/officeDocument/2006/relationships/image" Target="media/099eed7b2131a6d626ad940510ed3dba457e1da5.png"/><Relationship Id="rId52" Type="http://schemas.openxmlformats.org/officeDocument/2006/relationships/image" Target="media/2b17cd623e40dfff1f57ff8ee148e7f98965f61d.png"/><Relationship Id="rId53" Type="http://schemas.openxmlformats.org/officeDocument/2006/relationships/image" Target="media/c04c56d5e667e1949c9746778a9fb20c7cad46c8.png"/><Relationship Id="rId54" Type="http://schemas.openxmlformats.org/officeDocument/2006/relationships/image" Target="media/3a8ab2225ef5d11bb8dddb096557ebcda32a256d.png"/><Relationship Id="rId55" Type="http://schemas.openxmlformats.org/officeDocument/2006/relationships/image" Target="media/e548421447effe6c5240d91a6f4225a96a327c4a.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2ae0b8b03a8f3c7067a0686148924dbecba523d.png"/></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Relationship Id="rId0" Type="http://schemas.openxmlformats.org/officeDocument/2006/relationships/image" Target="media/52ae0b8b03a8f3c7067a0686148924dbecba523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ae0b8b03a8f3c7067a0686148924dbecba523d.png"/></Relationships>
</file>

<file path=word/_rels/header2.xml.rels><?xml version="1.0" encoding="UTF-8"?><Relationships xmlns="http://schemas.openxmlformats.org/package/2006/relationships"><Relationship Id="rId0" Type="http://schemas.openxmlformats.org/officeDocument/2006/relationships/image" Target="media/52ae0b8b03a8f3c7067a0686148924dbecba523d.png"/></Relationships>
</file>

<file path=word/_rels/header3.xml.rels><?xml version="1.0" encoding="UTF-8"?><Relationships xmlns="http://schemas.openxmlformats.org/package/2006/relationships"><Relationship Id="rId0" Type="http://schemas.openxmlformats.org/officeDocument/2006/relationships/image" Target="media/52ae0b8b03a8f3c7067a0686148924dbecba52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résultats quantitatifs – Phase 2 – SACO / Mpox (RDC) – modèle</dc:title>
  <dc:creator>ICHESS – chaîne d'analyse SACO phase 2</dc:creator>
  <cp:lastModifiedBy>Un-named</cp:lastModifiedBy>
  <cp:revision>1</cp:revision>
  <dcterms:created xsi:type="dcterms:W3CDTF">2026-10-19T09:25:50.543Z</dcterms:created>
  <dcterms:modified xsi:type="dcterms:W3CDTF">2026-10-19T09:25:50.543Z</dcterms:modified>
</cp:coreProperties>
</file>

<file path=docProps/custom.xml><?xml version="1.0" encoding="utf-8"?>
<Properties xmlns="http://schemas.openxmlformats.org/officeDocument/2006/custom-properties" xmlns:vt="http://schemas.openxmlformats.org/officeDocument/2006/docPropsVTypes"/>
</file>