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AF" w:rsidRDefault="00C002AF" w:rsidP="009A256D">
      <w:pPr>
        <w:pStyle w:val="NoSpacing"/>
        <w:jc w:val="both"/>
      </w:pPr>
      <w:r>
        <w:t xml:space="preserve">This document describe about the MDS configuration in Windows and Linux respectively. </w:t>
      </w:r>
    </w:p>
    <w:p w:rsidR="00C002AF" w:rsidRDefault="00C002AF" w:rsidP="009A256D">
      <w:pPr>
        <w:pStyle w:val="Heading1"/>
        <w:numPr>
          <w:ilvl w:val="0"/>
          <w:numId w:val="5"/>
        </w:numPr>
        <w:jc w:val="both"/>
      </w:pPr>
      <w:r>
        <w:t>Configuration in Windows</w:t>
      </w:r>
    </w:p>
    <w:p w:rsidR="00AF6765" w:rsidRDefault="009A256D" w:rsidP="009A256D">
      <w:pPr>
        <w:pStyle w:val="Heading4"/>
        <w:jc w:val="both"/>
      </w:pPr>
      <w:r>
        <w:t>Prerequisite</w:t>
      </w:r>
    </w:p>
    <w:p w:rsidR="00AF6765" w:rsidRDefault="009A256D" w:rsidP="009A256D">
      <w:pPr>
        <w:jc w:val="both"/>
      </w:pPr>
      <w:r>
        <w:rPr>
          <w:rFonts w:cs="Consolas"/>
        </w:rPr>
        <w:t xml:space="preserve">For MDS integration </w:t>
      </w:r>
      <w:r w:rsidR="008D51C2">
        <w:rPr>
          <w:rFonts w:cs="Consolas"/>
        </w:rPr>
        <w:t xml:space="preserve">need to install TIBRV or </w:t>
      </w:r>
      <w:r>
        <w:rPr>
          <w:rFonts w:cs="Consolas"/>
        </w:rPr>
        <w:t xml:space="preserve">require all </w:t>
      </w:r>
      <w:r>
        <w:rPr>
          <w:rFonts w:cs="Consolas"/>
          <w:i/>
        </w:rPr>
        <w:t>jar</w:t>
      </w:r>
      <w:r>
        <w:rPr>
          <w:rFonts w:cs="Consolas"/>
        </w:rPr>
        <w:t xml:space="preserve">s(tibrvj.jar) and </w:t>
      </w:r>
      <w:r>
        <w:rPr>
          <w:rFonts w:cs="Consolas"/>
          <w:i/>
        </w:rPr>
        <w:t>dll</w:t>
      </w:r>
      <w:r>
        <w:rPr>
          <w:rFonts w:cs="Consolas"/>
        </w:rPr>
        <w:t>s(libeay32.dll,</w:t>
      </w:r>
      <w:r>
        <w:t xml:space="preserve"> </w:t>
      </w:r>
      <w:r>
        <w:rPr>
          <w:rFonts w:cs="Consolas"/>
        </w:rPr>
        <w:t>ssleay32.dll,</w:t>
      </w:r>
      <w:r>
        <w:t xml:space="preserve"> </w:t>
      </w:r>
      <w:r>
        <w:rPr>
          <w:rFonts w:cs="Consolas"/>
        </w:rPr>
        <w:t>TIBCO.Rendezvous.dll,</w:t>
      </w:r>
      <w:r>
        <w:t xml:space="preserve"> </w:t>
      </w:r>
      <w:r>
        <w:rPr>
          <w:rFonts w:cs="Consolas"/>
        </w:rPr>
        <w:t>tibrv.dll,</w:t>
      </w:r>
      <w:r>
        <w:t xml:space="preserve"> </w:t>
      </w:r>
      <w:r>
        <w:rPr>
          <w:rFonts w:cs="Consolas"/>
        </w:rPr>
        <w:t>tibrvcm.dll,</w:t>
      </w:r>
      <w:r>
        <w:t xml:space="preserve"> </w:t>
      </w:r>
      <w:r>
        <w:rPr>
          <w:rFonts w:cs="Consolas"/>
        </w:rPr>
        <w:t>tibrvcmq.dll,</w:t>
      </w:r>
      <w:r>
        <w:t xml:space="preserve"> </w:t>
      </w:r>
      <w:r>
        <w:rPr>
          <w:rFonts w:cs="Consolas"/>
        </w:rPr>
        <w:t>tibrvcom.dll,</w:t>
      </w:r>
      <w:r>
        <w:t xml:space="preserve"> </w:t>
      </w:r>
      <w:r>
        <w:rPr>
          <w:rFonts w:cs="Consolas"/>
        </w:rPr>
        <w:t>tibrvft.dll,</w:t>
      </w:r>
      <w:r>
        <w:t xml:space="preserve"> </w:t>
      </w:r>
      <w:r>
        <w:rPr>
          <w:rFonts w:cs="Consolas"/>
        </w:rPr>
        <w:t>tibrvj.dll,</w:t>
      </w:r>
      <w:r>
        <w:t xml:space="preserve"> </w:t>
      </w:r>
      <w:r>
        <w:rPr>
          <w:rFonts w:cs="Consolas"/>
        </w:rPr>
        <w:t>tibrvjsd.dll,</w:t>
      </w:r>
      <w:r>
        <w:t xml:space="preserve"> </w:t>
      </w:r>
      <w:r>
        <w:rPr>
          <w:rFonts w:cs="Consolas"/>
        </w:rPr>
        <w:t>tibrvnative.dll,</w:t>
      </w:r>
      <w:r>
        <w:t xml:space="preserve"> </w:t>
      </w:r>
      <w:r>
        <w:rPr>
          <w:rFonts w:cs="Consolas"/>
        </w:rPr>
        <w:t>tibrvnativesd.dll,</w:t>
      </w:r>
      <w:r>
        <w:t xml:space="preserve"> </w:t>
      </w:r>
      <w:r>
        <w:rPr>
          <w:rFonts w:cs="Consolas"/>
        </w:rPr>
        <w:t>tibrvsd.dll,</w:t>
      </w:r>
      <w:r>
        <w:t xml:space="preserve"> </w:t>
      </w:r>
      <w:r>
        <w:rPr>
          <w:rFonts w:cs="Consolas"/>
        </w:rPr>
        <w:t xml:space="preserve">tibrvsdcom.dll) from TIBCO installation. Copy </w:t>
      </w:r>
      <w:r w:rsidR="008D51C2">
        <w:rPr>
          <w:rFonts w:cs="Consolas"/>
        </w:rPr>
        <w:t>these</w:t>
      </w:r>
      <w:r>
        <w:rPr>
          <w:rFonts w:cs="Consolas"/>
        </w:rPr>
        <w:t xml:space="preserve"> files into a folder (Example C:\TIBCO\TIBRV\bin for </w:t>
      </w:r>
      <w:r w:rsidR="008D51C2">
        <w:rPr>
          <w:rFonts w:cs="Consolas"/>
        </w:rPr>
        <w:t>dll,</w:t>
      </w:r>
      <w:r>
        <w:rPr>
          <w:rFonts w:cs="Consolas"/>
        </w:rPr>
        <w:t xml:space="preserve"> C:\TIBCO\TIBRV\lib for jar). </w:t>
      </w:r>
      <w:r w:rsidR="008D51C2">
        <w:rPr>
          <w:rFonts w:cs="Consolas"/>
        </w:rPr>
        <w:t xml:space="preserve"> </w:t>
      </w:r>
    </w:p>
    <w:p w:rsidR="00AF6765" w:rsidRDefault="009A256D" w:rsidP="009A256D">
      <w:pPr>
        <w:jc w:val="both"/>
      </w:pPr>
      <w:r>
        <w:rPr>
          <w:rFonts w:cs="Consolas"/>
        </w:rPr>
        <w:t xml:space="preserve">MDS supporting jars (RVFrameWork-1.5.jar, MDSCore4.2.1.jar, MDSCommon4.2.2.jar, jaxen-1.1-beta-5.jar, HubInterface-4.2.7.jar, Config-1.0.jar, </w:t>
      </w:r>
      <w:proofErr w:type="gramStart"/>
      <w:r>
        <w:rPr>
          <w:rFonts w:cs="Consolas"/>
        </w:rPr>
        <w:t>HubInterfaceRv</w:t>
      </w:r>
      <w:proofErr w:type="gramEnd"/>
      <w:r>
        <w:rPr>
          <w:rFonts w:cs="Consolas"/>
        </w:rPr>
        <w:t>-</w:t>
      </w:r>
      <w:r w:rsidR="008D51C2">
        <w:rPr>
          <w:rFonts w:cs="Consolas"/>
        </w:rPr>
        <w:t>4.2.1.jar)</w:t>
      </w:r>
    </w:p>
    <w:p w:rsidR="00AF6765" w:rsidRDefault="009A256D" w:rsidP="009A256D">
      <w:pPr>
        <w:pStyle w:val="Heading4"/>
        <w:jc w:val="both"/>
      </w:pPr>
      <w:r>
        <w:t>Step 1</w:t>
      </w:r>
    </w:p>
    <w:p w:rsidR="00AF6765" w:rsidRDefault="009A256D" w:rsidP="009A256D">
      <w:pPr>
        <w:jc w:val="both"/>
      </w:pPr>
      <w:r>
        <w:rPr>
          <w:rFonts w:cs="Consolas"/>
        </w:rPr>
        <w:t>Push following jars into Maven repository</w:t>
      </w:r>
      <w:r w:rsidRPr="009A256D">
        <w:rPr>
          <w:rFonts w:cs="Consolas"/>
        </w:rPr>
        <w:t xml:space="preserve"> </w:t>
      </w:r>
      <w:r>
        <w:rPr>
          <w:rFonts w:cs="Consolas"/>
        </w:rPr>
        <w:t>by executing commands given below.</w:t>
      </w:r>
    </w:p>
    <w:p w:rsidR="009A256D" w:rsidRDefault="009A256D" w:rsidP="009A256D">
      <w:pPr>
        <w:jc w:val="both"/>
        <w:rPr>
          <w:rFonts w:cs="Consolas"/>
        </w:rPr>
      </w:pPr>
      <w:r>
        <w:rPr>
          <w:rFonts w:cs="Consolas"/>
        </w:rPr>
        <w:t xml:space="preserve">tibrvj.jar, RVFrameWork-1.5.jar, MDSCore4.2.1.jar, MDSCommon4.2.2.jar, jaxen-1.1-beta-5.jar, HubInterface-4.2.7.jar, Config-1.0.jar, HubInterfaceRv-4.2.1.jar 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install:install-file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 xml:space="preserve"> -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Dfile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=&lt;JAR_FOLDER&gt;\tibrvj.jar -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DgroupId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=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com.tibco.tibrv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 xml:space="preserve"> -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DartifactId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=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tibrvj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 xml:space="preserve"> -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Dversion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=1.0 -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Dpackaging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-Dfile=&lt;JAR_FOLDER&gt;\RVFrameWork-1.5.jar -DgroupId=com.git.framework.rv -DartifactId=RVFrameWork -Dversion=1.5 -Dpackaging=jar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-Dfile=&lt;JAR_FOLDER&gt;\MDSCore4.2.1.jar -DgroupId=com.git.mds.core -DartifactId=MDSCore4 -Dversion=4.2.1 -Dpackaging=jar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-Dfile=&lt;JAR_FOLDER&gt;\MDSCommon4.2.2.jar -DgroupId=com.git.mds.common -DartifactId=MDSCommon -Dversion=4.2.2 -Dpackaging=jar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-Dfile=&lt;JAR_FOLDER&gt;\jaxen-1.1-beta-5.jar -DgroupId=org.jaxen -DartifactId=jaxen -Dversion=1.1-beta-5 -Dpackaging=jar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-Dfile=&lt;JAR_FOLDER&gt;\HubInterface-4.2.7.jar -DgroupId=com.git.mds -DartifactId=HubInterface -Dversion=4.2.7 -Dpackaging=jar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-Dfile=&lt;JAR_FOLDER&gt;\Config-1.0.jar -DgroupId=com.git.oms.cfg -DartifactId=Config -Dversion=1.0 -Dpackaging=jar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proofErr w:type="gramStart"/>
      <w:r w:rsidRPr="00021F74">
        <w:rPr>
          <w:rFonts w:ascii="Verdana" w:hAnsi="Verdana" w:cs="Consolas"/>
          <w:i/>
          <w:sz w:val="16"/>
          <w:szCs w:val="16"/>
        </w:rPr>
        <w:t>mvn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 xml:space="preserve"> install:install-file -Dfile=&lt;JAR_FOLDER&gt;\HubInterfaceRv-4.2.1.jar -DgroupId=com.git.mds.requester.rv -DartifactId=HubInterfaceRv -Dversion=4.2.1 -Dpackaging=jar</w:t>
      </w:r>
    </w:p>
    <w:p w:rsidR="00AF6765" w:rsidRDefault="009A256D" w:rsidP="009A256D">
      <w:pPr>
        <w:pStyle w:val="Heading4"/>
        <w:jc w:val="both"/>
      </w:pPr>
      <w:r>
        <w:t>Step 2</w:t>
      </w:r>
    </w:p>
    <w:p w:rsidR="00AF6765" w:rsidRDefault="009A256D" w:rsidP="009A256D">
      <w:pPr>
        <w:jc w:val="both"/>
      </w:pPr>
      <w:r>
        <w:rPr>
          <w:rFonts w:cs="Consolas"/>
        </w:rPr>
        <w:t>Modify webapp pom file for update above dependency.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com.git.framework.rv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RVFrameWork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&lt;version&gt;1.5&lt;/version&gt;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com.git.mds.core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&gt;MDSCore4&lt;/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lastRenderedPageBreak/>
        <w:tab/>
        <w:t>&lt;version&gt;4.2.1&lt;/version&gt;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com.git.mds.common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MDSCommon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&lt;version&gt;4.2.2&lt;/version&gt;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org.jaxen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jaxen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&lt;version&gt;1.1-beta-5&lt;/version&gt;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com.git.mds.requester.rv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HubInterfaceRv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&lt;version&gt;4.2.1&lt;/version&gt;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com.git.oms.cfg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Config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&lt;version&gt;1.0&lt;/version&gt;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com.git.mds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HubInterface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&lt;version&gt;4.2.7&lt;/version&gt;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  <w:r w:rsidRPr="00021F74">
        <w:rPr>
          <w:rFonts w:ascii="Verdana" w:hAnsi="Verdana" w:cs="Consolas"/>
          <w:i/>
          <w:sz w:val="16"/>
          <w:szCs w:val="16"/>
        </w:rPr>
        <w:tab/>
      </w:r>
    </w:p>
    <w:p w:rsidR="00AF6765" w:rsidRPr="00021F74" w:rsidRDefault="009A256D" w:rsidP="009A256D">
      <w:pPr>
        <w:jc w:val="both"/>
        <w:rPr>
          <w:rFonts w:ascii="Verdana" w:hAnsi="Verdana"/>
        </w:rPr>
      </w:pPr>
      <w:r w:rsidRPr="00021F74">
        <w:rPr>
          <w:rFonts w:ascii="Verdana" w:hAnsi="Verdana" w:cs="Consolas"/>
          <w:i/>
          <w:sz w:val="16"/>
          <w:szCs w:val="16"/>
        </w:rPr>
        <w:t>&lt;</w:t>
      </w:r>
      <w:proofErr w:type="gramStart"/>
      <w:r w:rsidRPr="00021F74">
        <w:rPr>
          <w:rFonts w:ascii="Verdana" w:hAnsi="Verdana" w:cs="Consolas"/>
          <w:i/>
          <w:sz w:val="16"/>
          <w:szCs w:val="16"/>
        </w:rPr>
        <w:t>dependency</w:t>
      </w:r>
      <w:proofErr w:type="gram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com.tibco.tibrv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groupId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tibrvj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&lt;/</w:t>
      </w:r>
      <w:proofErr w:type="spellStart"/>
      <w:r w:rsidRPr="00021F74">
        <w:rPr>
          <w:rFonts w:ascii="Verdana" w:hAnsi="Verdana" w:cs="Consolas"/>
          <w:i/>
          <w:sz w:val="16"/>
          <w:szCs w:val="16"/>
        </w:rPr>
        <w:t>artifactId</w:t>
      </w:r>
      <w:proofErr w:type="spellEnd"/>
      <w:r w:rsidRPr="00021F74">
        <w:rPr>
          <w:rFonts w:ascii="Verdana" w:hAnsi="Verdana" w:cs="Consolas"/>
          <w:i/>
          <w:sz w:val="16"/>
          <w:szCs w:val="16"/>
        </w:rPr>
        <w:t>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ab/>
        <w:t>&lt;version&gt;1.0&lt;/version&gt;</w:t>
      </w:r>
      <w:r w:rsidR="00021F74">
        <w:rPr>
          <w:rFonts w:ascii="Verdana" w:hAnsi="Verdana" w:cs="Consolas"/>
          <w:i/>
          <w:sz w:val="16"/>
          <w:szCs w:val="16"/>
        </w:rPr>
        <w:br/>
      </w:r>
      <w:r w:rsidRPr="00021F74">
        <w:rPr>
          <w:rFonts w:ascii="Verdana" w:hAnsi="Verdana" w:cs="Consolas"/>
          <w:i/>
          <w:sz w:val="16"/>
          <w:szCs w:val="16"/>
        </w:rPr>
        <w:t>&lt;/dependency&gt;</w:t>
      </w:r>
    </w:p>
    <w:p w:rsidR="00AF6765" w:rsidRDefault="009A256D" w:rsidP="009A256D">
      <w:pPr>
        <w:pStyle w:val="Heading4"/>
        <w:jc w:val="both"/>
      </w:pPr>
      <w:r>
        <w:t>Step 3</w:t>
      </w:r>
    </w:p>
    <w:p w:rsidR="00AF6765" w:rsidRDefault="009A256D" w:rsidP="009A256D">
      <w:pPr>
        <w:jc w:val="both"/>
      </w:pPr>
      <w:r>
        <w:rPr>
          <w:rFonts w:cs="Consolas"/>
        </w:rPr>
        <w:t>Set TIBCO bin and lib folder location to PATH environment variable.</w:t>
      </w:r>
    </w:p>
    <w:p w:rsidR="00AF6765" w:rsidRDefault="009A256D" w:rsidP="009A256D">
      <w:pPr>
        <w:pStyle w:val="Heading4"/>
        <w:jc w:val="both"/>
      </w:pPr>
      <w:r>
        <w:t>Step 4</w:t>
      </w:r>
    </w:p>
    <w:p w:rsidR="00AF6765" w:rsidRDefault="009A256D" w:rsidP="009A256D">
      <w:pPr>
        <w:jc w:val="both"/>
      </w:pPr>
      <w:r>
        <w:rPr>
          <w:rFonts w:cs="Consolas"/>
        </w:rPr>
        <w:t>Copy the FIELDS.DEF and rvconfig.xml to resource folder of webapp.</w:t>
      </w:r>
    </w:p>
    <w:p w:rsidR="00AF6765" w:rsidRDefault="009A256D" w:rsidP="009A256D">
      <w:pPr>
        <w:jc w:val="both"/>
      </w:pPr>
      <w:proofErr w:type="gramStart"/>
      <w:r>
        <w:rPr>
          <w:rFonts w:cs="Consolas"/>
        </w:rPr>
        <w:t>rvconfig.xml</w:t>
      </w:r>
      <w:proofErr w:type="gramEnd"/>
      <w:r>
        <w:rPr>
          <w:rFonts w:cs="Consolas"/>
        </w:rPr>
        <w:t xml:space="preserve"> has the MDS server configuration . 192.168.39.11 is the test server IP.</w:t>
      </w:r>
    </w:p>
    <w:p w:rsidR="00AF6765" w:rsidRDefault="009A256D" w:rsidP="009A256D">
      <w:pPr>
        <w:pStyle w:val="Heading4"/>
        <w:jc w:val="both"/>
      </w:pPr>
      <w:r>
        <w:t>Step 5</w:t>
      </w:r>
    </w:p>
    <w:p w:rsidR="00AF6765" w:rsidRDefault="009A256D" w:rsidP="009A256D">
      <w:pPr>
        <w:jc w:val="both"/>
      </w:pPr>
      <w:r>
        <w:rPr>
          <w:rFonts w:cs="Consolas"/>
        </w:rPr>
        <w:t>Restart the system</w:t>
      </w:r>
    </w:p>
    <w:p w:rsidR="00AF6765" w:rsidRDefault="009A256D" w:rsidP="009A256D">
      <w:pPr>
        <w:jc w:val="both"/>
      </w:pPr>
      <w:r w:rsidRPr="00021F74">
        <w:rPr>
          <w:rFonts w:cs="Consolas"/>
          <w:b/>
        </w:rPr>
        <w:t>Note</w:t>
      </w:r>
      <w:r w:rsidR="00C002AF" w:rsidRPr="00021F74">
        <w:rPr>
          <w:rFonts w:cs="Consolas"/>
          <w:b/>
        </w:rPr>
        <w:t xml:space="preserve">: </w:t>
      </w:r>
      <w:r w:rsidR="00021F74">
        <w:rPr>
          <w:rFonts w:cs="Consolas"/>
          <w:b/>
        </w:rPr>
        <w:br/>
      </w:r>
      <w:r>
        <w:rPr>
          <w:rFonts w:cs="Consolas"/>
        </w:rPr>
        <w:t xml:space="preserve">The above methods will permanently modify the PATH variable. We have another option as well (ideally this option we should use). During start-up of glassfish server set the </w:t>
      </w:r>
      <w:proofErr w:type="spellStart"/>
      <w:r>
        <w:rPr>
          <w:rFonts w:cs="Consolas"/>
        </w:rPr>
        <w:t>env</w:t>
      </w:r>
      <w:proofErr w:type="spellEnd"/>
      <w:r>
        <w:rPr>
          <w:rFonts w:cs="Consolas"/>
        </w:rPr>
        <w:t xml:space="preserve"> variables.</w:t>
      </w:r>
    </w:p>
    <w:p w:rsidR="00AF6765" w:rsidRDefault="009A256D" w:rsidP="009A256D">
      <w:pPr>
        <w:jc w:val="both"/>
      </w:pPr>
      <w:r>
        <w:rPr>
          <w:rFonts w:cs="Consolas"/>
        </w:rPr>
        <w:t>Create a .bat/.</w:t>
      </w:r>
      <w:proofErr w:type="spellStart"/>
      <w:r>
        <w:rPr>
          <w:rFonts w:cs="Consolas"/>
        </w:rPr>
        <w:t>sh</w:t>
      </w:r>
      <w:proofErr w:type="spell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file ,</w:t>
      </w:r>
      <w:proofErr w:type="gramEnd"/>
      <w:r>
        <w:rPr>
          <w:rFonts w:cs="Consolas"/>
        </w:rPr>
        <w:t xml:space="preserve"> first statement in the file should be the environment variable settings, then command to start </w:t>
      </w:r>
      <w:r w:rsidR="00C002AF">
        <w:rPr>
          <w:rFonts w:cs="Consolas"/>
        </w:rPr>
        <w:t>Glassfish</w:t>
      </w:r>
      <w:r>
        <w:rPr>
          <w:rFonts w:cs="Consolas"/>
        </w:rPr>
        <w:t xml:space="preserve"> server </w:t>
      </w:r>
    </w:p>
    <w:p w:rsidR="00AF6765" w:rsidRDefault="00F85307" w:rsidP="009A256D">
      <w:pPr>
        <w:jc w:val="both"/>
      </w:pPr>
      <w:r>
        <w:rPr>
          <w:rFonts w:cs="Consolas"/>
        </w:rPr>
        <w:t>SET PATH=</w:t>
      </w:r>
      <w:r w:rsidR="009A256D">
        <w:rPr>
          <w:rFonts w:cs="Consolas"/>
        </w:rPr>
        <w:t xml:space="preserve"> %</w:t>
      </w:r>
      <w:proofErr w:type="gramStart"/>
      <w:r w:rsidR="009A256D">
        <w:rPr>
          <w:rFonts w:cs="Consolas"/>
        </w:rPr>
        <w:t>PATH%</w:t>
      </w:r>
      <w:proofErr w:type="gramEnd"/>
      <w:r>
        <w:rPr>
          <w:rFonts w:cs="Consolas"/>
        </w:rPr>
        <w:t>;</w:t>
      </w:r>
      <w:r w:rsidR="009A256D">
        <w:rPr>
          <w:rFonts w:cs="Consolas"/>
        </w:rPr>
        <w:t>&lt;TIBCO_LOCATION&gt;/bin;</w:t>
      </w:r>
    </w:p>
    <w:p w:rsidR="00AF6765" w:rsidRDefault="00F85307" w:rsidP="009A256D">
      <w:pPr>
        <w:jc w:val="both"/>
      </w:pPr>
      <w:r>
        <w:rPr>
          <w:rFonts w:cs="Consolas"/>
        </w:rPr>
        <w:lastRenderedPageBreak/>
        <w:t>SET PATH= %</w:t>
      </w:r>
      <w:proofErr w:type="gramStart"/>
      <w:r>
        <w:rPr>
          <w:rFonts w:cs="Consolas"/>
        </w:rPr>
        <w:t>PATH%</w:t>
      </w:r>
      <w:proofErr w:type="gramEnd"/>
      <w:r>
        <w:rPr>
          <w:rFonts w:cs="Consolas"/>
        </w:rPr>
        <w:t>;</w:t>
      </w:r>
      <w:r w:rsidR="009A256D">
        <w:rPr>
          <w:rFonts w:cs="Consolas"/>
        </w:rPr>
        <w:t>&lt;TIBCO_LOCATION&gt;/lib</w:t>
      </w:r>
    </w:p>
    <w:p w:rsidR="00AF6765" w:rsidRDefault="009A256D" w:rsidP="009A256D">
      <w:pPr>
        <w:jc w:val="both"/>
      </w:pPr>
      <w:r>
        <w:rPr>
          <w:rFonts w:cs="Consolas"/>
        </w:rPr>
        <w:t>CD &lt;galssfishserver_bin_path&gt;</w:t>
      </w:r>
    </w:p>
    <w:p w:rsidR="00D30032" w:rsidRDefault="009A256D" w:rsidP="009A256D">
      <w:pPr>
        <w:jc w:val="both"/>
        <w:rPr>
          <w:rFonts w:cs="Consolas"/>
        </w:rPr>
      </w:pPr>
      <w:r>
        <w:rPr>
          <w:rFonts w:cs="Consolas"/>
        </w:rPr>
        <w:t>asadmin start-domain doamin1</w:t>
      </w:r>
    </w:p>
    <w:p w:rsidR="00D30032" w:rsidRDefault="00D30032" w:rsidP="009A256D">
      <w:pPr>
        <w:pStyle w:val="Heading1"/>
        <w:numPr>
          <w:ilvl w:val="0"/>
          <w:numId w:val="5"/>
        </w:numPr>
        <w:jc w:val="both"/>
      </w:pPr>
      <w:r>
        <w:t>Configuration in Linux</w:t>
      </w:r>
    </w:p>
    <w:p w:rsidR="005A0B17" w:rsidRPr="005A0B17" w:rsidRDefault="005A0B17" w:rsidP="009A256D">
      <w:pPr>
        <w:pStyle w:val="Heading4"/>
        <w:jc w:val="both"/>
      </w:pPr>
      <w:r>
        <w:t>Prerequisite</w:t>
      </w:r>
    </w:p>
    <w:p w:rsidR="00AF6765" w:rsidRDefault="009A256D" w:rsidP="009A256D">
      <w:pPr>
        <w:jc w:val="both"/>
      </w:pPr>
      <w:r>
        <w:t>To integrate MDS in Linux machine, need to install TIB_rv_7.4.1_linux24g123_x86.</w:t>
      </w:r>
    </w:p>
    <w:p w:rsidR="00021F74" w:rsidRDefault="00FC692B" w:rsidP="009A256D">
      <w:pPr>
        <w:pStyle w:val="Heading4"/>
        <w:jc w:val="both"/>
      </w:pPr>
      <w:r w:rsidRPr="001C476E">
        <w:t>Step 1</w:t>
      </w:r>
      <w:r>
        <w:t xml:space="preserve"> </w:t>
      </w:r>
    </w:p>
    <w:p w:rsidR="00AF6765" w:rsidRDefault="00FC692B" w:rsidP="009A256D">
      <w:pPr>
        <w:jc w:val="both"/>
      </w:pPr>
      <w:r>
        <w:t>Install TIBRV in Linux</w:t>
      </w:r>
    </w:p>
    <w:p w:rsidR="00AF6765" w:rsidRDefault="009A256D" w:rsidP="009A256D">
      <w:pPr>
        <w:pStyle w:val="ListParagraph"/>
        <w:numPr>
          <w:ilvl w:val="0"/>
          <w:numId w:val="2"/>
        </w:numPr>
        <w:jc w:val="both"/>
      </w:pPr>
      <w:r>
        <w:t>Copy file</w:t>
      </w:r>
      <w:r w:rsidR="00FC692B">
        <w:t xml:space="preserve"> to a directory</w:t>
      </w:r>
    </w:p>
    <w:p w:rsidR="00AF6765" w:rsidRDefault="009A256D" w:rsidP="009A256D">
      <w:pPr>
        <w:pStyle w:val="ListParagraph"/>
        <w:numPr>
          <w:ilvl w:val="0"/>
          <w:numId w:val="3"/>
        </w:numPr>
        <w:jc w:val="both"/>
      </w:pPr>
      <w:r>
        <w:t>Extract file using - tar -xvf &lt;FILE_NAME&gt;</w:t>
      </w:r>
    </w:p>
    <w:p w:rsidR="00AF6765" w:rsidRDefault="009A256D" w:rsidP="009A256D">
      <w:pPr>
        <w:pStyle w:val="ListParagraph"/>
        <w:numPr>
          <w:ilvl w:val="0"/>
          <w:numId w:val="4"/>
        </w:numPr>
        <w:jc w:val="both"/>
      </w:pPr>
      <w:r>
        <w:t>In extracted folder move to LINUX24GL23/X86 and install using - ./INSTALL</w:t>
      </w:r>
    </w:p>
    <w:p w:rsidR="00021F74" w:rsidRDefault="009A256D" w:rsidP="009A256D">
      <w:pPr>
        <w:pStyle w:val="Heading4"/>
        <w:jc w:val="both"/>
      </w:pPr>
      <w:r w:rsidRPr="001C476E">
        <w:t xml:space="preserve">Step </w:t>
      </w:r>
      <w:r w:rsidR="00FC692B" w:rsidRPr="001C476E">
        <w:t>2</w:t>
      </w:r>
      <w:r w:rsidR="00FC692B">
        <w:t xml:space="preserve"> </w:t>
      </w:r>
    </w:p>
    <w:p w:rsidR="00021F74" w:rsidRDefault="00FC692B" w:rsidP="009A256D">
      <w:pPr>
        <w:jc w:val="both"/>
      </w:pPr>
      <w:r>
        <w:t xml:space="preserve">Environment variable </w:t>
      </w:r>
      <w:r w:rsidR="00021F74">
        <w:t>details</w:t>
      </w:r>
    </w:p>
    <w:p w:rsidR="00FC692B" w:rsidRDefault="00FC692B" w:rsidP="009A256D">
      <w:pPr>
        <w:jc w:val="both"/>
      </w:pPr>
      <w:r w:rsidRPr="00FC692B">
        <w:t xml:space="preserve">To work </w:t>
      </w:r>
      <w:r>
        <w:t xml:space="preserve">TIBRV in Linux PATH, LD_LIBRARY_PATH and CLASSPATH variable should have </w:t>
      </w:r>
      <w:r w:rsidR="001C476E">
        <w:t xml:space="preserve">entries </w:t>
      </w:r>
      <w:r w:rsidR="00021F74">
        <w:t>/usr/t</w:t>
      </w:r>
      <w:r>
        <w:t>ibco/tibrv/</w:t>
      </w:r>
      <w:r w:rsidR="005A0B17">
        <w:t>bin,</w:t>
      </w:r>
      <w:r w:rsidR="001C476E">
        <w:t xml:space="preserve"> /usr/tibco/tibrv/lib and /usr/tibco/tibrv/lib/tibrvnative.jar respectively </w:t>
      </w:r>
    </w:p>
    <w:p w:rsidR="00021F74" w:rsidRDefault="001C476E" w:rsidP="009A256D">
      <w:pPr>
        <w:pStyle w:val="Heading4"/>
        <w:jc w:val="both"/>
      </w:pPr>
      <w:r w:rsidRPr="001C476E">
        <w:t>Step 3</w:t>
      </w:r>
      <w:r>
        <w:t xml:space="preserve"> </w:t>
      </w:r>
    </w:p>
    <w:p w:rsidR="001C476E" w:rsidRDefault="001C476E" w:rsidP="009A256D">
      <w:pPr>
        <w:jc w:val="both"/>
      </w:pPr>
      <w:r>
        <w:t>Configure the above environment variable and start application server (Glassfish server)</w:t>
      </w:r>
    </w:p>
    <w:p w:rsidR="001C476E" w:rsidRDefault="001C476E" w:rsidP="009A256D">
      <w:pPr>
        <w:pStyle w:val="ListParagraph"/>
        <w:numPr>
          <w:ilvl w:val="0"/>
          <w:numId w:val="4"/>
        </w:numPr>
        <w:jc w:val="both"/>
      </w:pPr>
      <w:r>
        <w:t>Create a .</w:t>
      </w:r>
      <w:proofErr w:type="spellStart"/>
      <w:r>
        <w:t>sh</w:t>
      </w:r>
      <w:proofErr w:type="spellEnd"/>
      <w:r>
        <w:t xml:space="preserve"> file with following entries</w:t>
      </w:r>
    </w:p>
    <w:p w:rsidR="001C476E" w:rsidRDefault="001C476E" w:rsidP="009A256D">
      <w:pPr>
        <w:pStyle w:val="ListParagraph"/>
        <w:ind w:left="360"/>
        <w:jc w:val="both"/>
      </w:pPr>
      <w:proofErr w:type="gramStart"/>
      <w:r>
        <w:t>export</w:t>
      </w:r>
      <w:proofErr w:type="gramEnd"/>
      <w:r>
        <w:t xml:space="preserve"> PATH = /usr/tibco/tibrv/lib;$PATH</w:t>
      </w:r>
    </w:p>
    <w:p w:rsidR="001C476E" w:rsidRDefault="001C476E" w:rsidP="009A256D">
      <w:pPr>
        <w:pStyle w:val="ListParagraph"/>
        <w:ind w:left="360"/>
        <w:jc w:val="both"/>
      </w:pPr>
      <w:proofErr w:type="gramStart"/>
      <w:r>
        <w:t>export</w:t>
      </w:r>
      <w:proofErr w:type="gramEnd"/>
      <w:r>
        <w:t xml:space="preserve"> LD_LIBRARY_PATH = /usr/tibco/tibrv/lib:$LD_LIBRARY_PATH</w:t>
      </w:r>
    </w:p>
    <w:p w:rsidR="001C476E" w:rsidRDefault="001C476E" w:rsidP="009A256D">
      <w:pPr>
        <w:pStyle w:val="ListParagraph"/>
        <w:ind w:left="360"/>
        <w:jc w:val="both"/>
      </w:pPr>
      <w:proofErr w:type="gramStart"/>
      <w:r>
        <w:t>export</w:t>
      </w:r>
      <w:proofErr w:type="gramEnd"/>
      <w:r>
        <w:t xml:space="preserve"> CLASSPATH = /usr/tibco/tibrv/lib/tibrvnative.jar:$</w:t>
      </w:r>
      <w:r w:rsidRPr="001C476E">
        <w:t xml:space="preserve"> </w:t>
      </w:r>
      <w:r>
        <w:t>CLASSPATH</w:t>
      </w:r>
    </w:p>
    <w:p w:rsidR="001C476E" w:rsidRDefault="001C476E" w:rsidP="009A256D">
      <w:pPr>
        <w:pStyle w:val="ListParagraph"/>
        <w:ind w:left="360"/>
        <w:jc w:val="both"/>
      </w:pPr>
      <w:proofErr w:type="gramStart"/>
      <w:r>
        <w:t>cd&lt;</w:t>
      </w:r>
      <w:proofErr w:type="gramEnd"/>
      <w:r>
        <w:t>GLASSFISH_HOME&gt;/bin</w:t>
      </w:r>
    </w:p>
    <w:p w:rsidR="001C476E" w:rsidRDefault="001C476E" w:rsidP="009A256D">
      <w:pPr>
        <w:pStyle w:val="ListParagraph"/>
        <w:ind w:left="360"/>
        <w:jc w:val="both"/>
      </w:pPr>
      <w:proofErr w:type="gramStart"/>
      <w:r>
        <w:t>asadmin</w:t>
      </w:r>
      <w:proofErr w:type="gramEnd"/>
      <w:r>
        <w:t xml:space="preserve"> start-domain domain1</w:t>
      </w:r>
    </w:p>
    <w:p w:rsidR="001C476E" w:rsidRDefault="001C476E" w:rsidP="009A256D">
      <w:pPr>
        <w:pStyle w:val="ListParagraph"/>
        <w:ind w:left="0"/>
        <w:jc w:val="both"/>
      </w:pPr>
    </w:p>
    <w:p w:rsidR="001C476E" w:rsidRPr="00021F74" w:rsidRDefault="00021F74" w:rsidP="009A256D">
      <w:pPr>
        <w:pStyle w:val="ListParagraph"/>
        <w:ind w:left="0"/>
        <w:jc w:val="both"/>
        <w:rPr>
          <w:b/>
        </w:rPr>
      </w:pPr>
      <w:r w:rsidRPr="00021F74">
        <w:rPr>
          <w:b/>
        </w:rPr>
        <w:t>Note:</w:t>
      </w:r>
    </w:p>
    <w:p w:rsidR="001C476E" w:rsidRDefault="001C476E" w:rsidP="009A256D">
      <w:pPr>
        <w:pStyle w:val="ListParagraph"/>
        <w:ind w:left="0"/>
        <w:jc w:val="both"/>
      </w:pPr>
      <w:r>
        <w:t>In MMF war have windows compatible tibrvj.jar, this will not work with Linux. So before deploy the war, need to replace the windows compatible tibrvj.jar</w:t>
      </w:r>
      <w:r w:rsidR="00021F74">
        <w:t xml:space="preserve"> (available at </w:t>
      </w:r>
      <w:r w:rsidR="00021F74">
        <w:rPr>
          <w:rFonts w:cs="Consolas"/>
        </w:rPr>
        <w:t>/usr/tibco/tibrv/lib/</w:t>
      </w:r>
      <w:r w:rsidR="00021F74">
        <w:t>)</w:t>
      </w:r>
      <w:r>
        <w:t xml:space="preserve"> with Linux compatible tibrvj.jar.</w:t>
      </w:r>
    </w:p>
    <w:p w:rsidR="001C476E" w:rsidRDefault="001C476E" w:rsidP="009A256D">
      <w:pPr>
        <w:pStyle w:val="ListParagraph"/>
        <w:ind w:left="0"/>
        <w:jc w:val="both"/>
      </w:pPr>
      <w:r>
        <w:t xml:space="preserve">This can be done be open the </w:t>
      </w:r>
      <w:r w:rsidR="00021F74">
        <w:t>mmf.war using</w:t>
      </w:r>
      <w:r>
        <w:t xml:space="preserve"> WinRar then</w:t>
      </w:r>
    </w:p>
    <w:p w:rsidR="001C476E" w:rsidRDefault="001C476E" w:rsidP="009A256D">
      <w:pPr>
        <w:pStyle w:val="ListParagraph"/>
        <w:numPr>
          <w:ilvl w:val="0"/>
          <w:numId w:val="4"/>
        </w:numPr>
        <w:jc w:val="both"/>
      </w:pPr>
      <w:r>
        <w:t>Open WEB-INF/lib folder</w:t>
      </w:r>
    </w:p>
    <w:p w:rsidR="001C476E" w:rsidRDefault="001C476E" w:rsidP="009A256D">
      <w:pPr>
        <w:pStyle w:val="ListParagraph"/>
        <w:numPr>
          <w:ilvl w:val="0"/>
          <w:numId w:val="4"/>
        </w:numPr>
        <w:jc w:val="both"/>
      </w:pPr>
      <w:r>
        <w:t xml:space="preserve">Remove existing </w:t>
      </w:r>
      <w:r w:rsidR="00021F74">
        <w:t>tibrvj.jar</w:t>
      </w:r>
    </w:p>
    <w:p w:rsidR="00021F74" w:rsidRDefault="00021F74" w:rsidP="009A256D">
      <w:pPr>
        <w:pStyle w:val="ListParagraph"/>
        <w:numPr>
          <w:ilvl w:val="0"/>
          <w:numId w:val="4"/>
        </w:numPr>
        <w:jc w:val="both"/>
      </w:pPr>
      <w:r>
        <w:t>Drag Linux compatible tibrvj.jar</w:t>
      </w:r>
    </w:p>
    <w:p w:rsidR="00200D06" w:rsidRDefault="00200D06" w:rsidP="00200D06">
      <w:pPr>
        <w:jc w:val="both"/>
      </w:pPr>
    </w:p>
    <w:p w:rsidR="00B12414" w:rsidRDefault="00B12414" w:rsidP="00200D06">
      <w:pPr>
        <w:jc w:val="both"/>
      </w:pPr>
    </w:p>
    <w:p w:rsidR="00B12414" w:rsidRDefault="00B12414" w:rsidP="00200D06">
      <w:pPr>
        <w:jc w:val="both"/>
      </w:pPr>
    </w:p>
    <w:p w:rsidR="00200D06" w:rsidRDefault="00B12414" w:rsidP="00F86008">
      <w:pPr>
        <w:pStyle w:val="Heading1"/>
        <w:jc w:val="both"/>
      </w:pPr>
      <w:r>
        <w:lastRenderedPageBreak/>
        <w:t>TWR Calculation</w:t>
      </w:r>
    </w:p>
    <w:p w:rsidR="00F86008" w:rsidRPr="00F86008" w:rsidRDefault="00F86008" w:rsidP="00F86008"/>
    <w:p w:rsidR="00200D06" w:rsidRDefault="0079468B" w:rsidP="00200D06">
      <w:pPr>
        <w:jc w:val="both"/>
      </w:pPr>
      <w:r>
        <w:t xml:space="preserve">TWR calculation is based on market value and cash </w:t>
      </w:r>
      <w:r w:rsidR="003C17E0">
        <w:t>value. The</w:t>
      </w:r>
      <w:bookmarkStart w:id="0" w:name="_GoBack"/>
      <w:bookmarkEnd w:id="0"/>
      <w:r>
        <w:t xml:space="preserve"> following example shows how to calculate the TWR for period 01-06-2014 to 03-06-2014.</w:t>
      </w:r>
    </w:p>
    <w:p w:rsidR="0079468B" w:rsidRDefault="0079468B" w:rsidP="00200D06">
      <w:pPr>
        <w:jc w:val="both"/>
      </w:pPr>
      <w:r>
        <w:t>Abbreviations used:</w:t>
      </w:r>
    </w:p>
    <w:p w:rsidR="0079468B" w:rsidRDefault="0079468B" w:rsidP="0079468B">
      <w:pPr>
        <w:pStyle w:val="ListParagraph"/>
        <w:numPr>
          <w:ilvl w:val="2"/>
          <w:numId w:val="6"/>
        </w:numPr>
        <w:jc w:val="both"/>
      </w:pPr>
      <w:r>
        <w:t>MV          -</w:t>
      </w:r>
      <w:r>
        <w:tab/>
        <w:t>Market Value</w:t>
      </w:r>
    </w:p>
    <w:p w:rsidR="0079468B" w:rsidRDefault="0079468B" w:rsidP="0079468B">
      <w:pPr>
        <w:pStyle w:val="ListParagraph"/>
        <w:numPr>
          <w:ilvl w:val="2"/>
          <w:numId w:val="6"/>
        </w:numPr>
        <w:jc w:val="both"/>
      </w:pPr>
      <w:r>
        <w:t>CF            -</w:t>
      </w:r>
      <w:r>
        <w:tab/>
        <w:t>Cash Flow</w:t>
      </w:r>
    </w:p>
    <w:p w:rsidR="0079468B" w:rsidRDefault="0079468B" w:rsidP="0079468B">
      <w:pPr>
        <w:pStyle w:val="ListParagraph"/>
        <w:numPr>
          <w:ilvl w:val="2"/>
          <w:numId w:val="6"/>
        </w:numPr>
        <w:jc w:val="both"/>
      </w:pPr>
      <w:r>
        <w:t>MVACF</w:t>
      </w:r>
      <w:r>
        <w:tab/>
        <w:t xml:space="preserve">  -</w:t>
      </w:r>
      <w:r>
        <w:tab/>
        <w:t>Market Value After Cash Flow</w:t>
      </w:r>
    </w:p>
    <w:tbl>
      <w:tblPr>
        <w:tblStyle w:val="TableGrid"/>
        <w:tblpPr w:leftFromText="180" w:rightFromText="180" w:vertAnchor="text" w:horzAnchor="margin" w:tblpXSpec="center" w:tblpY="98"/>
        <w:tblW w:w="9360" w:type="dxa"/>
        <w:tblLook w:val="04A0" w:firstRow="1" w:lastRow="0" w:firstColumn="1" w:lastColumn="0" w:noHBand="0" w:noVBand="1"/>
      </w:tblPr>
      <w:tblGrid>
        <w:gridCol w:w="1538"/>
        <w:gridCol w:w="1246"/>
        <w:gridCol w:w="1477"/>
        <w:gridCol w:w="1475"/>
        <w:gridCol w:w="1812"/>
        <w:gridCol w:w="1812"/>
      </w:tblGrid>
      <w:tr w:rsidR="009E1618" w:rsidRPr="0079468B" w:rsidTr="00F86008">
        <w:trPr>
          <w:trHeight w:val="349"/>
        </w:trPr>
        <w:tc>
          <w:tcPr>
            <w:tcW w:w="1538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246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>
              <w:t>DATE</w:t>
            </w:r>
          </w:p>
        </w:tc>
        <w:tc>
          <w:tcPr>
            <w:tcW w:w="1477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>
              <w:t>MV</w:t>
            </w:r>
          </w:p>
        </w:tc>
        <w:tc>
          <w:tcPr>
            <w:tcW w:w="1475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>
              <w:t>CF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9E1618">
            <w:pPr>
              <w:jc w:val="both"/>
            </w:pPr>
            <w:r w:rsidRPr="0079468B">
              <w:t> </w:t>
            </w:r>
            <w:r>
              <w:t>MVACF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  <w:r w:rsidRPr="009E1618">
              <w:t>Sub-period return</w:t>
            </w:r>
          </w:p>
        </w:tc>
      </w:tr>
      <w:tr w:rsidR="009E1618" w:rsidRPr="0079468B" w:rsidTr="00F86008">
        <w:trPr>
          <w:trHeight w:val="246"/>
        </w:trPr>
        <w:tc>
          <w:tcPr>
            <w:tcW w:w="1538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>
              <w:t>START PERIOD</w:t>
            </w:r>
          </w:p>
        </w:tc>
        <w:tc>
          <w:tcPr>
            <w:tcW w:w="1246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01-06-2014</w:t>
            </w:r>
          </w:p>
        </w:tc>
        <w:tc>
          <w:tcPr>
            <w:tcW w:w="1477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1,10,000.00</w:t>
            </w:r>
          </w:p>
        </w:tc>
        <w:tc>
          <w:tcPr>
            <w:tcW w:w="1475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1,00,000.00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1,00,000.00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  <w:r w:rsidR="00193DE3">
              <w:t>0.00%</w:t>
            </w:r>
          </w:p>
        </w:tc>
      </w:tr>
      <w:tr w:rsidR="009E1618" w:rsidRPr="0079468B" w:rsidTr="00F86008">
        <w:trPr>
          <w:trHeight w:val="246"/>
        </w:trPr>
        <w:tc>
          <w:tcPr>
            <w:tcW w:w="1538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246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02-06-2014</w:t>
            </w:r>
          </w:p>
        </w:tc>
        <w:tc>
          <w:tcPr>
            <w:tcW w:w="1477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1,20,000.00</w:t>
            </w:r>
          </w:p>
        </w:tc>
        <w:tc>
          <w:tcPr>
            <w:tcW w:w="1475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20,000.00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1,30,000.00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10.00%</w:t>
            </w:r>
          </w:p>
        </w:tc>
      </w:tr>
      <w:tr w:rsidR="009E1618" w:rsidRPr="0079468B" w:rsidTr="00F86008">
        <w:trPr>
          <w:trHeight w:val="246"/>
        </w:trPr>
        <w:tc>
          <w:tcPr>
            <w:tcW w:w="1538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  <w:r>
              <w:t>END PERIOD</w:t>
            </w:r>
          </w:p>
        </w:tc>
        <w:tc>
          <w:tcPr>
            <w:tcW w:w="1246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03-06-2014</w:t>
            </w:r>
          </w:p>
        </w:tc>
        <w:tc>
          <w:tcPr>
            <w:tcW w:w="1477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1,30,000.00</w:t>
            </w:r>
          </w:p>
        </w:tc>
        <w:tc>
          <w:tcPr>
            <w:tcW w:w="1475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rPr>
                <w:rFonts w:ascii="Arial" w:hAnsi="Arial" w:cs="Arial"/>
              </w:rPr>
              <w:t>₹</w:t>
            </w:r>
            <w:r w:rsidRPr="0079468B">
              <w:t xml:space="preserve"> 1,20,000.00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-7.69%</w:t>
            </w:r>
          </w:p>
        </w:tc>
      </w:tr>
      <w:tr w:rsidR="009E1618" w:rsidRPr="0079468B" w:rsidTr="00F86008">
        <w:trPr>
          <w:trHeight w:val="246"/>
        </w:trPr>
        <w:tc>
          <w:tcPr>
            <w:tcW w:w="1538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246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477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475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 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DC321D">
            <w:pPr>
              <w:tabs>
                <w:tab w:val="center" w:pos="849"/>
              </w:tabs>
              <w:jc w:val="both"/>
            </w:pPr>
            <w:r w:rsidRPr="0079468B">
              <w:t> </w:t>
            </w:r>
            <w:r w:rsidR="00DC321D">
              <w:tab/>
              <w:t xml:space="preserve">TWR        = </w:t>
            </w:r>
          </w:p>
        </w:tc>
        <w:tc>
          <w:tcPr>
            <w:tcW w:w="1812" w:type="dxa"/>
            <w:noWrap/>
            <w:hideMark/>
          </w:tcPr>
          <w:p w:rsidR="009E1618" w:rsidRPr="0079468B" w:rsidRDefault="009E1618" w:rsidP="0079468B">
            <w:pPr>
              <w:jc w:val="both"/>
            </w:pPr>
            <w:r w:rsidRPr="0079468B">
              <w:t>1.54%</w:t>
            </w:r>
          </w:p>
        </w:tc>
      </w:tr>
    </w:tbl>
    <w:p w:rsidR="00C95415" w:rsidRDefault="00C95415" w:rsidP="00200D06">
      <w:pPr>
        <w:jc w:val="both"/>
      </w:pPr>
    </w:p>
    <w:p w:rsidR="00C95415" w:rsidRDefault="00C95415" w:rsidP="00200D06">
      <w:pPr>
        <w:jc w:val="both"/>
      </w:pPr>
      <w:r>
        <w:t>Market value after cash flow (MVACF) can be calculated by using the formula</w:t>
      </w:r>
    </w:p>
    <w:p w:rsidR="00C95415" w:rsidRDefault="00C95415" w:rsidP="00200D06">
      <w:pPr>
        <w:jc w:val="both"/>
        <w:rPr>
          <w:b/>
          <w:color w:val="FF0000"/>
        </w:rPr>
      </w:pPr>
      <w:r>
        <w:tab/>
      </w:r>
      <w:r>
        <w:tab/>
      </w:r>
      <w:r w:rsidRPr="004957A2">
        <w:rPr>
          <w:b/>
          <w:color w:val="FF0000"/>
        </w:rPr>
        <w:t>Previous day’s MV</w:t>
      </w:r>
      <w:r>
        <w:rPr>
          <w:b/>
          <w:color w:val="FF0000"/>
        </w:rPr>
        <w:t xml:space="preserve">  +/</w:t>
      </w:r>
      <w:r w:rsidRPr="004957A2">
        <w:rPr>
          <w:b/>
          <w:color w:val="FF0000"/>
        </w:rPr>
        <w:t xml:space="preserve"> -</w:t>
      </w:r>
      <w:r>
        <w:rPr>
          <w:b/>
          <w:color w:val="FF0000"/>
        </w:rPr>
        <w:t xml:space="preserve"> current</w:t>
      </w:r>
      <w:r w:rsidRPr="004957A2">
        <w:rPr>
          <w:b/>
          <w:color w:val="FF0000"/>
        </w:rPr>
        <w:t xml:space="preserve"> day’s </w:t>
      </w:r>
      <w:r>
        <w:rPr>
          <w:b/>
          <w:color w:val="FF0000"/>
        </w:rPr>
        <w:t>CF.</w:t>
      </w:r>
    </w:p>
    <w:p w:rsidR="009A5118" w:rsidRDefault="00C95415" w:rsidP="00200D06">
      <w:pPr>
        <w:jc w:val="both"/>
      </w:pPr>
      <w:r>
        <w:t xml:space="preserve">For the first the day, we take MV of previous day is </w:t>
      </w:r>
      <w:r w:rsidRPr="00C95415">
        <w:rPr>
          <w:color w:val="00B050"/>
        </w:rPr>
        <w:t>ZERO</w:t>
      </w:r>
      <w:r>
        <w:rPr>
          <w:color w:val="00B050"/>
        </w:rPr>
        <w:t>.</w:t>
      </w:r>
      <w:r w:rsidR="009A5118">
        <w:rPr>
          <w:color w:val="00B050"/>
        </w:rPr>
        <w:t xml:space="preserve"> </w:t>
      </w:r>
      <w:r w:rsidR="009A5118" w:rsidRPr="009A5118">
        <w:t>While</w:t>
      </w:r>
      <w:r w:rsidR="009A5118">
        <w:rPr>
          <w:color w:val="00B050"/>
        </w:rPr>
        <w:t xml:space="preserve"> </w:t>
      </w:r>
      <w:r w:rsidR="009A5118" w:rsidRPr="009A5118">
        <w:t>Considering</w:t>
      </w:r>
      <w:r w:rsidR="009A5118">
        <w:rPr>
          <w:color w:val="00B050"/>
        </w:rPr>
        <w:t xml:space="preserve"> </w:t>
      </w:r>
      <w:r w:rsidR="009A5118" w:rsidRPr="00C95415">
        <w:t>our</w:t>
      </w:r>
      <w:r w:rsidRPr="00C95415">
        <w:t xml:space="preserve"> example</w:t>
      </w:r>
      <w:r w:rsidR="009A5118">
        <w:t>,</w:t>
      </w:r>
    </w:p>
    <w:p w:rsidR="00C95415" w:rsidRPr="009A5118" w:rsidRDefault="00C95415" w:rsidP="00200D06">
      <w:pPr>
        <w:jc w:val="both"/>
        <w:rPr>
          <w:color w:val="1F497D" w:themeColor="text2"/>
        </w:rPr>
      </w:pPr>
      <w:r>
        <w:t xml:space="preserve">MVACF </w:t>
      </w:r>
      <w:r w:rsidR="009A5118">
        <w:t>of 02</w:t>
      </w:r>
      <w:r>
        <w:t>-06-</w:t>
      </w:r>
      <w:r w:rsidR="009A5118">
        <w:t>2014 is</w:t>
      </w:r>
      <w:r>
        <w:t xml:space="preserve"> </w:t>
      </w:r>
      <w:r w:rsidR="009A5118">
        <w:t xml:space="preserve">    </w:t>
      </w:r>
      <w:r w:rsidRPr="009A5118">
        <w:rPr>
          <w:color w:val="1F497D" w:themeColor="text2"/>
        </w:rPr>
        <w:t xml:space="preserve">0 + </w:t>
      </w:r>
      <w:r w:rsidRPr="009A5118">
        <w:rPr>
          <w:color w:val="1F497D" w:themeColor="text2"/>
        </w:rPr>
        <w:t>1,00,000.00</w:t>
      </w:r>
      <w:r w:rsidRPr="009A5118">
        <w:rPr>
          <w:color w:val="1F497D" w:themeColor="text2"/>
        </w:rPr>
        <w:t xml:space="preserve">  = </w:t>
      </w:r>
      <w:r w:rsidRPr="009A5118">
        <w:rPr>
          <w:color w:val="1F497D" w:themeColor="text2"/>
        </w:rPr>
        <w:t>1,00,000.00</w:t>
      </w:r>
      <w:r w:rsidRPr="009A5118">
        <w:rPr>
          <w:color w:val="1F497D" w:themeColor="text2"/>
        </w:rPr>
        <w:t>.</w:t>
      </w:r>
    </w:p>
    <w:p w:rsidR="0079468B" w:rsidRDefault="009E1618" w:rsidP="00200D06">
      <w:pPr>
        <w:jc w:val="both"/>
      </w:pPr>
      <w:r>
        <w:t xml:space="preserve">For the starting day, sub period return is </w:t>
      </w:r>
      <w:r w:rsidR="00C95415" w:rsidRPr="00C95415">
        <w:rPr>
          <w:color w:val="00B050"/>
        </w:rPr>
        <w:t>ZERO</w:t>
      </w:r>
      <w:r>
        <w:t>.</w:t>
      </w:r>
    </w:p>
    <w:p w:rsidR="009E1618" w:rsidRDefault="009E1618" w:rsidP="00200D06">
      <w:pPr>
        <w:jc w:val="both"/>
      </w:pPr>
      <w:r>
        <w:t xml:space="preserve">For calculate the sub period of </w:t>
      </w:r>
      <w:r w:rsidR="00760E46">
        <w:t>other</w:t>
      </w:r>
      <w:r>
        <w:t xml:space="preserve"> dates, use the</w:t>
      </w:r>
      <w:r w:rsidR="004957A2">
        <w:t xml:space="preserve"> </w:t>
      </w:r>
      <w:r>
        <w:t>formula</w:t>
      </w:r>
    </w:p>
    <w:p w:rsidR="009E1618" w:rsidRPr="004957A2" w:rsidRDefault="009E1618" w:rsidP="00200D06">
      <w:pPr>
        <w:jc w:val="both"/>
        <w:rPr>
          <w:b/>
          <w:color w:val="FF0000"/>
        </w:rPr>
      </w:pPr>
      <w:r>
        <w:tab/>
      </w:r>
      <w:r>
        <w:tab/>
      </w:r>
      <w:r w:rsidR="004957A2" w:rsidRPr="004957A2">
        <w:rPr>
          <w:color w:val="FF0000"/>
        </w:rPr>
        <w:t xml:space="preserve">( </w:t>
      </w:r>
      <w:r w:rsidRPr="004957A2">
        <w:rPr>
          <w:b/>
          <w:color w:val="FF0000"/>
        </w:rPr>
        <w:t>(Previous day’s MV</w:t>
      </w:r>
      <w:r w:rsidR="00473575">
        <w:rPr>
          <w:b/>
          <w:color w:val="FF0000"/>
        </w:rPr>
        <w:t xml:space="preserve"> </w:t>
      </w:r>
      <w:r w:rsidRPr="004957A2">
        <w:rPr>
          <w:b/>
          <w:color w:val="FF0000"/>
        </w:rPr>
        <w:t xml:space="preserve"> -  </w:t>
      </w:r>
      <w:r w:rsidRPr="004957A2">
        <w:rPr>
          <w:b/>
          <w:color w:val="FF0000"/>
        </w:rPr>
        <w:t>Previous day’s</w:t>
      </w:r>
      <w:r w:rsidRPr="004957A2">
        <w:rPr>
          <w:b/>
          <w:color w:val="FF0000"/>
        </w:rPr>
        <w:t xml:space="preserve"> </w:t>
      </w:r>
      <w:r w:rsidRPr="004957A2">
        <w:rPr>
          <w:b/>
          <w:color w:val="FF0000"/>
        </w:rPr>
        <w:t>MVACF</w:t>
      </w:r>
      <w:r w:rsidRPr="004957A2">
        <w:rPr>
          <w:b/>
          <w:color w:val="FF0000"/>
        </w:rPr>
        <w:t xml:space="preserve">) / </w:t>
      </w:r>
      <w:r w:rsidRPr="004957A2">
        <w:rPr>
          <w:b/>
          <w:color w:val="FF0000"/>
        </w:rPr>
        <w:t xml:space="preserve">  Previous day’s MVACF</w:t>
      </w:r>
      <w:r w:rsidR="004957A2" w:rsidRPr="004957A2">
        <w:rPr>
          <w:b/>
          <w:color w:val="FF0000"/>
        </w:rPr>
        <w:t xml:space="preserve"> ) * 100</w:t>
      </w:r>
      <w:r w:rsidRPr="004957A2">
        <w:rPr>
          <w:b/>
          <w:color w:val="FF0000"/>
        </w:rPr>
        <w:t>.</w:t>
      </w:r>
    </w:p>
    <w:p w:rsidR="004957A2" w:rsidRDefault="004957A2" w:rsidP="00200D06">
      <w:pPr>
        <w:jc w:val="both"/>
      </w:pPr>
      <w:r>
        <w:t xml:space="preserve">Hence in our example, sub period return of  </w:t>
      </w:r>
      <w:r w:rsidRPr="0079468B">
        <w:t>02-06-2014</w:t>
      </w:r>
      <w:r>
        <w:t xml:space="preserve"> is </w:t>
      </w:r>
    </w:p>
    <w:p w:rsidR="00DB2C4C" w:rsidRDefault="00CD3CF4" w:rsidP="00DB2C4C">
      <w:pPr>
        <w:ind w:left="2880" w:firstLine="720"/>
        <w:jc w:val="both"/>
        <w:rPr>
          <w:color w:val="1F497D" w:themeColor="text2"/>
        </w:rPr>
      </w:pPr>
      <w:r w:rsidRPr="009A5118">
        <w:rPr>
          <w:color w:val="1F497D" w:themeColor="text2"/>
        </w:rPr>
        <w:t>((</w:t>
      </w:r>
      <w:r w:rsidR="004957A2" w:rsidRPr="009A5118">
        <w:rPr>
          <w:color w:val="1F497D" w:themeColor="text2"/>
        </w:rPr>
        <w:t>1</w:t>
      </w:r>
      <w:r w:rsidRPr="009A5118">
        <w:rPr>
          <w:color w:val="1F497D" w:themeColor="text2"/>
        </w:rPr>
        <w:t>, 10,000.00</w:t>
      </w:r>
      <w:r w:rsidR="004957A2" w:rsidRPr="009A5118">
        <w:rPr>
          <w:color w:val="1F497D" w:themeColor="text2"/>
        </w:rPr>
        <w:t xml:space="preserve"> - </w:t>
      </w:r>
      <w:r w:rsidR="004957A2" w:rsidRPr="009A5118">
        <w:rPr>
          <w:color w:val="1F497D" w:themeColor="text2"/>
        </w:rPr>
        <w:t>1</w:t>
      </w:r>
      <w:r w:rsidRPr="009A5118">
        <w:rPr>
          <w:color w:val="1F497D" w:themeColor="text2"/>
        </w:rPr>
        <w:t>, 00,000.00</w:t>
      </w:r>
      <w:r w:rsidR="004957A2" w:rsidRPr="009A5118">
        <w:rPr>
          <w:color w:val="1F497D" w:themeColor="text2"/>
        </w:rPr>
        <w:t xml:space="preserve">) / </w:t>
      </w:r>
      <w:r w:rsidR="004957A2" w:rsidRPr="009A5118">
        <w:rPr>
          <w:color w:val="1F497D" w:themeColor="text2"/>
        </w:rPr>
        <w:t>1</w:t>
      </w:r>
      <w:r w:rsidRPr="009A5118">
        <w:rPr>
          <w:color w:val="1F497D" w:themeColor="text2"/>
        </w:rPr>
        <w:t>, 00,000.00)</w:t>
      </w:r>
      <w:r w:rsidR="004957A2" w:rsidRPr="009A5118">
        <w:rPr>
          <w:color w:val="1F497D" w:themeColor="text2"/>
        </w:rPr>
        <w:t xml:space="preserve"> * </w:t>
      </w:r>
      <w:r w:rsidRPr="009A5118">
        <w:rPr>
          <w:color w:val="1F497D" w:themeColor="text2"/>
        </w:rPr>
        <w:t>100 =</w:t>
      </w:r>
      <w:r w:rsidR="004957A2" w:rsidRPr="009A5118">
        <w:rPr>
          <w:color w:val="1F497D" w:themeColor="text2"/>
        </w:rPr>
        <w:t xml:space="preserve"> </w:t>
      </w:r>
      <w:r w:rsidR="0038637C">
        <w:rPr>
          <w:color w:val="1F497D" w:themeColor="text2"/>
        </w:rPr>
        <w:t>10 %.</w:t>
      </w:r>
    </w:p>
    <w:p w:rsidR="00DB2C4C" w:rsidRDefault="00DB2C4C" w:rsidP="00DB2C4C">
      <w:pPr>
        <w:jc w:val="both"/>
      </w:pPr>
      <w:r w:rsidRPr="00DB2C4C">
        <w:t xml:space="preserve">Finally </w:t>
      </w:r>
      <w:r>
        <w:t xml:space="preserve">TWR can be </w:t>
      </w:r>
      <w:r w:rsidR="0038637C">
        <w:t>calculated by taking</w:t>
      </w:r>
      <w:r>
        <w:t xml:space="preserve"> </w:t>
      </w:r>
      <w:r w:rsidRPr="0038637C">
        <w:rPr>
          <w:b/>
          <w:color w:val="FF0000"/>
        </w:rPr>
        <w:t xml:space="preserve">the product of </w:t>
      </w:r>
      <w:r w:rsidR="0038637C" w:rsidRPr="0038637C">
        <w:rPr>
          <w:b/>
          <w:color w:val="FF0000"/>
        </w:rPr>
        <w:t>(</w:t>
      </w:r>
      <w:r w:rsidRPr="0038637C">
        <w:rPr>
          <w:b/>
          <w:color w:val="FF0000"/>
        </w:rPr>
        <w:t>1 + each s</w:t>
      </w:r>
      <w:r w:rsidR="0038637C" w:rsidRPr="0038637C">
        <w:rPr>
          <w:b/>
          <w:color w:val="FF0000"/>
        </w:rPr>
        <w:t>u</w:t>
      </w:r>
      <w:r w:rsidRPr="0038637C">
        <w:rPr>
          <w:b/>
          <w:color w:val="FF0000"/>
        </w:rPr>
        <w:t>b period return</w:t>
      </w:r>
      <w:r w:rsidR="0038637C" w:rsidRPr="0038637C">
        <w:rPr>
          <w:b/>
          <w:color w:val="FF0000"/>
        </w:rPr>
        <w:t>) – 1.</w:t>
      </w:r>
      <w:r w:rsidR="0038637C">
        <w:rPr>
          <w:b/>
          <w:color w:val="FF0000"/>
        </w:rPr>
        <w:br/>
      </w:r>
      <w:r w:rsidR="0038637C" w:rsidRPr="0038637C">
        <w:t xml:space="preserve">Let’s consider our </w:t>
      </w:r>
      <w:r w:rsidR="00015D56" w:rsidRPr="00C95415">
        <w:t>example</w:t>
      </w:r>
      <w:r w:rsidR="0038637C">
        <w:t>,</w:t>
      </w:r>
    </w:p>
    <w:p w:rsidR="0038637C" w:rsidRPr="0038637C" w:rsidRDefault="0038637C" w:rsidP="00DB2C4C">
      <w:pPr>
        <w:jc w:val="both"/>
        <w:rPr>
          <w:color w:val="1F497D" w:themeColor="text2"/>
        </w:rPr>
      </w:pPr>
      <w:r>
        <w:t xml:space="preserve">            </w:t>
      </w:r>
      <w:r w:rsidRPr="0038637C">
        <w:rPr>
          <w:color w:val="1F497D" w:themeColor="text2"/>
        </w:rPr>
        <w:t xml:space="preserve">TWR </w:t>
      </w:r>
      <w:r w:rsidR="00060D51" w:rsidRPr="0038637C">
        <w:rPr>
          <w:color w:val="1F497D" w:themeColor="text2"/>
        </w:rPr>
        <w:t>=</w:t>
      </w:r>
      <w:r w:rsidR="00060D51">
        <w:rPr>
          <w:color w:val="1F497D" w:themeColor="text2"/>
        </w:rPr>
        <w:t xml:space="preserve"> (</w:t>
      </w:r>
      <w:r w:rsidR="00060D51" w:rsidRPr="0038637C">
        <w:rPr>
          <w:color w:val="1F497D" w:themeColor="text2"/>
        </w:rPr>
        <w:t>(</w:t>
      </w:r>
      <w:r w:rsidR="004B3111" w:rsidRPr="0038637C">
        <w:rPr>
          <w:color w:val="1F497D" w:themeColor="text2"/>
        </w:rPr>
        <w:t>(</w:t>
      </w:r>
      <w:r w:rsidRPr="0038637C">
        <w:rPr>
          <w:color w:val="1F497D" w:themeColor="text2"/>
        </w:rPr>
        <w:t xml:space="preserve">1+ </w:t>
      </w:r>
      <w:r w:rsidR="00846ADA">
        <w:rPr>
          <w:color w:val="1F497D" w:themeColor="text2"/>
        </w:rPr>
        <w:t>.</w:t>
      </w:r>
      <w:r w:rsidRPr="0038637C">
        <w:rPr>
          <w:color w:val="1F497D" w:themeColor="text2"/>
        </w:rPr>
        <w:t>10) * (1+-</w:t>
      </w:r>
      <w:r w:rsidR="00846ADA">
        <w:rPr>
          <w:color w:val="1F497D" w:themeColor="text2"/>
        </w:rPr>
        <w:t>.0</w:t>
      </w:r>
      <w:r w:rsidRPr="0038637C">
        <w:rPr>
          <w:color w:val="1F497D" w:themeColor="text2"/>
        </w:rPr>
        <w:t>769</w:t>
      </w:r>
      <w:r w:rsidR="004B3111" w:rsidRPr="0038637C">
        <w:rPr>
          <w:color w:val="1F497D" w:themeColor="text2"/>
        </w:rPr>
        <w:t>))</w:t>
      </w:r>
      <w:r w:rsidRPr="0038637C">
        <w:rPr>
          <w:color w:val="1F497D" w:themeColor="text2"/>
        </w:rPr>
        <w:t xml:space="preserve"> – 1</w:t>
      </w:r>
      <w:r w:rsidR="00846ADA">
        <w:rPr>
          <w:color w:val="1F497D" w:themeColor="text2"/>
        </w:rPr>
        <w:t>) * 100</w:t>
      </w:r>
      <w:r w:rsidRPr="0038637C">
        <w:rPr>
          <w:color w:val="1F497D" w:themeColor="text2"/>
        </w:rPr>
        <w:t xml:space="preserve"> = 1.54%</w:t>
      </w:r>
      <w:r w:rsidR="00CF3E25">
        <w:rPr>
          <w:color w:val="1F497D" w:themeColor="text2"/>
        </w:rPr>
        <w:t>.</w:t>
      </w:r>
    </w:p>
    <w:sectPr w:rsidR="0038637C" w:rsidRPr="0038637C" w:rsidSect="00AF676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5AB"/>
    <w:multiLevelType w:val="hybridMultilevel"/>
    <w:tmpl w:val="A2C29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D1A0C"/>
    <w:multiLevelType w:val="hybridMultilevel"/>
    <w:tmpl w:val="03145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427EE"/>
    <w:multiLevelType w:val="hybridMultilevel"/>
    <w:tmpl w:val="E320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86CD1"/>
    <w:multiLevelType w:val="hybridMultilevel"/>
    <w:tmpl w:val="D5EA0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964AD"/>
    <w:multiLevelType w:val="hybridMultilevel"/>
    <w:tmpl w:val="2306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12E01"/>
    <w:multiLevelType w:val="hybridMultilevel"/>
    <w:tmpl w:val="96B2C5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6765"/>
    <w:rsid w:val="00015D56"/>
    <w:rsid w:val="00021F74"/>
    <w:rsid w:val="00060D51"/>
    <w:rsid w:val="00193DE3"/>
    <w:rsid w:val="001C476E"/>
    <w:rsid w:val="00200D06"/>
    <w:rsid w:val="00345FF7"/>
    <w:rsid w:val="00350DFA"/>
    <w:rsid w:val="0038637C"/>
    <w:rsid w:val="003C17E0"/>
    <w:rsid w:val="00473575"/>
    <w:rsid w:val="004957A2"/>
    <w:rsid w:val="004B3111"/>
    <w:rsid w:val="00514174"/>
    <w:rsid w:val="005A0B17"/>
    <w:rsid w:val="005F7AC9"/>
    <w:rsid w:val="006C10D0"/>
    <w:rsid w:val="00760E46"/>
    <w:rsid w:val="00786BC3"/>
    <w:rsid w:val="0079468B"/>
    <w:rsid w:val="00804378"/>
    <w:rsid w:val="00843D3F"/>
    <w:rsid w:val="00846ADA"/>
    <w:rsid w:val="00847EB9"/>
    <w:rsid w:val="008D51C2"/>
    <w:rsid w:val="009A256D"/>
    <w:rsid w:val="009A5118"/>
    <w:rsid w:val="009E1618"/>
    <w:rsid w:val="00AC0696"/>
    <w:rsid w:val="00AF6765"/>
    <w:rsid w:val="00B12414"/>
    <w:rsid w:val="00C002AF"/>
    <w:rsid w:val="00C17CFB"/>
    <w:rsid w:val="00C95415"/>
    <w:rsid w:val="00CB20BE"/>
    <w:rsid w:val="00CB6D16"/>
    <w:rsid w:val="00CD3CF4"/>
    <w:rsid w:val="00CF3E25"/>
    <w:rsid w:val="00D30032"/>
    <w:rsid w:val="00DB2C4C"/>
    <w:rsid w:val="00DC321D"/>
    <w:rsid w:val="00F85307"/>
    <w:rsid w:val="00F86008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20E00-E82D-45E9-B073-5CAF22E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6765"/>
    <w:pPr>
      <w:suppressAutoHyphens/>
    </w:pPr>
    <w:rPr>
      <w:rFonts w:ascii="Calibri" w:eastAsia="SimSun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2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F676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AF6765"/>
    <w:pPr>
      <w:spacing w:after="120"/>
    </w:pPr>
  </w:style>
  <w:style w:type="paragraph" w:styleId="List">
    <w:name w:val="List"/>
    <w:basedOn w:val="Textbody"/>
    <w:rsid w:val="00AF6765"/>
    <w:rPr>
      <w:rFonts w:cs="Mangal"/>
    </w:rPr>
  </w:style>
  <w:style w:type="paragraph" w:styleId="Caption">
    <w:name w:val="caption"/>
    <w:basedOn w:val="Normal"/>
    <w:rsid w:val="00AF676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F6765"/>
    <w:pPr>
      <w:suppressLineNumbers/>
    </w:pPr>
    <w:rPr>
      <w:rFonts w:cs="Mang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307"/>
    <w:rPr>
      <w:rFonts w:ascii="Tahoma" w:eastAsia="SimSu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C6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F7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Spacing">
    <w:name w:val="No Spacing"/>
    <w:uiPriority w:val="1"/>
    <w:qFormat/>
    <w:rsid w:val="00C002AF"/>
    <w:pPr>
      <w:suppressAutoHyphens/>
      <w:spacing w:after="0" w:line="240" w:lineRule="auto"/>
    </w:pPr>
    <w:rPr>
      <w:rFonts w:ascii="Calibri" w:eastAsia="SimSun" w:hAnsi="Calibri" w:cs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00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002AF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79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08237</dc:creator>
  <cp:lastModifiedBy>Joyal Varghese</cp:lastModifiedBy>
  <cp:revision>60</cp:revision>
  <dcterms:created xsi:type="dcterms:W3CDTF">2014-05-12T08:18:00Z</dcterms:created>
  <dcterms:modified xsi:type="dcterms:W3CDTF">2014-07-24T13:09:00Z</dcterms:modified>
</cp:coreProperties>
</file>