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exact" w:line="280" w:before="240" w:after="0"/>
        <w:rPr>
          <w:rStyle w:val="Heading1Char"/>
          <w:rFonts w:eastAsia="" w:eastAsiaTheme="majorEastAsia"/>
          <w:b/>
          <w:b/>
        </w:rPr>
      </w:pPr>
      <w:r>
        <w:rPr>
          <w:rStyle w:val="Heading1Char"/>
          <w:b/>
        </w:rPr>
        <w:t>Vibration of effects from differing methodological choices when conducting a meta-analysis and how it may lead to conflicting results</w:t>
      </w:r>
    </w:p>
    <w:p>
      <w:pPr>
        <w:pStyle w:val="Normal"/>
        <w:spacing w:lineRule="exact" w:line="280" w:before="0" w:after="0"/>
        <w:jc w:val="both"/>
        <w:rPr>
          <w:rFonts w:cs="Calibri" w:cstheme="minorHAnsi"/>
          <w:vertAlign w:val="superscript"/>
        </w:rPr>
      </w:pPr>
      <w:r>
        <w:rPr>
          <w:rFonts w:cs="Calibri" w:cstheme="minorHAnsi"/>
        </w:rPr>
        <w:t>Nicolai Sandau MD</w:t>
      </w:r>
      <w:r>
        <w:rPr>
          <w:rFonts w:cs="Calibri" w:cstheme="minorHAnsi"/>
          <w:vertAlign w:val="superscript"/>
        </w:rPr>
        <w:t>1</w:t>
      </w:r>
      <w:r>
        <w:rPr>
          <w:rFonts w:cs="Calibri" w:cstheme="minorHAnsi"/>
        </w:rPr>
        <w:t xml:space="preserve">, Thomas Vedste Aagaard MSc </w:t>
      </w:r>
      <w:r>
        <w:rPr>
          <w:rFonts w:cs="Calibri" w:cstheme="minorHAnsi"/>
          <w:vertAlign w:val="superscript"/>
        </w:rPr>
        <w:t>1,3</w:t>
      </w:r>
      <w:r>
        <w:rPr>
          <w:rFonts w:cs="Calibri" w:cstheme="minorHAnsi"/>
        </w:rPr>
        <w:t>, Asbjørn Hróbjartsson MD PhD</w:t>
      </w:r>
      <w:r>
        <w:rPr>
          <w:rFonts w:cs="Calibri" w:cstheme="minorHAnsi"/>
          <w:vertAlign w:val="superscript"/>
        </w:rPr>
        <w:t>2</w:t>
      </w:r>
      <w:r>
        <w:rPr/>
        <w:t>, Ian Harris MBBS MMed(Clin Epi) PhD</w:t>
      </w:r>
      <w:r>
        <w:rPr>
          <w:vertAlign w:val="superscript"/>
        </w:rPr>
        <w:t>4</w:t>
      </w:r>
      <w:r>
        <w:rPr>
          <w:rFonts w:cs="Calibri" w:cstheme="minorHAnsi"/>
        </w:rPr>
        <w:t>, Stig Brorson MD PhD DMSc</w:t>
      </w:r>
      <w:r>
        <w:rPr>
          <w:rFonts w:cs="Calibri" w:cstheme="minorHAnsi"/>
          <w:vertAlign w:val="superscript"/>
        </w:rPr>
        <w:t>1</w:t>
      </w:r>
    </w:p>
    <w:p>
      <w:pPr>
        <w:pStyle w:val="Normal"/>
        <w:spacing w:lineRule="exact" w:line="220" w:before="0" w:after="0"/>
        <w:rPr>
          <w:sz w:val="18"/>
          <w:szCs w:val="18"/>
        </w:rPr>
      </w:pPr>
      <w:r>
        <w:rPr>
          <w:rFonts w:cs="Calibri" w:cstheme="minorHAnsi"/>
          <w:sz w:val="18"/>
          <w:szCs w:val="18"/>
          <w:vertAlign w:val="superscript"/>
        </w:rPr>
        <w:t>1</w:t>
      </w:r>
      <w:r>
        <w:rPr>
          <w:sz w:val="18"/>
          <w:szCs w:val="18"/>
        </w:rPr>
        <w:t xml:space="preserve"> Centre for Evidence-Based Orthopedics, Department of Orthopedic Surgery, Zealand University Hospital, Køge, Denmark </w:t>
      </w:r>
    </w:p>
    <w:p>
      <w:pPr>
        <w:pStyle w:val="Normal"/>
        <w:spacing w:lineRule="exact" w:line="240"/>
        <w:rPr>
          <w:sz w:val="18"/>
          <w:szCs w:val="18"/>
        </w:rPr>
      </w:pPr>
      <w:r>
        <w:rPr>
          <w:sz w:val="18"/>
          <w:szCs w:val="18"/>
          <w:vertAlign w:val="superscript"/>
        </w:rPr>
        <w:t xml:space="preserve">2 </w:t>
      </w:r>
      <w:r>
        <w:rPr>
          <w:sz w:val="18"/>
          <w:szCs w:val="18"/>
        </w:rPr>
        <w:t xml:space="preserve">Centre for Evidence-Based Medicine Odense (CEBMO) and Cochrane Denmark, Department of Clinical Research, University of Southern Denmark, Denmark </w:t>
        <w:br/>
      </w:r>
      <w:r>
        <w:rPr>
          <w:rFonts w:cs="Calibri" w:cstheme="minorHAnsi"/>
          <w:sz w:val="18"/>
          <w:szCs w:val="18"/>
          <w:vertAlign w:val="superscript"/>
        </w:rPr>
        <w:t xml:space="preserve">3 </w:t>
      </w:r>
      <w:r>
        <w:rPr>
          <w:sz w:val="18"/>
          <w:szCs w:val="18"/>
        </w:rPr>
        <w:t>Department of Physiotherapy and Occupational Therapy, Holbaek Hospital, Denmark.</w:t>
        <w:br/>
      </w:r>
      <w:r>
        <w:rPr>
          <w:sz w:val="18"/>
          <w:szCs w:val="18"/>
          <w:vertAlign w:val="superscript"/>
        </w:rPr>
        <w:t xml:space="preserve">4 </w:t>
      </w:r>
      <w:r>
        <w:rPr>
          <w:sz w:val="18"/>
          <w:szCs w:val="18"/>
        </w:rPr>
        <w:t>Whitlam Orthopaedic Research Centre, Ingham Institute for Applied Medical Research, South Western Sydney Clinical School, University of New South Wales (UNSW Sydney), Liverpool, NSW, 2170, Australia</w:t>
      </w:r>
    </w:p>
    <w:p>
      <w:pPr>
        <w:pStyle w:val="Normal"/>
        <w:spacing w:before="0" w:after="0"/>
        <w:rPr>
          <w:sz w:val="18"/>
          <w:szCs w:val="18"/>
        </w:rPr>
      </w:pPr>
      <w:r>
        <w:rPr>
          <w:sz w:val="18"/>
          <w:szCs w:val="18"/>
        </w:rPr>
      </w:r>
    </w:p>
    <w:p>
      <w:pPr>
        <w:pStyle w:val="Normal"/>
        <w:spacing w:lineRule="exact" w:line="220" w:before="0" w:after="0"/>
        <w:rPr>
          <w:sz w:val="20"/>
          <w:szCs w:val="20"/>
        </w:rPr>
      </w:pPr>
      <w:r>
        <w:rPr>
          <w:sz w:val="20"/>
          <w:szCs w:val="20"/>
        </w:rPr>
      </w:r>
    </w:p>
    <w:p>
      <w:pPr>
        <w:pStyle w:val="Heading2"/>
        <w:spacing w:lineRule="exact" w:line="280"/>
        <w:jc w:val="both"/>
        <w:rPr/>
      </w:pPr>
      <w:r>
        <w:rPr/>
        <w:t>Introduction</w:t>
      </w:r>
    </w:p>
    <w:p>
      <w:pPr>
        <w:pStyle w:val="Normal"/>
        <w:spacing w:lineRule="exact" w:line="280"/>
        <w:jc w:val="both"/>
        <w:rPr>
          <w:rFonts w:ascii="Calibri" w:hAnsi="Calibri" w:eastAsia="Times New Roman" w:cs="Calibri"/>
          <w:color w:val="000000"/>
          <w:szCs w:val="24"/>
        </w:rPr>
      </w:pPr>
      <w:r>
        <w:rPr/>
        <w:t xml:space="preserve">Despite the publication of numerous </w:t>
      </w:r>
      <w:r>
        <w:rPr>
          <w:rFonts w:eastAsia="Times New Roman" w:cs="Calibri"/>
          <w:color w:val="000000"/>
          <w:szCs w:val="24"/>
        </w:rPr>
        <w:t xml:space="preserve">meta-analyses, no consensus currently exist concerning the optimal primary treatment for proximal humerus fractures (PHF) </w:t>
      </w:r>
      <w:r>
        <w:fldChar w:fldCharType="begin"/>
      </w:r>
      <w:r>
        <w:rPr>
          <w:szCs w:val="24"/>
          <w:rFonts w:eastAsia="Times New Roman" w:cs="Calibri"/>
          <w:color w:val="000000"/>
        </w:rPr>
        <w:instrText>ADDIN ZOTERO_ITEM CSL_CITATION {"citationID":"R6wHIFl8","properties":{"formattedCitation":"[1,3,4,7\\uc0\\u8211{}11,14,19,20,22,26]","plainCitation":"[1,3,4,7–11,14,19,20,22,26]","noteIndex":0},"citationItems":[{"id":"gOz15xnc/zz6IwZoD","uris":["http://www.mendeley.com/documents/?uuid=5c2a6896-f4ae-41c4-8925-bff40adcfea3"],"uri":["http://www.mendeley.com/documents/?uuid=5c2a6896-f4ae-41c4-8925-bff40adcfea3"],"itemData":{"DOI":"10.1302/2046-3758.510.2000638","abstract":"Objectives The objective of this study was to perform a meta-analysis of all randomised controlled trials (RCTs) comparing surgical and non-surgical management of fractures of the proximal humerus, and to determine whether further analyses based on complexity of fracture, or the type of surgical intervention, produced disparate findings on patient outcomes. Methods A systematic review of the literature was performed identifying all RCTs that compared surgical and non-surgical management of fractures of the proximal humerus. Meta-analysis of clinical outcomes was performed where possible. Subgroup analysis based on the type of fracture, and a sensitivity analysis based on the type of surgical intervention, were also performed. Results Seven studies including 528 patients were included. The overall meta-analysis found that there was no difference in clinical outcomes. However, subgroup and sensitivity analyses found improved patient outcomes for more complex fractures managed surgically. Four-part fractures that underwent surgery had improved long-term health utility scores (mean difference, MD 95% CI 0.04 to 0.28; p = 0.007). They were also less likely to result in osteoarthritis, osteonecrosis and non/malunion (OR 7.38, 95% CI 1.97 to 27.60; p = 0.003). Another significant subgroup finding was that secondary surgery was more common for patients that underwent internal fixation compared with conservative management within the studies with predominantly three-part fractures (OR 0.15, 95% CI 0.04 to 0.63; p = 0.009). Conclusion This meta-analysis has demonstrated that differences in the type of fracture and surgical treatment result in outcomes that are distinct from those generated from analysis of all types of fracture and surgical treatments grouped together. This has important implications for clinical decision making and should highlight the need for future trials to adopt more specific inclusion criteria.","author":[{"dropping-particle":"","family":"Sabharwal","given":"S.","non-dropping-particle":"","parse-names":false,"suffix":""},{"dropping-particle":"","family":"Patel","given":"N. K.","non-dropping-particle":"","parse-names":false,"suffix":""},{"dropping-particle":"","family":"Griffiths","given":"D.","non-dropping-particle":"","parse-names":false,"suffix":""},{"dropping-particle":"","family":"Athanasiou","given":"T.","non-dropping-particle":"","parse-names":false,"suffix":""},{"dropping-particle":"","family":"Gupte","given":"C. M.","non-dropping-particle":"","parse-names":false,"suffix":""},{"dropping-particle":"","family":"Reilly","given":"P.","non-dropping-particle":"","parse-names":false,"suffix":""}],"container-title":"Bone &amp; Joint Research","id":"ITEM-1","issue":"10","issued":{"date-parts":[["2016"]]},"page":"470-480","title":"Trials based on specific fracture configuration and surgical procedures likely to be more relevant for decision making in the management of fractures of the proximal humerus","type":"article-journal","volume":"5"}},{"id":"gOz15xnc/k3xdtf6G","uris":["http://www.mendeley.com/documents/?uuid=8d95b335-9a8d-4a3d-a9d9-f38183ae266e"],"uri":["http://www.mendeley.com/documents/?uuid=8d95b335-9a8d-4a3d-a9d9-f38183ae266e"],"itemData":{"PMID":"28247610","abstract":"Objective: To evaluate the efficacy of operative and non-operative treatment for  three- or four-part proximal humeral fractures in elderly patients by meta-analysis. Methods: The literature search was performed in Cochrance Library, Medline, Embase, SinoMed, CNKI, Wanfang data and CQVIP databases for operative and non-operative treatment of three- or four-part proximal humeral fractures in elderly patients, and searches of conference proceedings were also conducted. The data were extracted and a meta-analysis was performed using RevMan 5.3. The outcome measures included Constants score, pain and incidence rates of AVN, reoperation, osteoarthritis, nonunion. Results: Six randomized controlled trials involving 264 patients were included in the meta-analysis. The differences of Constant scores (MD=0.47, 95% CI:-4.35-5.28, P=0.85), incidence of ANV (OR=0.56, 95% CI:0.25-1.24, P=0.15), incidence of osteoarthritis (OR=0.56, 95% CI:0.19-1.68, P=0.30), incidence of nonunion (OR=0.43, 95% CI:0.13-1.43, P=0.17) between operative group and non-operative group were not statistically significant. Operative treatment was better in pain score (MD=1.01, 95% CI:0.12-1.19, P=0.03) and had statistically significant higher reoperative rate (OR=3.97, 95% CI:1.45-10.92, P=0.007). Conclusions: No evidence support that there is difference in Constant score and incidence rate of ANV, osteoarthritis, nonunion between operative and non-operative treatment for three- or four-part proximal humeral fractures in elderly patients. More high quality randomized controlled trials are required to determine which treatment is more efficient.","author":[{"dropping-particle":"","family":"Li","given":"Wenbo","non-dropping-particle":"","parse-names":false,"suffix":""},{"dropping-particle":"","family":"Ding","given":"Gaoheng","non-dropping-particle":"","parse-names":false,"suffix":""},{"dropping-particle":"","family":"Liu","given":"Jun","non-dropping-particle":"","parse-names":false,"suffix":""},{"dropping-particle":"","family":"Shi","given":"Jie","non-dropping-particle":"","parse-names":false,"suffix":""},{"dropping-particle":"","family":"Zhang","given":"Chao","non-dropping-particle":"","parse-names":false,"suffix":""},{"dropping-particle":"","family":"Gao","given":"Qiuming","non-dropping-particle":"","parse-names":false,"suffix":""}],"id":"ITEM-2","issue":"6","issued":{"date-parts":[["2016"]]},"page":"28247610","title":"[Operative versus non-operative treatment for three- or four-part proximal humeral fractures in elderly patients: a meta-analysis of randomized controlled trials]. [Chinese]","type":"article-journal","volume":"45"}},{"id":"gOz15xnc/cegyPb9W","uris":["http://www.mendeley.com/documents/?uuid=a9642852-749f-4f18-94b4-4cf9ce8da994"],"uri":["http://www.mendeley.com/documents/?uuid=a9642852-749f-4f18-94b4-4cf9ce8da994"],"itemData":{"DOI":"10.1002/14651858.CD000434.pub4","ISSN":"14651858","author":[{"dropping-particle":"","family":"Handoll","given":"Helen HG","non-dropping-particle":"","parse-names":false,"suffix":""},{"dropping-particle":"","family":"Brorson","given":"Stig","non-dropping-particle":"","parse-names":false,"suffix":""}],"container-title":"Cochrane Database of Systematic Reviews","id":"ITEM-3","issue":"11","issued":{"date-parts":[["2015","11","11"]]},"title":"Interventions for treating proximal humeral fractures in adults","type":"article-journal"}},{"id":"gOz15xnc/FOtzOaHl","uris":["http://www.mendeley.com/documents/?uuid=5318ab02-2e6a-413d-afd7-46febc810da9"],"uri":["http://www.mendeley.com/documents/?uuid=5318ab02-2e6a-413d-afd7-46febc810da9"],"itemData":{"DOI":"10.1371/journal.pone.0075464","ISSN":"19326203","abstract":"Background:A few studies focused on open reduction and internal fixation (ORIF) or nonoperative treatment of displaced 3-part or 4-part proximal humeral fractures in elderly patients have been published, all of whom had a low number of patients. In this meta-analysis of randomized controlled trials (RCTs), we aimed to assess the effect of ORIF or nonoperative treatment of displaced 3-part or 4-part proximal humeral fractures in elderly patients on the clinical outcomes and re-evaluate of the potential benefits of conservative treatment.Methods:We searched PubMed and the Cochrane Central Register of Controlled Trials databases for randomized controlled trials comparing ORIF and nonoperative treatment of displaced 3-part or 4-part proximal humeral fractures in elderly patients. Our outcome measures were the Constant scores.Results: Three randomized controlled trials with a total of 130 patients were identified and analyzed. The overall results based on fixed-effect model did not support the treatment of open reduction and internal fixation to improve the functional outcome when compared with nonoperative treatment for treating elderly patients with displaced 3-part or 4-part proximal humeral fractures (WMD -0.51, 95% CI: -7.25 to 6.22, P = 0.88, I2 = 0%).Conclusions:Although our meta-analysis did not support the treatment of open reduction and internal fixation to improve the functional outcome when compared with nonoperative treatment for treating elderly patients with displaced 3-part or 4-part proximal humeral fractures, this result must be considered in the context of variable patient demographics. Only a limited recommendation can be made based on current data. Considering the limitations of included studies, a large, well designed trial that incorporates the evaluation of clinically relevant outcomes in participants with different underlying risks of shoulder function is required to more adequately assess the role for ORIF or nonoperative treatment. © 2013 Li et al.","author":[{"dropping-particle":"","family":"Li","given":"Yongchuan","non-dropping-particle":"","parse-names":false,"suffix":""},{"dropping-particle":"","family":"Zhao","given":"Liangyu","non-dropping-particle":"","parse-names":false,"suffix":""},{"dropping-particle":"","family":"Zhu","given":"Lei","non-dropping-particle":"","parse-names":false,"suffix":""},{"dropping-particle":"","family":"Li","given":"Jing","non-dropping-particle":"","parse-names":false,"suffix":""},{"dropping-particle":"","family":"Chen","given":"Aimin","non-dropping-particle":"","parse-names":false,"suffix":""}],"container-title":"PLoS ONE","id":"ITEM-4","issue":"9","issued":{"date-parts":[["2013"]]},"title":"Internal Fixation Versus Nonoperative Treatment for Displaced 3-Part or 4-Part Proximal Humeral Fractures in Elderly Patients: A Meta-Analysis of Randomized Controlled Trials","type":"article-journal","volume":"8"}},{"id":"gOz15xnc/JMQJ3de7","uris":["http://www.mendeley.com/documents/?uuid=c067618d-6236-42c9-95de-522937a2fff0"],"uri":["http://www.mendeley.com/documents/?uuid=c067618d-6236-42c9-95de-522937a2fff0"],"itemData":{"DOI":"10.5312/wjo.v6.i10.838","ISSN":"2218-5836","abstract":"AIM: To perform a systematic review and meta-analysis comparing operative vs non-operative treatment of displaced proximal humerus fractures in elderly patients.\\n\\nMETHODS: A systematic literature search was performed using EMBASE and MEDLINE through the OVID interface, CINAHL, the Cochrane Central Register of Controlled Trials (CENTRAL), Proquest, Web of Science, SAE digital library, and Transportation Research Board's TRID database. Searches of conference proceedings were also conducted. All available randomized controlled trials comparing operative vs non-operative management of displaced three- and four-part proximal humerus fractures in elderly patients were included. The primary outcomes measures included physical function, pain, health related quality of life, mortality, and the re-operation rate.\\n\\nRESULTS: Six randomized controlled trials (n = 287) were included. There was no statistically significant difference in function (MD = 1.72, 95%CI: -2.90-6.34, P = 0.47), as measured by the Constant score, between the operative and the non-operative treatment groups. There was no statistically significance difference in secondary outcomes of health related quality of life (standardized MD = 0.27, 95%CI: -0.05-0.59, P = 0.09), and mortality (relative risk 1.29, 95%CI: 0.50- 3.35, P = 0.60). Operative treatment had a statistically significant higher re-operation rate (relative risk 4.09, 95%CI: 1.50-11.15, P = 0.006), and statistically significant decreased pain (MD = 1.26, 95%CI: 0.02- 2.49, P = 0.05).\\n\\nCONCLUSION: There is moderate quality evidence to suggest that there is no difference in functional outcomes between the two treatments. Further high quality randomized controlled trials are required to determine if certain subgroup populations benefit from surgical management.","author":[{"dropping-particle":"","family":"Rabi","given":"Santa","non-dropping-particle":"","parse-names":false,"suffix":""}],"container-title":"World Journal of Orthopedics","id":"ITEM-5","issue":"10","issued":{"date-parts":[["2015"]]},"page":"838","title":" Operative vs non-operative management of displaced proximal humeral fractures in the elderly: A systematic review and meta-analysis of randomized controlled trials ","type":"article-journal","volume":"6"}},{"id":"gOz15xnc/iBvDGXuG","uris":["http://www.mendeley.com/documents/?uuid=b106fb40-1f51-348d-974f-d5235c4c1af6"],"uri":["http://www.mendeley.com/documents/?uuid=b106fb40-1f51-348d-974f-d5235c4c1af6"],"itemData":{"DOI":"10.3109/08941939.2015.1005781","ISSN":"0894-1939","PMID":"26268421","abstract":"PURPOSE/AIM This meta-analysis compares the clinical outcomes of surgical versus conservative treatment of displaced, 3- or 4-part, proximal humeral fractures. MATERIALS AND METHODS Medline, Cochrane, EMBASE, and Google Scholar were searched for studies published until October 2013, reporting functional outcomes of 3- or 4-part fractures of the proximal humerus in skeletally mature patients. Only randomized controlled trials were included. The treatments that were evaluated included non-surgical, open surgery, intramedullary pin, locking plate, arthroplasty, and minimally invasive surgical treatments. A meta-analysis was performed on the difference in functional outcomes and quality of life (QoL) between participants undergoing surgical versus non-surgical treatment. RESULTS Out of 254 participants in the studies who were analyzed, 127 were treated surgically. The difference in mean values of functional score showed similar results between surgical and non-surgical treatments (difference in mean values = 0.015, 95% CI = -0.232 to 0.261, p = .908).The difference in mean values of QoL showed that surgical treatment provided better post-operative QoL than non-surgical treatment (difference in mean values = 0.146, 95% CI = 0.052 to 0.240, p = .002). CONCLUSIONS Surgical treatment of displaced, multi-fragment fractures of the proximal humerus did not improve shoulder functional outcome, based on the Constant-Murley Score, when compared with conservative and non-surgical treatments. However, health-related QoL was significantly improved with surgical treatment compared with conservative treatment.","author":[{"dropping-particle":"","family":"Mao","given":"Feng","non-dropping-particle":"","parse-names":false,"suffix":""},{"dropping-particle":"","family":"Zhang","given":"De-Hua","non-dropping-particle":"","parse-names":false,"suffix":""},{"dropping-particle":"","family":"Peng","given":"Xiao-Chun","non-dropping-particle":"","parse-names":false,"suffix":""},{"dropping-particle":"","family":"Liao","given":"Yi","non-dropping-particle":"","parse-names":false,"suffix":""}],"container-title":"Journal of Investigative Surgery","id":"ITEM-6","issue":"4","issued":{"date-parts":[["2015","7","4"]]},"page":"215-224","title":"Comparison of Surgical versus Non-Surgical Treatment of Displaced 3- and 4-Part Fractures of the Proximal Humerus: A Meta-Analysis","type":"article-journal","volume":"28"}},{"id":"gOz15xnc/6dpeQJ0W","uris":["http://www.mendeley.com/documents/?uuid=3f1669de-2d52-3631-88ee-28453e83d315"],"uri":["http://www.mendeley.com/documents/?uuid=3f1669de-2d52-3631-88ee-28453e83d315"],"itemData":{"DOI":"10.3928/01477447-20140528-54","ISSN":"0147-7447","PMID":"24972435","abstract":"Whether operative treatment for complex proximal humeral fractures has a greater benefit over nonoperative treatment is uncertain. The authors conducted a meta-analysis to include all randomized controlled trials (RCTs) to determine the advantages and disadvantages of operative vs nonoperative treatment. Multiple databases, online registries of RCTs, and proceedings from major meetings were systematically searched up to November 2012. Randomized controlled trials comparing operative and non-operative treatment for 3- and 4-part proximal humeral fractures were included. Two authors independently assessed methodological quality and extracted data. Seven articles with a total of 286 patients met inclusion criteria. No significant differences were found between operative and nonoperative treatment regarding Constant score, the Disabilities of the Arm, Shoulder and Hand score, American Shoulder and Elbow Surgeons score, Simple Shoulder Test, 15 Dimensions, and complications. Health-related quality of life according to the EuroQol-5D score in operative treatment showed statistically, but not clinically, significant improvement compared with nonoperative treatment. Operative treatment could significantly increase the incidence of additional surgery at 12- and 24-month follow-up compared with nonoperative treatment. However, sensitivity analysis showed a higher additional surgery rate at 12-month follow-up remained unstable. On the basis of current evidence, both operative and nonoperative treatment can achieve a similar treatment effect on complex proximal humeral fractures, but operative treatment may increase the occurrence of additional surgery. However, due to some limitations, the result of this meta-analysis should be cautiously interpreted, and further studies are needed.","author":[{"dropping-particle":"","family":"Jia","given":"Zhiwei","non-dropping-particle":"","parse-names":false,"suffix":""},{"dropping-particle":"","family":"Li","given":"Wei","non-dropping-particle":"","parse-names":false,"suffix":""},{"dropping-particle":"","family":"Qin","given":"Yingyi","non-dropping-particle":"","parse-names":false,"suffix":""},{"dropping-particle":"","family":"Li","given":"Haifeng","non-dropping-particle":"","parse-names":false,"suffix":""},{"dropping-particle":"","family":"Wang","given":"Deli","non-dropping-particle":"","parse-names":false,"suffix":""},{"dropping-particle":"","family":"Zhang","given":"Chao","non-dropping-particle":"","parse-names":false,"suffix":""},{"dropping-particle":"","family":"He","given":"Qing","non-dropping-particle":"","parse-names":false,"suffix":""},{"dropping-particle":"","family":"Ruan","given":"Dike","non-dropping-particle":"","parse-names":false,"suffix":""}],"container-title":"Orthopedics","id":"ITEM-7","issue":"6","issued":{"date-parts":[["2014","6","1"]]},"page":"e543-e551","title":"Operative Versus Nonoperative Treatment for Complex Proximal Humeral Fractures: A Meta-analysis of Randomized Controlled Trials","type":"article-journal","volume":"37"}},{"id":"gOz15xnc/d7V2mdk9","uris":["http://www.mendeley.com/documents/?uuid=0b46f834-4953-4a8d-85e9-0d4c61dc7348"],"uri":["http://www.mendeley.com/documents/?uuid=0b46f834-4953-4a8d-85e9-0d4c61dc7348"],"itemData":{"DOI":"10.3944/AOTT.2015.14.0451","ISSN":"1017995X","abstract":"Objective: The aim of this study was to compare the effect of operative vs. nonoperative treatment for comminuted proximal humeral fractures in elderly patients regarding clinical results, complications, and additional surgeries. Methods: Six electronic databases (Medline, Embase, Clinical, Ovid, Biosos, and Cochrane Central Register of Controlled Trials) were systematically searched to identify randomized controlled trials (RCTs). Eligible RCTs published between 1960–2012 comparing operative vs. nonoperative treat-ment of comminuted proximal humeral fractures were included. Trial quality was assessed using the modified Jadad scale. Data from included studies were pooled with the use of fixed-effects and ran-dom-effects models with mean difference and risk ratios for continuous and dichotomous variables, respectively. Sensitivity analysis was performed to account for bias in patient selection. Results: Six studies matched the selection criteria, reporting on 287 patients. One hundred fourty-four patients (50.17%) were managed nonoperatively, 20 patients (6.97%) underwent tension band fixation, 55 patients (19.16%) were treated with locked plate, and 68 patients (23.69%) underwent hemiarthroplasty. Mean follow-up ranged from 12–50 months. Results showed no significant differ-ence in post-treatment Constant scores and DASH scores, but conservative treatment showed su-perior results compared to operative treatment using EQ-5D™. Compared with operative treatment, nonoperative treatment led to significantly fewer complications and additional surgeries. Findings from subgroup analyses remained consistent with these outcomes when compared to nonoperative treatment with tension band fixation, locked plate fixation, and hemiarthroplasty. Conclusion: Compared with operative treatment for closed comminuted proximal humeral fractures in elderly patients, conservative treatment can effectively reduce the risk of additional surgeries and complications. However, there is no statistical difference between operative and nonoperative treat-ment in terms of clinical outcomes.","author":[{"dropping-particle":"","family":"Song","given":"Jin Qi","non-dropping-particle":"","parse-names":false,"suffix":""},{"dropping-particle":"","family":"Deng","given":"Xue Feng","non-dropping-particle":"","parse-names":false,"suffix":""},{"dropping-particle":"","family":"Wang","given":"Yi Min","non-dropping-particle":"","parse-names":false,"suffix":""},{"dropping-particle":"","family":"Wang","given":"Xue Bing","non-dropping-particle":"","parse-names":false,"suffix":""},{"dropping-particle":"","family":"Li","given":"Xue","non-dropping-particle":"","parse-names":false,"suffix":""},{"dropping-particle":"","family":"Yu","given":"Bin","non-dropping-particle":"","parse-names":false,"suffix":""}],"container-title":"Acta Orthopaedica et Traumatologica Turcica","id":"ITEM-8","issue":"4","issued":{"date-parts":[["2015"]]},"page":"345-353","title":"Operative vs. nonoperative treatment for comminuted proximal humeral fractures in elderly patients: A current meta-analysis","type":"article-journal","volume":"49"}},{"id":"gOz15xnc/1ekEphx5","uris":["http://www.mendeley.com/documents/?uuid=b0c2d43c-b5ae-4508-862c-9b981160ed36"],"uri":["http://www.mendeley.com/documents/?uuid=b0c2d43c-b5ae-4508-862c-9b981160ed36"],"itemData":{"DOI":"10.3928/01477447-20140430-50","ISSN":"0147-7447","abstract":"This updated meta-analysis investigated whether operative treatment is superior to nonoperative treatment in complex proximal humeral fractures. The authors searched the Cochrane Central Register of Controlled Trials, PubMed, and EMBASE. Randomized controlled trials that evaluated operative vs nonoperative treatment for exclusively 3- or 4-part proximal humeral fractures were considered. Six studies with a total of 287 patients who had proximal humeral fractures were included. According to the meta-analysis, no statistically significant differences were found between operative and nonoperative treatment in Constant-Murley shoulder scores (Constant scores); Disabilities of the Arm, Shoulder, and Hand scores; total complication events; mortality; infection; nonunion; avascular necrosis; osteoarthritis; redisplacement of fractures; or dislocation or resorption of tuberosity. For health-related quality of life, EuroQol-5D (EQ-5D) favored operative treatment, but 15D scores showed no significant difference. Compared with nonoperative treatment, open reduction and internal fixation required significantly more additional surgeries (risk ratio, 6.50; 95% confidence interval, 1.54-27.50; P=.01), and more penetrations into joint space occurred (risk ratio, 9.56; 95% confidence interval, 2.27-40.13; P=.002). The limited evidence suggests that no convincing findings support the use of either open reduction and internal fixation or hemiarthroplasty for the treatment of complex proximal humeral fractures. The findings of the current study should be interpreted cautiously because of the modest sample size and the short follow-up period.","author":[{"dropping-particle":"","family":"Mao","given":"Zhi","non-dropping-particle":"","parse-names":false,"suffix":""},{"dropping-particle":"","family":"Zhang","given":"Lihai","non-dropping-particle":"","parse-names":false,"suffix":""},{"dropping-particle":"","family":"Zhang","given":"Licheng","non-dropping-particle":"","parse-names":false,"suffix":""},{"dropping-particle":"","family":"Zeng","given":"Xiantao","non-dropping-particle":"","parse-names":false,"suffix":""},{"dropping-particle":"","family":"Chen","given":"Shuo","non-dropping-particle":"","parse-names":false,"suffix":""},{"dropping-particle":"","family":"Liu","given":"Daohong","non-dropping-particle":"","parse-names":false,"suffix":""},{"dropping-particle":"","family":"Zhou","given":"Zhirui","non-dropping-particle":"","parse-names":false,"suffix":""},{"dropping-particle":"","family":"Tang","given":"Peifu","non-dropping-particle":"","parse-names":false,"suffix":""}],"container-title":"Orthopedics","id":"ITEM-9","issue":"5","issued":{"date-parts":[["2014"]]},"page":"e410-e419","title":"Operative Versus Nonoperative Treatment in Complex Proximal Humeral Fractures","type":"article-journal","volume":"37"}},{"id":"gOz15xnc/UgvaPo5A","uris":["http://www.mendeley.com/documents/?uuid=ed3ce549-b749-447f-9798-554544779962"],"uri":["http://www.mendeley.com/documents/?uuid=ed3ce549-b749-447f-9798-554544779962"],"itemData":{"ISSN":"19405901","abstract":"Purpose: Treatment strategies for complex displaced proximal humeral fractures (DPHF) in elderly patients remain controversial. This meta-analysis was performed to compare the benefits and risks of surgical or conserva-tive methods for these patients. Methods: Pubmed, Cochrane library and EMBASE were systematically searched for randomized controlled trials (RCTs) from their establishment to June 2013. Researches on surgical/conservative treatment for complex displaced proximal humeral fractures in elderly patients were selected. Methodological qual-ity of included studies was evaluated by the Physiotherapy Evidence Database (PEDro) scale. Outcome measure-ments were Constant score, DASH (disabilities of the arm, shoulder and hand), postoperative complications and quality of life (QoL). The meta-analysis was performed with software Stata 12.0. Results: Six RCTs with 272 patients were included and analyzed. Fix studies with a PEDro score of 6 or more were of high quality. The differences in QoL (WMD 0.43, 95% CI (0.12, 0.74)) and postoperative complications (RR 2.06, 95% CI (1.45, 2.93)) were statisti-cally significant between operative and conservative treatment. There was no statistically significant difference in Constant score (WMD 0.06, 95% CI (-0.20, 0.31)) and DASH (WMD 0.33, 95% CI (-0.70, 0.04)). Conclusion: Despite the small improvement of QoL, surgical treatments did not significantly improve the functional outcome including Constant score and DASH. Instead, surgical treatment for displaced proximal humeral fractures in elderly patients led to higher incidence of postoperative complications.","author":[{"dropping-particle":"","family":"Fu","given":"Tao","non-dropping-particle":"","parse-names":false,"suffix":""},{"dropping-particle":"","family":"Xia","given":"Chengyan","non-dropping-particle":"","parse-names":false,"suffix":""},{"dropping-particle":"","family":"Li","given":"Zonghuan","non-dropping-particle":"","parse-names":false,"suffix":""},{"dropping-particle":"","family":"Wu","given":"Hua","non-dropping-particle":"","parse-names":false,"suffix":""}],"container-title":"International Journal of Clinical and Experimental Medicine","id":"ITEM-10","issue":"12","issued":{"date-parts":[["2014"]]},"page":"4607-4615","title":"Surgical versus conservative treatment for displaced proximal humeral fractures in elderly patients: A meta-analysis","type":"article-journal","volume":"7"}},{"id":"gOz15xnc/TEtATglJ","uris":["http://www.mendeley.com/documents/?uuid=ac4a3b0b-e40d-4611-8e4b-5a53dd73b8f2"],"uri":["http://www.mendeley.com/documents/?uuid=ac4a3b0b-e40d-4611-8e4b-5a53dd73b8f2"],"itemData":{"DOI":"10.1371/journal.pone.0207815","ISBN":"1111111111","ISSN":"19326203","abstract":"Objectives The objective of this Health Technology Assessment was to evaluate effectiveness, complications and cost-effectiveness of surgical or non-surgical treatment for proximal, diaphyseal or distal fractures of the humerus in elderly patients. Secondary objectives were to evaluate the intervention costs per treatment of proximal humerus fractures (PHF) and to investigate treatment traditions of PHF in Sweden.   Methods and findings The assessment contains a systematic review of clinical and health economic studies comparing treatment options for humerus fractures in elderly patients. The results regarding the effectiveness of treatments are summarized in meta-analyses. The assessment also includes a cost analysis for treatment options and an analysis of registry data of PHF. For hemiarthroplasty (HA) and non-operative treatment, there was no clinically important difference for moderately displaced PHF at one-year follow-up regarding patient rated outcomes, (standardized mean difference [SMD]) -0.17 (95% CI: -0.56; 0.23). The intervention cost for HA was at least USD 5500 higher than non-surgical treatment. The trend in Sweden is that surgical treatment of PHF is increasing. When functional outcome of percutaneous fixation/plate fixation/prosthesis surgery and non-surgical treatment was compared for PHF there were no clinically relevant differences, SMD -0.05 (95% CI: -0.26; 0.15). There was not enough data for interpretation of quality of life or complications. Evidence was scarce regarding comparisons of different surgical options for humerus fracture treatment. The cost of plate fixation of a PHF was at least USD 3900 higher than non-surgical treatment, costs for complications excluded. In Sweden the incidence of plate fixation of PHF increased between 2005 and 2011.   Conclusions There is moderate/low certainty of evidence that surgical treatment of moderately displaced PHF in elderly patients has not been proven to be superior to less costly non-surgical treatment options. Further research of humerus fractures is likely to have an important impact.","author":[{"dropping-particle":"","family":"Navarro","given":"Cecilia Mellstrand","non-dropping-particle":"","parse-names":false,"suffix":""},{"dropping-particle":"","family":"Brolund","given":"Agneta","non-dropping-particle":"","parse-names":false,"suffix":""},{"dropping-particle":"","family":"Ekholm","given":"Carl","non-dropping-particle":"","parse-names":false,"suffix":""},{"dropping-particle":"","family":"Heintz","given":"Emelie","non-dropping-particle":"","parse-names":false,"suffix":""},{"dropping-particle":"","family":"Ekström","given":"Emin Hoxha","non-dropping-particle":"","parse-names":false,"suffix":""},{"dropping-particle":"","family":"Josefsson","given":"Per Olof","non-dropping-particle":"","parse-names":false,"suffix":""},{"dropping-particle":"","family":"Leander","given":"Lina","non-dropping-particle":"","parse-names":false,"suffix":""},{"dropping-particle":"","family":"Nordström","given":"Peter","non-dropping-particle":"","parse-names":false,"suffix":""},{"dropping-particle":"","family":"Zidén","given":"Lena","non-dropping-particle":"","parse-names":false,"suffix":""},{"dropping-particle":"","family":"Stenström","given":"Karin","non-dropping-particle":"","parse-names":false,"suffix":""}],"container-title":"PLoS ONE","id":"ITEM-11","issue":"12","issued":{"date-parts":[["2018"]]},"title":"Treatment of humerus fractures in the elderly: A systematic review covering effectiveness, safety, economic aspects and evolution of practice","type":"article-journal","volume":"13"}},{"id":"gOz15xnc/xLNE9wZS","uris":["http://www.mendeley.com/documents/?uuid=dded69e2-4fd4-4b54-8152-03dd51db0523"],"uri":["http://www.mendeley.com/documents/?uuid=dded69e2-4fd4-4b54-8152-03dd51db0523"],"itemData":{"DOI":"10.1186/s40064-015-1522-5","ISBN":"4006401515","ISSN":"21931801","abstract":"© 2015, Xie et al.Whether operative treatment for complex proximal humeral fractures (CPHFs) has a greater benefit over non-operative treatment remains controversial. There is no consensus on the optimal treatment in elderly patients with CPHFs. This updated meta-analysis of randomized controlled trials (RCTs) aims to investigate whether operative treatment is superior to non-operative treatment in CPHFs. The authors searched RCTs in the electronic databases (Cochrane Central Register of Controlled Trials, PubMed, EMBASE, Medline, Embase, Springer Link, Web of Knowledge, OVID and Google Scholar) from their establishment to July 2015. Researches on operative and non-operative treatment for CPHFs were selected in this meta-analysis. The quality of all studies was assessed and effective data was pooled for this meta-analysis. Outcome measurements were functional status include constant scores (CS scores) and disabilities of the arm, shoulder and hand scores (DASH scores), total complication rates and healthy-related quality of life. The meta-analysis was performed with software revman 5.3. Nine articles with a total 518 patients (average age 70.93) met inclusion criteria. Patients were followed up for at least 1 year in all the studies. No statistical differences were found between operative and non-operative treatment in CS scores at 12 mo (months) [MD 1.06 95 % CI (−3.51, 5.62)] and 24 mo [MD −0.61 95 % CI (−5.87, 4.65)]. There are also no statistical differences between operative and non-operative treatment in DASH scores at 12 mo [MD −4.51 95 % CI (−13.49, 4.47)] and 24 mo [MD −7.43 95 % CI (−16.14, 1.27)]. Statistical differences were found between operative and non-operative treatment in total complication rates [RR 1.55, 95 % CI (1.24, 1.94)]. Statistical differences in EQ-5D at 24 mo [MD 0.15, 95 % CI (0.05, 0.24)] were found between operative and non-operative treatment but no statistical differences were found in ED-5D at 12 mo [MD 0.08, 95 % CI (−0.01, 0.17)], 15D at 12 mo [MD 0.02, 95 % CI (−0.68, 0.73)] and 15D at 24 mo [MD 0.02, 95 % CI (−0.07, 0.83)]. Operative treatments did not significantly improve the functional outcome and healthy-related quality of life in elderly patients. Instead, Operative treatment for CPHFs led to higher incidence of postoperative complications.","author":[{"dropping-particle":"","family":"Xie","given":"Lin","non-dropping-particle":"","parse-names":false,"suffix":""},{"dropping-particle":"","family":"Ding","given":"Fan","non-dropping-particle":"","parse-names":false,"suffix":""},{"dropping-particle":"","family":"Zhao","given":"Zhigang","non-dropping-particle":"","parse-names":false,"suffix":""},{"dropping-particle":"","family":"Chen","given":"Yan","non-dropping-particle":"","parse-names":false,"suffix":""},{"dropping-particle":"","family":"Xing","given":"Danmou","non-dropping-particle":"","parse-names":false,"suffix":""}],"container-title":"SpringerPlus","id":"ITEM-12","issue":"1","issued":{"date-parts":[["2015"]]},"page":"1-9","publisher":"Springer International Publishing","title":"Operative versus non-operative treatment in complex proximal humeral fractures: a meta-analysis of randomized controlled trials","type":"article-journal","volume":"4"}},{"id":"gOz15xnc/HFPUmKTJ","uris":["http://www.mendeley.com/documents/?uuid=ce3cf78a-a890-49cb-886f-46cd5135a9f0"],"uri":["http://www.mendeley.com/documents/?uuid=ce3cf78a-a890-49cb-886f-46cd5135a9f0"],"itemData":{"DOI":"10.1016/j.jse.2018.03.009","ISSN":"15326500","abstract":"Background: There is no consensus on the choice of treatment for displaced proximal humeral fractures in older patients (aged &gt; 65 years). The aims of this systematic review and meta-analysis were (1) to compare operative with nonoperative management of displaced proximal humeral fractures and (2) to compare effect estimates obtained from randomized controlled trials (RCTs) and observational studies. Methods: The databases of MEDLINE, Embase, CENTRAL (Cochrane Central Register of Controlled Trials), and CINAHL (Cumulative Index to Nursing and Allied Health Literature) were searched on September 5, 2017, for studies comparing operative versus nonoperative treatment of proximal humeral fractures; both RCTs and observational studies were included. The criteria of the Methodological Index for Non-Randomized Studies, a validated instrument for methodologic quality assessment, were used to assess study quality. The primary outcome measure was physical function as measured by the absolute Constant-Murley score after operative or nonoperative treatment. Secondary outcome measures were major reinterventions, nonunion, and avascular necrosis. Results: We included 22 studies, comprising 7 RCTs and 15 observational studies, resulting in 1743 patients in total: 910 treated operatively and 833 nonoperatively. The average age was 68.3 years, and 75% of patients were women. There was no difference in functional outcome between operative and nonoperative treatment, with a mean difference of –0.87 (95% confidence interval, –5.13 to 3.38; P =.69; I2 = 69%). Major reinterventions occurred more often in the operative group. Pooled effects of RCTs were similar to pooled effects of observational studies for all outcome measures. Conclusions: We recommend nonoperative treatment for the average elderly patient (aged &gt; 65 years) with a displaced proximal humeral fracture. Pooled effects of observational studies were similar to those of RCTs, and including observational studies led to more generalizable conclusions.","author":[{"dropping-particle":"","family":"Beks","given":"Reinier B.","non-dropping-particle":"","parse-names":false,"suffix":""},{"dropping-particle":"","family":"Ochen","given":"Yassine","non-dropping-particle":"","parse-names":false,"suffix":""},{"dropping-particle":"","family":"Frima","given":"Herman","non-dropping-particle":"","parse-names":false,"suffix":""},{"dropping-particle":"","family":"Smeeing","given":"Diederik P.J.","non-dropping-particle":"","parse-names":false,"suffix":""},{"dropping-particle":"","family":"Meijden","given":"Olivier","non-dropping-particle":"van der","parse-names":false,"suffix":""},{"dropping-particle":"","family":"Timmers","given":"Tim K.","non-dropping-particle":"","parse-names":false,"suffix":""},{"dropping-particle":"","family":"Velde","given":"Detlef","non-dropping-particle":"van der","parse-names":false,"suffix":""},{"dropping-particle":"","family":"Heijl","given":"Mark","non-dropping-particle":"van","parse-names":false,"suffix":""},{"dropping-particle":"","family":"Leenen","given":"Luke P.H.","non-dropping-particle":"","parse-names":false,"suffix":""},{"dropping-particle":"","family":"Groenwold","given":"Rolf H.H.","non-dropping-particle":"","parse-names":false,"suffix":""},{"dropping-particle":"","family":"Houwert","given":"R. Marijn","non-dropping-particle":"","parse-names":false,"suffix":""}],"container-title":"Journal of Shoulder and Elbow Surgery","id":"ITEM-13","issue":"8","issued":{"date-parts":[["2018"]]},"page":"1526-1534","publisher":"Elsevier Inc.","title":"Operative versus nonoperative treatment of proximal humeral fractures: a systematic review, meta-analysis, and comparison of observational studies and randomized controlled trials","type":"article-journal","volume":"27"}}],"schema":"https://github.com/citation-style-language/schema/raw/master/csl-citation.json"}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szCs w:val="24"/>
        </w:rPr>
        <w:t>[1,3,4,7–11,14,19,20,22,26]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Some of these overlapping meta-analyses report conflicting results and conclusions thereby potentially leading us further away from reaching a consensus on the optimal treatment </w:t>
      </w:r>
      <w:r>
        <w:fldChar w:fldCharType="begin"/>
      </w:r>
      <w:r>
        <w:rPr>
          <w:szCs w:val="24"/>
          <w:rFonts w:eastAsia="Times New Roman" w:cs="Calibri"/>
          <w:color w:val="000000"/>
        </w:rPr>
        <w:instrText>ADDIN ZOTERO_ITEM CSL_CITATION {"citationID":"d62PfAwB","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These conflicting results could be an effect of different methodological choices. Methodological choices regarding the definition of outcomes have been shown, due to the multiplicity of reported outcomes in trial reports, to influence the effect estimates of meta-analyses </w:t>
      </w:r>
      <w:r>
        <w:fldChar w:fldCharType="begin"/>
      </w:r>
      <w:r>
        <w:rPr>
          <w:szCs w:val="24"/>
          <w:rFonts w:eastAsia="Times New Roman" w:cs="Calibri"/>
          <w:color w:val="000000"/>
        </w:rPr>
        <w:instrText>ADDIN ZOTERO_ITEM CSL_CITATION {"citationID":"MPbEPhPe","properties":{"formattedCitation":"[23,24]","plainCitation":"[23,24]","noteIndex":0},"citationItems":[{"id":1529,"uris":["http://zotero.org/users/6144552/items/MKU4X8B4"],"uri":["http://zotero.org/users/6144552/items/MKU4X8B4"],"itemData":{"id":1529,"type":"article-journal","abstract":"Objective To study the inter-observer variation related to extraction of continuous and numerical rating scale data from trial reports for use in meta-analyses.\nDesign Observer agreement study.\nData sources A random sample of 10 Cochrane reviews that presented a result as a standardised mean difference (SMD), the protocols for the reviews and the trial reports (n=45) were retrieved.\nData extraction Five experienced methodologists and five PhD students independently extracted data from the trial reports for calculation of the first SMD result in each review. The observers did not have access to the reviews but to the protocols, where the relevant outcome was highlighted. The agreement was analysed at both trial and meta-analysis level, pairing the observers in all possible ways (45 pairs, yielding 2025 pairs of trials and 450 pairs of meta-analyses). Agreement was defined as SMDs that differed less than 0.1 in their point estimates or confidence intervals.\nResults The agreement was 53% at trial level and 31% at meta-analysis level. Including all pairs, the median disagreement was SMD=0.22 (interquartile range 0.07-0.61). The experts agreed somewhat more than the PhD students at trial level (61% v 46%), but not at meta-analysis level. Important reasons for disagreement were differences in selection of time points, scales, control groups, and type of calculations; whether to include a trial in the meta-analysis; and data extraction errors made by the observers. In 14 out of the 100 SMDs calculated at the meta-analysis level, individual observers reached different conclusions than the originally published review.\nConclusions Disagreements were common and often larger than the effect of commonly used treatments. Meta-analyses using SMDs are prone to observer variation and should be interpreted with caution. The reliability of meta-analyses might be improved by having more detailed review protocols, more than one observer, and statistical expertise.","container-title":"BMJ","DOI":"10.1136/bmj.b3128","ISSN":"0959-8138, 1468-5833","journalAbbreviation":"BMJ","language":"en","note":"publisher: British Medical Journal Publishing Group\nsection: Research\nPMID: 19679616","source":"www.bmj.com","title":"Disagreements in meta-analyses using outcomes measured on continuous or rating scales: observer agreement study","title-short":"Disagreements in meta-analyses using outcomes measured on continuous or rating scales","URL":"https://www.bmj.com/content/339/bmj.b3128","volume":"339","author":[{"family":"Tendal","given":"Britta"},{"family":"Higgins","given":"Julian P. T."},{"family":"Jüni","given":"Peter"},{"family":"Hróbjartsson","given":"Asbjørn"},{"family":"Trelle","given":"Sven"},{"family":"Nüesch","given":"Eveline"},{"family":"Wandel","given":"Simon"},{"family":"Jørgensen","given":"Anders W."},{"family":"Gesser","given":"Katarina"},{"family":"Ilsøe-Kristensen","given":"Søren"},{"family":"Gøtzsche","given":"Peter C."}],"accessed":{"date-parts":[["2020",11,13]]},"issued":{"date-parts":[["2009",8,13]]}}},{"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[23,24]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This, in combination with, other methodological choices regarding for example inclusion criteria, subgroup analyses, and methods of analysis available to authors, can potentially lead to a wide spectrum of effect estimates.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investigate the cumulative effect of different methodological choices on effect estimates is by conducting a vibration of effects (VoE) analysis </w:t>
      </w:r>
      <w:r>
        <w:rPr/>
        <w:t xml:space="preserve"> </w:t>
      </w:r>
      <w:r>
        <w:fldChar w:fldCharType="begin"/>
      </w:r>
      <w:r>
        <w:rPr/>
        <w:instrText>ADDIN ZOTERO_ITEM CSL_CITATION {"citationID":"GRkfZW1x","properties":{"formattedCitation":"[6,18,21]","plainCitation":"[6,18,21]","noteIndex":0},"citationItems":[{"id":1385,"uris":["http://zotero.org/users/6144552/items/P7KYCR86"],"uri":["http://zotero.org/users/6144552/items/P7KYCR86"],"itemData":{"id":1385,"type":"article-journal","abstract":"Newly discovered true (non-null) associations often have inflated effects compared with the true effect sizes. I discuss here the main reasons for this inflation. First, theoretical considerations prove that when true discovery is claimed based on crossing a threshold of statistical significance and the discovery study is underpowered, the observed effects are expected to be inflated. This has been demonstrated in various fields ranging from early stopped clinical trials to genome-wide associations. Second, flexible analyses coupled with selective reporting may inflate the published discovered effects. The vibration ratio (the ratio of the largest vs. smallest effect on the same association approached with different analytic choices) can be very large. Third, effects may be inflated at the stage of interpretation due to diverse conflicts of interest. Discovered effects are not always inflated, and under some circumstances may be deflated-for example, in the setting of late discovery of associations in sequentially accumulated overpowered evidence, in some types of misclassification from measurement error, and in conflicts causing reverse biases. Finally, I discuss potential approaches to this problem. These include being cautious about newly discovered effect sizes, considering some rational down-adjustment, using analytical methods that correct for the anticipated inflation, ignoring the magnitude of the effect (if not necessary), conducting large studies in the discovery phase, using strict protocols for analyses, pursuing complete and transparent reporting of all results, placing emphasis on replication, and being fair with interpretation of results.","container-title":"Epidemiology (Cambridge, Mass.)","DOI":"10.1097/EDE.0b013e31818131e7","ISSN":"1531-5487","issue":"5","journalAbbreviation":"Epidemiology","language":"eng","note":"PMID: 18633328","page":"640-648","source":"PubMed","title":"Why most discovered true associations are inflated","volume":"19","author":[{"family":"Ioannidis","given":"John P. A."}],"issued":{"date-parts":[["2008",9]]}}},{"id":1381,"uris":["http://zotero.org/users/6144552/items/33V75VF9"],"uri":["http://zotero.org/users/6144552/items/33V75VF9"],"itemData":{"id":1381,"type":"article-journal","abstract":"Objectives\nModel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A."}],"issued":{"date-parts":[["2015",9,1]]}}},{"id":1387,"uris":["http://zotero.org/users/6144552/items/RBGTJR5U"],"uri":["http://zotero.org/users/6144552/items/RBGTJR5U"],"itemData":{"id":1387,"type":"article-journal","abstract":"Objectives\nInstead of evaluating one risk factor at a time, we illustrate the utility of “field-wide meta-analyses” in considering all available data on all putative risk factors of a disease simultaneously.\nStudy Design and Setting\nWe identified studies on putative risk factors of pterygium (surfer's eye) in PubMed, EMBASE, and Web of Science. We mapped which factors were considered, reported, and adjusted for in each study. For each putative risk factor, four meta-analyses were done using univariate only, multivariate only, preferentially univariate, or preferentially multivariate estimates.\nResults\nA total of 2052 records were screened to identify 60 eligible studies reporting on 65 putative risk factors. Only 4 of 60 studies reported both multivariate and univariate regression analyses. None of the 32 studies using multivariate analysis adjusted for the same set of risk factors. Effect sizes from different types of regression analyses led to significantly different summary effect sizes (P-value &lt; 0.001). Observed heterogeneity was very high for both multivariate (median I2, 76.1%) and univariate (median I2, 85.8%) estimates. No single study investigated all 11 risk factors that were statistically significant in at least one of our meta-analyses.\nConclusion\nField-wide meta-analyses can map availability of risk factors and trends in modeling, adjustments and reporting, as well as the impact of differences in model specification.","container-title":"Journal of Clinical Epidemiology","DOI":"10.1016/j.jclinepi.2015.09.004","ISSN":"0895-4356","journalAbbreviation":"Journal of Clinical Epidemiology","language":"en","page":"58-67","source":"ScienceDirect","title":"Field-wide meta-analyses of observational associations can map selective availability of risk factors and the impact of model specifications","volume":"71","author":[{"family":"Serghiou","given":"Stylianos"},{"family":"Patel","given":"Chirag J."},{"family":"Tan","given":"Yan Yu"},{"family":"Koay","given":"Peter"},{"family":"Ioannidis","given":"John P. A."}],"issued":{"date-parts":[["2016",3,1]]}}}],"schema":"https://github.com/citation-style-language/schema/raw/master/csl-citation.json"}</w:instrText>
      </w:r>
      <w:r>
        <w:rPr/>
      </w:r>
      <w:r>
        <w:rPr/>
        <w:fldChar w:fldCharType="separate"/>
      </w:r>
      <w:r>
        <w:rPr/>
      </w:r>
      <w:r>
        <w:rPr>
          <w:rFonts w:cs="Calibri"/>
        </w:rPr>
        <w:t>[6,18,21]</w:t>
      </w:r>
      <w:r>
        <w:rPr/>
      </w:r>
      <w:r>
        <w:rPr/>
        <w:fldChar w:fldCharType="end"/>
      </w:r>
      <w:r>
        <w:rPr>
          <w:rFonts w:eastAsia="Times New Roman" w:cs="Calibri"/>
          <w:color w:val="000000"/>
          <w:szCs w:val="24"/>
        </w:rPr>
        <w:t xml:space="preserve">. A VoE analysis is performed by simulating methodologically distinct modeling scenarios and analyzing the variability of the resulting effect estimates.  By simulating a set of pre-defined methodological choices VoE allows for a simulation that more closely resembles realistic modeling scenarios compared to ‘all subsets’ and Monte Carlo simulations. </w:t>
      </w:r>
    </w:p>
    <w:p>
      <w:pPr>
        <w:pStyle w:val="Normal"/>
        <w:spacing w:lineRule="exact" w:line="280"/>
        <w:jc w:val="both"/>
        <w:rPr/>
      </w:pPr>
      <w:r>
        <w:rPr>
          <w:rFonts w:eastAsia="Times New Roman" w:cs="Calibri"/>
          <w:color w:val="000000"/>
          <w:szCs w:val="24"/>
        </w:rPr>
        <w:t xml:space="preserve">VoE has primarily been described in an epidemiological context with regards to the selection of covariates, but a recent study has investigated the VoE in meta-analyses used in the comparison of </w:t>
      </w:r>
      <w:r>
        <w:rPr/>
        <w:t>two drugs used in the treatment of alcohol use disorders</w:t>
      </w:r>
      <w:r>
        <w:rPr>
          <w:rFonts w:eastAsia="Times New Roman" w:cs="Calibri"/>
          <w:color w:val="000000"/>
          <w:szCs w:val="24"/>
        </w:rPr>
        <w:t xml:space="preserve"> </w:t>
      </w:r>
      <w:r>
        <w:fldChar w:fldCharType="begin"/>
      </w:r>
      <w:r>
        <w:rPr>
          <w:szCs w:val="24"/>
          <w:rFonts w:eastAsia="Times New Roman" w:cs="Calibri"/>
          <w:color w:val="000000"/>
        </w:rPr>
        <w:instrText>ADDIN ZOTERO_ITEM CSL_CITATION {"citationID":"oXDAYLHe","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[17]</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In the study, </w:t>
      </w:r>
      <w:r>
        <w:rPr/>
        <w:t xml:space="preserve">the authors developed an algorithm that simulated a large number of unique combinations of methodological choices and for each combination conducted a meta-analysis. The authors reported that varying combinations of methodological choices could result in effect estimates favoring opposite interventions </w:t>
      </w:r>
      <w:r>
        <w:fldChar w:fldCharType="begin"/>
      </w:r>
      <w:r>
        <w:rPr/>
        <w:instrText>ADDIN ZOTERO_ITEM CSL_CITATION {"citationID":"jJlURzKG","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
      <w:r>
        <w:rPr/>
        <w:fldChar w:fldCharType="separate"/>
      </w:r>
      <w:r>
        <w:rPr/>
      </w:r>
      <w:r>
        <w:rPr>
          <w:rFonts w:cs="Calibri"/>
        </w:rPr>
        <w:t>[17]</w:t>
      </w:r>
      <w:r>
        <w:rPr/>
      </w:r>
      <w:r>
        <w:rPr/>
        <w:fldChar w:fldCharType="end"/>
      </w:r>
      <w:r>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reduce the potential VoE of a meta-analysis is with a pre-defined protocol. However, it has previously been reported that such protocols often lack the required specificity with regards to the definition of outcomes thereby potentially resulting in selective reporting bias </w:t>
      </w:r>
      <w:r>
        <w:fldChar w:fldCharType="begin"/>
      </w:r>
      <w:r>
        <w:rPr>
          <w:szCs w:val="24"/>
          <w:rFonts w:eastAsia="Times New Roman" w:cs="Calibri"/>
          <w:color w:val="000000"/>
        </w:rPr>
        <w:instrText>ADDIN ZOTERO_ITEM CSL_CITATION {"citationID":"T9XmVdnB","properties":{"formattedCitation":"[12,13,15,24]","plainCitation":"[12,13,15,24]","noteIndex":0},"citationItems":[{"id":1494,"uris":["http://zotero.org/users/6144552/items/7UZYMVDG"],"uri":["http://zotero.org/users/6144552/items/7UZYMVDG"],"itemData":{"id":1494,"type":"article-journal","abstract":"Objective\nTo identify variations in outcomes and results across reports of randomized clinical trials (RCTs).\nStudy Design and Setting\nEligible RCTs examined gabapentin for neuropathic pain and quetiapine for bipolar depression, reported in public (e.g., journal articles) and nonpublic (e.g., clinical study reports) sources by 2015. We prespecified outcome domains. From each source, we collected “outcomes” (i.e., domain, measure, metric, method of aggregation, and time point); “treatment effect” (i.e., outcome plus the methods of analysis [e.g., how missing data were handled]); and results (i.e., numerical contrasts of treatment and comparison groups). We assessed whether results included sufficient information for meta-analysis.\nResults\nWe found 21 gabapentin (68 public, 6 nonpublic reports) and seven quetiapine RCTs (46 public, 4 nonpublic reports). For four (gabapentin) and seven (quetiapine) prespecified outcome domains, RCTs reported 214 and 81 outcomes by varying four elements. RCTs assessed 605 and 188 treatment effects by varying the analysis of those outcomes. RCTs reported 1,230 and 661 meta-analyzable results, 305 (25%) and 109 (16%) in public reports.\nConclusion\nRCTs included hundreds of outcomes and results; a small proportion were in public reports. Trialists and meta-analysts may cherry-pick what they report from multiple sources of RCT information.","container-title":"Journal of Clinical Epidemiology","DOI":"10.1016/j.jclinepi.2017.05.007","ISSN":"0895-4356","journalAbbreviation":"Journal of Clinical Epidemiology","language":"en","page":"39-50","source":"ScienceDirect","title":"Multiple outcomes and analyses in clinical trials create challenges for interpretation and research synthesis","volume":"86","author":[{"family":"Mayo-Wilson","given":"Evan"},{"family":"Fusco","given":"Nicole"},{"family":"Li","given":"Tianjing"},{"family":"Hong","given":"Hwanhee"},{"family":"Canner","given":"Joseph K."},{"family":"Dickersin","given":"Kay"}],"issued":{"date-parts":[["2017",6,1]]}}},{"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id":1512,"uris":["http://zotero.org/users/6144552/items/87QIP7DZ"],"uri":["http://zotero.org/users/6144552/items/87QIP7DZ"],"itemData":{"id":1512,"type":"article-journal","abstract":"Objectives\nTo investigate how often systematic reviewers encounter multiple trial effect estimates that are available for inclusion in a particular meta-analysis (multiplicity of results) and the methods they use to select effect estimates.\nStudy Design and Setting\nWe randomly sampled Cochrane and MEDLINE-indexed non-Cochrane reviews published between January 2010 and January 2012. The first presented meta-analysis of an effect measure for a continuous outcome in each review was identified, and methods to select results to include in this meta-analysis were extracted from review protocols and reviews. All effect estimates that were available for inclusion in the meta-analyses were extracted from trial reports.\nResults\nWe examined 44 reviews. Multiplicity of results was common, occurring in 49% of trial reports (n = 210). Prespecification of decision rules to select results from multiple measurement scales and intervention/control groups (in multi-arm trials) was uncommon (19% and 14% of 21 review protocols, respectively). Overall, 70% of reviews included at least one randomized controlled trial with multiplicity of results, but this occurred less frequently in reviews with a protocol (risk difference, −25%; 95% confidence interval: −52%, 1%).\nConclusion\nSystematic reviewers are likely to encounter multiplicity of results in the included trials. We recommend that systematic reviewers always consider predefining methods to select results to include in meta-analyses. Methods focusing on selection of measurement scales and how to deal with multi-arm trials would be most valuable.","container-title":"Journal of Clinical Epidemiology","DOI":"10.1016/j.jclinepi.2015.02.009","ISSN":"0895-4356","issue":"11","journalAbbreviation":"Journal of Clinical Epidemiology","language":"en","page":"1282-1291","source":"ScienceDirect","title":"Methods to select results to include in meta-analyses deserve more consideration in systematic reviews","volume":"68","author":[{"family":"Page","given":"Matthew J."},{"family":"McKenzie","given":"Joanne E."},{"family":"Chau","given":"Marisa"},{"family":"Green","given":"Sally E."},{"family":"Forbes","given":"Andrew"}],"issued":{"date-parts":[["2015",11,1]]}}},{"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[12,13,15,24]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In addition to defining outcomes of interest, the authors must also specify other methodological choices such as search strategy, language restrictions, subgroup analyses, and choice of meta-analysis model. This can be a challenging task as the authors do not know the nature of the available data beforehand.  Therefore, we hypothesize that, despite a pre-defined protocol, a considerable VoE remains, potentially leading to selective reporting bias</w:t>
      </w:r>
      <w:r>
        <w:fldChar w:fldCharType="begin"/>
      </w:r>
      <w:r>
        <w:rPr>
          <w:szCs w:val="24"/>
          <w:rFonts w:eastAsia="Times New Roman" w:cs="Calibri"/>
          <w:color w:val="000000"/>
        </w:rPr>
        <w:instrText>ADDIN ZOTERO_ITEM CSL_CITATION {"citationID":"1pcXiyhj","properties":{"formattedCitation":"[16]","plainCitation":"[16]","noteIndex":0},"citationItems":[{"id":820,"uris":["http://zotero.org/users/6144552/items/YGXBXJ7R"],"uri":["http://zotero.org/users/6144552/items/YGXBXJ7R"],"itemData":{"id":820,"type":"article-journal","container-title":"Cochrane Database of Systematic Reviews","DOI":"10.1002/14651858.MR000035.pub2","ISSN":"1465-1858","issue":"10","language":"en","note":"publisher: John Wiley &amp; Sons, Ltd","source":"www.cochranelibrary.com","title":"Bias due to selective inclusion and reporting of outcomes and analyses in systematic reviews of randomised trials of healthcare interventions","URL":"https://www.cochranelibrary.com/cdsr/doi/10.1002/14651858.MR000035.pub2/full","author":[{"family":"Page","given":"Matthew J."},{"family":"McKenzie","given":"Joanne E."},{"family":"Kirkham","given":"Jamie"},{"family":"Dwan","given":"Kerry"},{"family":"Kramer","given":"Sharon"},{"family":"Green","given":"Sally"},{"family":"Forbes","given":"Andrew"}],"accessed":{"date-parts":[["2020",5,13]]},"issued":{"date-parts":[["2014"]]}}}],"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pPr>
      <w:r>
        <w:rPr/>
        <w:t xml:space="preserve">With this study, using the comparison of surgical and non-surgical interventions in the primary treatment of PHFs as a case study, we aim to: </w:t>
      </w:r>
    </w:p>
    <w:p>
      <w:pPr>
        <w:pStyle w:val="ListParagraph"/>
        <w:numPr>
          <w:ilvl w:val="0"/>
          <w:numId w:val="12"/>
        </w:numPr>
        <w:spacing w:lineRule="exact" w:line="280"/>
        <w:jc w:val="both"/>
        <w:rPr/>
      </w:pPr>
      <w:r>
        <w:rPr/>
        <w:t xml:space="preserve">Investigate the overall VoE for meta-analyses comparing surgical and non-surgical interventions in the primary treatment of PHFs, thereby allowing us to investigate the methodological scenarios leading to conflicting results. </w:t>
      </w:r>
    </w:p>
    <w:p>
      <w:pPr>
        <w:pStyle w:val="ListParagraph"/>
        <w:numPr>
          <w:ilvl w:val="0"/>
          <w:numId w:val="12"/>
        </w:numPr>
        <w:spacing w:lineRule="exact" w:line="280"/>
        <w:jc w:val="both"/>
        <w:rPr/>
      </w:pPr>
      <w:r>
        <w:rPr/>
        <w:t>Investigate the residual VoE of pre-defined protocols for published meta-analyses comparing surgical and non-surgical interventions in the primary treatment of PHFs.</w:t>
      </w:r>
    </w:p>
    <w:p>
      <w:pPr>
        <w:pStyle w:val="Heading2"/>
        <w:spacing w:lineRule="exact" w:line="280"/>
        <w:jc w:val="both"/>
        <w:rPr/>
      </w:pPr>
      <w:r>
        <w:rPr/>
        <w:t>Methods</w:t>
      </w:r>
    </w:p>
    <w:p>
      <w:pPr>
        <w:pStyle w:val="Heading3"/>
        <w:spacing w:lineRule="exact" w:line="280"/>
        <w:jc w:val="both"/>
        <w:rPr/>
      </w:pPr>
      <w:r>
        <w:rPr/>
        <w:t>Information sources</w:t>
      </w:r>
    </w:p>
    <w:p>
      <w:pPr>
        <w:pStyle w:val="Normal"/>
        <w:spacing w:lineRule="exact" w:line="280"/>
        <w:jc w:val="both"/>
        <w:rPr/>
      </w:pPr>
      <w:r>
        <w:rPr/>
        <w:t xml:space="preserve">We will use published meta-analyses comparing surgical and non-surgical interventions in the primary treatment of PHFs to identify primary trials for data extraction. </w:t>
      </w:r>
    </w:p>
    <w:p>
      <w:pPr>
        <w:pStyle w:val="Heading3"/>
        <w:rPr/>
      </w:pPr>
      <w:r>
        <w:rPr/>
        <w:t>Eligibility criteria</w:t>
      </w:r>
    </w:p>
    <w:p>
      <w:pPr>
        <w:pStyle w:val="Normal"/>
        <w:spacing w:lineRule="exact" w:line="280"/>
        <w:jc w:val="both"/>
        <w:rPr/>
      </w:pPr>
      <w:r>
        <w:rPr/>
        <w:t xml:space="preserve">All published meta-analyses, including network meta-analyses, comparing any surgical intervention with non-surgical intervention in the primary treatment of proximal humerus fractures will be considered eligible as an information source. No restrictions on language or publication date will be set. </w:t>
      </w:r>
    </w:p>
    <w:p>
      <w:pPr>
        <w:pStyle w:val="Heading3"/>
        <w:rPr/>
      </w:pPr>
      <w:r>
        <w:rPr/>
        <w:t>Search strategy</w:t>
      </w:r>
    </w:p>
    <w:p>
      <w:pPr>
        <w:pStyle w:val="Normal"/>
        <w:spacing w:lineRule="exact" w:line="280"/>
        <w:rPr/>
      </w:pPr>
      <w:r>
        <w:rPr/>
        <w:t xml:space="preserve">The bibliographic databases PubMed, EMBASE, The Cochrane Library, and Web of Science will be searched to identify any eligible meta-analyses. The search strategy will be developed for PubMed and will be adapted for the other bibliographic databases. </w:t>
      </w:r>
    </w:p>
    <w:p>
      <w:pPr>
        <w:pStyle w:val="Heading4"/>
        <w:rPr/>
      </w:pPr>
      <w:r>
        <w:rPr/>
        <w:t>Selection process</w:t>
      </w:r>
    </w:p>
    <w:p>
      <w:pPr>
        <w:pStyle w:val="Normal"/>
        <w:spacing w:lineRule="exact" w:line="280"/>
        <w:rPr/>
      </w:pPr>
      <w:r>
        <w:rPr/>
        <w:t>The screening and selection process will be performed independently by the first and second authors. Any conflicts will be solved by consensus.</w:t>
      </w:r>
    </w:p>
    <w:p>
      <w:pPr>
        <w:pStyle w:val="Heading5"/>
        <w:rPr/>
      </w:pPr>
      <w:r>
        <w:rPr/>
        <w:t>Meta-analyses</w:t>
      </w:r>
    </w:p>
    <w:p>
      <w:pPr>
        <w:pStyle w:val="Normal"/>
        <w:rPr>
          <w:i/>
          <w:i/>
          <w:iCs/>
        </w:rPr>
      </w:pPr>
      <w:r>
        <w:rPr/>
        <w:t xml:space="preserve">The abstracts of the search results will be screened for potentially eligible meta-analyses. The full texts of all potentially eligible meta-analyses will then be obtained and screened for final inclusion. </w:t>
      </w:r>
    </w:p>
    <w:p>
      <w:pPr>
        <w:pStyle w:val="Heading5"/>
        <w:rPr/>
      </w:pPr>
      <w:r>
        <w:rPr/>
        <w:t>Trial reports</w:t>
      </w:r>
    </w:p>
    <w:p>
      <w:pPr>
        <w:pStyle w:val="Normal"/>
        <w:spacing w:lineRule="exact" w:line="280"/>
        <w:jc w:val="both"/>
        <w:rPr/>
      </w:pPr>
      <w:r>
        <w:rPr/>
        <w:t xml:space="preserve">We will include all primary trials from which any of the identified meta-analyses have used outcome data in one of their analyses. Both randomized controlled trials (RCTs) and non-randomized studies of intervention (NRSI) will be included. NRSI will be defined using the definition from the Cochrane Handbook for Systematic Reviews of Interventions: “any quantitative study estimating the effectiveness of an intervention (harm or benefit) that does not use randomization to allocate units (individuals or clusters of individuals) to intervention groups.” </w:t>
      </w:r>
      <w:r>
        <w:fldChar w:fldCharType="begin"/>
      </w:r>
      <w:r>
        <w:rPr/>
        <w:instrText>ADDIN ZOTERO_ITEM CSL_CITATION {"citationID":"Y35y8ZFK","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We will only include comparative NRSI. Outcomes adjusted for confounding will be used in preference to unadjusted outcomes.</w:t>
      </w:r>
    </w:p>
    <w:p>
      <w:pPr>
        <w:pStyle w:val="Heading3"/>
        <w:spacing w:lineRule="exact" w:line="280"/>
        <w:jc w:val="both"/>
        <w:rPr/>
      </w:pPr>
      <w:r>
        <w:rPr/>
        <w:t>Data items</w:t>
      </w:r>
    </w:p>
    <w:p>
      <w:pPr>
        <w:pStyle w:val="Normal"/>
        <w:rPr/>
      </w:pPr>
      <w:r>
        <w:rPr/>
        <w:t>Data will be extracted independently by the first and second authors using a piloted extraction spread-sheet. Conflicts will be resolved by consensus.</w:t>
      </w:r>
    </w:p>
    <w:p>
      <w:pPr>
        <w:pStyle w:val="Normal"/>
        <w:spacing w:lineRule="exact" w:line="280"/>
        <w:jc w:val="both"/>
        <w:rPr/>
      </w:pPr>
      <w:r>
        <w:rPr/>
        <w:t>The following data items will be extracted from the included primary trial reports:</w:t>
      </w:r>
    </w:p>
    <w:p>
      <w:pPr>
        <w:pStyle w:val="ListParagraph"/>
        <w:numPr>
          <w:ilvl w:val="0"/>
          <w:numId w:val="1"/>
        </w:numPr>
        <w:spacing w:lineRule="exact" w:line="280"/>
        <w:jc w:val="both"/>
        <w:rPr/>
      </w:pPr>
      <w:r>
        <w:rPr/>
        <w:t>Publication language</w:t>
      </w:r>
    </w:p>
    <w:p>
      <w:pPr>
        <w:pStyle w:val="ListParagraph"/>
        <w:numPr>
          <w:ilvl w:val="0"/>
          <w:numId w:val="1"/>
        </w:numPr>
        <w:spacing w:lineRule="exact" w:line="280"/>
        <w:jc w:val="both"/>
        <w:rPr/>
      </w:pPr>
      <w:r>
        <w:rPr/>
        <w:t>Publication status (published, unpublished)</w:t>
      </w:r>
    </w:p>
    <w:p>
      <w:pPr>
        <w:pStyle w:val="ListParagraph"/>
        <w:numPr>
          <w:ilvl w:val="0"/>
          <w:numId w:val="1"/>
        </w:numPr>
        <w:spacing w:lineRule="exact" w:line="280"/>
        <w:jc w:val="both"/>
        <w:rPr/>
      </w:pPr>
      <w:r>
        <w:rPr/>
        <w:t>Publication date</w:t>
      </w:r>
    </w:p>
    <w:p>
      <w:pPr>
        <w:pStyle w:val="ListParagraph"/>
        <w:numPr>
          <w:ilvl w:val="0"/>
          <w:numId w:val="1"/>
        </w:numPr>
        <w:spacing w:lineRule="exact" w:line="280"/>
        <w:jc w:val="both"/>
        <w:rPr/>
      </w:pPr>
      <w:r>
        <w:rPr/>
        <w:t>The databases in which the report was retrieved</w:t>
      </w:r>
    </w:p>
    <w:p>
      <w:pPr>
        <w:pStyle w:val="ListParagraph"/>
        <w:numPr>
          <w:ilvl w:val="0"/>
          <w:numId w:val="1"/>
        </w:numPr>
        <w:spacing w:lineRule="exact" w:line="280"/>
        <w:jc w:val="both"/>
        <w:rPr/>
      </w:pPr>
      <w:r>
        <w:rPr/>
        <w:t>Number of participants</w:t>
      </w:r>
    </w:p>
    <w:p>
      <w:pPr>
        <w:pStyle w:val="ListParagraph"/>
        <w:numPr>
          <w:ilvl w:val="0"/>
          <w:numId w:val="1"/>
        </w:numPr>
        <w:spacing w:lineRule="exact" w:line="280"/>
        <w:jc w:val="both"/>
        <w:rPr/>
      </w:pPr>
      <w:r>
        <w:rPr/>
        <w:t>The average age of participants</w:t>
      </w:r>
    </w:p>
    <w:p>
      <w:pPr>
        <w:pStyle w:val="ListParagraph"/>
        <w:numPr>
          <w:ilvl w:val="0"/>
          <w:numId w:val="1"/>
        </w:numPr>
        <w:spacing w:lineRule="exact" w:line="280"/>
        <w:jc w:val="both"/>
        <w:rPr/>
      </w:pPr>
      <w:r>
        <w:rPr/>
        <w:t xml:space="preserve">Neer fracture classifications </w:t>
      </w:r>
    </w:p>
    <w:p>
      <w:pPr>
        <w:pStyle w:val="ListParagraph"/>
        <w:numPr>
          <w:ilvl w:val="0"/>
          <w:numId w:val="1"/>
        </w:numPr>
        <w:spacing w:lineRule="exact" w:line="280"/>
        <w:jc w:val="both"/>
        <w:rPr/>
      </w:pPr>
      <w:r>
        <w:rPr/>
        <w:t>Intervention</w:t>
      </w:r>
    </w:p>
    <w:p>
      <w:pPr>
        <w:pStyle w:val="ListParagraph"/>
        <w:numPr>
          <w:ilvl w:val="0"/>
          <w:numId w:val="1"/>
        </w:numPr>
        <w:spacing w:lineRule="exact" w:line="280"/>
        <w:jc w:val="both"/>
        <w:rPr/>
      </w:pPr>
      <w:r>
        <w:rPr/>
        <w:t>Time of intervention</w:t>
      </w:r>
    </w:p>
    <w:p>
      <w:pPr>
        <w:pStyle w:val="ListParagraph"/>
        <w:numPr>
          <w:ilvl w:val="0"/>
          <w:numId w:val="1"/>
        </w:numPr>
        <w:spacing w:lineRule="exact" w:line="280"/>
        <w:jc w:val="both"/>
        <w:rPr/>
      </w:pPr>
      <w:r>
        <w:rPr/>
        <w:t>Time to follow-up for all reported outcome measures</w:t>
      </w:r>
    </w:p>
    <w:p>
      <w:pPr>
        <w:pStyle w:val="ListParagraph"/>
        <w:numPr>
          <w:ilvl w:val="0"/>
          <w:numId w:val="1"/>
        </w:numPr>
        <w:spacing w:lineRule="exact" w:line="280"/>
        <w:jc w:val="both"/>
        <w:rPr/>
      </w:pPr>
      <w:r>
        <w:rPr/>
        <w:t>Outcome results at any reported time point for:</w:t>
      </w:r>
    </w:p>
    <w:p>
      <w:pPr>
        <w:pStyle w:val="ListParagraph"/>
        <w:numPr>
          <w:ilvl w:val="1"/>
          <w:numId w:val="1"/>
        </w:numPr>
        <w:spacing w:lineRule="exact" w:line="280"/>
        <w:jc w:val="both"/>
        <w:rPr/>
      </w:pPr>
      <w:r>
        <w:rPr/>
        <w:t>Any validated patient-reported outcome measure (PROM) of upper limb function (e.g., Disabilities of the Arm, Shoulder, and Hand (DASH) and Oxford Shoulder Score (OSS))</w:t>
      </w:r>
    </w:p>
    <w:p>
      <w:pPr>
        <w:pStyle w:val="ListParagraph"/>
        <w:numPr>
          <w:ilvl w:val="1"/>
          <w:numId w:val="1"/>
        </w:numPr>
        <w:spacing w:lineRule="exact" w:line="280"/>
        <w:jc w:val="both"/>
        <w:rPr/>
      </w:pPr>
      <w:r>
        <w:rPr/>
        <w:t>Constant Shoulder score (CS)</w:t>
      </w:r>
    </w:p>
    <w:p>
      <w:pPr>
        <w:pStyle w:val="ListParagraph"/>
        <w:numPr>
          <w:ilvl w:val="1"/>
          <w:numId w:val="1"/>
        </w:numPr>
        <w:spacing w:lineRule="exact" w:line="280"/>
        <w:jc w:val="both"/>
        <w:rPr/>
      </w:pPr>
      <w:r>
        <w:rPr/>
        <w:t>Any validated health-related quality of life assessments (HRQoL)</w:t>
      </w:r>
    </w:p>
    <w:p>
      <w:pPr>
        <w:pStyle w:val="ListParagraph"/>
        <w:numPr>
          <w:ilvl w:val="1"/>
          <w:numId w:val="1"/>
        </w:numPr>
        <w:spacing w:lineRule="exact" w:line="280"/>
        <w:jc w:val="both"/>
        <w:rPr/>
      </w:pPr>
      <w:r>
        <w:rPr/>
        <w:t xml:space="preserve">Secondary surgery </w:t>
      </w:r>
    </w:p>
    <w:p>
      <w:pPr>
        <w:pStyle w:val="ListParagraph"/>
        <w:numPr>
          <w:ilvl w:val="1"/>
          <w:numId w:val="1"/>
        </w:numPr>
        <w:spacing w:lineRule="exact" w:line="280"/>
        <w:jc w:val="both"/>
        <w:rPr/>
      </w:pPr>
      <w:r>
        <w:rPr/>
        <w:t>Major complications (e.g., deep infection, nerve damage, avascular necrosis)</w:t>
      </w:r>
    </w:p>
    <w:p>
      <w:pPr>
        <w:pStyle w:val="ListParagraph"/>
        <w:numPr>
          <w:ilvl w:val="0"/>
          <w:numId w:val="1"/>
        </w:numPr>
        <w:spacing w:lineRule="exact" w:line="280"/>
        <w:jc w:val="both"/>
        <w:rPr/>
      </w:pPr>
      <w:r>
        <w:rPr/>
        <w:t>Method of outcome analysis (per-protocol, intention-to-treat)</w:t>
      </w:r>
    </w:p>
    <w:p>
      <w:pPr>
        <w:pStyle w:val="Normal"/>
        <w:spacing w:lineRule="exact" w:line="280"/>
        <w:jc w:val="both"/>
        <w:rPr/>
      </w:pPr>
      <w:r>
        <w:rPr/>
        <w:t xml:space="preserve">Despite multiple other objective outcomes related to functional outcome reported in trials comparing non-operative with operative treatment for PHFs (e.g., range of motion, strength, radiological outcomes), we have chosen to limit our outcome measures to the ones described above, due to these measures being the most widely reported in meta-analyses conducted on the subject </w:t>
      </w:r>
      <w:r>
        <w:fldChar w:fldCharType="begin"/>
      </w:r>
      <w:r>
        <w:rPr/>
        <w:instrText>ADDIN ZOTERO_ITEM CSL_CITATION {"citationID":"WKGXXStf","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
      <w:r>
        <w:rPr/>
        <w:fldChar w:fldCharType="separate"/>
      </w:r>
      <w:r>
        <w:rPr/>
      </w:r>
      <w:r>
        <w:rPr>
          <w:rFonts w:cs="Calibri"/>
        </w:rPr>
        <w:t>[2]</w:t>
      </w:r>
      <w:r>
        <w:rPr/>
      </w:r>
      <w:r>
        <w:rPr/>
        <w:fldChar w:fldCharType="end"/>
      </w:r>
      <w:r>
        <w:rPr/>
        <w:t xml:space="preserve">.    </w:t>
      </w:r>
    </w:p>
    <w:p>
      <w:pPr>
        <w:pStyle w:val="Normal"/>
        <w:spacing w:lineRule="exact" w:line="280"/>
        <w:jc w:val="both"/>
        <w:rPr/>
      </w:pPr>
      <w:r>
        <w:rPr/>
        <w:t xml:space="preserve">Data from unpublished trial reports will be extracted directly from the meta-analyses in which the trial data is reported. In case of any discrepancies between two meta-analyses reporting on the same unpublished trial report, the data will be extracted from the most recently published meta-analysis.   </w:t>
      </w:r>
    </w:p>
    <w:p>
      <w:pPr>
        <w:pStyle w:val="Normal"/>
        <w:spacing w:lineRule="exact" w:line="280"/>
        <w:jc w:val="both"/>
        <w:rPr/>
      </w:pPr>
      <w:r>
        <w:rPr/>
        <w:t xml:space="preserve">If only a median value is reported for an outcome, the mean and standard deviation will be estimated using the method described by Wan et al. </w:t>
      </w:r>
      <w:r>
        <w:fldChar w:fldCharType="begin"/>
      </w:r>
      <w:r>
        <w:rPr/>
        <w:instrText>ADDIN ZOTERO_ITEM CSL_CITATION {"citationID":"iAlfnKoF","properties":{"formattedCitation":"[25]","plainCitation":"[25]","noteIndex":0},"citationItems":[{"id":103,"uris":["http://zotero.org/users/6144552/items/7M77ZWCQ"],"uri":["http://zotero.org/users/6144552/items/7M77ZWCQ"],"itemData":{"id":103,"type":"article-journal","abstract":"In systematic reviews and meta-analysis, researchers often pool the results of the sample mean and standard deviation from a set of similar clinical trials. A number of the trials, however, reported the study using the median, the minimum and maximum values, and/or the first and third quartiles. Hence, in order to combine results, one may have to estimate the sample mean and standard deviation for such trials.","container-title":"BMC Medical Research Methodology","DOI":"10.1186/1471-2288-14-135","ISSN":"1471-2288","issue":"1","journalAbbreviation":"BMC Medical Research Methodology","page":"135","source":"BioMed Central","title":"Estimating the sample mean and standard deviation from the sample size, median, range and/or interquartile range","volume":"14","author":[{"family":"Wan","given":"Xiang"},{"family":"Wang","given":"Wenqian"},{"family":"Liu","given":"Jiming"},{"family":"Tong","given":"Tiejun"}],"issued":{"date-parts":[["2014",12,19]]}}}],"schema":"https://github.com/citation-style-language/schema/raw/master/csl-citation.json"}</w:instrText>
      </w:r>
      <w:r>
        <w:rPr/>
      </w:r>
      <w:r>
        <w:rPr/>
        <w:fldChar w:fldCharType="separate"/>
      </w:r>
      <w:r>
        <w:rPr/>
      </w:r>
      <w:r>
        <w:rPr>
          <w:rFonts w:cs="Calibri"/>
        </w:rPr>
        <w:t>[25]</w:t>
      </w:r>
      <w:r>
        <w:rPr/>
      </w:r>
      <w:r>
        <w:rPr/>
        <w:fldChar w:fldCharType="end"/>
      </w:r>
      <w:r>
        <w:rPr/>
        <w:t xml:space="preserve">.  If a time point for an outcome is reported as a range without a median or mean, the minimum value in the range will be extracted as the timepoint for that given outcome. If the mean follow-up time is reported separately for each intervention group, the combined mean will be calculated using the method described in Cochrane Handbook for Systematic Reviews of Interventions </w:t>
      </w:r>
      <w:r>
        <w:fldChar w:fldCharType="begin"/>
      </w:r>
      <w:r>
        <w:rPr/>
        <w:instrText>ADDIN ZOTERO_ITEM CSL_CITATION {"citationID":"SA08hBZ4","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w:t>
      </w:r>
    </w:p>
    <w:p>
      <w:pPr>
        <w:pStyle w:val="Normal"/>
        <w:spacing w:lineRule="exact" w:line="280"/>
        <w:jc w:val="both"/>
        <w:rPr/>
      </w:pPr>
      <w:r>
        <w:rPr/>
        <w:t xml:space="preserve">Any missing standard deviations will be imputed using the methods described in Cochrane Handbook for Systematic Reviews of Interventions </w:t>
      </w:r>
      <w:r>
        <w:fldChar w:fldCharType="begin"/>
      </w:r>
      <w:r>
        <w:rPr/>
        <w:instrText>ADDIN ZOTERO_ITEM CSL_CITATION {"citationID":"UnpD6r57","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If it is not possible to impute a standard deviation for an outcome result, but a meta-analysis has imputed standard deviations using methods not described in the Cochrane Handbook for Systematic Reviews of Interventions, the standard deviation will be extracted from the corresponding meta-analysis. </w:t>
      </w:r>
    </w:p>
    <w:p>
      <w:pPr>
        <w:pStyle w:val="Normal"/>
        <w:spacing w:lineRule="exact" w:line="280"/>
        <w:jc w:val="both"/>
        <w:rPr/>
      </w:pPr>
      <w:r>
        <w:rPr/>
        <w:t xml:space="preserve">DASH and quick-DASH will be reversed to conform with the scales of the other functional outcome measures such that an increasing score equals worsening disability. For the HRQoL outcomes, if physical and mental components are reported separately without a combined score, the physical component score will be extracted. If a trial report includes both adjusted and unadjusted CS, the unadjusted score will be extracted. </w:t>
      </w:r>
    </w:p>
    <w:p>
      <w:pPr>
        <w:pStyle w:val="Normal"/>
        <w:spacing w:lineRule="exact" w:line="280"/>
        <w:jc w:val="both"/>
        <w:rPr/>
      </w:pPr>
      <w:r>
        <w:rPr/>
        <w:t>The RoB evaluations for each trial report will be extracted from the meta-analyses in which they were included. The Cochrane Risk of Bias tool (v2 preferred over v1) will be extracted for RCTs and ROBINS-I for NRSI. If a RoB evaluation for a given trial has been reported in multiple meta-analyses, data will be extracted from the meta-analysis with the latest publication date. If a trial report has not been evaluated using one of the aforementioned tools we will choose by consensus which RoB evaluation to extract.</w:t>
      </w:r>
    </w:p>
    <w:p>
      <w:pPr>
        <w:pStyle w:val="Normal"/>
        <w:rPr/>
      </w:pPr>
      <w:r>
        <w:rPr/>
        <w:t xml:space="preserve">Lastly, we will contact the authors of the meta-analyses used as information sources that did not have a registered protocol and request a copy of any pre-defined protocol or data analysis plan.  </w:t>
      </w:r>
    </w:p>
    <w:p>
      <w:pPr>
        <w:pStyle w:val="Heading3"/>
        <w:spacing w:lineRule="exact" w:line="280"/>
        <w:jc w:val="both"/>
        <w:rPr/>
      </w:pPr>
      <w:r>
        <w:rPr/>
        <w:t>Data synthesis</w:t>
      </w:r>
    </w:p>
    <w:p>
      <w:pPr>
        <w:pStyle w:val="Heading4"/>
        <w:rPr/>
      </w:pPr>
      <w:r>
        <w:rPr/>
        <w:t>Simulation of methodological choices</w:t>
      </w:r>
    </w:p>
    <w:p>
      <w:pPr>
        <w:pStyle w:val="Normal"/>
        <w:spacing w:lineRule="exact" w:line="280"/>
        <w:jc w:val="both"/>
        <w:rPr/>
      </w:pPr>
      <w:r>
        <w:rPr/>
        <w:t xml:space="preserve">Table 1 lists the planned methodological choices to be included in the algorithm. The choices regarding search strategy, inclusion criteria, method of analysis, and subgroup analyses are based on methodological choices we have observed in published meta-analyses regarding the treatment of PHFs. </w:t>
      </w:r>
    </w:p>
    <w:p>
      <w:pPr>
        <w:pStyle w:val="Normal"/>
        <w:rPr/>
      </w:pPr>
      <w:r>
        <w:rPr/>
        <w:t xml:space="preserve">The simulated choices regarding outcome definitions are based on the 5 items describing an outcome as described by Mayo-Wilson et al.: 1) domain (e.g. functional outcome), 2) measure ( e.g. Oxford Shoulder Score), 3) metric (e.g. change from baseline), 4) method of aggregation (e.g. continuous) and 5) timepoint of assessment </w:t>
      </w:r>
      <w:r>
        <w:fldChar w:fldCharType="begin"/>
      </w:r>
      <w:r>
        <w:rPr/>
        <w:instrText>ADDIN ZOTERO_ITEM CSL_CITATION {"citationID":"rzXlAsNG","properties":{"formattedCitation":"[13]","plainCitation":"[13]","noteIndex":0},"citationItems":[{"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schema":"https://github.com/citation-style-language/schema/raw/master/csl-citation.json"}</w:instrText>
      </w:r>
      <w:r>
        <w:rPr/>
      </w:r>
      <w:r>
        <w:rPr/>
        <w:fldChar w:fldCharType="separate"/>
      </w:r>
      <w:r>
        <w:rPr/>
      </w:r>
      <w:r>
        <w:rPr>
          <w:rFonts w:cs="Calibri"/>
        </w:rPr>
        <w:t>[13]</w:t>
      </w:r>
      <w:r>
        <w:rPr/>
      </w:r>
      <w:r>
        <w:rPr/>
        <w:fldChar w:fldCharType="end"/>
      </w:r>
      <w:r>
        <w:rPr/>
        <w:t xml:space="preserve">. We will conduct the VoE analyses for three outcome domains: functional outcome scores (continuous), HRQoL assessments (continuous), and harms (secondary surgery and major complications, both dichotomous). The definitions of the remaining outcome items are described in table 1.  </w:t>
      </w:r>
    </w:p>
    <w:p>
      <w:pPr>
        <w:pStyle w:val="Normal"/>
        <w:rPr/>
      </w:pPr>
      <w:r>
        <w:rPr/>
        <w:t xml:space="preserve">If insufficient data is available to simulate a choice concerning an inclusion criterion, the trial will only be included for the option that includes all trials (e.g., ‘Inclusion of all trials regardless of sample size’ for the choice relating to trial sample size). </w:t>
      </w:r>
    </w:p>
    <w:p>
      <w:pPr>
        <w:pStyle w:val="Normal"/>
        <w:rPr/>
      </w:pPr>
      <w:r>
        <w:rPr/>
        <w:t xml:space="preserve">The simulation algorithm will be developed using the statistical software R. </w:t>
      </w:r>
    </w:p>
    <w:p>
      <w:pPr>
        <w:pStyle w:val="Heading4"/>
        <w:rPr/>
      </w:pPr>
      <w:r>
        <w:rPr/>
        <w:t xml:space="preserve">Meta-analysis </w:t>
      </w:r>
    </w:p>
    <w:p>
      <w:pPr>
        <w:pStyle w:val="Normal"/>
        <w:rPr/>
      </w:pPr>
      <w:r>
        <w:rPr/>
        <w:t>For each distinct methodological scenario, we conduct a meta-analysis with a resulting effect estimate and p-value. The effect estimates for continuous outcomes will be calculated using the standardized mean difference (SMD) while dichotomous outcomes will be calculated as relative risk (RR). Non-operative treatment will be defined as the comparator for all three outcome domains. For each effect estimate, we also calculate P-values and 95% confidence intervals. Heterogeneity for each meta-analysis will be calculated using the Cochrane Q test and I</w:t>
      </w:r>
      <w:r>
        <w:rPr>
          <w:vertAlign w:val="superscript"/>
        </w:rPr>
        <w:t>2</w:t>
      </w:r>
      <w:r>
        <w:rPr/>
        <w:t xml:space="preserve"> index. Statistical significance will be defined as p-values less than 0.05. </w:t>
      </w:r>
    </w:p>
    <w:p>
      <w:pPr>
        <w:pStyle w:val="Normal"/>
        <w:spacing w:lineRule="exact" w:line="280"/>
        <w:jc w:val="both"/>
        <w:rPr/>
      </w:pPr>
      <w:r>
        <w:rPr/>
        <w:t xml:space="preserve">The final number of unique combinations available for analysis depends on the number, and the heterogeneity, of the included trial reports. Combinations resulting in only one trial available for meta-analysis will be excluded. </w:t>
      </w:r>
    </w:p>
    <w:p>
      <w:pPr>
        <w:pStyle w:val="Heading4"/>
        <w:rPr/>
      </w:pPr>
      <w:r>
        <w:rPr/>
        <w:t>Analysis of VoE</w:t>
      </w:r>
    </w:p>
    <w:p>
      <w:pPr>
        <w:pStyle w:val="Normal"/>
        <w:spacing w:lineRule="exact" w:line="280"/>
        <w:jc w:val="both"/>
        <w:rPr/>
      </w:pPr>
      <w:r>
        <w:rPr/>
        <w:t>The results will be visualized with the effect estimate on the x-axis and the p-values on a log-transformed y-axis. This allows for visual analysis of the overall VoE.  Furthermore, we will calculate the 1</w:t>
      </w:r>
      <w:r>
        <w:rPr>
          <w:vertAlign w:val="superscript"/>
        </w:rPr>
        <w:t>st</w:t>
      </w:r>
      <w:r>
        <w:rPr/>
        <w:t>, 50</w:t>
      </w:r>
      <w:r>
        <w:rPr>
          <w:vertAlign w:val="superscript"/>
        </w:rPr>
        <w:t>th,</w:t>
      </w:r>
      <w:r>
        <w:rPr/>
        <w:t xml:space="preserve"> and 99</w:t>
      </w:r>
      <w:r>
        <w:rPr>
          <w:vertAlign w:val="superscript"/>
        </w:rPr>
        <w:t>th</w:t>
      </w:r>
      <w:r>
        <w:rPr/>
        <w:t xml:space="preserve"> percentile allowing us to determine if a Janus effect is present. The Janus effect is defined as when the 1</w:t>
      </w:r>
      <w:r>
        <w:rPr>
          <w:vertAlign w:val="superscript"/>
        </w:rPr>
        <w:t>st</w:t>
      </w:r>
      <w:r>
        <w:rPr/>
        <w:t xml:space="preserve"> and 99</w:t>
      </w:r>
      <w:r>
        <w:rPr>
          <w:vertAlign w:val="superscript"/>
        </w:rPr>
        <w:t>th</w:t>
      </w:r>
      <w:r>
        <w:rPr/>
        <w:t xml:space="preserve"> percentile of the effect estimates are favoring opposite interventions </w:t>
      </w:r>
      <w:r>
        <w:fldChar w:fldCharType="begin"/>
      </w:r>
      <w:r>
        <w:rPr/>
        <w:instrText>ADDIN ZOTERO_ITEM CSL_CITATION {"citationID":"MIoFokHZ","properties":{"formattedCitation":"[18]","plainCitation":"[18]","noteIndex":0},"citationItems":[{"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A."}],"issued":{"date-parts":[["2015",9,1]]}}}],"schema":"https://github.com/citation-style-language/schema/raw/master/csl-citation.json"}</w:instrText>
      </w:r>
      <w:r>
        <w:rPr/>
      </w:r>
      <w:r>
        <w:rPr/>
        <w:fldChar w:fldCharType="separate"/>
      </w:r>
      <w:r>
        <w:rPr/>
      </w:r>
      <w:r>
        <w:rPr>
          <w:rFonts w:cs="Calibri"/>
        </w:rPr>
        <w:t>[18]</w:t>
      </w:r>
      <w:r>
        <w:rPr/>
      </w:r>
      <w:r>
        <w:rPr/>
        <w:fldChar w:fldCharType="end"/>
      </w:r>
      <w:r>
        <w:rPr/>
        <w:t xml:space="preserve">. If our results are normally distributed, we will calculate the standard deviation of the overall VoE. Lastly, we will present the specific methodological scenarios leading to the most conflicting results. </w:t>
      </w:r>
    </w:p>
    <w:p>
      <w:pPr>
        <w:pStyle w:val="Normal"/>
        <w:spacing w:lineRule="exact" w:line="280"/>
        <w:jc w:val="both"/>
        <w:rPr/>
      </w:pPr>
      <w:r>
        <w:rPr/>
        <w:t>If we obtain any pre-defined data analysis plans, we will create separate algorithms that match each protocol as closely as possible. Using the methods described above we will then investigate the residual VoE for each of the obtained protocols.</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Methodological choices </w:t>
      </w:r>
    </w:p>
    <w:tbl>
      <w:tblPr>
        <w:tblStyle w:val="TableGrid"/>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2"/>
        <w:gridCol w:w="7375"/>
      </w:tblGrid>
      <w:tr>
        <w:trPr/>
        <w:tc>
          <w:tcPr>
            <w:tcW w:w="9917" w:type="dxa"/>
            <w:gridSpan w:val="2"/>
            <w:tcBorders/>
          </w:tcPr>
          <w:p>
            <w:pPr>
              <w:pStyle w:val="Normal"/>
              <w:widowControl w:val="false"/>
              <w:spacing w:lineRule="exact" w:line="280" w:before="0" w:after="0"/>
              <w:jc w:val="left"/>
              <w:rPr>
                <w:b/>
                <w:b/>
                <w:bCs/>
              </w:rPr>
            </w:pPr>
            <w:r>
              <w:rPr>
                <w:rFonts w:eastAsia="Calibri" w:cs=""/>
                <w:b/>
                <w:bCs/>
                <w:kern w:val="0"/>
                <w:sz w:val="22"/>
                <w:szCs w:val="22"/>
                <w:lang w:val="en-US" w:eastAsia="en-US" w:bidi="ar-SA"/>
              </w:rPr>
              <w:t>Choices related to search strategy and inclusion criteria</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Bibliographic databases</w:t>
            </w:r>
          </w:p>
        </w:tc>
        <w:tc>
          <w:tcPr>
            <w:tcW w:w="7375" w:type="dxa"/>
            <w:tcBorders/>
          </w:tcPr>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Only inclusion of trial reports identified using a search strategy limited to Cochrane Library, PubMed, and Embase</w:t>
            </w:r>
          </w:p>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Inclusion of all trials identified </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language</w:t>
            </w:r>
          </w:p>
        </w:tc>
        <w:tc>
          <w:tcPr>
            <w:tcW w:w="7375" w:type="dxa"/>
            <w:tcBorders/>
          </w:tcPr>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trial reports published in English </w:t>
            </w:r>
          </w:p>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trial reports published in any language</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status</w:t>
            </w:r>
          </w:p>
        </w:tc>
        <w:tc>
          <w:tcPr>
            <w:tcW w:w="7375" w:type="dxa"/>
            <w:tcBorders/>
          </w:tcPr>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unpublished trial reports</w:t>
            </w:r>
          </w:p>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published and unpublished trial reports</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date</w:t>
            </w:r>
          </w:p>
        </w:tc>
        <w:tc>
          <w:tcPr>
            <w:tcW w:w="7375" w:type="dxa"/>
            <w:tcBorders/>
          </w:tcPr>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1990</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1995</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studies regardless of publication date</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Type of trial </w:t>
            </w:r>
          </w:p>
        </w:tc>
        <w:tc>
          <w:tcPr>
            <w:tcW w:w="7375" w:type="dxa"/>
            <w:tcBorders/>
          </w:tcPr>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RCT’s </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prospective NRSI</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all types of NRSI</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Sample size</w:t>
            </w:r>
          </w:p>
        </w:tc>
        <w:tc>
          <w:tcPr>
            <w:tcW w:w="7375" w:type="dxa"/>
            <w:tcBorders/>
          </w:tcPr>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Exclusion of trials with a sample size less than 10 </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trials with a sample size less than 15</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all trials regardless of sample size</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average age of participants</w:t>
            </w:r>
          </w:p>
        </w:tc>
        <w:tc>
          <w:tcPr>
            <w:tcW w:w="7375" w:type="dxa"/>
            <w:tcBorders/>
          </w:tcPr>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16</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18</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age distribution</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Fracture classifications</w:t>
            </w:r>
          </w:p>
        </w:tc>
        <w:tc>
          <w:tcPr>
            <w:tcW w:w="7375" w:type="dxa"/>
            <w:tcBorders/>
          </w:tcPr>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trials reporting on 3- or 4-part fractures</w:t>
            </w:r>
          </w:p>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Inclusion of trials reporting on any type of fracture </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of intervention</w:t>
            </w:r>
          </w:p>
        </w:tc>
        <w:tc>
          <w:tcPr>
            <w:tcW w:w="7375" w:type="dxa"/>
            <w:tcBorders/>
          </w:tcPr>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48 hours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2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3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treatment</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Documentation of interventions</w:t>
            </w:r>
          </w:p>
        </w:tc>
        <w:tc>
          <w:tcPr>
            <w:tcW w:w="7375" w:type="dxa"/>
            <w:tcBorders/>
          </w:tcPr>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without documentation for the specific operative technique and protocol for conservative treatment</w:t>
            </w:r>
          </w:p>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documentation of interventions</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to follow up</w:t>
            </w:r>
          </w:p>
        </w:tc>
        <w:tc>
          <w:tcPr>
            <w:tcW w:w="7375" w:type="dxa"/>
            <w:tcBorders/>
          </w:tcPr>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6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12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follow-up</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Loss to follow-up</w:t>
            </w:r>
          </w:p>
        </w:tc>
        <w:tc>
          <w:tcPr>
            <w:tcW w:w="7375" w:type="dxa"/>
            <w:tcBorders/>
          </w:tcPr>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Exclusions of trials with a loss to follow-up greater than 15%</w:t>
            </w:r>
          </w:p>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Inclusion of all trials regardless of loss to follow-up</w:t>
            </w:r>
          </w:p>
        </w:tc>
      </w:tr>
      <w:tr>
        <w:trPr/>
        <w:tc>
          <w:tcPr>
            <w:tcW w:w="9917" w:type="dxa"/>
            <w:gridSpan w:val="2"/>
            <w:tcBorders/>
          </w:tcPr>
          <w:p>
            <w:pPr>
              <w:pStyle w:val="ListParagraph"/>
              <w:widowControl w:val="false"/>
              <w:spacing w:lineRule="exact" w:line="280" w:before="0" w:after="0"/>
              <w:ind w:left="0" w:hanging="0"/>
              <w:contextualSpacing/>
              <w:jc w:val="left"/>
              <w:rPr>
                <w:b/>
                <w:b/>
                <w:bCs/>
              </w:rPr>
            </w:pPr>
            <w:r>
              <w:rPr>
                <w:rFonts w:eastAsia="Calibri" w:cs=""/>
                <w:b/>
                <w:bCs/>
                <w:kern w:val="0"/>
                <w:sz w:val="22"/>
                <w:szCs w:val="22"/>
                <w:lang w:val="en-US" w:eastAsia="en-US" w:bidi="ar-SA"/>
              </w:rPr>
              <w:t>Choices related to outcome and analytical method</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functional outcome</w:t>
            </w:r>
          </w:p>
        </w:tc>
        <w:tc>
          <w:tcPr>
            <w:tcW w:w="7375" w:type="dxa"/>
            <w:tcBorders/>
          </w:tcPr>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All PROMs analyzed in the same meta-analysis</w:t>
            </w:r>
            <w:r>
              <w:rPr>
                <w:rFonts w:eastAsia="Calibri" w:cs="" w:cstheme="minorBidi" w:eastAsiaTheme="minorHAnsi"/>
                <w:kern w:val="0"/>
                <w:sz w:val="22"/>
                <w:szCs w:val="22"/>
                <w:shd w:fill="00A933" w:val="clear"/>
                <w:vertAlign w:val="superscript"/>
                <w:lang w:val="en-US" w:eastAsia="en-US" w:bidi="ar-SA"/>
              </w:rPr>
              <w:t>*</w:t>
            </w:r>
            <w:r>
              <w:rPr>
                <w:rFonts w:eastAsia="Calibri" w:cs="" w:cstheme="minorBidi" w:eastAsiaTheme="minorHAnsi"/>
                <w:kern w:val="0"/>
                <w:sz w:val="22"/>
                <w:szCs w:val="22"/>
                <w:shd w:fill="00A933" w:val="clear"/>
                <w:lang w:val="en-US" w:eastAsia="en-US" w:bidi="ar-SA"/>
              </w:rPr>
              <w:t xml:space="preserve"> </w:t>
            </w:r>
          </w:p>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PROMs and CS analyzed in the same meta-analysis</w:t>
            </w:r>
            <w:r>
              <w:rPr>
                <w:rFonts w:eastAsia="Calibri" w:cs="" w:cstheme="minorBidi" w:eastAsiaTheme="minorHAnsi"/>
                <w:kern w:val="0"/>
                <w:sz w:val="22"/>
                <w:szCs w:val="22"/>
                <w:shd w:fill="00A933" w:val="clear"/>
                <w:vertAlign w:val="superscript"/>
                <w:lang w:val="en-US" w:eastAsia="en-US" w:bidi="ar-SA"/>
              </w:rPr>
              <w:t>*</w:t>
            </w:r>
          </w:p>
          <w:p>
            <w:pPr>
              <w:pStyle w:val="ListParagraph"/>
              <w:widowControl w:val="false"/>
              <w:numPr>
                <w:ilvl w:val="0"/>
                <w:numId w:val="7"/>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functional outcome measure analyzed in a separate meta-analysis</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HRQoL</w:t>
            </w:r>
          </w:p>
        </w:tc>
        <w:tc>
          <w:tcPr>
            <w:tcW w:w="7375" w:type="dxa"/>
            <w:tcBorders/>
          </w:tcPr>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All types of HRQoL outcomes analyzed in the same meta-analysis </w:t>
            </w:r>
          </w:p>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type of HRQoL assessment analyzed in a separate meta-analysis</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metric</w:t>
            </w:r>
          </w:p>
        </w:tc>
        <w:tc>
          <w:tcPr>
            <w:tcW w:w="7375" w:type="dxa"/>
            <w:tcBorders/>
          </w:tcPr>
          <w:p>
            <w:pPr>
              <w:pStyle w:val="ListParagraph"/>
              <w:widowControl w:val="false"/>
              <w:numPr>
                <w:ilvl w:val="0"/>
                <w:numId w:val="20"/>
              </w:numPr>
              <w:spacing w:lineRule="exact" w:line="280" w:before="0" w:after="0"/>
              <w:ind w:left="313" w:hanging="313"/>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change from baseline are included</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difference at follow-up are included</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Timepoint of assessment </w:t>
            </w:r>
          </w:p>
        </w:tc>
        <w:tc>
          <w:tcPr>
            <w:tcW w:w="7375" w:type="dxa"/>
            <w:tcBorders/>
          </w:tcPr>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the longest follow-up time for each trial is used for meta-analysis</w:t>
            </w:r>
          </w:p>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identical follow-up times are analyzed together</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differing follow-up times are grouped as short-, medium- and long-term with separate meta-analyses conducted for each group</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Method of outcome analysis</w:t>
            </w:r>
          </w:p>
        </w:tc>
        <w:tc>
          <w:tcPr>
            <w:tcW w:w="7375" w:type="dxa"/>
            <w:tcBorders/>
          </w:tcPr>
          <w:p>
            <w:pPr>
              <w:pStyle w:val="ListParagraph"/>
              <w:widowControl w:val="false"/>
              <w:numPr>
                <w:ilvl w:val="0"/>
                <w:numId w:val="2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outcomes reported using intention to treat analyses are included</w:t>
            </w:r>
          </w:p>
          <w:p>
            <w:pPr>
              <w:pStyle w:val="ListParagraph"/>
              <w:widowControl w:val="false"/>
              <w:numPr>
                <w:ilvl w:val="0"/>
                <w:numId w:val="2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outcomes reported using per-protocol analyses are included</w:t>
            </w:r>
          </w:p>
          <w:p>
            <w:pPr>
              <w:pStyle w:val="ListParagraph"/>
              <w:widowControl w:val="false"/>
              <w:numPr>
                <w:ilvl w:val="0"/>
                <w:numId w:val="23"/>
              </w:numPr>
              <w:spacing w:lineRule="exact" w:line="280" w:before="0" w:after="0"/>
              <w:contextualSpacing/>
              <w:jc w:val="left"/>
              <w:rPr>
                <w:shd w:fill="00A933" w:val="clear"/>
              </w:rPr>
            </w:pPr>
            <w:r>
              <w:rPr>
                <w:rFonts w:eastAsia="Calibri" w:cs=""/>
                <w:kern w:val="0"/>
                <w:sz w:val="22"/>
                <w:szCs w:val="22"/>
                <w:shd w:fill="00A933" w:val="clear"/>
                <w:lang w:val="en-US" w:eastAsia="en-US" w:bidi="ar-SA"/>
              </w:rPr>
              <w:t>All outcomes are included regardless of the reported method of analysis</w:t>
            </w:r>
            <w:r>
              <w:rPr>
                <w:rFonts w:eastAsia="Calibri" w:cs="Calibri" w:cstheme="minorHAnsi"/>
                <w:kern w:val="0"/>
                <w:sz w:val="22"/>
                <w:szCs w:val="22"/>
                <w:shd w:fill="00A933" w:val="clear"/>
                <w:vertAlign w:val="superscript"/>
                <w:lang w:val="en-US" w:eastAsia="en-US" w:bidi="ar-SA"/>
              </w:rPr>
              <w:t>†</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intervention</w:t>
            </w:r>
          </w:p>
        </w:tc>
        <w:tc>
          <w:tcPr>
            <w:tcW w:w="7375" w:type="dxa"/>
            <w:tcBorders/>
          </w:tcPr>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plate fixation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tension band fixation</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either plate or tension band fixation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an intramedullary nail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hemiarthroplasty</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Only trials using reverse hemiarthroplasty</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using either hemiarthroplasty or reverse hemiarthroplasty </w:t>
            </w:r>
          </w:p>
          <w:p>
            <w:pPr>
              <w:pStyle w:val="ListParagraph"/>
              <w:widowControl w:val="false"/>
              <w:numPr>
                <w:ilvl w:val="0"/>
                <w:numId w:val="21"/>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Inclusion of all trials regardless of intervention </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Fracture classifications</w:t>
            </w:r>
          </w:p>
        </w:tc>
        <w:tc>
          <w:tcPr>
            <w:tcW w:w="7375" w:type="dxa"/>
            <w:tcBorders/>
          </w:tcPr>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2-part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3-part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4-part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Only trials with predominantly 3- or 4-part fractures </w:t>
            </w:r>
          </w:p>
          <w:p>
            <w:pPr>
              <w:pStyle w:val="ListParagraph"/>
              <w:widowControl w:val="false"/>
              <w:numPr>
                <w:ilvl w:val="0"/>
                <w:numId w:val="16"/>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All trials regardless of fracture classifications</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Risk of bias</w:t>
            </w:r>
          </w:p>
        </w:tc>
        <w:tc>
          <w:tcPr>
            <w:tcW w:w="7375" w:type="dxa"/>
            <w:tcBorders/>
          </w:tcPr>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Exclusion of trials with a high risk of bias  </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a high or moderate risk of bias</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all trials regardless of the risk of bias</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Missing outcome data </w:t>
            </w:r>
          </w:p>
        </w:tc>
        <w:tc>
          <w:tcPr>
            <w:tcW w:w="7375" w:type="dxa"/>
            <w:tcBorders/>
          </w:tcPr>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missing outcome data</w:t>
            </w:r>
          </w:p>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trials with missing outcome data where imputation is possible</w:t>
            </w:r>
          </w:p>
        </w:tc>
      </w:tr>
      <w:tr>
        <w:trPr/>
        <w:tc>
          <w:tcPr>
            <w:tcW w:w="2542"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Meta-analysis model</w:t>
            </w:r>
          </w:p>
        </w:tc>
        <w:tc>
          <w:tcPr>
            <w:tcW w:w="7375" w:type="dxa"/>
            <w:tcBorders/>
          </w:tcPr>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Fixed effect model </w:t>
            </w:r>
          </w:p>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Random effect model</w:t>
            </w:r>
          </w:p>
        </w:tc>
      </w:tr>
    </w:tbl>
    <w:p>
      <w:pPr>
        <w:pStyle w:val="Normal"/>
        <w:spacing w:lineRule="exact" w:line="280" w:before="0" w:after="0"/>
        <w:jc w:val="both"/>
        <w:rPr>
          <w:sz w:val="18"/>
          <w:szCs w:val="18"/>
        </w:rPr>
      </w:pPr>
      <w:r>
        <w:rPr>
          <w:vertAlign w:val="superscript"/>
        </w:rPr>
        <w:t xml:space="preserve">* </w:t>
      </w:r>
      <w:r>
        <w:rPr>
          <w:sz w:val="18"/>
          <w:szCs w:val="18"/>
        </w:rPr>
        <w:t>A trial can only contribute with one outcome measure per meta-analysis. Therefore, if a trial reports multiple eligible outcome measures (e.g reports both CS and a PROM or two PROMs) the algorithm will simulate multiple methodological scenarios with each scenario only including one of the reported outcomes.</w:t>
      </w:r>
    </w:p>
    <w:p>
      <w:pPr>
        <w:pStyle w:val="Normal"/>
        <w:spacing w:lineRule="exact" w:line="280"/>
        <w:jc w:val="both"/>
        <w:rPr>
          <w:sz w:val="18"/>
          <w:szCs w:val="18"/>
        </w:rPr>
      </w:pPr>
      <w:r>
        <w:rPr>
          <w:rFonts w:cs="Calibri" w:cstheme="minorHAnsi"/>
          <w:vertAlign w:val="superscript"/>
        </w:rPr>
        <w:t>†</w:t>
      </w:r>
      <w:r>
        <w:rPr/>
        <w:t xml:space="preserve"> </w:t>
      </w:r>
      <w:r>
        <w:rPr>
          <w:sz w:val="18"/>
          <w:szCs w:val="18"/>
        </w:rPr>
        <w:t>If a trial reports outcomes using multiple methods of analysis, intention-to-treat analyses will be preferred over other methods.</w:t>
      </w:r>
    </w:p>
    <w:p>
      <w:pPr>
        <w:pStyle w:val="Heading4"/>
        <w:rPr/>
      </w:pPr>
      <w:r>
        <w:rPr/>
        <w:t>Sensitivity analyses</w:t>
      </w:r>
    </w:p>
    <w:p>
      <w:pPr>
        <w:pStyle w:val="Normal"/>
        <w:rPr/>
      </w:pPr>
      <w:r>
        <w:rPr/>
        <w:t>We will conduct a sensitivity analysis by removing meta-analyses with high heterogeneity conducted using a fixed-effect model. High heterogeneity will be defined as I</w:t>
      </w:r>
      <w:r>
        <w:rPr>
          <w:vertAlign w:val="superscript"/>
        </w:rPr>
        <w:t xml:space="preserve">2 </w:t>
      </w:r>
      <w:r>
        <w:rPr/>
        <w:t xml:space="preserve">&gt; 50% or Cochrane Q &lt; 0.10. Furthermore, we will conduct sensitivity analyses by removing NRSI only reporting outcome measures not adjusted for confounding. </w:t>
      </w:r>
    </w:p>
    <w:p>
      <w:pPr>
        <w:pStyle w:val="Heading3"/>
        <w:rPr/>
      </w:pPr>
      <w:r>
        <w:rPr/>
        <w:t>Perspective</w:t>
      </w:r>
    </w:p>
    <w:p>
      <w:pPr>
        <w:pStyle w:val="Normal"/>
        <w:spacing w:lineRule="exact" w:line="280"/>
        <w:jc w:val="both"/>
        <w:rPr/>
      </w:pPr>
      <w:r>
        <w:rPr/>
        <w:t>By investigating the overall VoE of meta-analyses comparing surgical and non-surgical interventions in the primary treatment of PHFs we will be able to identify specific methodological scenarios leading to conflicting results. Thereby, we will gain new insights into how methodological choices, and the combinations thereof, can result in meta-analyses reporting conflicting results, despite having access to the same trial reports.</w:t>
      </w:r>
    </w:p>
    <w:p>
      <w:pPr>
        <w:pStyle w:val="Normal"/>
        <w:spacing w:lineRule="exact" w:line="280"/>
        <w:jc w:val="both"/>
        <w:rPr/>
      </w:pPr>
      <w:r>
        <w:rPr/>
        <w:t xml:space="preserve">Furthermore, we will be able to investigate the residual VoE of pre-defined protocols for published meta-analyses and identify the methodological choices responsible. This will provide new insights with regards to the needed level of specificity when developing a meta-analysis protocol to minimize any residual VoE. </w:t>
      </w:r>
    </w:p>
    <w:p>
      <w:pPr>
        <w:pStyle w:val="Heading2"/>
        <w:spacing w:lineRule="exact" w:line="280"/>
        <w:jc w:val="both"/>
        <w:rPr/>
      </w:pPr>
      <w:r>
        <w:rPr/>
        <w:t>Conflicts of interest</w:t>
      </w:r>
    </w:p>
    <w:p>
      <w:pPr>
        <w:pStyle w:val="Normal"/>
        <w:spacing w:lineRule="exact" w:line="280"/>
        <w:jc w:val="both"/>
        <w:rPr/>
      </w:pPr>
      <w:r>
        <w:rPr/>
        <w:t>None.</w:t>
      </w:r>
    </w:p>
    <w:p>
      <w:pPr>
        <w:pStyle w:val="Heading2"/>
        <w:spacing w:lineRule="exact" w:line="280"/>
        <w:jc w:val="both"/>
        <w:rPr/>
      </w:pPr>
      <w:r>
        <w:rPr/>
        <w:t>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[1]</w:t>
        <w:tab/>
        <w:t>R.B. Beks, Y. Ochen, H. Frima, D.P.J. Smeeing, O. van der Meijden, T.K. Timmers, D. van der Velde, M. van Heijl, L.P.H. Leenen, R.H.H. Groenwold, R.M. Houwert, Operative versus nonoperative treatment of proximal humeral fractures: a systematic review, meta-analysis, and comparison of observational studies and randomized controlled trials, Journal of Shoulder and Elbow Surgery. 27 (2018) 1526–1534.</w:t>
      </w:r>
    </w:p>
    <w:p>
      <w:pPr>
        <w:pStyle w:val="Bibliography"/>
        <w:rPr>
          <w:rFonts w:ascii="Calibri" w:hAnsi="Calibri" w:cs="Calibri"/>
        </w:rPr>
      </w:pPr>
      <w:r>
        <w:rPr>
          <w:rFonts w:cs="Calibri"/>
        </w:rPr>
        <w:t>[2]</w:t>
        <w:tab/>
        <w:t>B.S. Fu, H.L. Jia, D.S. Zhou, F.X. Liu, Surgical and Non-Surgical Treatment for 3-Part and 4-Part Fractures of the Proximal Humerus: A Systematic Review of Overlapping Meta-Analyses, Orthopaedic Surgery. 11 (2019) 356–365.</w:t>
      </w:r>
    </w:p>
    <w:p>
      <w:pPr>
        <w:pStyle w:val="Bibliography"/>
        <w:rPr>
          <w:rFonts w:ascii="Calibri" w:hAnsi="Calibri" w:cs="Calibri"/>
        </w:rPr>
      </w:pPr>
      <w:r>
        <w:rPr>
          <w:rFonts w:cs="Calibri"/>
        </w:rPr>
        <w:t>[3]</w:t>
        <w:tab/>
        <w:t>T. Fu, C. Xia, Z. Li, H. Wu, Surgical versus conservative treatment for displaced proximal humeral fractures in elderly patients: A meta-analysis, International Journal of Clinical and Experimental Medicine. 7 (2014) 4607–4615.</w:t>
      </w:r>
    </w:p>
    <w:p>
      <w:pPr>
        <w:pStyle w:val="Bibliography"/>
        <w:rPr>
          <w:rFonts w:ascii="Calibri" w:hAnsi="Calibri" w:cs="Calibri"/>
        </w:rPr>
      </w:pPr>
      <w:r>
        <w:rPr>
          <w:rFonts w:cs="Calibri"/>
        </w:rPr>
        <w:t>[4]</w:t>
        <w:tab/>
        <w:t>H.H. Handoll, S. Brorson, Interventions for treating proximal humeral fractures in adults, Cochrane Database of Systematic Reviews. (2015).</w:t>
      </w:r>
    </w:p>
    <w:p>
      <w:pPr>
        <w:pStyle w:val="Bibliography"/>
        <w:rPr>
          <w:rFonts w:ascii="Calibri" w:hAnsi="Calibri" w:cs="Calibri"/>
        </w:rPr>
      </w:pPr>
      <w:r>
        <w:rPr>
          <w:rFonts w:cs="Calibri"/>
        </w:rPr>
        <w:t>[5]</w:t>
        <w:tab/>
        <w:t>J. Higgins, J. Thomas, J. Chandler, M. Cumpston, T. Li, M. Page, V. (editors) Welch, Cochrane Handbook for Systematic Reviews of Interventions, 2nd ed., John Wiley &amp; Sons, Chichester (UK), 2019.</w:t>
      </w:r>
    </w:p>
    <w:p>
      <w:pPr>
        <w:pStyle w:val="Bibliography"/>
        <w:rPr>
          <w:rFonts w:ascii="Calibri" w:hAnsi="Calibri" w:cs="Calibri"/>
        </w:rPr>
      </w:pPr>
      <w:r>
        <w:rPr>
          <w:rFonts w:cs="Calibri"/>
        </w:rPr>
        <w:t>[6]</w:t>
        <w:tab/>
        <w:t>J.P.A. Ioannidis, Why most discovered true associations are inflated, Epidemiology. 19 (2008) 640–648.</w:t>
      </w:r>
    </w:p>
    <w:p>
      <w:pPr>
        <w:pStyle w:val="Bibliography"/>
        <w:rPr>
          <w:rFonts w:ascii="Calibri" w:hAnsi="Calibri" w:cs="Calibri"/>
        </w:rPr>
      </w:pPr>
      <w:r>
        <w:rPr>
          <w:rFonts w:cs="Calibri"/>
        </w:rPr>
        <w:t>[7]</w:t>
        <w:tab/>
        <w:t>Z. Jia, W. Li, Y. Qin, H. Li, D. Wang, C. Zhang, Q. He, D. Ruan, Operative Versus Nonoperative Treatment for Complex Proximal Humeral Fractures: A Meta-analysis of Randomized Controlled Trials, Orthopedics. 37 (2014) e543–e551.</w:t>
      </w:r>
    </w:p>
    <w:p>
      <w:pPr>
        <w:pStyle w:val="Bibliography"/>
        <w:rPr>
          <w:rFonts w:ascii="Calibri" w:hAnsi="Calibri" w:cs="Calibri"/>
        </w:rPr>
      </w:pPr>
      <w:r>
        <w:rPr>
          <w:rFonts w:cs="Calibri"/>
        </w:rPr>
        <w:t>[8]</w:t>
        <w:tab/>
        <w:t>W. Li, G. Ding, J. Liu, J. Shi, C. Zhang, Q. Gao, [Operative versus non-operative treatment for three- or four-part proximal humeral fractures in elderly patients: a meta-analysis of randomized controlled trials]. [Chinese], 45 (2016) 28247610.</w:t>
      </w:r>
    </w:p>
    <w:p>
      <w:pPr>
        <w:pStyle w:val="Bibliography"/>
        <w:rPr>
          <w:rFonts w:ascii="Calibri" w:hAnsi="Calibri" w:cs="Calibri"/>
        </w:rPr>
      </w:pPr>
      <w:r>
        <w:rPr>
          <w:rFonts w:cs="Calibri"/>
        </w:rPr>
        <w:t>[9]</w:t>
        <w:tab/>
        <w:t>Y. Li, L. Zhao, L. Zhu, J. Li, A. Chen, Internal Fixation Versus Nonoperative Treatment for Displaced 3-Part or 4-Part Proximal Humeral Fractures in Elderly Patients: A Meta-Analysis of Randomized Controlled Trials, PLoS ONE. 8 (2013).</w:t>
      </w:r>
    </w:p>
    <w:p>
      <w:pPr>
        <w:pStyle w:val="Bibliography"/>
        <w:rPr>
          <w:rFonts w:ascii="Calibri" w:hAnsi="Calibri" w:cs="Calibri"/>
        </w:rPr>
      </w:pPr>
      <w:r>
        <w:rPr>
          <w:rFonts w:cs="Calibri"/>
        </w:rPr>
        <w:t>[10]</w:t>
        <w:tab/>
        <w:t>F. Mao, D.-H. Zhang, X.-C. Peng, Y. Liao, Comparison of Surgical versus Non-Surgical Treatment of Displaced 3- and 4-Part Fractures of the Proximal Humerus: A Meta-Analysis, Journal of Investigative Surgery. 28 (2015) 215–224.</w:t>
      </w:r>
    </w:p>
    <w:p>
      <w:pPr>
        <w:pStyle w:val="Bibliography"/>
        <w:rPr>
          <w:rFonts w:ascii="Calibri" w:hAnsi="Calibri" w:cs="Calibri"/>
        </w:rPr>
      </w:pPr>
      <w:r>
        <w:rPr>
          <w:rFonts w:cs="Calibri"/>
        </w:rPr>
        <w:t>[11]</w:t>
        <w:tab/>
        <w:t>Z. Mao, L. Zhang, L. Zhang, X. Zeng, S. Chen, D. Liu, Z. Zhou, P. Tang, Operative Versus Nonoperative Treatment in Complex Proximal Humeral Fractures, Orthopedics. 37 (2014) e410–e419.</w:t>
      </w:r>
    </w:p>
    <w:p>
      <w:pPr>
        <w:pStyle w:val="Bibliography"/>
        <w:rPr>
          <w:rFonts w:ascii="Calibri" w:hAnsi="Calibri" w:cs="Calibri"/>
        </w:rPr>
      </w:pPr>
      <w:r>
        <w:rPr>
          <w:rFonts w:cs="Calibri"/>
        </w:rPr>
        <w:t>[12]</w:t>
        <w:tab/>
        <w:t>E. Mayo-Wilson, N. Fusco, T. Li, H. Hong, J.K. Canner, K. Dickersin, Multiple outcomes and analyses in clinical trials create challenges for interpretation and research synthesis, Journal of Clinical Epidemiology. 86 (2017) 39–50.</w:t>
      </w:r>
    </w:p>
    <w:p>
      <w:pPr>
        <w:pStyle w:val="Bibliography"/>
        <w:rPr>
          <w:rFonts w:ascii="Calibri" w:hAnsi="Calibri" w:cs="Calibri"/>
        </w:rPr>
      </w:pPr>
      <w:r>
        <w:rPr>
          <w:rFonts w:cs="Calibri"/>
        </w:rPr>
        <w:t>[13]</w:t>
        <w:tab/>
        <w:t>E. Mayo-Wilson, T. Li, N. Fusco, L. Bertizzolo, J.K. Canner, T. Cowley, P. Doshi, J. Ehmsen, G. Gresham, N. Guo, J.A. Haythornthwaite, J. Heyward, H. Hong, D. Pham, J.L. Payne, L. Rosman, E.A. Stuart, C. Suarez-Cuervo, E. Tolbert, C. Twose, S. Vedula, K. Dickersin, Cherry-picking by trialists and meta-analysts can drive conclusions about intervention efficacy, J Clin Epidemiol. 91 (2017) 95–110.</w:t>
      </w:r>
    </w:p>
    <w:p>
      <w:pPr>
        <w:pStyle w:val="Bibliography"/>
        <w:rPr>
          <w:rFonts w:ascii="Calibri" w:hAnsi="Calibri" w:cs="Calibri"/>
        </w:rPr>
      </w:pPr>
      <w:r>
        <w:rPr>
          <w:rFonts w:cs="Calibri"/>
        </w:rPr>
        <w:t>[14]</w:t>
        <w:tab/>
        <w:t>C.M. Navarro, A. Brolund, C. Ekholm, E. Heintz, E.H. Ekström, P.O. Josefsson, L. Leander, P. Nordström, L. Zidén, K. Stenström, Treatment of humerus fractures in the elderly: A systematic review covering effectiveness, safety, economic aspects and evolution of practice, PLoS ONE. 13 (2018).</w:t>
      </w:r>
    </w:p>
    <w:p>
      <w:pPr>
        <w:pStyle w:val="Bibliography"/>
        <w:rPr>
          <w:rFonts w:ascii="Calibri" w:hAnsi="Calibri" w:cs="Calibri"/>
        </w:rPr>
      </w:pPr>
      <w:r>
        <w:rPr>
          <w:rFonts w:cs="Calibri"/>
        </w:rPr>
        <w:t>[15]</w:t>
        <w:tab/>
        <w:t>M.J. Page, J.E. McKenzie, M. Chau, S.E. Green, A. Forbes, Methods to select results to include in meta-analyses deserve more consideration in systematic reviews, Journal of Clinical Epidemiology. 68 (2015) 1282–1291.</w:t>
      </w:r>
    </w:p>
    <w:p>
      <w:pPr>
        <w:pStyle w:val="Bibliography"/>
        <w:rPr>
          <w:rFonts w:ascii="Calibri" w:hAnsi="Calibri" w:cs="Calibri"/>
        </w:rPr>
      </w:pPr>
      <w:r>
        <w:rPr>
          <w:rFonts w:cs="Calibri"/>
        </w:rPr>
        <w:t>[16]</w:t>
        <w:tab/>
        <w:t>M.J. Page, J.E. McKenzie, J. Kirkham, K. Dwan, S. Kramer, S. Green, A. Forbes, Bias due to selective inclusion and reporting of outcomes and analyses in systematic reviews of randomised trials of healthcare interventions, Cochrane Database of Systematic Reviews. (2014).</w:t>
      </w:r>
    </w:p>
    <w:p>
      <w:pPr>
        <w:pStyle w:val="Bibliography"/>
        <w:rPr>
          <w:rFonts w:ascii="Calibri" w:hAnsi="Calibri" w:cs="Calibri"/>
        </w:rPr>
      </w:pPr>
      <w:r>
        <w:rPr>
          <w:rFonts w:cs="Calibri"/>
        </w:rPr>
        <w:t>[17]</w:t>
        <w:tab/>
        <w:t>C. Palpacuer, K. Hammas, R. Duprez, B. Laviolle, J.P.A. Ioannidis, F. Naudet, Vibration of effects from diverse inclusion/exclusion criteria and analytical choices: 9216 different ways to perform an indirect comparison meta-analysis, BMC Medicine. 17 (2019) 1–13.</w:t>
      </w:r>
    </w:p>
    <w:p>
      <w:pPr>
        <w:pStyle w:val="Bibliography"/>
        <w:rPr>
          <w:rFonts w:ascii="Calibri" w:hAnsi="Calibri" w:cs="Calibri"/>
        </w:rPr>
      </w:pPr>
      <w:r>
        <w:rPr>
          <w:rFonts w:cs="Calibri"/>
        </w:rPr>
        <w:t>[18]</w:t>
        <w:tab/>
        <w:t>C.J. Patel, B. Burford, J.P.A. Ioannidis, Assessment of vibration of effects due to model specification can demonstrate the instability of observational associations, Journal of Clinical Epidemiology. 68 (2015) 1046–1058.</w:t>
      </w:r>
    </w:p>
    <w:p>
      <w:pPr>
        <w:pStyle w:val="Bibliography"/>
        <w:rPr>
          <w:rFonts w:ascii="Calibri" w:hAnsi="Calibri" w:cs="Calibri"/>
        </w:rPr>
      </w:pPr>
      <w:r>
        <w:rPr>
          <w:rFonts w:cs="Calibri"/>
        </w:rPr>
        <w:t>[19]</w:t>
        <w:tab/>
        <w:t>S. Rabi,  Operative vs non-operative management of displaced proximal humeral fractures in the elderly: A systematic review and meta-analysis of randomized controlled trials , World Journal of Orthopedics. 6 (2015) 838.</w:t>
      </w:r>
    </w:p>
    <w:p>
      <w:pPr>
        <w:pStyle w:val="Bibliography"/>
        <w:rPr>
          <w:rFonts w:ascii="Calibri" w:hAnsi="Calibri" w:cs="Calibri"/>
        </w:rPr>
      </w:pPr>
      <w:r>
        <w:rPr>
          <w:rFonts w:cs="Calibri"/>
        </w:rPr>
        <w:t>[20]</w:t>
        <w:tab/>
        <w:t>S. Sabharwal, N.K. Patel, D. Griffiths, T. Athanasiou, C.M. Gupte, P. Reilly, Trials based on specific fracture configuration and surgical procedures likely to be more relevant for decision making in the management of fractures of the proximal humerus, Bone &amp; Joint Research. 5 (2016) 470–480.</w:t>
      </w:r>
    </w:p>
    <w:p>
      <w:pPr>
        <w:pStyle w:val="Bibliography"/>
        <w:rPr>
          <w:rFonts w:ascii="Calibri" w:hAnsi="Calibri" w:cs="Calibri"/>
        </w:rPr>
      </w:pPr>
      <w:r>
        <w:rPr>
          <w:rFonts w:cs="Calibri"/>
        </w:rPr>
        <w:t>[21]</w:t>
        <w:tab/>
        <w:t>S. Serghiou, C.J. Patel, Y.Y. Tan, P. Koay, J.P.A. Ioannidis, Field-wide meta-analyses of observational associations can map selective availability of risk factors and the impact of model specifications, Journal of Clinical Epidemiology. 71 (2016) 58–67.</w:t>
      </w:r>
    </w:p>
    <w:p>
      <w:pPr>
        <w:pStyle w:val="Bibliography"/>
        <w:rPr>
          <w:rFonts w:ascii="Calibri" w:hAnsi="Calibri" w:cs="Calibri"/>
        </w:rPr>
      </w:pPr>
      <w:r>
        <w:rPr>
          <w:rFonts w:cs="Calibri"/>
        </w:rPr>
        <w:t>[22]</w:t>
        <w:tab/>
        <w:t>J.Q. Song, X.F. Deng, Y.M. Wang, X.B. Wang, X. Li, B. Yu, Operative vs. nonoperative treatment for comminuted proximal humeral fractures in elderly patients: A current meta-analysis, Acta Orthopaedica et Traumatologica Turcica. 49 (2015) 345–353.</w:t>
      </w:r>
    </w:p>
    <w:p>
      <w:pPr>
        <w:pStyle w:val="Bibliography"/>
        <w:rPr>
          <w:rFonts w:ascii="Calibri" w:hAnsi="Calibri" w:cs="Calibri"/>
        </w:rPr>
      </w:pPr>
      <w:r>
        <w:rPr>
          <w:rFonts w:cs="Calibri"/>
        </w:rPr>
        <w:t>[23]</w:t>
        <w:tab/>
        <w:t>B. Tendal, J.P.T. Higgins, P. Jüni, A. Hróbjartsson, S. Trelle, E. Nüesch, S. Wandel, A.W. Jørgensen, K. Gesser, S. Ilsøe-Kristensen, P.C. Gøtzsche, Disagreements in meta-analyses using outcomes measured on continuous or rating scales: observer agreement study, BMJ. 339 (2009).</w:t>
      </w:r>
    </w:p>
    <w:p>
      <w:pPr>
        <w:pStyle w:val="Bibliography"/>
        <w:rPr>
          <w:rFonts w:ascii="Calibri" w:hAnsi="Calibri" w:cs="Calibri"/>
        </w:rPr>
      </w:pPr>
      <w:r>
        <w:rPr>
          <w:rFonts w:cs="Calibri"/>
        </w:rPr>
        <w:t>[24]</w:t>
        <w:tab/>
        <w:t>B. Tendal, E. Nüesch, J.P.T. Higgins, P. Jüni, P.C. Gøtzsche, Multiplicity of data in trial reports and the reliability of meta-analyses: empirical study, BMJ. 343 (2011).</w:t>
      </w:r>
    </w:p>
    <w:p>
      <w:pPr>
        <w:pStyle w:val="Bibliography"/>
        <w:rPr>
          <w:rFonts w:ascii="Calibri" w:hAnsi="Calibri" w:cs="Calibri"/>
        </w:rPr>
      </w:pPr>
      <w:r>
        <w:rPr>
          <w:rFonts w:cs="Calibri"/>
        </w:rPr>
        <w:t>[25]</w:t>
        <w:tab/>
        <w:t>X. Wan, W. Wang, J. Liu, T. Tong, Estimating the sample mean and standard deviation from the sample size, median, range and/or interquartile range, BMC Medical Research Methodology. 14 (2014) 135.</w:t>
      </w:r>
    </w:p>
    <w:p>
      <w:pPr>
        <w:pStyle w:val="Bibliography"/>
        <w:rPr>
          <w:rFonts w:ascii="Calibri" w:hAnsi="Calibri" w:cs="Calibri"/>
        </w:rPr>
      </w:pPr>
      <w:r>
        <w:rPr>
          <w:rFonts w:cs="Calibri"/>
        </w:rPr>
        <w:t>[26]</w:t>
        <w:tab/>
        <w:t>L. Xie, F. Ding, Z. Zhao, Y. Chen, D. Xing, Operative versus non-operative treatment in complex proximal humeral fractures: a meta-analysis of randomized controlled trials, SpringerPlus. 4 (2015) 1–9.</w:t>
      </w:r>
    </w:p>
    <w:p>
      <w:pPr>
        <w:pStyle w:val="Bibliography"/>
        <w:spacing w:before="0" w:after="160"/>
        <w:rPr/>
      </w:pPr>
      <w:r>
        <w:rPr/>
      </w:r>
      <w:r>
        <w:rPr/>
        <w:fldChar w:fldCharType="end"/>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7533114"/>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a66077"/>
    <w:pPr>
      <w:keepNext w:val="true"/>
      <w:keepLines/>
      <w:spacing w:lineRule="auto" w:line="240" w:before="240" w:after="0"/>
      <w:jc w:val="both"/>
      <w:outlineLvl w:val="0"/>
    </w:pPr>
    <w:rPr>
      <w:rFonts w:ascii="Calibri" w:hAnsi="Calibri" w:eastAsia="Times New Roman" w:cs="Calibri" w:cstheme="minorHAnsi"/>
      <w:b/>
      <w:sz w:val="32"/>
      <w:szCs w:val="32"/>
    </w:rPr>
  </w:style>
  <w:style w:type="paragraph" w:styleId="Heading2">
    <w:name w:val="Heading 2"/>
    <w:basedOn w:val="Normal"/>
    <w:next w:val="Normal"/>
    <w:link w:val="Heading2Char"/>
    <w:uiPriority w:val="9"/>
    <w:unhideWhenUsed/>
    <w:qFormat/>
    <w:rsid w:val="00a66077"/>
    <w:pPr>
      <w:keepNext w:val="true"/>
      <w:keepLines/>
      <w:spacing w:before="40" w:after="0"/>
      <w:outlineLvl w:val="1"/>
    </w:pPr>
    <w:rPr>
      <w:rFonts w:ascii="Calibri Light" w:hAnsi="Calibri Light"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a66077"/>
    <w:pPr>
      <w:keepNext w:val="true"/>
      <w:keepLines/>
      <w:spacing w:before="40" w:after="0"/>
      <w:outlineLvl w:val="2"/>
    </w:pPr>
    <w:rPr>
      <w:rFonts w:ascii="Calibri Light" w:hAnsi="Calibri Light"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9"/>
    <w:unhideWhenUsed/>
    <w:qFormat/>
    <w:rsid w:val="00a66077"/>
    <w:pPr>
      <w:keepNext w:val="true"/>
      <w:keepLines/>
      <w:spacing w:before="40" w:after="0"/>
      <w:outlineLvl w:val="3"/>
    </w:pPr>
    <w:rPr>
      <w:rFonts w:ascii="Calibri Light" w:hAnsi="Calibri Light" w:eastAsia="" w:cs="" w:asciiTheme="majorHAnsi" w:cstheme="majorBidi" w:eastAsiaTheme="majorEastAsia" w:hAnsiTheme="majorHAnsi"/>
      <w:b/>
      <w:bCs/>
      <w:i/>
      <w:iCs/>
    </w:rPr>
  </w:style>
  <w:style w:type="paragraph" w:styleId="Heading5">
    <w:name w:val="Heading 5"/>
    <w:basedOn w:val="Heading4"/>
    <w:next w:val="Normal"/>
    <w:link w:val="Heading5Char"/>
    <w:uiPriority w:val="9"/>
    <w:unhideWhenUsed/>
    <w:qFormat/>
    <w:rsid w:val="00530d96"/>
    <w:pPr>
      <w:outlineLvl w:val="4"/>
    </w:pPr>
    <w:rPr>
      <w:rFonts w:ascii="Calibri" w:hAnsi="Calibri" w:cs="Calibri" w:asciiTheme="minorHAnsi" w:cstheme="minorHAnsi" w:hAnsiTheme="minorHAnsi"/>
      <w:b w:val="false"/>
      <w:bCs w:val="false"/>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66077"/>
    <w:rPr>
      <w:rFonts w:ascii="Segoe UI" w:hAnsi="Segoe UI" w:cs="Segoe UI"/>
      <w:sz w:val="18"/>
      <w:szCs w:val="18"/>
    </w:rPr>
  </w:style>
  <w:style w:type="character" w:styleId="Heading1Char" w:customStyle="1">
    <w:name w:val="Heading 1 Char"/>
    <w:basedOn w:val="DefaultParagraphFont"/>
    <w:link w:val="Heading1"/>
    <w:uiPriority w:val="9"/>
    <w:qFormat/>
    <w:rsid w:val="00a66077"/>
    <w:rPr>
      <w:rFonts w:ascii="Calibri" w:hAnsi="Calibri" w:eastAsia="Times New Roman" w:cs="Calibri" w:cstheme="minorHAnsi"/>
      <w:b/>
      <w:sz w:val="32"/>
      <w:szCs w:val="32"/>
    </w:rPr>
  </w:style>
  <w:style w:type="character" w:styleId="Heading2Char" w:customStyle="1">
    <w:name w:val="Heading 2 Char"/>
    <w:basedOn w:val="DefaultParagraphFont"/>
    <w:link w:val="Heading2"/>
    <w:uiPriority w:val="9"/>
    <w:qFormat/>
    <w:rsid w:val="00a66077"/>
    <w:rPr>
      <w:rFonts w:ascii="Calibri Light" w:hAnsi="Calibri Light"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a66077"/>
    <w:rPr>
      <w:rFonts w:ascii="Calibri Light" w:hAnsi="Calibri Light" w:eastAsia="" w:cs="" w:asciiTheme="majorHAnsi" w:cstheme="majorBidi" w:eastAsiaTheme="majorEastAsia" w:hAnsiTheme="majorHAnsi"/>
      <w:b/>
      <w:bCs/>
      <w:sz w:val="24"/>
      <w:szCs w:val="24"/>
    </w:rPr>
  </w:style>
  <w:style w:type="character" w:styleId="Heading4Char" w:customStyle="1">
    <w:name w:val="Heading 4 Char"/>
    <w:basedOn w:val="DefaultParagraphFont"/>
    <w:link w:val="Heading4"/>
    <w:uiPriority w:val="9"/>
    <w:qFormat/>
    <w:rsid w:val="00a66077"/>
    <w:rPr>
      <w:rFonts w:ascii="Calibri Light" w:hAnsi="Calibri Light" w:eastAsia="" w:cs="" w:asciiTheme="majorHAnsi" w:cstheme="majorBidi" w:eastAsiaTheme="majorEastAsia" w:hAnsiTheme="majorHAnsi"/>
      <w:b/>
      <w:bCs/>
      <w:i/>
      <w:iCs/>
    </w:rPr>
  </w:style>
  <w:style w:type="character" w:styleId="SubtitleChar" w:customStyle="1">
    <w:name w:val="Subtitle Char"/>
    <w:basedOn w:val="DefaultParagraphFont"/>
    <w:link w:val="Subtitle"/>
    <w:uiPriority w:val="11"/>
    <w:qFormat/>
    <w:rsid w:val="00fc15e3"/>
    <w:rPr>
      <w:rFonts w:eastAsia="" w:eastAsiaTheme="minorEastAsia"/>
      <w:spacing w:val="15"/>
      <w:sz w:val="18"/>
      <w:szCs w:val="18"/>
    </w:rPr>
  </w:style>
  <w:style w:type="character" w:styleId="HeaderChar" w:customStyle="1">
    <w:name w:val="Header Char"/>
    <w:basedOn w:val="DefaultParagraphFont"/>
    <w:link w:val="Header"/>
    <w:uiPriority w:val="99"/>
    <w:qFormat/>
    <w:rsid w:val="00ed50f6"/>
    <w:rPr/>
  </w:style>
  <w:style w:type="character" w:styleId="FooterChar" w:customStyle="1">
    <w:name w:val="Footer Char"/>
    <w:basedOn w:val="DefaultParagraphFont"/>
    <w:link w:val="Footer"/>
    <w:uiPriority w:val="99"/>
    <w:qFormat/>
    <w:rsid w:val="00ed50f6"/>
    <w:rPr/>
  </w:style>
  <w:style w:type="character" w:styleId="Annotationreference">
    <w:name w:val="annotation reference"/>
    <w:basedOn w:val="DefaultParagraphFont"/>
    <w:uiPriority w:val="99"/>
    <w:semiHidden/>
    <w:unhideWhenUsed/>
    <w:qFormat/>
    <w:rsid w:val="00f53871"/>
    <w:rPr>
      <w:sz w:val="16"/>
      <w:szCs w:val="16"/>
    </w:rPr>
  </w:style>
  <w:style w:type="character" w:styleId="CommentTextChar" w:customStyle="1">
    <w:name w:val="Comment Text Char"/>
    <w:basedOn w:val="DefaultParagraphFont"/>
    <w:link w:val="CommentText"/>
    <w:uiPriority w:val="99"/>
    <w:qFormat/>
    <w:rsid w:val="00f53871"/>
    <w:rPr>
      <w:rFonts w:ascii="Times New Roman" w:hAnsi="Times New Roman" w:cs="Times New Roman"/>
      <w:sz w:val="20"/>
      <w:szCs w:val="20"/>
      <w:lang w:val="da-DK"/>
    </w:rPr>
  </w:style>
  <w:style w:type="character" w:styleId="CommentSubjectChar" w:customStyle="1">
    <w:name w:val="Comment Subject Char"/>
    <w:basedOn w:val="CommentTextChar"/>
    <w:link w:val="CommentSubject"/>
    <w:uiPriority w:val="99"/>
    <w:semiHidden/>
    <w:qFormat/>
    <w:rsid w:val="007b0598"/>
    <w:rPr>
      <w:rFonts w:ascii="Times New Roman" w:hAnsi="Times New Roman" w:cs="Times New Roman"/>
      <w:b/>
      <w:bCs/>
      <w:sz w:val="20"/>
      <w:szCs w:val="20"/>
      <w:lang w:val="da-DK"/>
    </w:rPr>
  </w:style>
  <w:style w:type="character" w:styleId="Veryhardreadability" w:customStyle="1">
    <w:name w:val="veryhardreadability"/>
    <w:basedOn w:val="DefaultParagraphFont"/>
    <w:qFormat/>
    <w:rsid w:val="00b664ec"/>
    <w:rPr/>
  </w:style>
  <w:style w:type="character" w:styleId="Complexword" w:customStyle="1">
    <w:name w:val="complexword"/>
    <w:basedOn w:val="DefaultParagraphFont"/>
    <w:qFormat/>
    <w:rsid w:val="00b664ec"/>
    <w:rPr/>
  </w:style>
  <w:style w:type="character" w:styleId="InternetLink">
    <w:name w:val="Hyperlink"/>
    <w:basedOn w:val="DefaultParagraphFont"/>
    <w:uiPriority w:val="99"/>
    <w:semiHidden/>
    <w:unhideWhenUsed/>
    <w:rsid w:val="00bd6e81"/>
    <w:rPr>
      <w:color w:val="0000FF"/>
      <w:u w:val="single"/>
    </w:rPr>
  </w:style>
  <w:style w:type="character" w:styleId="VisitedInternetLink">
    <w:name w:val="FollowedHyperlink"/>
    <w:basedOn w:val="DefaultParagraphFont"/>
    <w:uiPriority w:val="99"/>
    <w:semiHidden/>
    <w:unhideWhenUsed/>
    <w:rsid w:val="004d6f38"/>
    <w:rPr>
      <w:color w:val="954F72" w:themeColor="followedHyperlink"/>
      <w:u w:val="single"/>
    </w:rPr>
  </w:style>
  <w:style w:type="character" w:styleId="Heading5Char" w:customStyle="1">
    <w:name w:val="Heading 5 Char"/>
    <w:basedOn w:val="DefaultParagraphFont"/>
    <w:link w:val="Heading5"/>
    <w:uiPriority w:val="9"/>
    <w:qFormat/>
    <w:rsid w:val="00530d96"/>
    <w:rPr>
      <w:rFonts w:eastAsia="" w:cs="Calibri" w:cstheme="minorHAnsi" w:eastAsiaTheme="majorEastAsia"/>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66077"/>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fc15e3"/>
    <w:pPr/>
    <w:rPr>
      <w:rFonts w:eastAsia="" w:eastAsiaTheme="minorEastAsia"/>
      <w:spacing w:val="15"/>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ed50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0f6"/>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f53871"/>
    <w:pPr>
      <w:spacing w:lineRule="exact" w:line="300" w:before="0" w:after="140"/>
      <w:jc w:val="both"/>
    </w:pPr>
    <w:rPr>
      <w:rFonts w:ascii="Times New Roman" w:hAnsi="Times New Roman" w:cs="Times New Roman"/>
      <w:sz w:val="20"/>
      <w:szCs w:val="20"/>
      <w:lang w:val="da-DK"/>
    </w:rPr>
  </w:style>
  <w:style w:type="paragraph" w:styleId="Annotationsubject">
    <w:name w:val="annotation subject"/>
    <w:basedOn w:val="Annotationtext"/>
    <w:next w:val="Annotationtext"/>
    <w:link w:val="CommentSubjectChar"/>
    <w:uiPriority w:val="99"/>
    <w:semiHidden/>
    <w:unhideWhenUsed/>
    <w:qFormat/>
    <w:rsid w:val="007b0598"/>
    <w:pPr>
      <w:spacing w:lineRule="auto" w:line="240" w:before="0" w:after="160"/>
      <w:jc w:val="left"/>
    </w:pPr>
    <w:rPr>
      <w:rFonts w:ascii="Calibri" w:hAnsi="Calibri" w:cs="" w:asciiTheme="minorHAnsi" w:cstheme="minorBidi" w:hAnsiTheme="minorHAnsi"/>
      <w:b/>
      <w:bCs/>
      <w:lang w:val="en-US"/>
    </w:rPr>
  </w:style>
  <w:style w:type="paragraph" w:styleId="ListParagraph">
    <w:name w:val="List Paragraph"/>
    <w:basedOn w:val="Normal"/>
    <w:uiPriority w:val="34"/>
    <w:qFormat/>
    <w:rsid w:val="001f19fe"/>
    <w:pPr>
      <w:spacing w:before="0" w:after="160"/>
      <w:ind w:left="720" w:hanging="0"/>
      <w:contextualSpacing/>
    </w:pPr>
    <w:rPr/>
  </w:style>
  <w:style w:type="paragraph" w:styleId="Bibliography">
    <w:name w:val="Bibliography"/>
    <w:basedOn w:val="Normal"/>
    <w:next w:val="Normal"/>
    <w:uiPriority w:val="37"/>
    <w:unhideWhenUsed/>
    <w:qFormat/>
    <w:rsid w:val="00c223c4"/>
    <w:pPr/>
    <w:rPr/>
  </w:style>
  <w:style w:type="paragraph" w:styleId="M6259061504110034848msolistparagraph" w:customStyle="1">
    <w:name w:val="m_6259061504110034848msolistparagraph"/>
    <w:basedOn w:val="Normal"/>
    <w:qFormat/>
    <w:rsid w:val="00bd6e81"/>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330d6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31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82BC-2A57-4B6D-A352-7D7289B8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Application>LibreOffice/7.0.5.2$Linux_X86_64 LibreOffice_project/00$Build-2</Application>
  <AppVersion>15.0000</AppVersion>
  <Pages>10</Pages>
  <Words>3853</Words>
  <Characters>21731</Characters>
  <CharactersWithSpaces>25291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2020-10-28T14:39:00Z</dcterms:created>
  <dc:creator>Nicolai S</dc:creator>
  <dc:description/>
  <dc:language>da-DK</dc:language>
  <cp:lastModifiedBy/>
  <cp:lastPrinted>2021-03-30T07:42:00Z</cp:lastPrinted>
  <dcterms:modified xsi:type="dcterms:W3CDTF">2021-05-10T12:07:02Z</dcterms:modified>
  <cp:revision>1169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id="gOz15xnc"/&gt;&lt;style id="http://www.zotero.org/styles/elsevier-with-titles-alphabetical" hasBibliography="1" bibliographyStyleHasBeenSet="1"/&gt;&lt;prefs&gt;&lt;pref name="fieldType" value="Field"/&gt;&lt;/prefs&gt;&lt;/d</vt:lpwstr>
  </property>
  <property fmtid="{D5CDD505-2E9C-101B-9397-08002B2CF9AE}" pid="3" name="ZOTERO_PREF_2">
    <vt:lpwstr>ata&gt;</vt:lpwstr>
  </property>
</Properties>
</file>