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  <w:sz w:val="26"/>
          <w:szCs w:val="26"/>
        </w:rPr>
      </w:pPr>
      <w:bookmarkStart w:colFirst="0" w:colLast="0" w:name="_h3w0q8gwuzi0" w:id="0"/>
      <w:bookmarkEnd w:id="0"/>
      <w:r w:rsidDel="00000000" w:rsidR="00000000" w:rsidRPr="00000000">
        <w:rPr>
          <w:color w:val="424242"/>
          <w:sz w:val="26"/>
          <w:szCs w:val="26"/>
          <w:rtl w:val="0"/>
        </w:rPr>
        <w:t xml:space="preserve">173079 - API_v1_Inventarios_Comercial_TransferenciaEnTransitoEntrada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br w:type="textWrapping"/>
        <w:br w:type="textWrapping"/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https://serviciosqa.siesacloud.com/api/siesa/v3/conectoresimportarestandar?idCompania=8215&amp;idDocumento=173079&amp;nombreDocumento=API_v1_Inventarios_Comercial_TransferenciaEnTransitoEntrada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9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A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 173079</w:t>
      </w:r>
    </w:p>
    <w:p w:rsidR="00000000" w:rsidDel="00000000" w:rsidP="00000000" w:rsidRDefault="00000000" w:rsidRPr="00000000" w14:paraId="0000000B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 API_v1_Inventarios_Comercial_TransferenciaEnTransitoEntrada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"f450_id_bodega_salida":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"f450_id_bodega_entrada":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"f450_docto_alterno":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"f350_id_co_base":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"f350_id_tipo_docto_base":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"f350_consec_docto_base": 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"Movimiento de Seriales":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"f479_id_co":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"f479_id_tipo_docto":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"f479_consec_docto":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"f479_nro_registro":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"f479_id_serial":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"f479_fecha_garantia":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"f479_notas": 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"f470_id_co":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"f470_id_tipo_docto":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"f470_consec_docto":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"f470_nro_registro":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"f470_id_bodega":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"f470_id_ubicacion_aux":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"f470_id_lote":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"f470_id_motivo":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"f470_id_co_movto":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"f470_id_ccosto_movto":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"f470_id_proyecto":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"f470_id_unidad_medida":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"f470_cant_base":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"f470_cant_2":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"f470_costo_prom_uni":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"f470_notas":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"f470_desc_varible":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"f470_id_ubicacion_aux_ent":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"f470_id_lote_ent":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"f470_id_item":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"f470_referencia_item":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"f470_codigo_barras":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"f470_id_ext1_detalle":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"f470_id_ext2_detalle":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"f470_id_un_movto":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"f470_rowid_movto": 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inicial</w:t>
        <w:br w:type="textWrapping"/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  <w:t xml:space="preserve">documentos</w:t>
        <w:br w:type="textWrapping"/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"0=Manual, significa que respecta el consecutivo asignado en el plano, 1=Automatico, significa que el consecutivo es recalculado con base en la tabla de consecutivos de docto."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"0=En elaboración, 1=Aprobado/Contabilizado, 2=Anulado"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"0=No, 1=Si"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f450_docto_alterno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 se valida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"Numero de documento de tansito, obligatorio para Entradas Transito y Devoluciones Transito"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br w:type="textWrapping"/>
        <w:t xml:space="preserve">movimiento de seriales</w:t>
        <w:br w:type="textWrapping"/>
        <w:br w:type="textWrapping"/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 serial, debe existir en el maestro de seriales con estado = ""Creado"". Si el serial es nuevo deben enviar un tipo de registro 0417 con toda la información para crearlo"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f479_fecha_garantia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AAAAMMDD, obligatorio si el serial maneja fecha de garantía."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br w:type="textWrapping"/>
        <w:t xml:space="preserve">movimientos</w:t>
        <w:br w:type="textWrapping"/>
        <w:br w:type="textWrapping"/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de entrada maneja ubicaciones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de entrada manejan lotes y la bodega de salida no maneja. Si la bodega de salida maneja lote debe ser vacio.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f470_rowid_movto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Rowid del movimiento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bodega. Si es transferencia debe ser igual a la Bodega salida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maneja ubiaciones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manejan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medidad.(000000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f470_costo_prom_uni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Costo unitario en unidad de captura. El formato debe ser (15 enteros + punto + 4 decimales). El número de decimales se deben reportar teniendo en cuenta el número de decimales configurados en la moneda (decimales unidades).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f470_desc_varible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Descripcion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