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857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14325"/>
                    </a:xfrm>
                    <a:prstGeom prst="rect">
                      <a:avLst/>
                    </a:prstGeom>
                  </pic:spPr>
                </pic:pic>
              </a:graphicData>
            </a:graphic>
          </wp:inline>
        </w:drawing>
      </w:r>
    </w:p>
    <w:p>
      <w:pPr>
        <w:spacing w:after="30"/>
        <w:jc w:val="center"/>
      </w:pPr>
      <w:r>
        <w:rPr>
          <w:rFonts w:ascii="Pilcrow Rounded" w:cs="Pilcrow Rounded" w:eastAsia="Pilcrow Rounded" w:hAnsi="Pilcrow Rounded"/>
          <w:color w:val="6E6E6E"/>
          <w:sz w:val="17"/>
          <w:szCs w:val="17"/>
        </w:rPr>
        <w:t xml:space="preserve">Nelly Carmensa Figueroa Anacona  ·  NIT 52.430.291-0</w:t>
      </w:r>
    </w:p>
    <w:p>
      <w:pPr>
        <w:spacing w:after="20"/>
        <w:jc w:val="center"/>
      </w:pPr>
      <w:r>
        <w:rPr>
          <w:rFonts w:ascii="Pilcrow Rounded" w:cs="Pilcrow Rounded" w:eastAsia="Pilcrow Rounded" w:hAnsi="Pilcrow Rounded"/>
          <w:color w:val="6E6E6E"/>
          <w:sz w:val="17"/>
          <w:szCs w:val="17"/>
        </w:rPr>
        <w:t xml:space="preserve">En reorganización empresarial — Ley 1116 de 2006</w:t>
      </w:r>
    </w:p>
    <w:p>
      <w:pPr>
        <w:spacing w:after="300"/>
        <w:jc w:val="center"/>
      </w:pPr>
      <w:r>
        <w:rPr>
          <w:rFonts w:ascii="Pilcrow Rounded" w:cs="Pilcrow Rounded" w:eastAsia="Pilcrow Rounded" w:hAnsi="Pilcrow Rounded"/>
          <w:color w:val="6E6E6E"/>
          <w:sz w:val="17"/>
          <w:szCs w:val="17"/>
        </w:rPr>
        <w:t xml:space="preserve">Cra 2 Sur #6-15  ·  Neiva, Huila  ·  papeleriamedellin.com.co</w:t>
      </w:r>
    </w:p>
    <w:p>
      <w:pPr>
        <w:pBdr>
          <w:top w:val="single" w:color="1E8395" w:sz="14" w:space="8"/>
        </w:pBdr>
        <w:spacing w:after="40"/>
        <w:jc w:val="center"/>
      </w:pPr>
      <w:r>
        <w:rPr>
          <w:sz w:val="4"/>
          <w:szCs w:val="4"/>
        </w:rPr>
        <w:t xml:space="preserve"> </w:t>
      </w:r>
    </w:p>
    <w:p>
      <w:pPr>
        <w:spacing w:after="55"/>
        <w:jc w:val="center"/>
      </w:pPr>
      <w:r>
        <w:rPr>
          <w:rFonts w:ascii="Pilcrow Rounded" w:cs="Pilcrow Rounded" w:eastAsia="Pilcrow Rounded" w:hAnsi="Pilcrow Rounded"/>
          <w:b/>
          <w:bCs/>
          <w:color w:val="1E8395"/>
          <w:sz w:val="32"/>
          <w:szCs w:val="32"/>
        </w:rPr>
        <w:t xml:space="preserve">PARAMETRIZACIÓN Y SANEAMIENTO DEL ERP</w:t>
      </w:r>
    </w:p>
    <w:p>
      <w:pPr>
        <w:spacing w:after="40"/>
        <w:jc w:val="center"/>
      </w:pPr>
      <w:r>
        <w:rPr>
          <w:rFonts w:ascii="Pilcrow Rounded" w:cs="Pilcrow Rounded" w:eastAsia="Pilcrow Rounded" w:hAnsi="Pilcrow Rounded"/>
          <w:color w:val="6E6E6E"/>
          <w:sz w:val="20"/>
          <w:szCs w:val="20"/>
        </w:rPr>
        <w:t xml:space="preserve">SIS-CAR-01 · v1.5 · Condición de ejecución de la Política de Crédito y Cartera</w:t>
      </w:r>
    </w:p>
    <w:p>
      <w:pPr>
        <w:pBdr>
          <w:bottom w:val="single" w:color="1E8395" w:sz="14" w:space="8"/>
        </w:pBdr>
        <w:spacing w:after="60"/>
        <w:jc w:val="center"/>
      </w:pPr>
      <w:r>
        <w:rPr>
          <w:sz w:val="4"/>
          <w:szCs w:val="4"/>
        </w:rPr>
        <w:t xml:space="preserve"> </w:t>
      </w:r>
    </w:p>
    <w:p>
      <w:pPr>
        <w:spacing w:after="20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100"/>
        <w:gridCol w:w="2580"/>
        <w:gridCol w:w="2100"/>
        <w:gridCol w:w="2580"/>
      </w:tblGrid>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Código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SIS-CAR-01</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Versión</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1.5 · agosto 2026</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Ejecuta</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 y Sistemas</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Base del diagnóstico</w:t>
            </w:r>
          </w:p>
        </w:tc>
        <w:tc>
          <w:tcPr>
            <w:tcW w:type="dxa" w:w="46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10.852 registros de terceros · 335.712 documentos · 629 facturas abiertas</w:t>
            </w:r>
          </w:p>
        </w:tc>
      </w:tr>
    </w:tbl>
    <w:p>
      <w:pPr>
        <w:spacing w:after="20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PARA QUÉ SIRVE ESTE DOCUMENTO</w:t>
            </w:r>
          </w:p>
          <w:p>
            <w:pPr>
              <w:spacing w:after="55" w:line="252"/>
              <w:jc w:val="both"/>
            </w:pPr>
            <w:r>
              <w:rPr>
                <w:rFonts w:ascii="Pilcrow Rounded" w:cs="Pilcrow Rounded" w:eastAsia="Pilcrow Rounded" w:hAnsi="Pilcrow Rounded"/>
                <w:color w:val="333333"/>
                <w:sz w:val="19"/>
                <w:szCs w:val="19"/>
              </w:rPr>
              <w:t xml:space="preserve">La Política de Crédito y Cartera declara en su Artículo 2.1 que el sistema es la autoridad. Ese principio es verdadero o falso según lo que esté parametrizado el día del arranque, no según lo que diga el documento.</w:t>
            </w:r>
          </w:p>
          <w:p>
            <w:pPr>
              <w:spacing w:after="55" w:line="252"/>
              <w:jc w:val="both"/>
            </w:pPr>
            <w:r>
              <w:rPr>
                <w:rFonts w:ascii="Pilcrow Rounded" w:cs="Pilcrow Rounded" w:eastAsia="Pilcrow Rounded" w:hAnsi="Pilcrow Rounded"/>
                <w:color w:val="333333"/>
                <w:sz w:val="19"/>
                <w:szCs w:val="19"/>
              </w:rPr>
              <w:t xml:space="preserve">Aquí está lo que debe existir en el ERP para que cada artículo se pueda ejecutar, con volumen medido, prueba de aceptación y dueño. Lo que no esté listo en su fecha se declara suspendido por acta, nunca se descubre el día de la operación.</w:t>
            </w:r>
          </w:p>
          <w:p>
            <w:pPr>
              <w:spacing w:after="55" w:line="252"/>
              <w:jc w:val="both"/>
            </w:pPr>
            <w:r>
              <w:rPr>
                <w:rFonts w:ascii="Pilcrow Rounded" w:cs="Pilcrow Rounded" w:eastAsia="Pilcrow Rounded" w:hAnsi="Pilcrow Rounded"/>
                <w:color w:val="333333"/>
                <w:sz w:val="19"/>
                <w:szCs w:val="19"/>
              </w:rPr>
              <w:t xml:space="preserve">Todas las cifras de este documento salen de la extracción del 5 de agosto de 2026 y son verificables contra ella.</w:t>
            </w:r>
          </w:p>
        </w:tc>
      </w:tr>
    </w:tbl>
    <w:p>
      <w:pPr>
        <w:pBdr>
          <w:bottom w:val="single" w:color="1E8395" w:sz="8" w:space="5"/>
        </w:pBdr>
        <w:spacing w:after="150" w:before="340"/>
      </w:pPr>
      <w:r>
        <w:rPr>
          <w:rFonts w:ascii="Pilcrow Rounded" w:cs="Pilcrow Rounded" w:eastAsia="Pilcrow Rounded" w:hAnsi="Pilcrow Rounded"/>
          <w:b/>
          <w:bCs/>
          <w:color w:val="1E8395"/>
          <w:sz w:val="25"/>
          <w:szCs w:val="25"/>
        </w:rPr>
        <w:t xml:space="preserve">1. Los tres bloqueadores del arranque</w:t>
      </w:r>
    </w:p>
    <w:p>
      <w:pPr>
        <w:spacing w:after="115" w:line="268"/>
        <w:jc w:val="both"/>
      </w:pPr>
      <w:r>
        <w:rPr>
          <w:rFonts w:ascii="Pilcrow Rounded" w:cs="Pilcrow Rounded" w:eastAsia="Pilcrow Rounded" w:hAnsi="Pilcrow Rounded"/>
          <w:color w:val="333333"/>
          <w:sz w:val="20"/>
          <w:szCs w:val="20"/>
        </w:rPr>
        <w:t xml:space="preserve">Ninguno de los tres es de redacción. Los tres impiden materialmente que la política se ejecute el 17 de agosto y ninguno se resuelve escribiendo.</w:t>
      </w:r>
    </w:p>
    <w:p>
      <w:pPr>
        <w:spacing w:after="85" w:before="210"/>
      </w:pPr>
      <w:r>
        <w:rPr>
          <w:rFonts w:ascii="Pilcrow Rounded" w:cs="Pilcrow Rounded" w:eastAsia="Pilcrow Rounded" w:hAnsi="Pilcrow Rounded"/>
          <w:b/>
          <w:bCs/>
          <w:color w:val="333333"/>
          <w:sz w:val="21"/>
          <w:szCs w:val="21"/>
        </w:rPr>
        <w:t xml:space="preserve">1.1  El control existe: lo anula el perfil que vende</w:t>
      </w: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CORRECCIÓN DEL DIAGNÓSTICO ANTERIOR</w:t>
            </w:r>
          </w:p>
          <w:p>
            <w:pPr>
              <w:spacing w:after="55" w:line="252"/>
              <w:jc w:val="both"/>
            </w:pPr>
            <w:r>
              <w:rPr>
                <w:rFonts w:ascii="Pilcrow Rounded" w:cs="Pilcrow Rounded" w:eastAsia="Pilcrow Rounded" w:hAnsi="Pilcrow Rounded"/>
                <w:color w:val="333333"/>
                <w:sz w:val="19"/>
                <w:szCs w:val="19"/>
              </w:rPr>
              <w:t xml:space="preserve">Las versiones previas de este documento afirmaron, a partir de 3.892 clientes marcados que recibieron 7.350 facturas a crédito por $3.785 millones, que la bandera de bloqueo por mora «no impide facturar» y que el conector escribía sobre campos inertes.</w:t>
            </w:r>
          </w:p>
          <w:p>
            <w:pPr>
              <w:spacing w:after="55" w:line="252"/>
              <w:jc w:val="both"/>
            </w:pPr>
            <w:r>
              <w:rPr>
                <w:rFonts w:ascii="Pilcrow Rounded" w:cs="Pilcrow Rounded" w:eastAsia="Pilcrow Rounded" w:hAnsi="Pilcrow Rounded"/>
                <w:color w:val="333333"/>
                <w:sz w:val="19"/>
                <w:szCs w:val="19"/>
              </w:rPr>
              <w:t xml:space="preserve">Las pruebas transaccionales del 11 y 12 de agosto de 2026 en ambiente QA demuestran que la afirmación era falsa. Once pedidos consecutivos quedaron en estado «Retenido» al guardarse, sin una sola excepción, incluido el caso con la bandera de mora como única marca encendida. Los campos son funcionales.</w:t>
            </w:r>
          </w:p>
          <w:p>
            <w:pPr>
              <w:spacing w:after="55" w:line="252"/>
              <w:jc w:val="both"/>
            </w:pPr>
            <w:r>
              <w:rPr>
                <w:rFonts w:ascii="Pilcrow Rounded" w:cs="Pilcrow Rounded" w:eastAsia="Pilcrow Rounded" w:hAnsi="Pilcrow Rounded"/>
                <w:color w:val="333333"/>
                <w:sz w:val="19"/>
                <w:szCs w:val="19"/>
              </w:rPr>
              <w:t xml:space="preserve">La causa real de las 7.350 facturas es la ausencia de segregación de funciones: quien crea el pedido también lo aprueba. Desde la base de datos —que es desde donde se hizo el diagnóstico— un control que alguien levanta es indistinguible de la ausencia de control. Las 7.350 facturas no fueron una falla del sistema: fueron aprobaciones humanas.</w:t>
            </w:r>
          </w:p>
          <w:p>
            <w:pPr>
              <w:spacing w:after="55" w:line="252"/>
              <w:jc w:val="both"/>
            </w:pPr>
            <w:r>
              <w:rPr>
                <w:rFonts w:ascii="Pilcrow Rounded" w:cs="Pilcrow Rounded" w:eastAsia="Pilcrow Rounded" w:hAnsi="Pilcrow Rounded"/>
                <w:color w:val="333333"/>
                <w:sz w:val="19"/>
                <w:szCs w:val="19"/>
              </w:rPr>
              <w:t xml:space="preserve">El arreglo es configuración de seguridad, no desarrollo. No requiere conectores, ni integraciones, ni cambios en el maestro de terceros.</w:t>
            </w:r>
          </w:p>
        </w:tc>
      </w:tr>
    </w:tbl>
    <w:p>
      <w:pPr>
        <w:spacing w:after="140"/>
      </w:pPr>
    </w:p>
    <w:p>
      <w:pPr>
        <w:spacing w:after="115" w:line="268"/>
        <w:jc w:val="both"/>
      </w:pPr>
      <w:r>
        <w:rPr>
          <w:rFonts w:ascii="Pilcrow Rounded" w:cs="Pilcrow Rounded" w:eastAsia="Pilcrow Rounded" w:hAnsi="Pilcrow Rounded"/>
          <w:color w:val="333333"/>
          <w:sz w:val="20"/>
          <w:szCs w:val="20"/>
        </w:rPr>
        <w:t xml:space="preserve">Queda un asunto sin resolver y se trata en la sección 2.4: el bloqueo por mora retiene también las ventas de contado, lo que contradice la Regla 10 de la política.</w:t>
      </w:r>
    </w:p>
    <w:p>
      <w:pPr>
        <w:spacing w:after="14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CORRECCIÓN — LA CARTERA VENCIDA ESTABA INFLADA POR PARTES VINCULADAS</w:t>
            </w:r>
          </w:p>
          <w:p>
            <w:pPr>
              <w:spacing w:after="55" w:line="252"/>
              <w:jc w:val="both"/>
            </w:pPr>
            <w:r>
              <w:rPr>
                <w:rFonts w:ascii="Pilcrow Rounded" w:cs="Pilcrow Rounded" w:eastAsia="Pilcrow Rounded" w:hAnsi="Pilcrow Rounded"/>
                <w:color w:val="333333"/>
                <w:sz w:val="19"/>
                <w:szCs w:val="19"/>
              </w:rPr>
              <w:t xml:space="preserve">Nueve identificaciones del maestro son partes vinculadas: la sociedad importadora del grupo, el socio con quien se realizan negocios directos y siete familiares del núcleo propietario. Sus saldos figuraban como cartera comercial vencida.</w:t>
            </w:r>
          </w:p>
          <w:p>
            <w:pPr>
              <w:spacing w:after="55" w:line="252"/>
              <w:jc w:val="both"/>
            </w:pPr>
            <w:r>
              <w:rPr>
                <w:rFonts w:ascii="Pilcrow Rounded" w:cs="Pilcrow Rounded" w:eastAsia="Pilcrow Rounded" w:hAnsi="Pilcrow Rounded"/>
                <w:color w:val="333333"/>
                <w:sz w:val="19"/>
                <w:szCs w:val="19"/>
              </w:rPr>
              <w:t xml:space="preserve">Separadas, junto con las entidades del Régimen B, los clientes que quedarían bloqueados el 17 de agosto son 236 con $313,0 millones de cartera vencida, sobre un total vencido de $659,2 millones y 259 clientes. Las partes vinculadas concentran $295,4 millones — el 45% de toda la mora registrada.</w:t>
            </w:r>
          </w:p>
          <w:p>
            <w:pPr>
              <w:spacing w:after="55" w:line="252"/>
              <w:jc w:val="both"/>
            </w:pPr>
            <w:r>
              <w:rPr>
                <w:rFonts w:ascii="Pilcrow Rounded" w:cs="Pilcrow Rounded" w:eastAsia="Pilcrow Rounded" w:hAnsi="Pilcrow Rounded"/>
                <w:color w:val="333333"/>
                <w:sz w:val="19"/>
                <w:szCs w:val="19"/>
              </w:rPr>
              <w:t xml:space="preserve">Estas identificaciones deben marcarse en el maestro con un criterio de clasificación propio antes del arranque. Si no se marcan, el sistema las bloquea el día 17, y bloquea con ellas la operación de importación de la que depende el margen del canal mayorista.</w:t>
            </w:r>
          </w:p>
        </w:tc>
      </w:tr>
    </w:tbl>
    <w:p>
      <w:pPr>
        <w:spacing w:after="120"/>
      </w:pPr>
    </w:p>
    <w:p>
      <w:pPr>
        <w:spacing w:after="85" w:before="210"/>
      </w:pPr>
      <w:r>
        <w:rPr>
          <w:rFonts w:ascii="Pilcrow Rounded" w:cs="Pilcrow Rounded" w:eastAsia="Pilcrow Rounded" w:hAnsi="Pilcrow Rounded"/>
          <w:b/>
          <w:bCs/>
          <w:color w:val="333333"/>
          <w:sz w:val="21"/>
          <w:szCs w:val="21"/>
        </w:rPr>
        <w:t xml:space="preserve">1.2  El 95,6% de los clientes no tiene cupo</w:t>
      </w:r>
    </w:p>
    <w:p>
      <w:pPr>
        <w:spacing w:after="115" w:line="268"/>
        <w:jc w:val="both"/>
      </w:pPr>
      <w:r>
        <w:rPr>
          <w:rFonts w:ascii="Pilcrow Rounded" w:cs="Pilcrow Rounded" w:eastAsia="Pilcrow Rounded" w:hAnsi="Pilcrow Rounded"/>
          <w:color w:val="333333"/>
          <w:sz w:val="20"/>
          <w:szCs w:val="20"/>
        </w:rPr>
        <w:t xml:space="preserve">El Artículo 5.1 dice que el cliente sin cupo aprobado compra de contado, sin excepción y sin trámite. Aplicado sobre el maestro actual:</w:t>
      </w:r>
    </w:p>
    <w:p>
      <w:pPr>
        <w:spacing w:after="4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5100"/>
        <w:gridCol w:w="4260"/>
      </w:tblGrid>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NIT sin cupo registrado</w:t>
            </w:r>
          </w:p>
        </w:tc>
        <w:tc>
          <w:tcPr>
            <w:tcW w:type="dxa" w:w="4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7.659 de 8.008  ·  95,6%</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Facturas a crédito a clientes sin cupo (12 meses)</w:t>
            </w:r>
          </w:p>
        </w:tc>
        <w:tc>
          <w:tcPr>
            <w:tcW w:type="dxa" w:w="4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18.356</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Valor</w:t>
            </w:r>
          </w:p>
        </w:tc>
        <w:tc>
          <w:tcPr>
            <w:tcW w:type="dxa" w:w="4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$8.146.417.422</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Proporción de toda la venta a crédito de la compañía</w:t>
            </w:r>
          </w:p>
        </w:tc>
        <w:tc>
          <w:tcPr>
            <w:tcW w:type="dxa" w:w="4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75,2%</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La regla es correcta; lo que falta es el dato. Sin cupos cargados, encender el Artículo 5.1 manda tres cuartas partes de la venta a crédito a contado de un día para otro. La carga de cupos es condición previa del arranque, no consecuencia.</w:t>
      </w:r>
    </w:p>
    <w:p>
      <w:pPr>
        <w:spacing w:after="85" w:before="210"/>
      </w:pPr>
      <w:r>
        <w:rPr>
          <w:rFonts w:ascii="Pilcrow Rounded" w:cs="Pilcrow Rounded" w:eastAsia="Pilcrow Rounded" w:hAnsi="Pilcrow Rounded"/>
          <w:b/>
          <w:bCs/>
          <w:color w:val="333333"/>
          <w:sz w:val="21"/>
          <w:szCs w:val="21"/>
        </w:rPr>
        <w:t xml:space="preserve">1.3  Uno de cada cuatro documentos sale con condición de pago editada</w:t>
      </w:r>
    </w:p>
    <w:p>
      <w:pPr>
        <w:spacing w:after="4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400"/>
        <w:gridCol w:w="1900"/>
        <w:gridCol w:w="2200"/>
        <w:gridCol w:w="1860"/>
      </w:tblGrid>
      <w:tr>
        <w:tc>
          <w:tcPr>
            <w:tcW w:type="dxa" w:w="3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Dirección de la desviación</w:t>
            </w:r>
          </w:p>
        </w:tc>
        <w:tc>
          <w:tcPr>
            <w:tcW w:type="dxa" w:w="1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Documentos</w:t>
            </w:r>
          </w:p>
        </w:tc>
        <w:tc>
          <w:tcPr>
            <w:tcW w:type="dxa" w:w="2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 12 meses</w:t>
            </w:r>
          </w:p>
        </w:tc>
        <w:tc>
          <w:tcPr>
            <w:tcW w:type="dxa" w:w="18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Clientes</w:t>
            </w:r>
          </w:p>
        </w:tc>
      </w:tr>
      <w:tr>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 favor — contado a cliente con crédito</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4.479</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$944.133.030</w:t>
            </w:r>
          </w:p>
        </w:tc>
        <w:tc>
          <w:tcPr>
            <w:tcW w:type="dxa" w:w="18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1.321</w:t>
            </w:r>
          </w:p>
        </w:tc>
      </w:tr>
      <w:tr>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Lateral — cambió un plazo por otro</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2.214</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$1.474.641.152</w:t>
            </w:r>
          </w:p>
        </w:tc>
        <w:tc>
          <w:tcPr>
            <w:tcW w:type="dxa" w:w="18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670</w:t>
            </w:r>
          </w:p>
        </w:tc>
      </w:tr>
      <w:tr>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 contra — crédito a cliente de contado</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38</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$21.187.835</w:t>
            </w:r>
          </w:p>
        </w:tc>
        <w:tc>
          <w:tcPr>
            <w:tcW w:type="dxa" w:w="18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20</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Sobre 27.661 documentos con cliente identificado, 6.731 difieren del maestro: el 24,3%. Dos tercios son inofensivos. El riesgo real son los mil cuatrocientos setenta y cinco millones de la fila del medio: alguien cambió el plazo en la pantalla de facturación. Bloquear ese campo es la parametrización de mayor retorno de todo este documento y no depende de ninguna otra.</w:t>
      </w:r>
    </w:p>
    <w:p>
      <w:pPr>
        <w:pageBreakBefore/>
        <w:spacing w:after="0"/>
      </w:pPr>
    </w:p>
    <w:p>
      <w:pPr>
        <w:spacing w:after="85" w:before="210"/>
      </w:pPr>
      <w:r>
        <w:rPr>
          <w:rFonts w:ascii="Pilcrow Rounded" w:cs="Pilcrow Rounded" w:eastAsia="Pilcrow Rounded" w:hAnsi="Pilcrow Rounded"/>
          <w:b/>
          <w:bCs/>
          <w:color w:val="333333"/>
          <w:sz w:val="21"/>
          <w:szCs w:val="21"/>
        </w:rPr>
        <w:t xml:space="preserve">1.4  El Artículo 3 no es verdadero hasta unificar las condiciones</w:t>
      </w:r>
    </w:p>
    <w:p>
      <w:pPr>
        <w:spacing w:after="115" w:line="268"/>
        <w:jc w:val="both"/>
      </w:pPr>
      <w:r>
        <w:rPr>
          <w:rFonts w:ascii="Pilcrow Rounded" w:cs="Pilcrow Rounded" w:eastAsia="Pilcrow Rounded" w:hAnsi="Pilcrow Rounded"/>
          <w:color w:val="333333"/>
          <w:sz w:val="20"/>
          <w:szCs w:val="20"/>
        </w:rPr>
        <w:t xml:space="preserve">La política declara que un cliente no puede estar habilitado en un punto y bloqueado en otro. Hoy 1.689 identificaciones tienen condiciones de pago distintas entre sus sucursales, de modo que la condición que hereda una factura depende de por dónde compre el cliente.</w:t>
      </w:r>
    </w:p>
    <w:p>
      <w:pPr>
        <w:spacing w:after="115" w:line="268"/>
        <w:jc w:val="both"/>
      </w:pPr>
      <w:r>
        <w:rPr>
          <w:rFonts w:ascii="Pilcrow Rounded" w:cs="Pilcrow Rounded" w:eastAsia="Pilcrow Rounded" w:hAnsi="Pilcrow Rounded"/>
          <w:color w:val="333333"/>
          <w:sz w:val="20"/>
          <w:szCs w:val="20"/>
        </w:rPr>
        <w:t xml:space="preserve">El saneamiento manual está programado para septiembre, pero la regla de unificación no puede esperar sin volver falso el artículo el primer día. Se resuelve adelantando el desempate como valor por defecto del sistema: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400"/>
        <w:gridCol w:w="2500"/>
        <w:gridCol w:w="2460"/>
      </w:tblGrid>
      <w:tr>
        <w:tc>
          <w:tcPr>
            <w:tcW w:type="dxa" w:w="4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Población</w:t>
            </w:r>
          </w:p>
        </w:tc>
        <w:tc>
          <w:tcPr>
            <w:tcW w:type="dxa" w:w="2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Volumen</w:t>
            </w:r>
          </w:p>
        </w:tc>
        <w:tc>
          <w:tcPr>
            <w:tcW w:type="dxa" w:w="24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 por defecto</w:t>
            </w:r>
          </w:p>
        </w:tc>
      </w:tr>
      <w:tr>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NIT con contradicción y ventas en 12 meses</w:t>
            </w:r>
          </w:p>
        </w:tc>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272</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Condición de la sucursal con mayor venta</w:t>
            </w:r>
          </w:p>
        </w:tc>
      </w:tr>
      <w:tr>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NIT con contradicción sin ventas en 12 meses</w:t>
            </w:r>
          </w:p>
        </w:tc>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1.417</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Contado</w:t>
            </w:r>
          </w:p>
        </w:tc>
      </w:tr>
      <w:tr>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Filas del maestro que cambian de condición</w:t>
            </w:r>
          </w:p>
        </w:tc>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1.702</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Solo 272 identificaciones requieren desempate real. Las 1.417 restantes pertenecen al maestro inflado y su condición por defecto es contado, que es el valor seguro: no otorga crédito a nadie que no lo tenga hoy. La hoja 6 del libro de trabajo trae la condición ganadora ya calculada por identificación y por sucursal, lista para cargar.</w:t>
      </w:r>
    </w:p>
    <w:p>
      <w:pPr>
        <w:spacing w:after="140"/>
      </w:pPr>
    </w:p>
    <w:p>
      <w:pPr>
        <w:spacing w:after="85" w:before="210"/>
      </w:pPr>
      <w:r>
        <w:rPr>
          <w:rFonts w:ascii="Pilcrow Rounded" w:cs="Pilcrow Rounded" w:eastAsia="Pilcrow Rounded" w:hAnsi="Pilcrow Rounded"/>
          <w:b/>
          <w:bCs/>
          <w:color w:val="333333"/>
          <w:sz w:val="21"/>
          <w:szCs w:val="21"/>
        </w:rPr>
        <w:t xml:space="preserve">1.5  La fuente de cartera tiene dos defectos de formato</w:t>
      </w:r>
    </w:p>
    <w:p>
      <w:pPr>
        <w:spacing w:after="115" w:line="268"/>
        <w:jc w:val="both"/>
      </w:pPr>
      <w:r>
        <w:rPr>
          <w:rFonts w:ascii="Pilcrow Rounded" w:cs="Pilcrow Rounded" w:eastAsia="Pilcrow Rounded" w:hAnsi="Pilcrow Rounded"/>
          <w:color w:val="333333"/>
          <w:sz w:val="20"/>
          <w:szCs w:val="20"/>
        </w:rPr>
        <w:t xml:space="preserve">Ambos se detectaron el 6 de agosto de 2026 al reprocesar el extracto y ambos afectan a cualquier sistema que lea ese archivo, incluido el Gestor de Cartera si consume el mismo formato.</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000"/>
        <w:gridCol w:w="6360"/>
      </w:tblGrid>
      <w:tr>
        <w:tc>
          <w:tcPr>
            <w:tcW w:type="dxa" w:w="30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Defecto</w:t>
            </w:r>
          </w:p>
        </w:tc>
        <w:tc>
          <w:tcPr>
            <w:tcW w:type="dxa" w:w="63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produce</w:t>
            </w:r>
          </w:p>
        </w:tc>
      </w:tr>
      <w:tr>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Días vencidos con punto como separador de miles</w:t>
            </w:r>
          </w:p>
        </w:tc>
        <w:tc>
          <w:tcPr>
            <w:tcW w:type="dxa" w:w="6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Noventa y tres facturas de seiscientas veintinueve traen valores como «1.021», que un lector que asuma formato anglosajón interpreta como un día de mora en lugar de mil veintiuno. La mediana real de la cartera pasa de 380 a 529 días y el máximo de 979 a 3.096.</w:t>
            </w:r>
          </w:p>
        </w:tc>
      </w:tr>
      <w:tr>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Fecha de documento defaulteada</w:t>
            </w:r>
          </w:p>
        </w:tc>
        <w:tc>
          <w:tcPr>
            <w:tcW w:type="dxa" w:w="6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Ciento veinte facturas por $210,7 millones comparten la fecha 31 de diciembre de 2023 con antigüedades que van de 1 a 3.096 días. El campo no contiene la fecha de emisión. Los días vencidos sí son confiables porque se calculan contra el vencimiento.</w:t>
            </w:r>
          </w:p>
        </w:tc>
      </w:tr>
    </w:tbl>
    <w:p>
      <w:pPr>
        <w:spacing w:after="12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VERIFICACIÓN OBLIGATORIA ANTES DEL ENCENDIDO</w:t>
            </w:r>
          </w:p>
          <w:p>
            <w:pPr>
              <w:spacing w:after="55" w:line="252"/>
              <w:jc w:val="both"/>
            </w:pPr>
            <w:r>
              <w:rPr>
                <w:rFonts w:ascii="Pilcrow Rounded" w:cs="Pilcrow Rounded" w:eastAsia="Pilcrow Rounded" w:hAnsi="Pilcrow Rounded"/>
                <w:color w:val="333333"/>
                <w:sz w:val="19"/>
                <w:szCs w:val="19"/>
              </w:rPr>
              <w:t xml:space="preserve">Si el Gestor de Cartera consume el mismo extracto plano, tendría noventa y tres facturas clasificadas como al día que llevan más de mil días de mora. Si consume la API en lugar del archivo, el defecto probablemente no aplica — pero eso debe confirmarse, no suponerse.</w:t>
            </w:r>
          </w:p>
          <w:p>
            <w:pPr>
              <w:spacing w:after="55" w:line="252"/>
              <w:jc w:val="both"/>
            </w:pPr>
            <w:r>
              <w:rPr>
                <w:rFonts w:ascii="Pilcrow Rounded" w:cs="Pilcrow Rounded" w:eastAsia="Pilcrow Rounded" w:hAnsi="Pilcrow Rounded"/>
                <w:color w:val="333333"/>
                <w:sz w:val="19"/>
                <w:szCs w:val="19"/>
              </w:rPr>
              <w:t xml:space="preserve">Consecuencia sobre el encendido escalonado: con la antigüedad corregida, doscientos veintiséis de los doscientos treinta y seis clientes bloqueables superan los noventa días. Una banda de arranque en noventa días no es un piloto: alcanza al 96% de la población. Para un encendido gradual real el umbral tendría que fijarse en setecientos treinta días, donde quedan sesenta y dos clientes.</w:t>
            </w:r>
          </w:p>
          <w:p>
            <w:pPr>
              <w:spacing w:after="55" w:line="252"/>
              <w:jc w:val="both"/>
            </w:pPr>
            <w:r>
              <w:rPr>
                <w:rFonts w:ascii="Pilcrow Rounded" w:cs="Pilcrow Rounded" w:eastAsia="Pilcrow Rounded" w:hAnsi="Pilcrow Rounded"/>
                <w:color w:val="333333"/>
                <w:sz w:val="19"/>
                <w:szCs w:val="19"/>
              </w:rPr>
              <w:t xml:space="preserve">Toda cifra de antigüedad de cartera emitida antes del 6 de agosto de 2026 debe considerarse superada, incluidas las que sustentaron la discusión del tope de noventa días del Régimen B.</w:t>
            </w:r>
          </w:p>
        </w:tc>
      </w:tr>
    </w:tbl>
    <w:p>
      <w:pPr>
        <w:spacing w:after="14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2. Parametrización a ejecutar</w:t>
      </w:r>
    </w:p>
    <w:p>
      <w:pPr>
        <w:spacing w:after="85" w:before="210"/>
      </w:pPr>
      <w:r>
        <w:rPr>
          <w:rFonts w:ascii="Pilcrow Rounded" w:cs="Pilcrow Rounded" w:eastAsia="Pilcrow Rounded" w:hAnsi="Pilcrow Rounded"/>
          <w:b/>
          <w:bCs/>
          <w:color w:val="333333"/>
          <w:sz w:val="21"/>
          <w:szCs w:val="21"/>
        </w:rPr>
        <w:t xml:space="preserve">2.1  Seguridad — antes del 17 de agosto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Condición de pago heredada del maestro y no editable en facturación. </w:t>
      </w:r>
      <w:r>
        <w:rPr>
          <w:rFonts w:ascii="Pilcrow Rounded" w:cs="Pilcrow Rounded" w:eastAsia="Pilcrow Rounded" w:hAnsi="Pilcrow Rounded"/>
          <w:color w:val="333333"/>
          <w:sz w:val="20"/>
          <w:szCs w:val="20"/>
        </w:rPr>
        <w:t xml:space="preserve">El campo se muestra bloqueado en pantalla y el facturador no puede alterarlo. Aplica a todos los perfiles de ventas y a todos los puntos.</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Creación de clientes restringida: </w:t>
      </w:r>
      <w:r>
        <w:rPr>
          <w:rFonts w:ascii="Pilcrow Rounded" w:cs="Pilcrow Rounded" w:eastAsia="Pilcrow Rounded" w:hAnsi="Pilcrow Rounded"/>
          <w:color w:val="333333"/>
          <w:sz w:val="20"/>
          <w:szCs w:val="20"/>
        </w:rPr>
        <w:t xml:space="preserve">tipo de cliente, canal y condición de pago obligatorios. El sistema rechaza el registro incompleto. Hoy hay 901 registros sin tipo de cliente y 1.094 sin condición de pago; sin esta restricción, se limpia por un lado y se ensucia por el otro.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Permiso de creación de clientes limitado a los cargos designados. La clasificación deja de ocurrir en el mostrador.</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Respaldo de base de datos con restauración probada antes de la primera carga masiva. No basta el respaldo: hay que demostrar que restaura.</w:t>
      </w:r>
    </w:p>
    <w:p>
      <w:pPr>
        <w:spacing w:after="85" w:before="210"/>
      </w:pPr>
      <w:r>
        <w:rPr>
          <w:rFonts w:ascii="Pilcrow Rounded" w:cs="Pilcrow Rounded" w:eastAsia="Pilcrow Rounded" w:hAnsi="Pilcrow Rounded"/>
          <w:b/>
          <w:bCs/>
          <w:color w:val="333333"/>
          <w:sz w:val="21"/>
          <w:szCs w:val="21"/>
        </w:rPr>
        <w:t xml:space="preserve">2.2  Catálogos a racionalizar</w:t>
      </w:r>
    </w:p>
    <w:p>
      <w:pPr>
        <w:spacing w:after="115" w:line="268"/>
        <w:jc w:val="both"/>
      </w:pPr>
      <w:r>
        <w:rPr>
          <w:rFonts w:ascii="Pilcrow Rounded" w:cs="Pilcrow Rounded" w:eastAsia="Pilcrow Rounded" w:hAnsi="Pilcrow Rounded"/>
          <w:color w:val="333333"/>
          <w:sz w:val="20"/>
          <w:szCs w:val="20"/>
        </w:rPr>
        <w:t xml:space="preserve">Hay doce condiciones de pago en el maestro. La tabla real, consultada en SIESA el 12 de agosto de 2026, es la siguiente:</w:t>
      </w:r>
    </w:p>
    <w:p>
      <w:pPr>
        <w:spacing w:after="5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400"/>
        <w:gridCol w:w="1400"/>
        <w:gridCol w:w="1400"/>
        <w:gridCol w:w="1400"/>
        <w:gridCol w:w="1400"/>
        <w:gridCol w:w="2360"/>
      </w:tblGrid>
      <w:tr>
        <w:tc>
          <w:tcPr>
            <w:tcW w:type="dxa" w:w="1400"/>
            <w:shd w:fill="EDF4F6"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C01</w:t>
            </w:r>
          </w:p>
        </w:tc>
        <w:tc>
          <w:tcPr>
            <w:tcW w:type="dxa" w:w="1400"/>
            <w:shd w:fill="EDF4F6"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C02</w:t>
            </w:r>
          </w:p>
        </w:tc>
        <w:tc>
          <w:tcPr>
            <w:tcW w:type="dxa" w:w="1400"/>
            <w:shd w:fill="EDF4F6"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C03</w:t>
            </w:r>
          </w:p>
        </w:tc>
        <w:tc>
          <w:tcPr>
            <w:tcW w:type="dxa" w:w="1400"/>
            <w:shd w:fill="EDF4F6"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C04</w:t>
            </w:r>
          </w:p>
        </w:tc>
        <w:tc>
          <w:tcPr>
            <w:tcW w:type="dxa" w:w="1400"/>
            <w:shd w:fill="EDF4F6"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C05</w:t>
            </w:r>
          </w:p>
        </w:tc>
        <w:tc>
          <w:tcPr>
            <w:tcW w:type="dxa" w:w="2360"/>
            <w:shd w:fill="EDF4F6"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C06 · C07 · C08 · C09</w:t>
            </w:r>
          </w:p>
        </w:tc>
      </w:tr>
      <w:tr>
        <w:tc>
          <w:tcPr>
            <w:tcW w:type="dxa" w:w="14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color w:val="333333"/>
                <w:sz w:val="18"/>
                <w:szCs w:val="18"/>
              </w:rPr>
              <w:t xml:space="preserve">contado</w:t>
            </w:r>
          </w:p>
        </w:tc>
        <w:tc>
          <w:tcPr>
            <w:tcW w:type="dxa" w:w="14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F08C8C"/>
                <w:sz w:val="18"/>
                <w:szCs w:val="18"/>
              </w:rPr>
              <w:t xml:space="preserve">1 día</w:t>
            </w:r>
          </w:p>
        </w:tc>
        <w:tc>
          <w:tcPr>
            <w:tcW w:type="dxa" w:w="14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color w:val="333333"/>
                <w:sz w:val="18"/>
                <w:szCs w:val="18"/>
              </w:rPr>
              <w:t xml:space="preserve">8 días</w:t>
            </w:r>
          </w:p>
        </w:tc>
        <w:tc>
          <w:tcPr>
            <w:tcW w:type="dxa" w:w="14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color w:val="333333"/>
                <w:sz w:val="18"/>
                <w:szCs w:val="18"/>
              </w:rPr>
              <w:t xml:space="preserve">30 días</w:t>
            </w:r>
          </w:p>
        </w:tc>
        <w:tc>
          <w:tcPr>
            <w:tcW w:type="dxa" w:w="14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color w:val="333333"/>
                <w:sz w:val="18"/>
                <w:szCs w:val="18"/>
              </w:rPr>
              <w:t xml:space="preserve">45 días</w:t>
            </w:r>
          </w:p>
        </w:tc>
        <w:tc>
          <w:tcPr>
            <w:tcW w:type="dxa" w:w="236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color w:val="333333"/>
                <w:sz w:val="18"/>
                <w:szCs w:val="18"/>
              </w:rPr>
              <w:t xml:space="preserve">60 · 75 · 90 · 120 días</w:t>
            </w:r>
          </w:p>
        </w:tc>
      </w:tr>
    </w:tbl>
    <w:p>
      <w:pPr>
        <w:spacing w:after="10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CORRECCIÓN — C02 NO SON 30 DÍAS</w:t>
            </w:r>
          </w:p>
          <w:p>
            <w:pPr>
              <w:spacing w:after="55" w:line="252"/>
              <w:jc w:val="both"/>
            </w:pPr>
            <w:r>
              <w:rPr>
                <w:rFonts w:ascii="Pilcrow Rounded" w:cs="Pilcrow Rounded" w:eastAsia="Pilcrow Rounded" w:hAnsi="Pilcrow Rounded"/>
                <w:color w:val="333333"/>
                <w:sz w:val="19"/>
                <w:szCs w:val="19"/>
              </w:rPr>
              <w:t xml:space="preserve">Las versiones anteriores de este documento afirmaban que la condición CRE30 de treinta días reemplazaría a «C02, C04 y equivalentes». C02 es de un día, no de treinta. La migración habría extendido el plazo de un día a treinta a 2.009 clientes activos con $3.485 millones de venta anual.</w:t>
            </w:r>
          </w:p>
          <w:p>
            <w:pPr>
              <w:spacing w:after="55" w:line="252"/>
              <w:jc w:val="both"/>
            </w:pPr>
            <w:r>
              <w:rPr>
                <w:rFonts w:ascii="Pilcrow Rounded" w:cs="Pilcrow Rounded" w:eastAsia="Pilcrow Rounded" w:hAnsi="Pilcrow Rounded"/>
                <w:color w:val="333333"/>
                <w:sz w:val="19"/>
                <w:szCs w:val="19"/>
              </w:rPr>
              <w:t xml:space="preserve">El dato es además el que explica la concentración de la cartera: el 10,3% del valor facturado en C02 queda impago, contra el 0,4% de C04 —veinticinco veces más—, y esos impagos son $450,7 millones: el 65% de toda la cartera abierta, con mora mediana de 372 días.</w:t>
            </w:r>
          </w:p>
          <w:p>
            <w:pPr>
              <w:spacing w:after="55" w:line="252"/>
              <w:jc w:val="both"/>
            </w:pPr>
            <w:r>
              <w:rPr>
                <w:rFonts w:ascii="Pilcrow Rounded" w:cs="Pilcrow Rounded" w:eastAsia="Pilcrow Rounded" w:hAnsi="Pilcrow Rounded"/>
                <w:color w:val="333333"/>
                <w:sz w:val="19"/>
                <w:szCs w:val="19"/>
              </w:rPr>
              <w:t xml:space="preserve">Una condición de un día entra en mora al día siguiente de la venta y nadie la trata como crédito. La transición más frecuente al facturar es precisamente de C04 a C02, mil trescientas veintidós veces en doce meses. Antes de racionalizar códigos hay que establecer cuál es el uso previsto de esa condición: la respuesta es del Líder de Crédito y Cartera, no del consultor.</w:t>
            </w:r>
          </w:p>
        </w:tc>
      </w:tr>
    </w:tbl>
    <w:p>
      <w:pPr>
        <w:spacing w:after="140"/>
      </w:pPr>
    </w:p>
    <w:p>
      <w:pPr>
        <w:spacing w:after="115" w:line="268"/>
        <w:jc w:val="both"/>
      </w:pPr>
      <w:r>
        <w:rPr>
          <w:rFonts w:ascii="Pilcrow Rounded" w:cs="Pilcrow Rounded" w:eastAsia="Pilcrow Rounded" w:hAnsi="Pilcrow Rounded"/>
          <w:color w:val="333333"/>
          <w:sz w:val="20"/>
          <w:szCs w:val="20"/>
        </w:rPr>
        <w:t xml:space="preserve">Cuatro códigos concentran el 98% del uso y cinco tienen menos de cincuenta documentos en doce meses. La proliferación de códigos es la forma en que un maestro deja de ser gobernable.</w:t>
      </w:r>
    </w:p>
    <w:p>
      <w:pPr>
        <w:spacing w:after="4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500"/>
        <w:gridCol w:w="3300"/>
        <w:gridCol w:w="2400"/>
        <w:gridCol w:w="2160"/>
      </w:tblGrid>
      <w:tr>
        <w:tc>
          <w:tcPr>
            <w:tcW w:type="dxa" w:w="1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Código</w:t>
            </w:r>
          </w:p>
        </w:tc>
        <w:tc>
          <w:tcPr>
            <w:tcW w:type="dxa" w:w="33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Definición destino</w:t>
            </w:r>
          </w:p>
        </w:tc>
        <w:tc>
          <w:tcPr>
            <w:tcW w:type="dxa" w:w="2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Reemplaza a</w:t>
            </w:r>
          </w:p>
        </w:tc>
        <w:tc>
          <w:tcPr>
            <w:tcW w:type="dxa" w:w="21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Desde</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Contado — SOLO mostrador. Exige recaudo al aprobar</w:t>
            </w:r>
          </w:p>
        </w:tc>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C01. NO migrar clientes de ruta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17 de agosto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CRE30</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30 días corridos desde factura</w:t>
            </w:r>
          </w:p>
        </w:tc>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C04 (C02 NO migra — es de 1 día)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17 de agosto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REG-C10</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Corte día 25, vence día 10 del mes siguiente</w:t>
            </w:r>
          </w:p>
        </w:tc>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 de octubre</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PREPAGO</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Cobro anticipado, no genera cartera</w:t>
            </w:r>
          </w:p>
        </w:tc>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del 1er convenio</w:t>
            </w:r>
          </w:p>
        </w:tc>
      </w:tr>
    </w:tbl>
    <w:p>
      <w:pPr>
        <w:spacing w:after="80"/>
      </w:pPr>
    </w:p>
    <w:p>
      <w:pPr>
        <w:spacing w:after="120"/>
      </w:pPr>
    </w:p>
    <w:p>
      <w:pPr>
        <w:spacing w:after="85" w:before="210"/>
      </w:pPr>
      <w:r>
        <w:rPr>
          <w:rFonts w:ascii="Pilcrow Rounded" w:cs="Pilcrow Rounded" w:eastAsia="Pilcrow Rounded" w:hAnsi="Pilcrow Rounded"/>
          <w:b/>
          <w:bCs/>
          <w:color w:val="333333"/>
          <w:sz w:val="21"/>
          <w:szCs w:val="21"/>
        </w:rPr>
        <w:t xml:space="preserve">2.2.1  Control del Régimen B</w:t>
      </w:r>
    </w:p>
    <w:p>
      <w:pPr>
        <w:spacing w:after="115" w:line="268"/>
        <w:jc w:val="both"/>
      </w:pPr>
      <w:r>
        <w:rPr>
          <w:rFonts w:ascii="Pilcrow Rounded" w:cs="Pilcrow Rounded" w:eastAsia="Pilcrow Rounded" w:hAnsi="Pilcrow Rounded"/>
          <w:color w:val="333333"/>
          <w:sz w:val="20"/>
          <w:szCs w:val="20"/>
        </w:rPr>
        <w:t xml:space="preserve">El Artículo 6 exige dos controles que hoy no existen en el sistema y que no son condiciones de pago sino campos de seguimiento por factura: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Fecha de giro proyectada, obligatoria en toda factura del Régimen B. </w:t>
      </w:r>
      <w:r>
        <w:rPr>
          <w:rFonts w:ascii="Pilcrow Rounded" w:cs="Pilcrow Rounded" w:eastAsia="Pilcrow Rounded" w:hAnsi="Pilcrow Rounded"/>
          <w:color w:val="333333"/>
          <w:sz w:val="20"/>
          <w:szCs w:val="20"/>
        </w:rPr>
        <w:t xml:space="preserve">Sin ese dato la factura no se emite y el cliente no genera pedido nuevo. Es el control que reemplaza al bloqueo por mora en este régimen.</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Contador de reprogramaciones por factura, con tope de una. </w:t>
      </w:r>
      <w:r>
        <w:rPr>
          <w:rFonts w:ascii="Pilcrow Rounded" w:cs="Pilcrow Rounded" w:eastAsia="Pilcrow Rounded" w:hAnsi="Pilcrow Rounded"/>
          <w:color w:val="333333"/>
          <w:sz w:val="20"/>
          <w:szCs w:val="20"/>
        </w:rPr>
        <w:t xml:space="preserve">La entidad puede mover su fecha una vez con motivo registrado; la segunda reprogramación no se acepta y el bloqueo opera. Sin este contador la fecha se corre indefinidamente y el reloj nunca arranca.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Tope de la fecha registrable: 90 días desde la emisión. Valor provisional hasta calibrar con la serie de días de pago del portafolio público.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Prueba de aceptación: registrar una fecha a 120 días y verificar que el sistema la rechaza; reprogramar dos veces y verificar que la segunda no se acepta.</w:t>
      </w:r>
    </w:p>
    <w:p>
      <w:pPr>
        <w:spacing w:after="120"/>
      </w:pP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Los códigos con uso residual —C03, C05, C07, C08, C09, P01, P03, P05— no se eliminan de inmediato: se marcan como no asignables a clientes nuevos y se migran con el saneamiento. Eliminar un código con documentos históricos rompe la trazabilidad.</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Tipos de cliente contables: hoy existen dos en uso. Deben ser tres —DETA, MAYO, INST— porque el institucional exige retenciones y cuenta diferenciada.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Criterios de clasificación: </w:t>
      </w:r>
      <w:r>
        <w:rPr>
          <w:rFonts w:ascii="Pilcrow Rounded" w:cs="Pilcrow Rounded" w:eastAsia="Pilcrow Rounded" w:hAnsi="Pilcrow Rounded"/>
          <w:color w:val="333333"/>
          <w:sz w:val="20"/>
          <w:szCs w:val="20"/>
        </w:rPr>
        <w:t xml:space="preserve">crear el plan CANAL y el plan REGIMEN. El campo de criterio de cliente está diligenciado hoy en 1 de 10.852 registros, y hay 2 clientes clasificados como TAT en un canal que representa un tercio de la venta. El eje de canal no está sucio: no existe.</w:t>
      </w:r>
    </w:p>
    <w:p>
      <w:pPr>
        <w:spacing w:after="140"/>
      </w:pPr>
    </w:p>
    <w:p>
      <w:pPr>
        <w:spacing w:after="85" w:before="210"/>
      </w:pPr>
      <w:r>
        <w:rPr>
          <w:rFonts w:ascii="Pilcrow Rounded" w:cs="Pilcrow Rounded" w:eastAsia="Pilcrow Rounded" w:hAnsi="Pilcrow Rounded"/>
          <w:b/>
          <w:bCs/>
          <w:color w:val="333333"/>
          <w:sz w:val="21"/>
          <w:szCs w:val="21"/>
        </w:rPr>
        <w:t xml:space="preserve">2.3.1  Caja en preferencias de usuario</w:t>
      </w:r>
    </w:p>
    <w:p>
      <w:pPr>
        <w:spacing w:after="115" w:line="268"/>
        <w:jc w:val="both"/>
      </w:pPr>
      <w:r>
        <w:rPr>
          <w:rFonts w:ascii="Pilcrow Rounded" w:cs="Pilcrow Rounded" w:eastAsia="Pilcrow Rounded" w:hAnsi="Pilcrow Rounded"/>
          <w:color w:val="333333"/>
          <w:sz w:val="20"/>
          <w:szCs w:val="20"/>
        </w:rPr>
        <w:t xml:space="preserve">Es la parametrización de menor costo y mayor efecto inmediato de todo este documento, y no estaba identificada hasta la sesión de pruebas del 13 de agosto de 2026.</w:t>
      </w:r>
    </w:p>
    <w:p>
      <w:pPr>
        <w:spacing w:after="6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LA VENTA DE CONTADO ESTABA DETENIDA POR ESTO</w:t>
            </w:r>
          </w:p>
          <w:p>
            <w:pPr>
              <w:spacing w:after="55" w:line="252"/>
              <w:jc w:val="both"/>
            </w:pPr>
            <w:r>
              <w:rPr>
                <w:rFonts w:ascii="Pilcrow Rounded" w:cs="Pilcrow Rounded" w:eastAsia="Pilcrow Rounded" w:hAnsi="Pilcrow Rounded"/>
                <w:color w:val="333333"/>
                <w:sz w:val="19"/>
                <w:szCs w:val="19"/>
              </w:rPr>
              <w:t xml:space="preserve">Al intentar despachar un pedido de contado, el sistema responde «no existe caja configurada en las preferencias de usuario» y detiene la operación al generar la remisión — antes incluso de llegar a la factura.</w:t>
            </w:r>
          </w:p>
          <w:p>
            <w:pPr>
              <w:spacing w:after="55" w:line="252"/>
              <w:jc w:val="both"/>
            </w:pPr>
            <w:r>
              <w:rPr>
                <w:rFonts w:ascii="Pilcrow Rounded" w:cs="Pilcrow Rounded" w:eastAsia="Pilcrow Rounded" w:hAnsi="Pilcrow Rounded"/>
                <w:color w:val="333333"/>
                <w:sz w:val="19"/>
                <w:szCs w:val="19"/>
              </w:rPr>
              <w:t xml:space="preserve">El mensaje no menciona de forma evidente que se trata de una configuración del usuario, de modo que la reacción natural de quien lo ve es asumir que el cliente está bloqueado o que el sistema no permite vender de contado. Esa interpretación circula en la operación desde hace tiempo y es falsa.</w:t>
            </w:r>
          </w:p>
          <w:p>
            <w:pPr>
              <w:spacing w:after="55" w:line="252"/>
              <w:jc w:val="both"/>
            </w:pPr>
            <w:r>
              <w:rPr>
                <w:rFonts w:ascii="Pilcrow Rounded" w:cs="Pilcrow Rounded" w:eastAsia="Pilcrow Rounded" w:hAnsi="Pilcrow Rounded"/>
                <w:color w:val="333333"/>
                <w:sz w:val="19"/>
                <w:szCs w:val="19"/>
              </w:rPr>
              <w:t xml:space="preserve">Se configuró para un usuario durante la sesión de pruebas y la cadena completa —comprometer, remisionar, facturar— pasó de inmediato. No era un permiso de seguridad, ni una parametrización de crédito, ni una limitación del producto.</w:t>
            </w:r>
          </w:p>
        </w:tc>
      </w:tr>
    </w:tbl>
    <w:p>
      <w:pPr>
        <w:spacing w:after="120"/>
      </w:pPr>
    </w:p>
    <w:p>
      <w:pPr>
        <w:spacing w:after="85" w:before="210"/>
      </w:pPr>
      <w:r>
        <w:rPr>
          <w:rFonts w:ascii="Pilcrow Rounded" w:cs="Pilcrow Rounded" w:eastAsia="Pilcrow Rounded" w:hAnsi="Pilcrow Rounded"/>
          <w:b/>
          <w:bCs/>
          <w:color w:val="333333"/>
          <w:sz w:val="21"/>
          <w:szCs w:val="21"/>
        </w:rPr>
        <w:t xml:space="preserve">Cómo se configura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Ruta: Archivo, Preferencias generales, seleccionar el usuario, pestaña Generales. Los campos son Centro de operación y Caja.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caja debe corresponder al centro de operación del documento, no al del punto de entrega. Un pedido del centro 003 se factura contra una caja del 003 aunque la mercancía se entregue en otro municipio.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Después de guardar hay que cerrar sesión y volver a entrar. </w:t>
      </w:r>
      <w:r>
        <w:rPr>
          <w:rFonts w:ascii="Pilcrow Rounded" w:cs="Pilcrow Rounded" w:eastAsia="Pilcrow Rounded" w:hAnsi="Pilcrow Rounded"/>
          <w:color w:val="333333"/>
          <w:sz w:val="20"/>
          <w:szCs w:val="20"/>
        </w:rPr>
        <w:t xml:space="preserve">El sistema cachea las preferencias y el cambio no aplica con la sesión abierta.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Se configura por cada combinación de usuario y centro de operación que despache o facture. Un facturador sin caja verá el mismo mensaje el primer día.</w:t>
      </w:r>
    </w:p>
    <w:p>
      <w:pPr>
        <w:spacing w:after="10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400"/>
        <w:gridCol w:w="5960"/>
      </w:tblGrid>
      <w:tr>
        <w:tc>
          <w:tcPr>
            <w:tcW w:type="dxa" w:w="34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Verificación previa</w:t>
            </w:r>
          </w:p>
        </w:tc>
        <w:tc>
          <w:tcPr>
            <w:tcW w:type="dxa" w:w="5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Que exista una caja activa por cada centro de operación que factura de contado. Se revisa en el maestro de cajas del módulo comercial.</w:t>
            </w:r>
          </w:p>
        </w:tc>
      </w:tr>
      <w:tr>
        <w:tc>
          <w:tcPr>
            <w:tcW w:type="dxa" w:w="34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Prueba de aceptación</w:t>
            </w:r>
          </w:p>
        </w:tc>
        <w:tc>
          <w:tcPr>
            <w:tcW w:type="dxa" w:w="5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Un usuario sin caja intenta despachar un pedido de contado y el sistema lo detiene. Se le asigna caja, cierra sesión, vuelve a entrar y la cadena completa pasa.</w:t>
            </w:r>
          </w:p>
        </w:tc>
      </w:tr>
      <w:tr>
        <w:tc>
          <w:tcPr>
            <w:tcW w:type="dxa" w:w="34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Alcance</w:t>
            </w:r>
          </w:p>
        </w:tc>
        <w:tc>
          <w:tcPr>
            <w:tcW w:type="dxa" w:w="5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Habilita la venta de contado en el mostrador. No habilita la facturación de contado en ruta, que es imposible por naturaleza del documento — ver el recuadro siguiente.</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POR QUÉ ESTO NO SIRVE PARA LA RUTA, Y CONVIENE QUE QUEDE ESCRITO</w:t>
            </w:r>
          </w:p>
          <w:p>
            <w:pPr>
              <w:spacing w:after="55" w:line="252"/>
              <w:jc w:val="both"/>
            </w:pPr>
            <w:r>
              <w:rPr>
                <w:rFonts w:ascii="Pilcrow Rounded" w:cs="Pilcrow Rounded" w:eastAsia="Pilcrow Rounded" w:hAnsi="Pilcrow Rounded"/>
                <w:color w:val="333333"/>
                <w:sz w:val="19"/>
                <w:szCs w:val="19"/>
              </w:rPr>
              <w:t xml:space="preserve">Se intentó en producción facturar de contado dos pedidos reales, por $263.963 y por $14.200. Los dos quedaron en Elaboración y ninguno pudo aprobarse: el sistema exige que el valor de la cartera sea igual al valor de las cuentas por cobrar, es decir, el recaudo cargado por el total.</w:t>
            </w:r>
          </w:p>
          <w:p>
            <w:pPr>
              <w:spacing w:after="55" w:line="252"/>
              <w:jc w:val="both"/>
            </w:pPr>
            <w:r>
              <w:rPr>
                <w:rFonts w:ascii="Pilcrow Rounded" w:cs="Pilcrow Rounded" w:eastAsia="Pilcrow Rounded" w:hAnsi="Pilcrow Rounded"/>
                <w:color w:val="333333"/>
                <w:sz w:val="19"/>
                <w:szCs w:val="19"/>
              </w:rPr>
              <w:t xml:space="preserve">Una factura de contado no admite saldo abierto. En una entrega de ruta el camión sale a primera hora y el dinero llega al final del día, de modo que al momento de emitir el documento no hay caja que debitar.</w:t>
            </w:r>
          </w:p>
          <w:p>
            <w:pPr>
              <w:spacing w:after="55" w:line="252"/>
              <w:jc w:val="both"/>
            </w:pPr>
            <w:r>
              <w:rPr>
                <w:rFonts w:ascii="Pilcrow Rounded" w:cs="Pilcrow Rounded" w:eastAsia="Pilcrow Rounded" w:hAnsi="Pilcrow Rounded"/>
                <w:color w:val="333333"/>
                <w:sz w:val="19"/>
                <w:szCs w:val="19"/>
              </w:rPr>
              <w:t xml:space="preserve">Por eso las entregas de ruta se facturan con plazo de un día. No es un parche ni una mala práctica: es la única salida que el producto permite, y el problema nunca fue la condición de pago sino que nadie cruzaba el saldo que esa factura deja abierto.</w:t>
            </w:r>
          </w:p>
        </w:tc>
      </w:tr>
    </w:tbl>
    <w:p>
      <w:pPr>
        <w:spacing w:after="140"/>
      </w:pPr>
    </w:p>
    <w:p>
      <w:pPr>
        <w:pageBreakBefore/>
        <w:spacing w:after="0"/>
      </w:pPr>
    </w:p>
    <w:p>
      <w:pPr>
        <w:spacing w:after="85" w:before="210"/>
      </w:pPr>
      <w:r>
        <w:rPr>
          <w:rFonts w:ascii="Pilcrow Rounded" w:cs="Pilcrow Rounded" w:eastAsia="Pilcrow Rounded" w:hAnsi="Pilcrow Rounded"/>
          <w:b/>
          <w:bCs/>
          <w:color w:val="333333"/>
          <w:sz w:val="21"/>
          <w:szCs w:val="21"/>
        </w:rPr>
        <w:t xml:space="preserve">2.4  Perfiles de seguridad — dónde está realmente el control</w:t>
      </w:r>
    </w:p>
    <w:p>
      <w:pPr>
        <w:spacing w:after="115" w:line="268"/>
        <w:jc w:val="both"/>
      </w:pPr>
      <w:r>
        <w:rPr>
          <w:rFonts w:ascii="Pilcrow Rounded" w:cs="Pilcrow Rounded" w:eastAsia="Pilcrow Rounded" w:hAnsi="Pilcrow Rounded"/>
          <w:color w:val="333333"/>
          <w:sz w:val="20"/>
          <w:szCs w:val="20"/>
        </w:rPr>
        <w:t xml:space="preserve">La ruta que la documentación estándar sugiere —Comercial, Ventas, Transacciones, Facturas de venta— no existe en esta instalación. El control de crédito no está en la factura: está en la aprobación del pedido. Este es el mapa completo del árbol, levantado en la sesión del 12 de agosto de 2026.</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9360"/>
      </w:tblGrid>
      <w:tr>
        <w:tc>
          <w:tcPr>
            <w:tcW w:type="dxa" w:w="9360"/>
            <w:shd w:fill="F7F7F7" w:color="auto" w:val="clear"/>
            <w:tcMar>
              <w:top w:type="dxa" w:w="160"/>
              <w:left w:type="dxa" w:w="240"/>
              <w:bottom w:type="dxa" w:w="160"/>
              <w:right w:type="dxa" w:w="200"/>
            </w:tcMar>
          </w:tcPr>
          <w:p>
            <w:pPr>
              <w:spacing w:after="30"/>
            </w:pPr>
            <w:r>
              <w:rPr>
                <w:rFonts w:ascii="Consolas" w:cs="Consolas" w:eastAsia="Consolas" w:hAnsi="Consolas"/>
                <w:sz w:val="15"/>
                <w:szCs w:val="15"/>
              </w:rPr>
              <w:t xml:space="preserve">Comercial - Ventas</w:t>
            </w:r>
          </w:p>
          <w:p>
            <w:pPr>
              <w:spacing w:after="30"/>
            </w:pPr>
            <w:r>
              <w:rPr>
                <w:rFonts w:ascii="Consolas" w:cs="Consolas" w:eastAsia="Consolas" w:hAnsi="Consolas"/>
                <w:sz w:val="15"/>
                <w:szCs w:val="15"/>
              </w:rPr>
              <w:t xml:space="preserve">└── Pedidos</w:t>
            </w:r>
          </w:p>
          <w:p>
            <w:pPr>
              <w:spacing w:after="30"/>
            </w:pPr>
            <w:r>
              <w:rPr>
                <w:rFonts w:ascii="Consolas" w:cs="Consolas" w:eastAsia="Consolas" w:hAnsi="Consolas"/>
                <w:sz w:val="15"/>
                <w:szCs w:val="15"/>
              </w:rPr>
              <w:t xml:space="preserve">    ├── Aprobar</w:t>
            </w:r>
          </w:p>
          <w:p>
            <w:pPr>
              <w:spacing w:after="30"/>
            </w:pPr>
            <w:r>
              <w:rPr>
                <w:rFonts w:ascii="Consolas" w:cs="Consolas" w:eastAsia="Consolas" w:hAnsi="Consolas"/>
                <w:sz w:val="15"/>
                <w:szCs w:val="15"/>
              </w:rPr>
              <w:t xml:space="preserve">    │   ├── Por compañía</w:t>
            </w:r>
          </w:p>
          <w:p>
            <w:pPr>
              <w:spacing w:after="30"/>
            </w:pPr>
            <w:r>
              <w:rPr>
                <w:rFonts w:ascii="Consolas" w:cs="Consolas" w:eastAsia="Consolas" w:hAnsi="Consolas"/>
                <w:sz w:val="15"/>
                <w:szCs w:val="15"/>
              </w:rPr>
              <w:t xml:space="preserve">    │   │   ├── Aprobar automáticamente sin condiciones          &lt;-- RETIRAR</w:t>
            </w:r>
          </w:p>
          <w:p>
            <w:pPr>
              <w:spacing w:after="30"/>
            </w:pPr>
            <w:r>
              <w:rPr>
                <w:rFonts w:ascii="Consolas" w:cs="Consolas" w:eastAsia="Consolas" w:hAnsi="Consolas"/>
                <w:sz w:val="15"/>
                <w:szCs w:val="15"/>
              </w:rPr>
              <w:t xml:space="preserve">    │   │   ├── Aprobar cartera                                  &lt;-- RETIRAR</w:t>
            </w:r>
          </w:p>
          <w:p>
            <w:pPr>
              <w:spacing w:after="30"/>
            </w:pPr>
            <w:r>
              <w:rPr>
                <w:rFonts w:ascii="Consolas" w:cs="Consolas" w:eastAsia="Consolas" w:hAnsi="Consolas"/>
                <w:sz w:val="15"/>
                <w:szCs w:val="15"/>
              </w:rPr>
              <w:t xml:space="preserve">    │   │   │   ├── Al aprobar por mora revalidar el cupo        &lt;-- RETIRAR</w:t>
            </w:r>
          </w:p>
          <w:p>
            <w:pPr>
              <w:spacing w:after="30"/>
            </w:pPr>
            <w:r>
              <w:rPr>
                <w:rFonts w:ascii="Consolas" w:cs="Consolas" w:eastAsia="Consolas" w:hAnsi="Consolas"/>
                <w:sz w:val="15"/>
                <w:szCs w:val="15"/>
              </w:rPr>
              <w:t xml:space="preserve">    │   │   │   └── No controlar parámetros de aprobación por usuario  &lt;-- RETIRAR</w:t>
            </w:r>
          </w:p>
          <w:p>
            <w:pPr>
              <w:spacing w:after="30"/>
            </w:pPr>
            <w:r>
              <w:rPr>
                <w:rFonts w:ascii="Consolas" w:cs="Consolas" w:eastAsia="Consolas" w:hAnsi="Consolas"/>
                <w:sz w:val="15"/>
                <w:szCs w:val="15"/>
              </w:rPr>
              <w:t xml:space="preserve">    │   │   ├── Aprobar margen                                   conservar</w:t>
            </w:r>
          </w:p>
          <w:p>
            <w:pPr>
              <w:spacing w:after="30"/>
            </w:pPr>
            <w:r>
              <w:rPr>
                <w:rFonts w:ascii="Consolas" w:cs="Consolas" w:eastAsia="Consolas" w:hAnsi="Consolas"/>
                <w:sz w:val="15"/>
                <w:szCs w:val="15"/>
              </w:rPr>
              <w:t xml:space="preserve">    │   │   ├── Aprobar monto mínimo                             conservar</w:t>
            </w:r>
          </w:p>
          <w:p>
            <w:pPr>
              <w:spacing w:after="30"/>
            </w:pPr>
            <w:r>
              <w:rPr>
                <w:rFonts w:ascii="Consolas" w:cs="Consolas" w:eastAsia="Consolas" w:hAnsi="Consolas"/>
                <w:sz w:val="15"/>
                <w:szCs w:val="15"/>
              </w:rPr>
              <w:t xml:space="preserve">    │   │   ├── Aprobar por adicionar / eliminar Registro        conservar</w:t>
            </w:r>
          </w:p>
          <w:p>
            <w:pPr>
              <w:spacing w:after="30"/>
            </w:pPr>
            <w:r>
              <w:rPr>
                <w:rFonts w:ascii="Consolas" w:cs="Consolas" w:eastAsia="Consolas" w:hAnsi="Consolas"/>
                <w:sz w:val="15"/>
                <w:szCs w:val="15"/>
              </w:rPr>
              <w:t xml:space="preserve">    │   │   ├── Aprobar por cambio de Precio                     conservar</w:t>
            </w:r>
          </w:p>
          <w:p>
            <w:pPr>
              <w:spacing w:after="30"/>
            </w:pPr>
            <w:r>
              <w:rPr>
                <w:rFonts w:ascii="Consolas" w:cs="Consolas" w:eastAsia="Consolas" w:hAnsi="Consolas"/>
                <w:sz w:val="15"/>
                <w:szCs w:val="15"/>
              </w:rPr>
              <w:t xml:space="preserve">    │   │   ├── Aprobar por cantidad                             conservar</w:t>
            </w:r>
          </w:p>
          <w:p>
            <w:pPr>
              <w:spacing w:after="30"/>
            </w:pPr>
            <w:r>
              <w:rPr>
                <w:rFonts w:ascii="Consolas" w:cs="Consolas" w:eastAsia="Consolas" w:hAnsi="Consolas"/>
                <w:sz w:val="15"/>
                <w:szCs w:val="15"/>
              </w:rPr>
              <w:t xml:space="preserve">    │   │   ├── Aprobar por fecha de entrega                     conservar</w:t>
            </w:r>
          </w:p>
          <w:p>
            <w:pPr>
              <w:spacing w:after="30"/>
            </w:pPr>
            <w:r>
              <w:rPr>
                <w:rFonts w:ascii="Consolas" w:cs="Consolas" w:eastAsia="Consolas" w:hAnsi="Consolas"/>
                <w:sz w:val="15"/>
                <w:szCs w:val="15"/>
              </w:rPr>
              <w:t xml:space="preserve">    │   │   ├── Aprobar por Frecuencia                           conservar</w:t>
            </w:r>
          </w:p>
          <w:p>
            <w:pPr>
              <w:spacing w:after="30"/>
            </w:pPr>
            <w:r>
              <w:rPr>
                <w:rFonts w:ascii="Consolas" w:cs="Consolas" w:eastAsia="Consolas" w:hAnsi="Consolas"/>
                <w:sz w:val="15"/>
                <w:szCs w:val="15"/>
              </w:rPr>
              <w:t xml:space="preserve">    │   │   └── Recalcular fecha entrega (automático y manual)   conservar</w:t>
            </w:r>
          </w:p>
          <w:p>
            <w:pPr>
              <w:spacing w:after="30"/>
            </w:pPr>
            <w:r>
              <w:rPr>
                <w:rFonts w:ascii="Consolas" w:cs="Consolas" w:eastAsia="Consolas" w:hAnsi="Consolas"/>
                <w:sz w:val="15"/>
                <w:szCs w:val="15"/>
              </w:rPr>
              <w:t xml:space="preserve">    │   ├── Por grupo de compañía</w:t>
            </w:r>
          </w:p>
          <w:p>
            <w:pPr>
              <w:spacing w:after="30"/>
            </w:pPr>
            <w:r>
              <w:rPr>
                <w:rFonts w:ascii="Consolas" w:cs="Consolas" w:eastAsia="Consolas" w:hAnsi="Consolas"/>
                <w:sz w:val="15"/>
                <w:szCs w:val="15"/>
              </w:rPr>
              <w:t xml:space="preserve">    │   │   └── Visualizar cartera del grupo de cías             conservar</w:t>
            </w:r>
          </w:p>
          <w:p>
            <w:pPr>
              <w:spacing w:after="30"/>
            </w:pPr>
            <w:r>
              <w:rPr>
                <w:rFonts w:ascii="Consolas" w:cs="Consolas" w:eastAsia="Consolas" w:hAnsi="Consolas"/>
                <w:sz w:val="15"/>
                <w:szCs w:val="15"/>
              </w:rPr>
              <w:t xml:space="preserve">    │   └── Presentar pedidos en elaboración                     conservar</w:t>
            </w:r>
          </w:p>
          <w:p>
            <w:pPr>
              <w:spacing w:after="30"/>
            </w:pPr>
            <w:r>
              <w:rPr>
                <w:rFonts w:ascii="Consolas" w:cs="Consolas" w:eastAsia="Consolas" w:hAnsi="Consolas"/>
                <w:sz w:val="15"/>
                <w:szCs w:val="15"/>
              </w:rPr>
              <w:t xml:space="preserve">    ├── Aprobar pedidos por cupo y mora para despacho            (apagado en todos)</w:t>
            </w:r>
          </w:p>
          <w:p>
            <w:pPr>
              <w:spacing w:after="30"/>
            </w:pPr>
            <w:r>
              <w:rPr>
                <w:rFonts w:ascii="Consolas" w:cs="Consolas" w:eastAsia="Consolas" w:hAnsi="Consolas"/>
                <w:sz w:val="15"/>
                <w:szCs w:val="15"/>
              </w:rPr>
              <w:t xml:space="preserve">    │   ├── Aprobar cupo manualmente</w:t>
            </w:r>
          </w:p>
          <w:p>
            <w:pPr>
              <w:spacing w:after="30"/>
            </w:pPr>
            <w:r>
              <w:rPr>
                <w:rFonts w:ascii="Consolas" w:cs="Consolas" w:eastAsia="Consolas" w:hAnsi="Consolas"/>
                <w:sz w:val="15"/>
                <w:szCs w:val="15"/>
              </w:rPr>
              <w:t xml:space="preserve">    │   └── Aprobar mora manualmente</w:t>
            </w:r>
          </w:p>
          <w:p>
            <w:pPr>
              <w:spacing w:after="30"/>
            </w:pPr>
            <w:r>
              <w:rPr>
                <w:rFonts w:ascii="Consolas" w:cs="Consolas" w:eastAsia="Consolas" w:hAnsi="Consolas"/>
                <w:sz w:val="15"/>
                <w:szCs w:val="15"/>
              </w:rPr>
              <w:t xml:space="preserve">    └── Generales</w:t>
            </w:r>
          </w:p>
          <w:p>
            <w:pPr>
              <w:spacing w:after="30"/>
            </w:pPr>
            <w:r>
              <w:rPr>
                <w:rFonts w:ascii="Consolas" w:cs="Consolas" w:eastAsia="Consolas" w:hAnsi="Consolas"/>
                <w:sz w:val="15"/>
                <w:szCs w:val="15"/>
              </w:rPr>
              <w:t xml:space="preserve">        └── Aprobar</w:t>
            </w:r>
          </w:p>
          <w:p>
            <w:pPr>
              <w:spacing w:after="30"/>
            </w:pPr>
            <w:r>
              <w:rPr>
                <w:rFonts w:ascii="Consolas" w:cs="Consolas" w:eastAsia="Consolas" w:hAnsi="Consolas"/>
                <w:sz w:val="15"/>
                <w:szCs w:val="15"/>
              </w:rPr>
              <w:t xml:space="preserve">            ├── Aprobar automáticamente para despacho            &lt;-- RETIRAR</w:t>
            </w:r>
          </w:p>
          <w:p>
            <w:pPr>
              <w:spacing w:after="30"/>
            </w:pPr>
            <w:r>
              <w:rPr>
                <w:rFonts w:ascii="Consolas" w:cs="Consolas" w:eastAsia="Consolas" w:hAnsi="Consolas"/>
                <w:sz w:val="15"/>
                <w:szCs w:val="15"/>
              </w:rPr>
              <w:t xml:space="preserve">            ├── Aprobar pedidos retenidos                        &lt;-- RETIRAR</w:t>
            </w:r>
          </w:p>
          <w:p>
            <w:pPr>
              <w:spacing w:after="30"/>
            </w:pPr>
            <w:r>
              <w:rPr>
                <w:rFonts w:ascii="Consolas" w:cs="Consolas" w:eastAsia="Consolas" w:hAnsi="Consolas"/>
                <w:sz w:val="15"/>
                <w:szCs w:val="15"/>
              </w:rPr>
              <w:t xml:space="preserve">            └── Comprometer automáticamente después de aprobar   conservar</w:t>
            </w:r>
          </w:p>
        </w:tc>
      </w:tr>
    </w:tbl>
    <w:p>
      <w:pPr>
        <w:spacing w:after="12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ADVERTENCIA DE MÉTODO — EL BUSCADOR OCULTA MÉTODOS</w:t>
            </w:r>
          </w:p>
          <w:p>
            <w:pPr>
              <w:spacing w:after="55" w:line="252"/>
              <w:jc w:val="both"/>
            </w:pPr>
            <w:r>
              <w:rPr>
                <w:rFonts w:ascii="Pilcrow Rounded" w:cs="Pilcrow Rounded" w:eastAsia="Pilcrow Rounded" w:hAnsi="Pilcrow Rounded"/>
                <w:color w:val="333333"/>
                <w:sz w:val="19"/>
                <w:szCs w:val="19"/>
              </w:rPr>
              <w:t xml:space="preserve">El buscador de la pantalla de perfiles filtra el árbol por texto. Buscar «cartera» oculta «Aprobar automáticamente sin condiciones»; buscar «automáticamente» oculta «Aprobar pedidos retenidos». Tres de los cuatro métodos que anulan el control de cartera no contienen esa palabra en su nombre.</w:t>
            </w:r>
          </w:p>
          <w:p>
            <w:pPr>
              <w:spacing w:after="55" w:line="252"/>
              <w:jc w:val="both"/>
            </w:pPr>
            <w:r>
              <w:rPr>
                <w:rFonts w:ascii="Pilcrow Rounded" w:cs="Pilcrow Rounded" w:eastAsia="Pilcrow Rounded" w:hAnsi="Pilcrow Rounded"/>
                <w:color w:val="333333"/>
                <w:sz w:val="19"/>
                <w:szCs w:val="19"/>
              </w:rPr>
              <w:t xml:space="preserve">Toda revisión de perfiles se hace con el árbol completo o, como mínimo, filtrando por el término «Aprobar». Esta advertencia se aprendió a costa de dos jornadas de pruebas.</w:t>
            </w:r>
          </w:p>
        </w:tc>
      </w:tr>
    </w:tbl>
    <w:p>
      <w:pPr>
        <w:spacing w:after="140"/>
      </w:pPr>
    </w:p>
    <w:p>
      <w:pPr>
        <w:spacing w:after="85" w:before="210"/>
      </w:pPr>
      <w:r>
        <w:rPr>
          <w:rFonts w:ascii="Pilcrow Rounded" w:cs="Pilcrow Rounded" w:eastAsia="Pilcrow Rounded" w:hAnsi="Pilcrow Rounded"/>
          <w:b/>
          <w:bCs/>
          <w:color w:val="333333"/>
          <w:sz w:val="21"/>
          <w:szCs w:val="21"/>
        </w:rPr>
        <w:t xml:space="preserve">2.5  Configuración objetivo del perfil de ventas</w:t>
      </w:r>
    </w:p>
    <w:p>
      <w:pPr>
        <w:spacing w:after="115" w:line="268"/>
        <w:jc w:val="both"/>
      </w:pPr>
      <w:r>
        <w:rPr>
          <w:rFonts w:ascii="Pilcrow Rounded" w:cs="Pilcrow Rounded" w:eastAsia="Pilcrow Rounded" w:hAnsi="Pilcrow Rounded"/>
          <w:color w:val="333333"/>
          <w:sz w:val="20"/>
          <w:szCs w:val="20"/>
        </w:rPr>
        <w:t xml:space="preserve">Los cuatro métodos marcados en el árbol se retiran de todo perfil cuya función sea vender. El perfil conserva la facultad de liberar retenciones por causas comerciales —margen, monto mínimo, cantidad, precio, fecha de entrega y frecuencia— y pierde únicamente la de cartera. Esa distinción es la que hace la propuesta viable: no frena la operación comercial, restringe el control de crédito.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Los cuatro métodos se retiraron de forma acumulativa en la prueba y no se estableció cuál es el conjunto mínimo suficiente. Se retiran los cuatro: la redundancia no tiene costo operativo y la minimización queda como verificación posterior, no como supuesto.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Entre cada cambio de seguridad hay que cerrar sesión y volver a entrar. Un cambio con la sesión abierta conserva el juego de permisos anterior.</w:t>
      </w:r>
    </w:p>
    <w:p>
      <w:pPr>
        <w:spacing w:after="100"/>
      </w:pPr>
    </w:p>
    <w:p>
      <w:pPr>
        <w:spacing w:after="85" w:before="210"/>
      </w:pPr>
      <w:r>
        <w:rPr>
          <w:rFonts w:ascii="Pilcrow Rounded" w:cs="Pilcrow Rounded" w:eastAsia="Pilcrow Rounded" w:hAnsi="Pilcrow Rounded"/>
          <w:b/>
          <w:bCs/>
          <w:color w:val="333333"/>
          <w:sz w:val="21"/>
          <w:szCs w:val="21"/>
        </w:rPr>
        <w:t xml:space="preserve">2.6  Métodos que alteran el dato sobre el que opera el control</w:t>
      </w:r>
    </w:p>
    <w:p>
      <w:pPr>
        <w:spacing w:after="115" w:line="268"/>
        <w:jc w:val="both"/>
      </w:pPr>
      <w:r>
        <w:rPr>
          <w:rFonts w:ascii="Pilcrow Rounded" w:cs="Pilcrow Rounded" w:eastAsia="Pilcrow Rounded" w:hAnsi="Pilcrow Rounded"/>
          <w:color w:val="333333"/>
          <w:sz w:val="20"/>
          <w:szCs w:val="20"/>
        </w:rPr>
        <w:t xml:space="preserve">Cerrar la aprobación no basta si el mismo perfil puede reescribir los datos que el control evalúa. Estos métodos no anulan la retención: cambian aquello que la dispara.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200"/>
        <w:gridCol w:w="3000"/>
        <w:gridCol w:w="2160"/>
      </w:tblGrid>
      <w:tr>
        <w:tc>
          <w:tcPr>
            <w:tcW w:type="dxa" w:w="4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Método</w:t>
            </w:r>
          </w:p>
        </w:tc>
        <w:tc>
          <w:tcPr>
            <w:tcW w:type="dxa" w:w="30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permite</w:t>
            </w:r>
          </w:p>
        </w:tc>
        <w:tc>
          <w:tcPr>
            <w:tcW w:type="dxa" w:w="21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Efecto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Pedidos y Facturas &gt; Generales &gt; Habilitar fecha de vencimiento de CxC</w:t>
            </w:r>
          </w:p>
        </w:tc>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Editar la fecha de vencimiento del documento</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Invalida toda medición de mora, propia y del ERP</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Maestros &gt; Terceros (con Motivos de bloqueo)</w:t>
            </w:r>
          </w:p>
        </w:tc>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Entrar al maestro y retirar la bandera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Anula lo que el conector acaba de escribir</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Cotizaciones y Facturas directas &gt; Cambiar condición de pago</w:t>
            </w:r>
          </w:p>
        </w:tc>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Convertir contado en crédito</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Otorga crédito sin pasar por cupo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Permitir modificar cuotas hacia arriba o hacia abajo</w:t>
            </w:r>
          </w:p>
        </w:tc>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Reescribir el plan de cuotas</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Mueve el vencimiento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Facturas &gt; Desde pedidos &gt; Modificar cuentas por cobrar</w:t>
            </w:r>
          </w:p>
        </w:tc>
        <w:tc>
          <w:tcPr>
            <w:tcW w:type="dxa" w:w="30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Editar la CxC generada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Mueve el vencimiento</w:t>
            </w:r>
          </w:p>
        </w:tc>
      </w:tr>
    </w:tbl>
    <w:p>
      <w:pPr>
        <w:spacing w:after="120"/>
      </w:pPr>
    </w:p>
    <w:p>
      <w:pPr>
        <w:spacing w:after="115" w:line="268"/>
        <w:jc w:val="both"/>
      </w:pPr>
      <w:r>
        <w:rPr>
          <w:rFonts w:ascii="Pilcrow Rounded" w:cs="Pilcrow Rounded" w:eastAsia="Pilcrow Rounded" w:hAnsi="Pilcrow Rounded"/>
          <w:b/>
          <w:bCs/>
          <w:color w:val="333333"/>
          <w:sz w:val="20"/>
          <w:szCs w:val="20"/>
        </w:rPr>
        <w:t xml:space="preserve">Las dos primeras filas se retiran junto con los cuatro métodos de aprobación, no como decisión posterior. </w:t>
      </w:r>
      <w:r>
        <w:rPr>
          <w:rFonts w:ascii="Pilcrow Rounded" w:cs="Pilcrow Rounded" w:eastAsia="Pilcrow Rounded" w:hAnsi="Pilcrow Rounded"/>
          <w:color w:val="333333"/>
          <w:sz w:val="20"/>
          <w:szCs w:val="20"/>
        </w:rPr>
        <w:t xml:space="preserve">Si el perfil que vende puede editar la fecha de vencimiento, ningún diseño de bloqueo sobrevive: ni el que empuja banderas desde el Gestor, que calcula la mora sobre esa fecha, ni el nativo del ERP, que le suma los días de gracia. Y si puede entrar al maestro de terceros, carece de sentido escribir la bandera desde un conector.</w:t>
      </w:r>
    </w:p>
    <w:p>
      <w:pPr>
        <w:spacing w:after="100"/>
      </w:pPr>
    </w:p>
    <w:p>
      <w:pPr>
        <w:spacing w:after="115" w:line="268"/>
        <w:jc w:val="both"/>
      </w:pPr>
      <w:r>
        <w:rPr>
          <w:rFonts w:ascii="Pilcrow Rounded" w:cs="Pilcrow Rounded" w:eastAsia="Pilcrow Rounded" w:hAnsi="Pilcrow Rounded"/>
          <w:color w:val="333333"/>
          <w:sz w:val="20"/>
          <w:szCs w:val="20"/>
        </w:rPr>
        <w:t xml:space="preserve">Dato de contexto: de 19.114 facturas de la serie mayorista emitidas en doce meses, 2.797 —el 14,6%— llevan una condición de pago distinta a la del maestro del cliente, por $2.104 millones y 376 clientes. La transición más frecuente es de C04 a C02, mil trescientas veintidós veces. No se afirma uso indebido: el perfil tiene el permiso explícito. Se señala que la facultad existe y que hoy nadie la mide.</w:t>
      </w:r>
    </w:p>
    <w:p>
      <w:pPr>
        <w:spacing w:after="140"/>
      </w:pPr>
    </w:p>
    <w:p>
      <w:pPr>
        <w:spacing w:after="85" w:before="210"/>
      </w:pPr>
      <w:r>
        <w:rPr>
          <w:rFonts w:ascii="Pilcrow Rounded" w:cs="Pilcrow Rounded" w:eastAsia="Pilcrow Rounded" w:hAnsi="Pilcrow Rounded"/>
          <w:b/>
          <w:bCs/>
          <w:color w:val="333333"/>
          <w:sz w:val="21"/>
          <w:szCs w:val="21"/>
        </w:rPr>
        <w:t xml:space="preserve">2.7  Segregación de funciones</w:t>
      </w:r>
    </w:p>
    <w:p>
      <w:pPr>
        <w:spacing w:after="115" w:line="268"/>
        <w:jc w:val="both"/>
      </w:pPr>
      <w:r>
        <w:rPr>
          <w:rFonts w:ascii="Pilcrow Rounded" w:cs="Pilcrow Rounded" w:eastAsia="Pilcrow Rounded" w:hAnsi="Pilcrow Rounded"/>
          <w:color w:val="333333"/>
          <w:sz w:val="20"/>
          <w:szCs w:val="20"/>
        </w:rPr>
        <w:t xml:space="preserve">La instalación tiene once perfiles. Uno se llama CARTERA y no tiene un solo método marcado: el área responsable del crédito no tiene hoy ninguna facultad en el sistema. Ese es el hallazgo de fondo, más allá de los métodos: la aprobación de cartera nunca se diseñó como una función de cartera.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400"/>
        <w:gridCol w:w="3600"/>
        <w:gridCol w:w="3360"/>
      </w:tblGrid>
      <w:tr>
        <w:tc>
          <w:tcPr>
            <w:tcW w:type="dxa" w:w="2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Perfil</w:t>
            </w:r>
          </w:p>
        </w:tc>
        <w:tc>
          <w:tcPr>
            <w:tcW w:type="dxa" w:w="3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Puede</w:t>
            </w:r>
          </w:p>
        </w:tc>
        <w:tc>
          <w:tcPr>
            <w:tcW w:type="dxa" w:w="33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No puede</w:t>
            </w:r>
          </w:p>
        </w:tc>
      </w:tr>
      <w:tr>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VENDEDOR</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 liberar retenciones por margen, monto, cantidad, fecha y frecuencia</w:t>
            </w:r>
          </w:p>
        </w:tc>
        <w:tc>
          <w:tcPr>
            <w:tcW w:type="dxa" w:w="3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Liberar retenciones por cartera o cupo · editar vencimiento · entrar al maestro</w:t>
            </w:r>
          </w:p>
        </w:tc>
      </w:tr>
      <w:tr>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CARTERA</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Liberar retenciones por cartera y cupo · consultar y editar el maestro de bloqueos</w:t>
            </w:r>
          </w:p>
        </w:tc>
        <w:tc>
          <w:tcPr>
            <w:tcW w:type="dxa" w:w="3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 facturar</w:t>
            </w:r>
          </w:p>
        </w:tc>
      </w:tr>
      <w:tr>
        <w:tc>
          <w:tcPr>
            <w:tcW w:type="dxa" w:w="2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CAJEROS</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Facturar desde pedidos aprobados</w:t>
            </w:r>
          </w:p>
        </w:tc>
        <w:tc>
          <w:tcPr>
            <w:tcW w:type="dxa" w:w="3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 aprobar</w:t>
            </w:r>
          </w:p>
        </w:tc>
      </w:tr>
    </w:tbl>
    <w:p>
      <w:pPr>
        <w:spacing w:after="100"/>
      </w:pP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perfil CAJEROS ya cumple este modelo: puede facturar, no puede crear ni aprobar pedidos. Es la prueba de que la separación es alcanzable en esta instalación.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Al perfil CARTERA se le otorgan, como mínimo, «Aprobar cartera» bajo Por compañía y «Aprobar pedidos retenidos» bajo Generales. La asignación de usuarios a ese perfil requiere aprobación escrita del Líder de Crédito y Cartera.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Queda por confirmar qué hace el nodo «Aprobar pedidos por cupo y mora para despacho», hoy apagado en todos los perfiles. Por su nombre parece la vía prevista por el producto para una aprobación manual y trazable.</w:t>
      </w:r>
    </w:p>
    <w:p>
      <w:pPr>
        <w:spacing w:after="140"/>
      </w:pPr>
    </w:p>
    <w:p>
      <w:pPr>
        <w:spacing w:after="85" w:before="210"/>
      </w:pPr>
      <w:r>
        <w:rPr>
          <w:rFonts w:ascii="Pilcrow Rounded" w:cs="Pilcrow Rounded" w:eastAsia="Pilcrow Rounded" w:hAnsi="Pilcrow Rounded"/>
          <w:b/>
          <w:bCs/>
          <w:color w:val="333333"/>
          <w:sz w:val="21"/>
          <w:szCs w:val="21"/>
        </w:rPr>
        <w:t xml:space="preserve">2.8  La ruta paralela — facturación directa</w:t>
      </w:r>
    </w:p>
    <w:p>
      <w:pPr>
        <w:spacing w:after="115" w:line="268"/>
        <w:jc w:val="both"/>
      </w:pPr>
      <w:r>
        <w:rPr>
          <w:rFonts w:ascii="Pilcrow Rounded" w:cs="Pilcrow Rounded" w:eastAsia="Pilcrow Rounded" w:hAnsi="Pilcrow Rounded"/>
          <w:color w:val="333333"/>
          <w:sz w:val="20"/>
          <w:szCs w:val="20"/>
        </w:rPr>
        <w:t xml:space="preserve">Una factura directa no nace de un pedido, y por lo tanto no hay pedido que retener. Si el control se cierra únicamente en la aprobación del pedido y esta ruta permanece abierta, se esquiva sin esfuerzo. No se ha probado si la facturación directa valida cartera: es la primera prueba pendiente.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Si no retiene, la configuración de la sección 2.5 es insuficiente y hay que decidir sobre el método «Facturas directas &gt; Adicionar», lo cual cambia cómo trabaja la fuerza de ventas y es decisión del Comité, no técnica.</w:t>
      </w:r>
    </w:p>
    <w:p>
      <w:pPr>
        <w:spacing w:after="140"/>
      </w:pPr>
    </w:p>
    <w:p>
      <w:pPr>
        <w:spacing w:after="85" w:before="210"/>
      </w:pPr>
      <w:r>
        <w:rPr>
          <w:rFonts w:ascii="Pilcrow Rounded" w:cs="Pilcrow Rounded" w:eastAsia="Pilcrow Rounded" w:hAnsi="Pilcrow Rounded"/>
          <w:b/>
          <w:bCs/>
          <w:color w:val="333333"/>
          <w:sz w:val="21"/>
          <w:szCs w:val="21"/>
        </w:rPr>
        <w:t xml:space="preserve">2.9  Carga de cupos</w:t>
      </w:r>
    </w:p>
    <w:p>
      <w:pPr>
        <w:spacing w:after="115" w:line="268"/>
        <w:jc w:val="both"/>
      </w:pPr>
      <w:r>
        <w:rPr>
          <w:rFonts w:ascii="Pilcrow Rounded" w:cs="Pilcrow Rounded" w:eastAsia="Pilcrow Rounded" w:hAnsi="Pilcrow Rounded"/>
          <w:color w:val="333333"/>
          <w:sz w:val="20"/>
          <w:szCs w:val="20"/>
        </w:rPr>
        <w:t xml:space="preserve">El Artículo 5.1 no se puede encender sin esto. La fórmula elimina la negociación caso por caso:</w:t>
      </w:r>
    </w:p>
    <w:p>
      <w:pPr>
        <w:spacing w:after="60" w:line="268"/>
        <w:jc w:val="center"/>
      </w:pPr>
      <w:r>
        <w:rPr>
          <w:rFonts w:ascii="Pilcrow Rounded" w:cs="Pilcrow Rounded" w:eastAsia="Pilcrow Rounded" w:hAnsi="Pilcrow Rounded"/>
          <w:b/>
          <w:bCs/>
          <w:color w:val="1E8395"/>
          <w:sz w:val="22"/>
          <w:szCs w:val="22"/>
        </w:rPr>
        <w:t xml:space="preserve">Cupo  =  promedio de compra a crédito de los últimos 12 meses  ×  1,5</w:t>
      </w:r>
    </w:p>
    <w:p>
      <w:pPr>
        <w:spacing w:after="160" w:line="268"/>
        <w:jc w:val="center"/>
      </w:pPr>
      <w:r>
        <w:rPr>
          <w:rFonts w:ascii="Pilcrow Rounded" w:cs="Pilcrow Rounded" w:eastAsia="Pilcrow Rounded" w:hAnsi="Pilcrow Rounded"/>
          <w:color w:val="6E6E6E"/>
          <w:sz w:val="19"/>
          <w:szCs w:val="19"/>
        </w:rPr>
        <w:t xml:space="preserve">Piso $250.000  ·  Techo $10.000.000 en Régimen A  ·  Menos de 6 meses de historia: contado</w:t>
      </w: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700"/>
        <w:gridCol w:w="4660"/>
      </w:tblGrid>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Clientes que facturaron a crédito en 12 meses</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3.527</w:t>
            </w:r>
          </w:p>
        </w:tc>
      </w:tr>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6 o más meses de historia — reciben cupo</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765</w:t>
            </w:r>
          </w:p>
        </w:tc>
      </w:tr>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menos de 6 meses — pasan a contado</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2.762</w:t>
            </w:r>
          </w:p>
        </w:tc>
      </w:tr>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Cupo total a otorgar</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$907.820.000</w:t>
            </w:r>
          </w:p>
        </w:tc>
      </w:tr>
    </w:tbl>
    <w:p>
      <w:pPr>
        <w:spacing w:after="10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LOS 2.762 SON UNA DECISIÓN, NO UN CÁLCULO</w:t>
            </w:r>
          </w:p>
          <w:p>
            <w:pPr>
              <w:spacing w:after="55" w:line="252"/>
              <w:jc w:val="both"/>
            </w:pPr>
            <w:r>
              <w:rPr>
                <w:rFonts w:ascii="Pilcrow Rounded" w:cs="Pilcrow Rounded" w:eastAsia="Pilcrow Rounded" w:hAnsi="Pilcrow Rounded"/>
                <w:color w:val="333333"/>
                <w:sz w:val="19"/>
                <w:szCs w:val="19"/>
              </w:rPr>
              <w:t xml:space="preserve">Dos mil setecientos sesenta y dos clientes facturaron a crédito sin tener seis meses de historia de crédito. Aplicando la regla, todos pasan a contado el día del arranque.</w:t>
            </w:r>
          </w:p>
          <w:p>
            <w:pPr>
              <w:spacing w:after="55" w:line="252"/>
              <w:jc w:val="both"/>
            </w:pPr>
            <w:r>
              <w:rPr>
                <w:rFonts w:ascii="Pilcrow Rounded" w:cs="Pilcrow Rounded" w:eastAsia="Pilcrow Rounded" w:hAnsi="Pilcrow Rounded"/>
                <w:color w:val="333333"/>
                <w:sz w:val="19"/>
                <w:szCs w:val="19"/>
              </w:rPr>
              <w:t xml:space="preserve">Antes de ejecutar hay que ver cuánta venta representan y cuántos son clientes nuevos legítimos frente a clientes esporádicos. Es el mismo tipo de radio de explosión que se mide en la semana sombra, y merece la misma regla: comprometer el umbral de aplazamiento antes de mirar el número.</w:t>
            </w:r>
          </w:p>
        </w:tc>
      </w:tr>
    </w:tbl>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3. Saneamiento del maestro de terceros</w:t>
      </w:r>
    </w:p>
    <w:p>
      <w:pPr>
        <w:spacing w:after="115" w:line="268"/>
        <w:jc w:val="both"/>
      </w:pPr>
      <w:r>
        <w:rPr>
          <w:rFonts w:ascii="Pilcrow Rounded" w:cs="Pilcrow Rounded" w:eastAsia="Pilcrow Rounded" w:hAnsi="Pilcrow Rounded"/>
          <w:color w:val="333333"/>
          <w:sz w:val="20"/>
          <w:szCs w:val="20"/>
        </w:rPr>
        <w:t xml:space="preserve">El maestro tiene 10.852 registros sobre 8.008 identificaciones —1,36 sucursales por cliente en promedio—. El problema no es el volumen: es la contradicción interna.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900"/>
        <w:gridCol w:w="1800"/>
        <w:gridCol w:w="2660"/>
      </w:tblGrid>
      <w:tr>
        <w:tc>
          <w:tcPr>
            <w:tcW w:type="dxa" w:w="4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Hallazgo</w:t>
            </w:r>
          </w:p>
        </w:tc>
        <w:tc>
          <w:tcPr>
            <w:tcW w:type="dxa" w:w="18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Volumen</w:t>
            </w:r>
          </w:p>
        </w:tc>
        <w:tc>
          <w:tcPr>
            <w:tcW w:type="dxa" w:w="26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implica</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NIT con condiciones de pago distintas entre sus sucursales</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1.689 NIT</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Viola el Artículo 3: el mismo cliente tiene reglas distintas según por dónde compre</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NIT con tipo de cliente contradictorio entre sucursales</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505 NIT</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puente contable difiere dentro del mismo cliente</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Registros sin condición de pago</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1.094</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sistema no sabe cuándo vence su factura</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Registros sin tipo de cliente</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901</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 clasificables por el árbol de decisión</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Registros con «Bloqueado mora = Sí»</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4.303</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Bandera puesta sin efecto — revisar uno a uno antes de confiar en ella</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Registros con «Bloqueado cupo = Sí»</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2.594</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Idem</w:t>
            </w:r>
          </w:p>
        </w:tc>
      </w:tr>
      <w:tr>
        <w:tc>
          <w:tcPr>
            <w:tcW w:type="dxa" w:w="4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Registros inactivos</w:t>
            </w:r>
          </w:p>
        </w:tc>
        <w:tc>
          <w:tcPr>
            <w:tcW w:type="dxa" w:w="1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181</w:t>
            </w:r>
          </w:p>
        </w:tc>
        <w:tc>
          <w:tcPr>
            <w:tcW w:type="dxa" w:w="2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Depuración menor</w:t>
            </w:r>
          </w:p>
        </w:tc>
      </w:tr>
    </w:tbl>
    <w:p>
      <w:pPr>
        <w:spacing w:after="140"/>
      </w:pPr>
    </w:p>
    <w:p>
      <w:pPr>
        <w:spacing w:after="85" w:before="210"/>
      </w:pPr>
      <w:r>
        <w:rPr>
          <w:rFonts w:ascii="Pilcrow Rounded" w:cs="Pilcrow Rounded" w:eastAsia="Pilcrow Rounded" w:hAnsi="Pilcrow Rounded"/>
          <w:b/>
          <w:bCs/>
          <w:color w:val="333333"/>
          <w:sz w:val="21"/>
          <w:szCs w:val="21"/>
        </w:rPr>
        <w:t xml:space="preserve">3.1  Árbol de clasificación</w:t>
      </w:r>
    </w:p>
    <w:p>
      <w:pPr>
        <w:spacing w:after="115" w:line="268"/>
        <w:jc w:val="both"/>
      </w:pPr>
      <w:r>
        <w:rPr>
          <w:rFonts w:ascii="Pilcrow Rounded" w:cs="Pilcrow Rounded" w:eastAsia="Pilcrow Rounded" w:hAnsi="Pilcrow Rounded"/>
          <w:color w:val="333333"/>
          <w:sz w:val="20"/>
          <w:szCs w:val="20"/>
        </w:rPr>
        <w:t xml:space="preserve">Secuencial. Cada cliente cae en un solo camino y ninguna rama requiere criterio humano:</w:t>
      </w:r>
    </w:p>
    <w:p>
      <w:pPr>
        <w:spacing w:after="4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9360"/>
      </w:tblGrid>
      <w:tr>
        <w:tc>
          <w:tcPr>
            <w:tcW w:type="dxa" w:w="9360"/>
            <w:shd w:fill="F7F7F7" w:color="auto" w:val="clear"/>
            <w:tcMar>
              <w:top w:type="dxa" w:w="160"/>
              <w:left w:type="dxa" w:w="240"/>
              <w:bottom w:type="dxa" w:w="160"/>
              <w:right w:type="dxa" w:w="200"/>
            </w:tcMar>
          </w:tcPr>
          <w:p>
            <w:pPr>
              <w:spacing w:after="40"/>
            </w:pPr>
            <w:r>
              <w:rPr>
                <w:rFonts w:ascii="Consolas" w:cs="Consolas" w:eastAsia="Consolas" w:hAnsi="Consolas"/>
                <w:sz w:val="17"/>
                <w:szCs w:val="17"/>
              </w:rPr>
              <w:t xml:space="preserve">¿NIT de entidad pública, educativa o solidaria?</w:t>
            </w:r>
          </w:p>
          <w:p>
            <w:pPr>
              <w:spacing w:after="40"/>
            </w:pPr>
            <w:r>
              <w:rPr>
                <w:rFonts w:ascii="Consolas" w:cs="Consolas" w:eastAsia="Consolas" w:hAnsi="Consolas"/>
                <w:sz w:val="17"/>
                <w:szCs w:val="17"/>
              </w:rPr>
              <w:t xml:space="preserve">        SÍ  →  INST · canal INSTITUCIONAL · régimen B · CRE30</w:t>
            </w:r>
          </w:p>
          <w:p>
            <w:pPr>
              <w:spacing w:after="40"/>
            </w:pPr>
            <w:r>
              <w:rPr>
                <w:rFonts w:ascii="Consolas" w:cs="Consolas" w:eastAsia="Consolas" w:hAnsi="Consolas"/>
                <w:sz w:val="17"/>
                <w:szCs w:val="17"/>
              </w:rPr>
              <w:t xml:space="preserve">¿Actividad económica de comercio, o compra en unidades de empaque de reventa?</w:t>
            </w:r>
          </w:p>
          <w:p>
            <w:pPr>
              <w:spacing w:after="40"/>
            </w:pPr>
            <w:r>
              <w:rPr>
                <w:rFonts w:ascii="Consolas" w:cs="Consolas" w:eastAsia="Consolas" w:hAnsi="Consolas"/>
                <w:sz w:val="17"/>
                <w:szCs w:val="17"/>
              </w:rPr>
              <w:t xml:space="preserve">        SÍ  →  MAYO · canal MAYORISTA · régimen A · CRE30 o CONT según cupo</w:t>
            </w:r>
          </w:p>
          <w:p>
            <w:pPr>
              <w:spacing w:after="40"/>
            </w:pPr>
            <w:r>
              <w:rPr>
                <w:rFonts w:ascii="Consolas" w:cs="Consolas" w:eastAsia="Consolas" w:hAnsi="Consolas"/>
                <w:sz w:val="17"/>
                <w:szCs w:val="17"/>
              </w:rPr>
              <w:t xml:space="preserve">¿Persona natural sin establecimiento?</w:t>
            </w:r>
          </w:p>
          <w:p>
            <w:pPr>
              <w:spacing w:after="40"/>
            </w:pPr>
            <w:r>
              <w:rPr>
                <w:rFonts w:ascii="Consolas" w:cs="Consolas" w:eastAsia="Consolas" w:hAnsi="Consolas"/>
                <w:sz w:val="17"/>
                <w:szCs w:val="17"/>
              </w:rPr>
              <w:t xml:space="preserve">        SÍ  →  DETA · canal DETAL o TAT · régimen A</w:t>
            </w:r>
          </w:p>
          <w:p>
            <w:pPr>
              <w:spacing w:after="40"/>
            </w:pPr>
            <w:r>
              <w:rPr>
                <w:rFonts w:ascii="Consolas" w:cs="Consolas" w:eastAsia="Consolas" w:hAnsi="Consolas"/>
                <w:sz w:val="17"/>
                <w:szCs w:val="17"/>
              </w:rPr>
              <w:t xml:space="preserve">Es empresa privada de consumo  →  DETA · canal EMPRESA · régimen A</w:t>
            </w:r>
          </w:p>
          <w:p>
            <w:pPr>
              <w:spacing w:after="40"/>
            </w:pPr>
            <w:r>
              <w:rPr>
                <w:rFonts w:ascii="Consolas" w:cs="Consolas" w:eastAsia="Consolas" w:hAnsi="Consolas"/>
                <w:sz w:val="17"/>
                <w:szCs w:val="17"/>
              </w:rPr>
              <w:t xml:space="preserve">        ¿6+ meses activos Y promedio móvil 12m ≥ $300.000?</w:t>
            </w:r>
          </w:p>
          <w:p>
            <w:pPr>
              <w:spacing w:after="40"/>
            </w:pPr>
            <w:r>
              <w:rPr>
                <w:rFonts w:ascii="Consolas" w:cs="Consolas" w:eastAsia="Consolas" w:hAnsi="Consolas"/>
                <w:sz w:val="17"/>
                <w:szCs w:val="17"/>
              </w:rPr>
              <w:t xml:space="preserve">                SÍ  →  régimen C · REG-C10   (desde el 1° de octubre)</w:t>
            </w:r>
          </w:p>
          <w:p>
            <w:pPr>
              <w:spacing w:after="40"/>
            </w:pPr>
            <w:r>
              <w:rPr>
                <w:rFonts w:ascii="Consolas" w:cs="Consolas" w:eastAsia="Consolas" w:hAnsi="Consolas"/>
                <w:sz w:val="17"/>
                <w:szCs w:val="17"/>
              </w:rPr>
              <w:t xml:space="preserve">                NO  →  régimen A · CRE30 o CONT</w:t>
            </w:r>
          </w:p>
        </w:tc>
      </w:tr>
    </w:tbl>
    <w:p>
      <w:pPr>
        <w:spacing w:after="120"/>
      </w:pP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Regla de desempate para los 1.689 NIT con condiciones contradictorias: gana la condición de la sucursal con mayor venta en doce meses. No se promedia y no se decide caso por caso.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Los registros que el árbol no pueda clasificar por falta de actividad económica se listan aparte y se resuelven a mano. Ese conteo determina si el saneamiento es de días o de semanas.</w:t>
      </w:r>
    </w:p>
    <w:p>
      <w:pPr>
        <w:spacing w:after="85" w:before="210"/>
      </w:pPr>
      <w:r>
        <w:rPr>
          <w:rFonts w:ascii="Pilcrow Rounded" w:cs="Pilcrow Rounded" w:eastAsia="Pilcrow Rounded" w:hAnsi="Pilcrow Rounded"/>
          <w:b/>
          <w:bCs/>
          <w:color w:val="333333"/>
          <w:sz w:val="21"/>
          <w:szCs w:val="21"/>
        </w:rPr>
        <w:t xml:space="preserve">3.2  El 98% de las banderas de bloqueo no corresponde a nadie</w:t>
      </w:r>
    </w:p>
    <w:p>
      <w:pPr>
        <w:spacing w:after="115" w:line="268"/>
        <w:jc w:val="both"/>
      </w:pPr>
      <w:r>
        <w:rPr>
          <w:rFonts w:ascii="Pilcrow Rounded" w:cs="Pilcrow Rounded" w:eastAsia="Pilcrow Rounded" w:hAnsi="Pilcrow Rounded"/>
          <w:color w:val="333333"/>
          <w:sz w:val="20"/>
          <w:szCs w:val="20"/>
        </w:rPr>
        <w:t xml:space="preserve">Antes de cerrar el control hay que limpiar el dato sobre el que va a operar. Las banderas de mora se pusieron a lo largo de los años sin relación con esta política: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5100"/>
        <w:gridCol w:w="2100"/>
        <w:gridCol w:w="2160"/>
      </w:tblGrid>
      <w:tr>
        <w:tc>
          <w:tcPr>
            <w:tcW w:type="dxa" w:w="5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Situación</w:t>
            </w:r>
          </w:p>
        </w:tc>
        <w:tc>
          <w:tcPr>
            <w:tcW w:type="dxa" w:w="2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Terceros</w:t>
            </w:r>
          </w:p>
        </w:tc>
        <w:tc>
          <w:tcPr>
            <w:tcW w:type="dxa" w:w="21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Venta 12m</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bandera de mora encendida hoy</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3.892</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Que la política manda bloquear</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1E8395"/>
                <w:sz w:val="18"/>
                <w:szCs w:val="18"/>
              </w:rPr>
              <w:t xml:space="preserve">236</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Marcados sin razón — RETIRAR la bandera</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3.795 · 98%</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$3.902 M</w:t>
            </w:r>
          </w:p>
        </w:tc>
      </w:tr>
      <w:tr>
        <w:tc>
          <w:tcPr>
            <w:tcW w:type="dxa" w:w="5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 esos, activos que compran hoy</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1.416</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 los cuales $385 M de contado</w:t>
            </w:r>
          </w:p>
        </w:tc>
      </w:tr>
    </w:tbl>
    <w:p>
      <w:pPr>
        <w:spacing w:after="12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POR QUÉ LA LIMPIEZA VA ANTES QUE CERRAR EL CONTROL</w:t>
            </w:r>
          </w:p>
          <w:p>
            <w:pPr>
              <w:spacing w:after="55" w:line="252"/>
              <w:jc w:val="both"/>
            </w:pPr>
            <w:r>
              <w:rPr>
                <w:rFonts w:ascii="Pilcrow Rounded" w:cs="Pilcrow Rounded" w:eastAsia="Pilcrow Rounded" w:hAnsi="Pilcrow Rounded"/>
                <w:color w:val="333333"/>
                <w:sz w:val="19"/>
                <w:szCs w:val="19"/>
              </w:rPr>
              <w:t xml:space="preserve">El bloqueo por mora retiene también las ventas de contado, lo que contradice la Regla 10. El tamaño de esa contradicción depende de a cuántos clientes esté puesta la bandera, y eso sí está bajo control de la compañía.</w:t>
            </w:r>
          </w:p>
          <w:p>
            <w:pPr>
              <w:spacing w:after="55" w:line="252"/>
              <w:jc w:val="both"/>
            </w:pPr>
            <w:r>
              <w:rPr>
                <w:rFonts w:ascii="Pilcrow Rounded" w:cs="Pilcrow Rounded" w:eastAsia="Pilcrow Rounded" w:hAnsi="Pilcrow Rounded"/>
                <w:color w:val="333333"/>
                <w:sz w:val="19"/>
                <w:szCs w:val="19"/>
              </w:rPr>
              <w:t xml:space="preserve">Con el maestro como está, cerrar el control hoy pondría en riesgo $39,4 millones mensuales de venta de contado. Con el maestro limpio —solo los 236 que la política bloquea— el riesgo baja a $7,3 millones mensuales: una reducción del 81%.</w:t>
            </w:r>
          </w:p>
          <w:p>
            <w:pPr>
              <w:spacing w:after="55" w:line="252"/>
              <w:jc w:val="both"/>
            </w:pPr>
            <w:r>
              <w:rPr>
                <w:rFonts w:ascii="Pilcrow Rounded" w:cs="Pilcrow Rounded" w:eastAsia="Pilcrow Rounded" w:hAnsi="Pilcrow Rounded"/>
                <w:color w:val="333333"/>
                <w:sz w:val="19"/>
                <w:szCs w:val="19"/>
              </w:rPr>
              <w:t xml:space="preserve">Eso no resuelve la contradicción con la Regla 10, que sigue exigiendo respuesta del consultor. La convierte de bloqueante absoluto en una decisión evaluable, sobre 161 clientes activos y el 0,4% de la venta mensual.</w:t>
            </w:r>
          </w:p>
          <w:p>
            <w:pPr>
              <w:spacing w:after="55" w:line="252"/>
              <w:jc w:val="both"/>
            </w:pPr>
            <w:r>
              <w:rPr>
                <w:rFonts w:ascii="Pilcrow Rounded" w:cs="Pilcrow Rounded" w:eastAsia="Pilcrow Rounded" w:hAnsi="Pilcrow Rounded"/>
                <w:color w:val="333333"/>
                <w:sz w:val="19"/>
                <w:szCs w:val="19"/>
              </w:rPr>
              <w:t xml:space="preserve">La hoja 19 del libro de trabajo trae los 3.795 terceros con la acción propuesta para cada uno.</w:t>
            </w:r>
          </w:p>
        </w:tc>
      </w:tr>
    </w:tbl>
    <w:p>
      <w:pPr>
        <w:spacing w:after="140"/>
      </w:pPr>
    </w:p>
    <w:p>
      <w:pPr>
        <w:spacing w:after="85" w:before="210"/>
      </w:pPr>
      <w:r>
        <w:rPr>
          <w:rFonts w:ascii="Pilcrow Rounded" w:cs="Pilcrow Rounded" w:eastAsia="Pilcrow Rounded" w:hAnsi="Pilcrow Rounded"/>
          <w:b/>
          <w:bCs/>
          <w:color w:val="333333"/>
          <w:sz w:val="21"/>
          <w:szCs w:val="21"/>
        </w:rPr>
        <w:t xml:space="preserve">3.3  El campo de tipo de cliente no clasifica</w:t>
      </w:r>
    </w:p>
    <w:p>
      <w:pPr>
        <w:spacing w:after="115" w:line="268"/>
        <w:jc w:val="both"/>
      </w:pPr>
      <w:r>
        <w:rPr>
          <w:rFonts w:ascii="Pilcrow Rounded" w:cs="Pilcrow Rounded" w:eastAsia="Pilcrow Rounded" w:hAnsi="Pilcrow Rounded"/>
          <w:color w:val="333333"/>
          <w:sz w:val="20"/>
          <w:szCs w:val="20"/>
        </w:rPr>
        <w:t xml:space="preserve">De los 3.781 clientes activos, 3.244 —el 79,3% de la venta identificada— quedarían en el canal equivocado si se usara el campo de tipo de cliente del maestro. Un solo valor, «misceláneas», concentra 4.263 registros.</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700"/>
        <w:gridCol w:w="2300"/>
        <w:gridCol w:w="2360"/>
      </w:tblGrid>
      <w:tr>
        <w:tc>
          <w:tcPr>
            <w:tcW w:type="dxa" w:w="47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Escondido dentro de «misceláneas»</w:t>
            </w:r>
          </w:p>
        </w:tc>
        <w:tc>
          <w:tcPr>
            <w:tcW w:type="dxa" w:w="23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NIT</w:t>
            </w:r>
          </w:p>
        </w:tc>
        <w:tc>
          <w:tcPr>
            <w:tcW w:type="dxa" w:w="23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Venta 12m</w:t>
            </w:r>
          </w:p>
        </w:tc>
      </w:tr>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Sociedades comerciales y empresas de consumo</w:t>
            </w:r>
          </w:p>
        </w:tc>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473</w:t>
            </w:r>
          </w:p>
        </w:tc>
        <w:tc>
          <w:tcPr>
            <w:tcW w:type="dxa" w:w="2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$713 M</w:t>
            </w:r>
          </w:p>
        </w:tc>
      </w:tr>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Entidades públicas, educativas y solidarias</w:t>
            </w:r>
          </w:p>
        </w:tc>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121</w:t>
            </w:r>
          </w:p>
        </w:tc>
        <w:tc>
          <w:tcPr>
            <w:tcW w:type="dxa" w:w="2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$759 M</w:t>
            </w:r>
          </w:p>
        </w:tc>
      </w:tr>
      <w:tr>
        <w:tc>
          <w:tcPr>
            <w:tcW w:type="dxa" w:w="4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Personas naturales con venta superior a $20 M</w:t>
            </w:r>
          </w:p>
        </w:tc>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54</w:t>
            </w:r>
          </w:p>
        </w:tc>
        <w:tc>
          <w:tcPr>
            <w:tcW w:type="dxa" w:w="2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$1.961 M</w:t>
            </w:r>
          </w:p>
        </w:tc>
      </w:tr>
    </w:tbl>
    <w:p>
      <w:pPr>
        <w:spacing w:after="12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DIECIOCHO ENTIDADES PÚBLICAS SE BLOQUEARÍAN EL 17 DE AGOSTO</w:t>
            </w:r>
          </w:p>
          <w:p>
            <w:pPr>
              <w:spacing w:after="55" w:line="252"/>
              <w:jc w:val="both"/>
            </w:pPr>
            <w:r>
              <w:rPr>
                <w:rFonts w:ascii="Pilcrow Rounded" w:cs="Pilcrow Rounded" w:eastAsia="Pilcrow Rounded" w:hAnsi="Pilcrow Rounded"/>
                <w:color w:val="333333"/>
                <w:sz w:val="19"/>
                <w:szCs w:val="19"/>
              </w:rPr>
              <w:t xml:space="preserve">El Régimen B real son 156 clientes activos con $1.892 millones de venta. El maestro solo reconoce diez como licitaciones.</w:t>
            </w:r>
          </w:p>
          <w:p>
            <w:pPr>
              <w:spacing w:after="55" w:line="252"/>
              <w:jc w:val="both"/>
            </w:pPr>
            <w:r>
              <w:rPr>
                <w:rFonts w:ascii="Pilcrow Rounded" w:cs="Pilcrow Rounded" w:eastAsia="Pilcrow Rounded" w:hAnsi="Pilcrow Rounded"/>
                <w:color w:val="333333"/>
                <w:sz w:val="19"/>
                <w:szCs w:val="19"/>
              </w:rPr>
              <w:t xml:space="preserve">Dieciocho de esas entidades registran mora superior a cuarenta y cinco días y, por estar archivadas en Régimen A, quedarían bloqueadas de forma automática: entre ellas la empresa social del Estado de mayor venta de la compañía, dos hospitales departamentales, un municipio y una caja de compensación. Suman $597,6 millones de venta anual.</w:t>
            </w:r>
          </w:p>
          <w:p>
            <w:pPr>
              <w:spacing w:after="55" w:line="252"/>
              <w:jc w:val="both"/>
            </w:pPr>
            <w:r>
              <w:rPr>
                <w:rFonts w:ascii="Pilcrow Rounded" w:cs="Pilcrow Rounded" w:eastAsia="Pilcrow Rounded" w:hAnsi="Pilcrow Rounded"/>
                <w:color w:val="333333"/>
                <w:sz w:val="19"/>
                <w:szCs w:val="19"/>
              </w:rPr>
              <w:t xml:space="preserve">Bloquear a un hospital o a una alcaldía por días de mora contradice el Artículo 6 de la política. No es un error de política: es un error de dato. La reclasificación de estas entidades es condición de arranque, no tarea posterior.</w:t>
            </w:r>
          </w:p>
        </w:tc>
      </w:tr>
    </w:tbl>
    <w:p>
      <w:pPr>
        <w:spacing w:after="140"/>
      </w:pPr>
    </w:p>
    <w:p>
      <w:pPr>
        <w:spacing w:after="85" w:before="210"/>
      </w:pPr>
      <w:r>
        <w:rPr>
          <w:rFonts w:ascii="Pilcrow Rounded" w:cs="Pilcrow Rounded" w:eastAsia="Pilcrow Rounded" w:hAnsi="Pilcrow Rounded"/>
          <w:b/>
          <w:bCs/>
          <w:color w:val="333333"/>
          <w:sz w:val="21"/>
          <w:szCs w:val="21"/>
        </w:rPr>
        <w:t xml:space="preserve">3.4  Cómo se carga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Nunca sobre el maestro completo. </w:t>
      </w:r>
      <w:r>
        <w:rPr>
          <w:rFonts w:ascii="Pilcrow Rounded" w:cs="Pilcrow Rounded" w:eastAsia="Pilcrow Rounded" w:hAnsi="Pilcrow Rounded"/>
          <w:color w:val="333333"/>
          <w:sz w:val="20"/>
          <w:szCs w:val="20"/>
        </w:rPr>
        <w:t xml:space="preserve">El plano debe contener únicamente los campos que cambian. Una actualización con reemplazo de registro escribe como vacío todo campo que vaya vacío, y en el maestro de terceros eso puede borrar direcciones, contactos, responsabilidades fiscales y regímenes tributarios de los que depende la facturación electrónica.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Por lotes de cincuenta registros, con validación entre lotes. No en bloque.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Los primeros diez se cargan en ambiente de pruebas y se comparan campo por campo contra el registro original. Si un solo campo resulta alterado sin estar en el plano, la carga se detiene y se hace manualmente.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Antes de la primera carga se confirma contra qué base apunta el ambiente de pruebas. Un entorno restaurado desde datos de producción no es un ambiente de pruebas.</w:t>
      </w: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4. Pruebas de aceptación</w:t>
      </w:r>
    </w:p>
    <w:p>
      <w:pPr>
        <w:spacing w:after="115" w:line="268"/>
        <w:jc w:val="both"/>
      </w:pPr>
      <w:r>
        <w:rPr>
          <w:rFonts w:ascii="Pilcrow Rounded" w:cs="Pilcrow Rounded" w:eastAsia="Pilcrow Rounded" w:hAnsi="Pilcrow Rounded"/>
          <w:color w:val="333333"/>
          <w:sz w:val="20"/>
          <w:szCs w:val="20"/>
        </w:rPr>
        <w:t xml:space="preserve">Cada parametrización se da por terminada cuando pasa su prueba, no cuando alguien reporta que quedó configurada. Esta sección existe porque el hallazgo del punto 1.1 demuestra que en esta operación un estado configurado no equivale a un sistema que actúa.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800"/>
        <w:gridCol w:w="4100"/>
        <w:gridCol w:w="2460"/>
      </w:tblGrid>
      <w:tr>
        <w:tc>
          <w:tcPr>
            <w:tcW w:type="dxa" w:w="28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se probó</w:t>
            </w:r>
          </w:p>
        </w:tc>
        <w:tc>
          <w:tcPr>
            <w:tcW w:type="dxa" w:w="4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Cómo se prueba</w:t>
            </w:r>
          </w:p>
        </w:tc>
        <w:tc>
          <w:tcPr>
            <w:tcW w:type="dxa" w:w="24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Pasa si</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Condición no editable</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Un facturador intenta cambiar la condición de pago en una factura de prueba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campo no permite edición</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Creación restringida</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Intentar crear un cliente sin tipo, sin canal y sin condición</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sistema rechaza el registro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Bloqueo por mora</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Tomar un cliente con más de 45 días de mora e intentar facturarle a crédito</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El sistema impide la venta a crédito y permite la de contado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Desbloqueo automático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Aplicar el pago a ese mismo cliente y volver a facturar sin que nadie intervenga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cliente queda habilitado solo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Cupo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Facturar a crédito por encima del cupo asignado</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sistema lo impide</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REG-C10</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Emitir cuatro facturas: día 1, día 25, día 26 y último día del mes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Las tres primeras vencen el 10 del mes siguiente; la del 26 salta al subsiguiente</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PREPAGO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Emitir un documento con esa condición y revisar el informe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 aparece en cartera ni en el semáforo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Perfil de ventas</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Un vendedor intenta liberar un pedido retenido por cartera, tras retirar los cuatro métodos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El botón no libera el pedido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Perfil CARTERA</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Un usuario de CARTERA libera el mismo pedido</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Lo libera y queda registro con usuario y fecha</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Factura directa</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Emitir factura directa a crédito al cliente bloqueado con el perfil ya restringido</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Retiene igual que el pedido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Caja de usuario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Despachar un pedido de contado con un usuario sin caja, asignarla, y repetir</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Falla primero, pasa después. Verificado 13-ago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Contado bajo bloqueo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 de contado a cliente con mora superior a 45 días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Advierte y permite continuar. Verificado 13-ago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Régimen B — fecha de giro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Intentar emitir una factura institucional sin fecha de giro proyectada, y registrar una fecha a 120 días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Ambas se rechazan</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Régimen B — reprogramación</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Reprogramar dos veces la fecha de giro de una misma factura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La segunda no se acepta y el bloqueo opera</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Artículo 3 — unificación</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Facturar al mismo NIT desde dos puntos distintos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Ambas facturas heredan la misma condición de pago</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Partes vinculadas</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Consultar el reporte de cartera y el semáforo tras marcarlas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Ninguna aparece; la cartera vencida baja a $168,4 M</w:t>
            </w:r>
          </w:p>
        </w:tc>
      </w:tr>
      <w:tr>
        <w:tc>
          <w:tcPr>
            <w:tcW w:type="dxa" w:w="28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Saneamiento</w:t>
            </w:r>
          </w:p>
        </w:tc>
        <w:tc>
          <w:tcPr>
            <w:tcW w:type="dxa" w:w="4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Repetir el cruce de condición de documento contra maestro un mes después del arranque</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La desviación baja de 24,3% a menos de 2%</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LA PRUEBA DE REG-C10 DECIDE EL DISEÑO</w:t>
            </w:r>
          </w:p>
          <w:p>
            <w:pPr>
              <w:spacing w:after="55" w:line="252"/>
              <w:jc w:val="both"/>
            </w:pPr>
            <w:r>
              <w:rPr>
                <w:rFonts w:ascii="Pilcrow Rounded" w:cs="Pilcrow Rounded" w:eastAsia="Pilcrow Rounded" w:hAnsi="Pilcrow Rounded"/>
                <w:color w:val="333333"/>
                <w:sz w:val="19"/>
                <w:szCs w:val="19"/>
              </w:rPr>
              <w:t xml:space="preserve">Si al facturar el día 26 el vencimiento no salta al mes subsiguiente, el parámetro de día de corte no opera como se describe y el Régimen C debe reconfigurarse con vencimiento a día fijo 15, que da un plazo promedio de 29,5 días sin necesidad de corte.</w:t>
            </w:r>
          </w:p>
          <w:p>
            <w:pPr>
              <w:spacing w:after="55" w:line="252"/>
              <w:jc w:val="both"/>
            </w:pPr>
            <w:r>
              <w:rPr>
                <w:rFonts w:ascii="Pilcrow Rounded" w:cs="Pilcrow Rounded" w:eastAsia="Pilcrow Rounded" w:hAnsi="Pilcrow Rounded"/>
                <w:color w:val="333333"/>
                <w:sz w:val="19"/>
                <w:szCs w:val="19"/>
              </w:rPr>
              <w:t xml:space="preserve">Esa prueba se corre en la primera semana de septiembre y su resultado se comunica antes de escribir la especificación definitiva. No se le envía a Gerencia General una especificación que después haya que corregir.</w:t>
            </w:r>
          </w:p>
        </w:tc>
      </w:tr>
    </w:tbl>
    <w:p>
      <w:pPr>
        <w:pBdr>
          <w:bottom w:val="single" w:color="1E8395" w:sz="8" w:space="5"/>
        </w:pBdr>
        <w:spacing w:after="150" w:before="340"/>
      </w:pPr>
      <w:r>
        <w:rPr>
          <w:rFonts w:ascii="Pilcrow Rounded" w:cs="Pilcrow Rounded" w:eastAsia="Pilcrow Rounded" w:hAnsi="Pilcrow Rounded"/>
          <w:b/>
          <w:bCs/>
          <w:color w:val="1E8395"/>
          <w:sz w:val="25"/>
          <w:szCs w:val="25"/>
        </w:rPr>
        <w:t xml:space="preserve">5. Calendario y dueños</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300"/>
        <w:gridCol w:w="2600"/>
        <w:gridCol w:w="2460"/>
      </w:tblGrid>
      <w:tr>
        <w:tc>
          <w:tcPr>
            <w:tcW w:type="dxa" w:w="43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w:t>
            </w:r>
          </w:p>
        </w:tc>
        <w:tc>
          <w:tcPr>
            <w:tcW w:type="dxa" w:w="2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Dueño</w:t>
            </w:r>
          </w:p>
        </w:tc>
        <w:tc>
          <w:tcPr>
            <w:tcW w:type="dxa" w:w="24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Fecha</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Responder si el Gestor usa la bandera «Bloqueado mora»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Inmediato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Condición de pago no editable en facturación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Creación de clientes restringida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Respaldo con restauración probada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 cargar</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Asignar caja en preferencias, por usuario y centro de operación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Inmediato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Verificar caja activa por cada C.O. que factura de contado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lo anterior</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Marcar las 9 partes vinculadas con criterio propio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Retirar los 4 métodos de aprobación de los perfiles de ventas</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 + Sistemas</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Tras resolver el contado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Retirar «Habilitar fecha de vencimiento de CxC» y acceso a Maestros de Terceros</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 los 4 métodos</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Habilitar el perfil CARTERA con los métodos de aprobación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 retirarlos de ventas</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Retirar la bandera de mora de los 3.795 terceros sin razón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 cerrar el control</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Reclasificar las 156 entidades del Régimen B</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Carga de cupos de los 765 clientes con historia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Medir el radio de explosión de los 2.762 sin historia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CONT y CRE30, marcar códigos residuales</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Semana del 11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Pruebas de aceptación de bloqueo y desbloqueo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11–16 ago (sombra)</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planes CANAL y REGIMEN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Agosto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Clasificar el maestro con el árbol, fuera del ERP</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Última semana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Cargar la condición ganadora de los 272 NIT activos con contradicción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Depurar o llevar a contado los 1.417 NIT inactivos con contradicción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Septiembre</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Cargar por lotes de 50 con validación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Gerencia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Septiembre</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Crear y probar REG-C10 con los 4 casos</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1ª semana sep</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PREPAGO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del 1er convenio</w:t>
            </w:r>
          </w:p>
        </w:tc>
      </w:tr>
      <w:tr>
        <w:tc>
          <w:tcPr>
            <w:tcW w:type="dxa" w:w="4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Repetir el cruce de control</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4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30 de septiembre</w:t>
            </w:r>
          </w:p>
        </w:tc>
      </w:tr>
    </w:tbl>
    <w:p>
      <w:pPr>
        <w:spacing w:after="16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6. Lo que este documento no resuelve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serie de días de pago del portafolio público. La extracción entregada corresponde a cartera abierta y no contiene fecha de recaudo. Se requiere el informe de recaudos aplicados o cruce de documentos, con fecha de recibo de caja, para calibrar el tope de fecha registrable del Régimen B.</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Si el mecanismo de bloqueo del Gestor de Cartera es independiente de la bandera del maestro. Hasta responderlo, la fecha del 17 de agosto no es verificable.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medición del radio de explosión, corregida por partes vinculadas y por Régimen B, arroja 236 clientes con $313,0 millones de cartera vencida y $52,7 millones de venta mensual: el 2,6% de la venta mensual de la operación. Queda por debajo del umbral de aplazamiento del 8% comprometido en la política, de modo que el arranque procede en la fecha prevista.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Si el maestro de condiciones de pago admite día de corte junto con día fijo del mes. Lo decide la prueba de la primera semana de septiembre.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tope de la fecha de giro registrable del Régimen B queda en 90 días de forma provisional. Se calibra con la serie de días de pago del portafolio público, que sigue pendiente de extracción: se requiere el informe de recaudos aplicados, no el de saldos por edades.</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Si el pedido y la factura pueden llevar condiciones de pago distintas de forma deliberada. </w:t>
      </w:r>
      <w:r>
        <w:rPr>
          <w:rFonts w:ascii="Pilcrow Rounded" w:cs="Pilcrow Rounded" w:eastAsia="Pilcrow Rounded" w:hAnsi="Pilcrow Rounded"/>
          <w:color w:val="333333"/>
          <w:sz w:val="20"/>
          <w:szCs w:val="20"/>
        </w:rPr>
        <w:t xml:space="preserve">Verificado el 13 de agosto: con condición de contado el control advierte y permite continuar; con plazo de un día retiene. Si el pedido pudiera declararse de contado y la factura generarse a un día, la Regla 10 quedaría resuelta con parametrización. Es la única pregunta de diseño que queda abierta.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Si la facturación directa valida cartera. Determina si cerrar la aprobación del pedido basta o si queda una ruta paralela abierta.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Cuál de los cuatro métodos retirados es el que efectivamente cierra la puerta, y si los otros tres cubren rutas distintas o son redundantes.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Qué hace el nodo «Aprobar pedidos por cupo y mora para despacho», y si los eventos de aprobación quedan registrados con usuario y fecha. Si quedan, existen doce meses de historia de quién liberó qué.</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Cuál es el uso previsto de la condición C02 de un día, y por qué se factura sistemáticamente en C04 y se cambia a C02 al emitir. Esta la responde el Líder de Crédito y Cartera, no el consultor.</w:t>
      </w:r>
    </w:p>
    <w:p>
      <w:pPr>
        <w:spacing w:after="40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Aprobación</w:t>
      </w:r>
    </w:p>
    <w:p>
      <w:pPr>
        <w:spacing w:after="300" w:line="268"/>
        <w:jc w:val="both"/>
      </w:pPr>
      <w:r>
        <w:rPr>
          <w:rFonts w:ascii="Pilcrow Rounded" w:cs="Pilcrow Rounded" w:eastAsia="Pilcrow Rounded" w:hAnsi="Pilcrow Rounded"/>
          <w:color w:val="333333"/>
          <w:sz w:val="20"/>
          <w:szCs w:val="20"/>
        </w:rPr>
        <w:t xml:space="preserve">Este documento se revisa punto por punto con Sistemas y con Gerencia General antes del 17 de agosto. Lo que no esté listo en su fecha se declara suspendido por acta y el artículo correspondiente de la política queda sin aplicación hasta que lo esté.</w:t>
      </w:r>
    </w:p>
    <w:tbl>
      <w:tblPr>
        <w:tblW w:type="dxa" w:w="9360"/>
        <w:tblBorders>
          <w:top w:val="none"/>
          <w:left w:val="none"/>
          <w:bottom w:val="none"/>
          <w:right w:val="none"/>
          <w:insideH w:val="none"/>
          <w:insideV w:val="none"/>
        </w:tblBorders>
      </w:tblPr>
      <w:tblGrid>
        <w:gridCol w:w="4680"/>
        <w:gridCol w:w="4680"/>
      </w:tblGrid>
      <w:tr>
        <w:tc>
          <w:tcPr>
            <w:tcW w:type="dxa" w:w="4680"/>
            <w:tcMar>
              <w:righ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Nelly Carmensa Figueroa Anacona</w:t>
            </w:r>
          </w:p>
          <w:p>
            <w:pPr>
              <w:spacing w:after="60"/>
            </w:pPr>
            <w:r>
              <w:rPr>
                <w:rFonts w:ascii="Pilcrow Rounded" w:cs="Pilcrow Rounded" w:eastAsia="Pilcrow Rounded" w:hAnsi="Pilcrow Rounded"/>
                <w:color w:val="6E6E6E"/>
                <w:sz w:val="19"/>
                <w:szCs w:val="19"/>
              </w:rPr>
              <w:t xml:space="preserve">Gerencia General · Maestros del ERP</w:t>
            </w:r>
          </w:p>
        </w:tc>
        <w:tc>
          <w:tcPr>
            <w:tcW w:type="dxa" w:w="4680"/>
            <w:tcMar>
              <w:lef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Santiago Giraldo Figueroa</w:t>
            </w:r>
          </w:p>
          <w:p>
            <w:pPr>
              <w:spacing w:after="60"/>
            </w:pPr>
            <w:r>
              <w:rPr>
                <w:rFonts w:ascii="Pilcrow Rounded" w:cs="Pilcrow Rounded" w:eastAsia="Pilcrow Rounded" w:hAnsi="Pilcrow Rounded"/>
                <w:color w:val="6E6E6E"/>
                <w:sz w:val="19"/>
                <w:szCs w:val="19"/>
              </w:rPr>
              <w:t xml:space="preserve">Dirección de Operaciones</w:t>
            </w:r>
          </w:p>
        </w:tc>
      </w:tr>
    </w:tbl>
    <w:sectPr>
      <w:headerReference w:type="default" r:id="rId7"/>
      <w:footerReference w:type="default" r:id="rId8"/>
      <w:pgSz w:w="12240" w:h="15840" w:orient="portrait"/>
      <w:pgMar w:top="1440" w:right="1440" w:bottom="144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DE2" w:sz="4" w:space="6"/>
      </w:pBdr>
      <w:spacing w:before="40"/>
      <w:jc w:val="center"/>
    </w:pPr>
    <w:r>
      <w:rPr>
        <w:rFonts w:ascii="Pilcrow Rounded" w:cs="Pilcrow Rounded" w:eastAsia="Pilcrow Rounded" w:hAnsi="Pilcrow Rounded"/>
        <w:color w:val="9FB9BF"/>
        <w:sz w:val="15"/>
        <w:szCs w:val="15"/>
      </w:rPr>
      <w:t xml:space="preserve">Papelería Medellín  ·  Diagnóstico del 5 de agosto de 2026  ·  Página </w:t>
    </w:r>
    <w:r>
      <w:rPr>
        <w:rFonts w:ascii="Pilcrow Rounded" w:cs="Pilcrow Rounded" w:eastAsia="Pilcrow Rounded" w:hAnsi="Pilcrow Rounded"/>
        <w:color w:val="9FB9BF"/>
        <w:sz w:val="15"/>
        <w:szCs w:val="15"/>
      </w:rPr>
      <w:fldChar w:fldCharType="begin"/>
      <w:instrText xml:space="preserve">PAGE</w:instrText>
      <w:fldChar w:fldCharType="separate"/>
      <w:fldChar w:fldCharType="end"/>
    </w:r>
    <w:r>
      <w:rPr>
        <w:rFonts w:ascii="Pilcrow Rounded" w:cs="Pilcrow Rounded" w:eastAsia="Pilcrow Rounded" w:hAnsi="Pilcrow Rounded"/>
        <w:color w:val="9FB9BF"/>
        <w:sz w:val="15"/>
        <w:szCs w:val="15"/>
      </w:rPr>
      <w:t xml:space="preserve"> de </w:t>
    </w:r>
    <w:r>
      <w:rPr>
        <w:rFonts w:ascii="Pilcrow Rounded" w:cs="Pilcrow Rounded" w:eastAsia="Pilcrow Rounded" w:hAnsi="Pilcrow Rounded"/>
        <w:color w:val="9FB9B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3238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133350"/>
                  </a:xfrm>
                  <a:prstGeom prst="rect">
                    <a:avLst/>
                  </a:prstGeom>
                </pic:spPr>
              </pic:pic>
            </a:graphicData>
          </a:graphic>
        </wp:inline>
      </w:drawing>
    </w:r>
    <w:r>
      <w:rPr>
        <w:rFonts w:ascii="Pilcrow Rounded" w:cs="Pilcrow Rounded" w:eastAsia="Pilcrow Rounded" w:hAnsi="Pilcrow Rounded"/>
        <w:color w:val="9FB9BF"/>
        <w:sz w:val="15"/>
        <w:szCs w:val="15"/>
      </w:rPr>
      <w:t xml:space="preserve">   SIS-CAR-01 · Parametrización y saneamiento del ERP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E83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d0c6ad013c8e057d608ef22729092b41a499a.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c0b4bb55a1f465fa76ee78e8aa17726c25c080.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Parametrización y saneamiento del ERP v1.5</dc:title>
  <dc:creator>Papelería Medellín</dc:creator>
  <cp:lastModifiedBy>Un-named</cp:lastModifiedBy>
  <cp:revision>1</cp:revision>
  <dcterms:created xsi:type="dcterms:W3CDTF">2026-08-13T22:53:17.501Z</dcterms:created>
  <dcterms:modified xsi:type="dcterms:W3CDTF">2026-08-13T22:53:17.514Z</dcterms:modified>
</cp:coreProperties>
</file>

<file path=docProps/custom.xml><?xml version="1.0" encoding="utf-8"?>
<Properties xmlns="http://schemas.openxmlformats.org/officeDocument/2006/custom-properties" xmlns:vt="http://schemas.openxmlformats.org/officeDocument/2006/docPropsVTypes"/>
</file>