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857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14325"/>
                    </a:xfrm>
                    <a:prstGeom prst="rect">
                      <a:avLst/>
                    </a:prstGeom>
                  </pic:spPr>
                </pic:pic>
              </a:graphicData>
            </a:graphic>
          </wp:inline>
        </w:drawing>
      </w:r>
    </w:p>
    <w:p>
      <w:pPr>
        <w:spacing w:after="30"/>
        <w:jc w:val="center"/>
      </w:pPr>
      <w:r>
        <w:rPr>
          <w:rFonts w:ascii="Pilcrow Rounded" w:cs="Pilcrow Rounded" w:eastAsia="Pilcrow Rounded" w:hAnsi="Pilcrow Rounded"/>
          <w:color w:val="6E6E6E"/>
          <w:sz w:val="17"/>
          <w:szCs w:val="17"/>
        </w:rPr>
        <w:t xml:space="preserve">Nelly Carmensa Figueroa Anacona  ·  NIT 52.430.291-0</w:t>
      </w:r>
    </w:p>
    <w:p>
      <w:pPr>
        <w:spacing w:after="20"/>
        <w:jc w:val="center"/>
      </w:pPr>
      <w:r>
        <w:rPr>
          <w:rFonts w:ascii="Pilcrow Rounded" w:cs="Pilcrow Rounded" w:eastAsia="Pilcrow Rounded" w:hAnsi="Pilcrow Rounded"/>
          <w:color w:val="6E6E6E"/>
          <w:sz w:val="17"/>
          <w:szCs w:val="17"/>
        </w:rPr>
        <w:t xml:space="preserve">En reorganización empresarial — Ley 1116 de 2006</w:t>
      </w:r>
    </w:p>
    <w:p>
      <w:pPr>
        <w:spacing w:after="300"/>
        <w:jc w:val="center"/>
      </w:pPr>
      <w:r>
        <w:rPr>
          <w:rFonts w:ascii="Pilcrow Rounded" w:cs="Pilcrow Rounded" w:eastAsia="Pilcrow Rounded" w:hAnsi="Pilcrow Rounded"/>
          <w:color w:val="6E6E6E"/>
          <w:sz w:val="17"/>
          <w:szCs w:val="17"/>
        </w:rPr>
        <w:t xml:space="preserve">Cra 2 Sur #6-15  ·  Neiva, Huila  ·  papeleriamedellin.com.co</w:t>
      </w:r>
    </w:p>
    <w:p>
      <w:pPr>
        <w:pBdr>
          <w:top w:val="single" w:color="1E8395" w:sz="14" w:space="8"/>
        </w:pBdr>
        <w:spacing w:after="40"/>
        <w:jc w:val="center"/>
      </w:pPr>
      <w:r>
        <w:rPr>
          <w:sz w:val="4"/>
          <w:szCs w:val="4"/>
        </w:rPr>
        <w:t xml:space="preserve"> </w:t>
      </w:r>
    </w:p>
    <w:p>
      <w:pPr>
        <w:spacing w:after="55"/>
        <w:jc w:val="center"/>
      </w:pPr>
      <w:r>
        <w:rPr>
          <w:rFonts w:ascii="Pilcrow Rounded" w:cs="Pilcrow Rounded" w:eastAsia="Pilcrow Rounded" w:hAnsi="Pilcrow Rounded"/>
          <w:b/>
          <w:bCs/>
          <w:color w:val="1E8395"/>
          <w:sz w:val="32"/>
          <w:szCs w:val="32"/>
        </w:rPr>
        <w:t xml:space="preserve">POLÍTICA DE CRÉDITO Y CARTERA</w:t>
      </w:r>
    </w:p>
    <w:p>
      <w:pPr>
        <w:spacing w:after="40"/>
        <w:jc w:val="center"/>
      </w:pPr>
      <w:r>
        <w:rPr>
          <w:rFonts w:ascii="Pilcrow Rounded" w:cs="Pilcrow Rounded" w:eastAsia="Pilcrow Rounded" w:hAnsi="Pilcrow Rounded"/>
          <w:color w:val="6E6E6E"/>
          <w:sz w:val="20"/>
          <w:szCs w:val="20"/>
        </w:rPr>
        <w:t xml:space="preserve">Versión 2.8  ·  Documento de aplicación obligatoria</w:t>
      </w:r>
    </w:p>
    <w:p>
      <w:pPr>
        <w:pBdr>
          <w:bottom w:val="single" w:color="1E8395" w:sz="14" w:space="8"/>
        </w:pBdr>
        <w:spacing w:after="60"/>
        <w:jc w:val="center"/>
      </w:pPr>
      <w:r>
        <w:rPr>
          <w:sz w:val="4"/>
          <w:szCs w:val="4"/>
        </w:rPr>
        <w:t xml:space="preserve"> </w:t>
      </w:r>
    </w:p>
    <w:p>
      <w:pPr>
        <w:spacing w:after="20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2580"/>
        <w:gridCol w:w="2100"/>
        <w:gridCol w:w="2580"/>
      </w:tblGrid>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Código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BK-CAR-01</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Versión</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2.8</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Expedición</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Neiva, agosto de 2026</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Entrada en vigencia</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17 de agosto de 2026</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Deroga</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Comunicado del 27 de mayo de 2026</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Alcance</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Todos los C.O. y canales</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 del documento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Custodio operativo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Crédito y Cartera</w:t>
            </w:r>
          </w:p>
        </w:tc>
      </w:tr>
    </w:tbl>
    <w:p>
      <w:pPr>
        <w:spacing w:after="2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AVISO DE DEROGATORIA</w:t>
            </w:r>
          </w:p>
          <w:p>
            <w:pPr>
              <w:spacing w:after="55" w:line="252"/>
              <w:jc w:val="both"/>
            </w:pPr>
            <w:r>
              <w:rPr>
                <w:rFonts w:ascii="Pilcrow Rounded" w:cs="Pilcrow Rounded" w:eastAsia="Pilcrow Rounded" w:hAnsi="Pilcrow Rounded"/>
                <w:color w:val="333333"/>
                <w:sz w:val="19"/>
                <w:szCs w:val="19"/>
              </w:rPr>
              <w:t xml:space="preserve">Este documento reemplaza íntegramente el comunicado de políticas de crédito y cartera del 27 de mayo de 2026. Aquel documento queda sin efecto a partir del 17 de agosto de 2026.</w:t>
            </w:r>
          </w:p>
          <w:p>
            <w:pPr>
              <w:spacing w:after="55" w:line="252"/>
              <w:jc w:val="both"/>
            </w:pPr>
            <w:r>
              <w:rPr>
                <w:rFonts w:ascii="Pilcrow Rounded" w:cs="Pilcrow Rounded" w:eastAsia="Pilcrow Rounded" w:hAnsi="Pilcrow Rounded"/>
                <w:color w:val="333333"/>
                <w:sz w:val="19"/>
                <w:szCs w:val="19"/>
              </w:rPr>
              <w:t xml:space="preserve">Donde exista contradicción entre este documento y cualquier instrucción anterior —verbal o escrita, de cualquier nivel jerárquico— prevalece este documento.</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 Objeto y alcance</w:t>
      </w:r>
    </w:p>
    <w:p>
      <w:pPr>
        <w:spacing w:after="115" w:line="268"/>
        <w:jc w:val="both"/>
      </w:pPr>
      <w:r>
        <w:rPr>
          <w:rFonts w:ascii="Pilcrow Rounded" w:cs="Pilcrow Rounded" w:eastAsia="Pilcrow Rounded" w:hAnsi="Pilcrow Rounded"/>
          <w:color w:val="333333"/>
          <w:sz w:val="20"/>
          <w:szCs w:val="20"/>
        </w:rPr>
        <w:t xml:space="preserve">Esta política define quién recibe crédito, en qué condiciones, qué ocurre cuando no paga y cómo se remunera a quien vende y a quien recauda. Aplica a los siete puntos de operación (C.O. 001 a 007), al centro de distribución, al canal mayorista, a las rutas TAT, al canal institucional, al comercio electrónico y al punto de detal premium.</w:t>
      </w:r>
    </w:p>
    <w:p>
      <w:pPr>
        <w:spacing w:after="115" w:line="268"/>
        <w:jc w:val="both"/>
      </w:pPr>
      <w:r>
        <w:rPr>
          <w:rFonts w:ascii="Pilcrow Rounded" w:cs="Pilcrow Rounded" w:eastAsia="Pilcrow Rounded" w:hAnsi="Pilcrow Rounded"/>
          <w:color w:val="333333"/>
          <w:sz w:val="20"/>
          <w:szCs w:val="20"/>
        </w:rPr>
        <w:t xml:space="preserve">No es un llamado a la disciplina. Es la descripción del comportamiento del sistema. Lo que aquí está escrito es lo que la plataforma ejecuta de forma automática a partir del 17 de agosto de 2026.</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2. Principios rectores</w:t>
      </w:r>
    </w:p>
    <w:p>
      <w:pPr>
        <w:spacing w:after="115" w:line="268"/>
        <w:jc w:val="both"/>
      </w:pPr>
      <w:r>
        <w:rPr>
          <w:rFonts w:ascii="Pilcrow Rounded" w:cs="Pilcrow Rounded" w:eastAsia="Pilcrow Rounded" w:hAnsi="Pilcrow Rounded"/>
          <w:b/>
          <w:bCs/>
          <w:color w:val="333333"/>
          <w:sz w:val="20"/>
          <w:szCs w:val="20"/>
        </w:rPr>
        <w:t xml:space="preserve">2.1  El sistema es la autoridad. </w:t>
      </w:r>
      <w:r>
        <w:rPr>
          <w:rFonts w:ascii="Pilcrow Rounded" w:cs="Pilcrow Rounded" w:eastAsia="Pilcrow Rounded" w:hAnsi="Pilcrow Rounded"/>
          <w:color w:val="333333"/>
          <w:sz w:val="20"/>
          <w:szCs w:val="20"/>
        </w:rPr>
        <w:t xml:space="preserve">El bloqueo y el desbloqueo de clientes los ejecuta la plataforma con base en datos, no una persona con base en criterio. Ninguna autorización verbal habilita una venta: si la excepción no está registrada en el sistema, no existe.</w:t>
      </w:r>
    </w:p>
    <w:p>
      <w:pPr>
        <w:spacing w:after="115" w:line="268"/>
        <w:ind w:left="360"/>
        <w:jc w:val="both"/>
      </w:pPr>
      <w:r>
        <w:rPr>
          <w:rFonts w:ascii="Pilcrow Rounded" w:cs="Pilcrow Rounded" w:eastAsia="Pilcrow Rounded" w:hAnsi="Pilcrow Rounded"/>
          <w:b/>
          <w:bCs/>
          <w:color w:val="333333"/>
          <w:sz w:val="20"/>
          <w:szCs w:val="20"/>
        </w:rPr>
        <w:t xml:space="preserve">Este principio depende de una parametrización concreta y sin ella es falso: la condición de pago debe heredarse del maestro del cliente y quedar bloqueada en la pantalla de facturación. </w:t>
      </w:r>
      <w:r>
        <w:rPr>
          <w:rFonts w:ascii="Pilcrow Rounded" w:cs="Pilcrow Rounded" w:eastAsia="Pilcrow Rounded" w:hAnsi="Pilcrow Rounded"/>
          <w:color w:val="333333"/>
          <w:sz w:val="20"/>
          <w:szCs w:val="20"/>
        </w:rPr>
        <w:t xml:space="preserve">Si el facturador o el vendedor pueden alterarla al digitar, la fecha de vencimiento sobre la que se calcula toda la escalera de mora queda a merced de la presión comercial del momento. La parametrización queda activa antes del 17 de agosto de 2026, para todos los clientes y todos los canales.</w:t>
      </w:r>
    </w:p>
    <w:p>
      <w:pPr>
        <w:spacing w:after="115" w:line="268"/>
        <w:jc w:val="both"/>
      </w:pPr>
      <w:r>
        <w:rPr>
          <w:rFonts w:ascii="Pilcrow Rounded" w:cs="Pilcrow Rounded" w:eastAsia="Pilcrow Rounded" w:hAnsi="Pilcrow Rounded"/>
          <w:b/>
          <w:bCs/>
          <w:color w:val="333333"/>
          <w:sz w:val="20"/>
          <w:szCs w:val="20"/>
        </w:rPr>
        <w:t xml:space="preserve">2.2  El crédito tiene precio. </w:t>
      </w:r>
      <w:r>
        <w:rPr>
          <w:rFonts w:ascii="Pilcrow Rounded" w:cs="Pilcrow Rounded" w:eastAsia="Pilcrow Rounded" w:hAnsi="Pilcrow Rounded"/>
          <w:color w:val="333333"/>
          <w:sz w:val="20"/>
          <w:szCs w:val="20"/>
        </w:rPr>
        <w:t xml:space="preserve">Financiar a un cliente cuesta dinero. Ese costo se refleja en el precio y se devuelve a quien no lo consume. Un cliente que paga a 45 días y uno que paga de contado no pueden pagar lo mismo: hacerlo significa que el que paga bien subsidia al que paga mal.</w:t>
      </w:r>
    </w:p>
    <w:p>
      <w:pPr>
        <w:spacing w:after="115" w:line="268"/>
        <w:jc w:val="both"/>
      </w:pPr>
      <w:r>
        <w:rPr>
          <w:rFonts w:ascii="Pilcrow Rounded" w:cs="Pilcrow Rounded" w:eastAsia="Pilcrow Rounded" w:hAnsi="Pilcrow Rounded"/>
          <w:b/>
          <w:bCs/>
          <w:color w:val="333333"/>
          <w:sz w:val="20"/>
          <w:szCs w:val="20"/>
        </w:rPr>
        <w:t xml:space="preserve">2.3  La venta de contado nunca se bloquea. </w:t>
      </w:r>
      <w:r>
        <w:rPr>
          <w:rFonts w:ascii="Pilcrow Rounded" w:cs="Pilcrow Rounded" w:eastAsia="Pilcrow Rounded" w:hAnsi="Pilcrow Rounded"/>
          <w:color w:val="333333"/>
          <w:sz w:val="20"/>
          <w:szCs w:val="20"/>
        </w:rPr>
        <w:t xml:space="preserve">Un cliente en mora conserva siempre el derecho a comprar pagando por anticipado. Cerrarle esa puerta no recupera la deuda: destruye la relación y entrega el cliente al competidor con deuda incluida.</w:t>
      </w:r>
    </w:p>
    <w:p>
      <w:pPr>
        <w:spacing w:after="115" w:line="268"/>
        <w:jc w:val="both"/>
      </w:pPr>
      <w:r>
        <w:rPr>
          <w:rFonts w:ascii="Pilcrow Rounded" w:cs="Pilcrow Rounded" w:eastAsia="Pilcrow Rounded" w:hAnsi="Pilcrow Rounded"/>
          <w:b/>
          <w:bCs/>
          <w:color w:val="333333"/>
          <w:sz w:val="20"/>
          <w:szCs w:val="20"/>
        </w:rPr>
        <w:t xml:space="preserve">2.4  No hay una sola cartera. </w:t>
      </w:r>
      <w:r>
        <w:rPr>
          <w:rFonts w:ascii="Pilcrow Rounded" w:cs="Pilcrow Rounded" w:eastAsia="Pilcrow Rounded" w:hAnsi="Pilcrow Rounded"/>
          <w:color w:val="333333"/>
          <w:sz w:val="20"/>
          <w:szCs w:val="20"/>
        </w:rPr>
        <w:t xml:space="preserve">El cliente institucional y el cliente comercial tienen riesgos estructuralmente distintos. Un ente público no paga tarde por incapacidad, paga tarde por calendario presupuestal. Aplicarles la misma regla es un error de diseño, no un acto de rigor.</w:t>
      </w:r>
    </w:p>
    <w:p>
      <w:pPr>
        <w:spacing w:after="115" w:line="268"/>
        <w:jc w:val="both"/>
      </w:pPr>
      <w:r>
        <w:rPr>
          <w:rFonts w:ascii="Pilcrow Rounded" w:cs="Pilcrow Rounded" w:eastAsia="Pilcrow Rounded" w:hAnsi="Pilcrow Rounded"/>
          <w:b/>
          <w:bCs/>
          <w:color w:val="333333"/>
          <w:sz w:val="20"/>
          <w:szCs w:val="20"/>
        </w:rPr>
        <w:t xml:space="preserve">2.5  La comisión se causa sobre el recaudo, no sobre la factura. </w:t>
      </w:r>
      <w:r>
        <w:rPr>
          <w:rFonts w:ascii="Pilcrow Rounded" w:cs="Pilcrow Rounded" w:eastAsia="Pilcrow Rounded" w:hAnsi="Pilcrow Rounded"/>
          <w:color w:val="333333"/>
          <w:sz w:val="20"/>
          <w:szCs w:val="20"/>
        </w:rPr>
        <w:t xml:space="preserve">Una venta no está terminada hasta que el dinero entra. Quien vende asume el resultado de a quién le vendió.</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3. Entidad acreedora y consolidación de saldos</w:t>
      </w:r>
    </w:p>
    <w:p>
      <w:pPr>
        <w:spacing w:after="115" w:line="268"/>
        <w:jc w:val="both"/>
      </w:pPr>
      <w:r>
        <w:rPr>
          <w:rFonts w:ascii="Pilcrow Rounded" w:cs="Pilcrow Rounded" w:eastAsia="Pilcrow Rounded" w:hAnsi="Pilcrow Rounded"/>
          <w:color w:val="333333"/>
          <w:sz w:val="20"/>
          <w:szCs w:val="20"/>
        </w:rPr>
        <w:t xml:space="preserve">Papelería Medellín es un establecimiento de comercio de la persona natural Nelly Carmensa Figueroa Anacona, identificada con NIT 52.430.291-0. Esa es la entidad acreedora de toda venta a crédito de la operación comercial, y es quien comparece en cualquier gestión de cobro.</w:t>
      </w:r>
    </w:p>
    <w:p>
      <w:pPr>
        <w:spacing w:after="115" w:line="268"/>
        <w:jc w:val="both"/>
      </w:pPr>
      <w:r>
        <w:rPr>
          <w:rFonts w:ascii="Pilcrow Rounded" w:cs="Pilcrow Rounded" w:eastAsia="Pilcrow Rounded" w:hAnsi="Pilcrow Rounded"/>
          <w:color w:val="333333"/>
          <w:sz w:val="20"/>
          <w:szCs w:val="20"/>
        </w:rPr>
        <w:t xml:space="preserve">IHO Business S.A.S. es la sociedad importadora del grupo. Sus operaciones con Papelería Medellín son transacciones entre partes vinculadas y no constituyen cartera comercial: no entran a esta política, no se someten al bloqueo automático y se gobiernan por el Artículo 4.3.</w:t>
      </w:r>
    </w:p>
    <w:p>
      <w:pPr>
        <w:spacing w:after="115" w:line="268"/>
        <w:jc w:val="both"/>
      </w:pPr>
      <w:r>
        <w:rPr>
          <w:rFonts w:ascii="Pilcrow Rounded" w:cs="Pilcrow Rounded" w:eastAsia="Pilcrow Rounded" w:hAnsi="Pilcrow Rounded"/>
          <w:color w:val="333333"/>
          <w:sz w:val="20"/>
          <w:szCs w:val="20"/>
        </w:rPr>
        <w:t xml:space="preserve">El estado de crédito de un cliente se calcula sobre el saldo consolidado por número de identificación, sumando la totalidad de sus obligaciones. Un cliente no puede estar habilitado en un punto y bloqueado en otro. La consolidación por identificación es una regla del sistema y no admite excepción.</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CÓMO SE HACE VERDADERO ESTE ARTÍCULO EL 17 DE AGOSTO</w:t>
            </w:r>
          </w:p>
          <w:p>
            <w:pPr>
              <w:spacing w:after="55" w:line="252"/>
              <w:jc w:val="both"/>
            </w:pPr>
            <w:r>
              <w:rPr>
                <w:rFonts w:ascii="Pilcrow Rounded" w:cs="Pilcrow Rounded" w:eastAsia="Pilcrow Rounded" w:hAnsi="Pilcrow Rounded"/>
                <w:color w:val="333333"/>
                <w:sz w:val="19"/>
                <w:szCs w:val="19"/>
              </w:rPr>
              <w:t xml:space="preserve">El maestro contiene hoy 1.689 identificaciones cuyas sucursales tienen condiciones de pago distintas entre sí. Mientras eso exista, la condición que hereda una factura depende de por dónde compre el cliente, y este artículo sería falso desde el primer día.</w:t>
            </w:r>
          </w:p>
          <w:p>
            <w:pPr>
              <w:spacing w:after="55" w:line="252"/>
              <w:jc w:val="both"/>
            </w:pPr>
            <w:r>
              <w:rPr>
                <w:rFonts w:ascii="Pilcrow Rounded" w:cs="Pilcrow Rounded" w:eastAsia="Pilcrow Rounded" w:hAnsi="Pilcrow Rounded"/>
                <w:color w:val="333333"/>
                <w:sz w:val="19"/>
                <w:szCs w:val="19"/>
              </w:rPr>
              <w:t xml:space="preserve">El saneamiento manual está programado para septiembre, pero la regla de unificación no espera: desde el 17 de agosto el sistema aplica como valor por defecto la condición de la sucursal con mayor venta en los últimos doce meses. Para las identificaciones sin ventas en ese período —1.417 de las 1.689— el valor por defecto es contado.</w:t>
            </w:r>
          </w:p>
          <w:p>
            <w:pPr>
              <w:spacing w:after="55" w:line="252"/>
              <w:jc w:val="both"/>
            </w:pPr>
            <w:r>
              <w:rPr>
                <w:rFonts w:ascii="Pilcrow Rounded" w:cs="Pilcrow Rounded" w:eastAsia="Pilcrow Rounded" w:hAnsi="Pilcrow Rounded"/>
                <w:color w:val="333333"/>
                <w:sz w:val="19"/>
                <w:szCs w:val="19"/>
              </w:rPr>
              <w:t xml:space="preserve">Así, el artículo es verdadero desde el arranque y la limpieza manual queda como depuración, no como condición previa. Solo 272 identificaciones activas requieren desempate real.</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4. Tres regímenes de crédito</w:t>
      </w:r>
    </w:p>
    <w:p>
      <w:pPr>
        <w:spacing w:after="115" w:line="268"/>
        <w:jc w:val="both"/>
      </w:pPr>
      <w:r>
        <w:rPr>
          <w:rFonts w:ascii="Pilcrow Rounded" w:cs="Pilcrow Rounded" w:eastAsia="Pilcrow Rounded" w:hAnsi="Pilcrow Rounded"/>
          <w:color w:val="333333"/>
          <w:sz w:val="20"/>
          <w:szCs w:val="20"/>
        </w:rPr>
        <w:t xml:space="preserve">Todo cliente pertenece a uno de tres regímenes. La clasificación la asigna el sistema con base en comportamiento de compra observado —no por razón social, sector ni criterio del vendedor— y solo el Líder de Crédito y Cartera puede modificarla, con registro de la razón.</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700"/>
        <w:gridCol w:w="2554"/>
        <w:gridCol w:w="2553"/>
        <w:gridCol w:w="2553"/>
      </w:tblGrid>
      <w:tr>
        <w:tc>
          <w:tcPr>
            <w:tcW w:type="dxa" w:w="17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Criterio</w:t>
            </w:r>
          </w:p>
        </w:tc>
        <w:tc>
          <w:tcPr>
            <w:tcW w:type="dxa" w:w="2554"/>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A — Comercial</w:t>
            </w:r>
          </w:p>
        </w:tc>
        <w:tc>
          <w:tcPr>
            <w:tcW w:type="dxa" w:w="2553"/>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B — Institucional</w:t>
            </w:r>
          </w:p>
        </w:tc>
        <w:tc>
          <w:tcPr>
            <w:tcW w:type="dxa" w:w="2553"/>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 — Consumo Corporativo</w:t>
            </w:r>
          </w:p>
        </w:tc>
      </w:tr>
      <w:tr>
        <w:tc>
          <w:tcPr>
            <w:tcW w:type="dxa" w:w="17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Quién es</w:t>
            </w:r>
          </w:p>
        </w:tc>
        <w:tc>
          <w:tcPr>
            <w:tcW w:type="dxa" w:w="2554"/>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Tienda TAT, mayorista, revendedor, persona natural, detal y comercio electrónico.</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Entidades públicas, educación, solidario, contratos y licitaciones.</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Empresa que compra para consumir, no para revender, con consumo mensual estable.</w:t>
            </w:r>
          </w:p>
        </w:tc>
      </w:tr>
      <w:tr>
        <w:tc>
          <w:tcPr>
            <w:tcW w:type="dxa" w:w="17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Unidad de crédito</w:t>
            </w:r>
          </w:p>
        </w:tc>
        <w:tc>
          <w:tcPr>
            <w:tcW w:type="dxa" w:w="2554"/>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pedido.</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contrato u orden.</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El mes.</w:t>
            </w:r>
          </w:p>
        </w:tc>
      </w:tr>
      <w:tr>
        <w:tc>
          <w:tcPr>
            <w:tcW w:type="dxa" w:w="17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Bloqueo automático</w:t>
            </w:r>
          </w:p>
        </w:tc>
        <w:tc>
          <w:tcPr>
            <w:tcW w:type="dxa" w:w="2554"/>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Sí.</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No.</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Sí.</w:t>
            </w:r>
          </w:p>
        </w:tc>
      </w:tr>
      <w:tr>
        <w:tc>
          <w:tcPr>
            <w:tcW w:type="dxa" w:w="17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Control principal</w:t>
            </w:r>
          </w:p>
        </w:tc>
        <w:tc>
          <w:tcPr>
            <w:tcW w:type="dxa" w:w="2554"/>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Cupo y días de mora.</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Fecha de giro proyectada registrada.</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Cupo mensual y contribución neta.</w:t>
            </w:r>
          </w:p>
        </w:tc>
      </w:tr>
      <w:tr>
        <w:tc>
          <w:tcPr>
            <w:tcW w:type="dxa" w:w="17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 de la cola</w:t>
            </w:r>
          </w:p>
        </w:tc>
        <w:tc>
          <w:tcPr>
            <w:tcW w:type="dxa" w:w="2554"/>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Crédito y Cartera.</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2553"/>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Crédito y Cartera.</w:t>
            </w:r>
          </w:p>
        </w:tc>
      </w:tr>
    </w:tbl>
    <w:p>
      <w:pPr>
        <w:spacing w:after="140"/>
      </w:pPr>
    </w:p>
    <w:p>
      <w:pPr>
        <w:spacing w:after="85" w:before="210"/>
      </w:pPr>
      <w:r>
        <w:rPr>
          <w:rFonts w:ascii="Pilcrow Rounded" w:cs="Pilcrow Rounded" w:eastAsia="Pilcrow Rounded" w:hAnsi="Pilcrow Rounded"/>
          <w:b/>
          <w:bCs/>
          <w:color w:val="333333"/>
          <w:sz w:val="21"/>
          <w:szCs w:val="21"/>
        </w:rPr>
        <w:t xml:space="preserve">4.1  Los tres ejes de clasificación</w:t>
      </w:r>
    </w:p>
    <w:p>
      <w:pPr>
        <w:spacing w:after="115" w:line="268"/>
        <w:jc w:val="both"/>
      </w:pPr>
      <w:r>
        <w:rPr>
          <w:rFonts w:ascii="Pilcrow Rounded" w:cs="Pilcrow Rounded" w:eastAsia="Pilcrow Rounded" w:hAnsi="Pilcrow Rounded"/>
          <w:color w:val="333333"/>
          <w:sz w:val="20"/>
          <w:szCs w:val="20"/>
        </w:rPr>
        <w:t xml:space="preserve">Un cliente no se describe con un solo campo. Confundir los ejes es lo que produce el maestro desordenado que hoy existe: el régimen de crédito, el puente contable y el canal comercial son tres cosas distintas y viven en tres lugares distintos.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900"/>
        <w:gridCol w:w="2200"/>
        <w:gridCol w:w="2630"/>
        <w:gridCol w:w="2630"/>
      </w:tblGrid>
      <w:tr>
        <w:tc>
          <w:tcPr>
            <w:tcW w:type="dxa" w:w="1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Eje</w:t>
            </w:r>
          </w:p>
        </w:tc>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Valores</w:t>
            </w:r>
          </w:p>
        </w:tc>
        <w:tc>
          <w:tcPr>
            <w:tcW w:type="dxa" w:w="263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Para qué sirve</w:t>
            </w:r>
          </w:p>
        </w:tc>
        <w:tc>
          <w:tcPr>
            <w:tcW w:type="dxa" w:w="263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Cómo se asigna</w:t>
            </w:r>
          </w:p>
        </w:tc>
      </w:tr>
      <w:tr>
        <w:tc>
          <w:tcPr>
            <w:tcW w:type="dxa" w:w="19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Tipo de cliente (contable)</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DETA · MAYO · INST</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Puente contable, cuenta por cobrar, retenciones.</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 digita al crear el cliente. Obligatorio.</w:t>
            </w:r>
          </w:p>
        </w:tc>
      </w:tr>
      <w:tr>
        <w:tc>
          <w:tcPr>
            <w:tcW w:type="dxa" w:w="19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Canal comercial</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TAT · Mayorista · Institucional · Empresa · Detal · Ecommerce</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Lista de precio, catálogo, atención, reportes por canal.</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 digita al crear el cliente. Obligatorio.</w:t>
            </w:r>
          </w:p>
        </w:tc>
      </w:tr>
      <w:tr>
        <w:tc>
          <w:tcPr>
            <w:tcW w:type="dxa" w:w="19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Régimen de crédito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 · B · C</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Esta política: cupo, bloqueo, vencimiento.</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B se digita por naturaleza del tercero. A y C los calcula el sistema.</w:t>
            </w:r>
          </w:p>
        </w:tc>
      </w:tr>
      <w:tr>
        <w:tc>
          <w:tcPr>
            <w:tcW w:type="dxa" w:w="19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Comportamiento de compra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Recurrente · Ocasional · Única · Intermediario</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Contribución neta, análisis, priorización comercial.</w:t>
            </w:r>
          </w:p>
        </w:tc>
        <w:tc>
          <w:tcPr>
            <w:tcW w:type="dxa" w:w="263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No se digita nunca. Cálculo mensual desde la base de datos.</w:t>
            </w:r>
          </w:p>
        </w:tc>
      </w:tr>
    </w:tbl>
    <w:p>
      <w:pPr>
        <w:spacing w:after="100"/>
      </w:pP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Ningún cliente se crea sin tipo de cliente, canal y condición de pago. El sistema rechaza el registro incompleto; no existe la creación provisional.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régimen de crédito no es un campo de opinión. Nadie —vendedor, facturador ni líder de punto— lo digita. Un cliente no entra al Régimen C porque alguien considere que lo merece.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comportamiento de compra no se almacena como campo editable en el ERP. Un campo digitado envejece y termina contradiciendo al dato; el cálculo mensual no.</w:t>
      </w:r>
    </w:p>
    <w:p>
      <w:pPr>
        <w:spacing w:after="140"/>
      </w:pPr>
    </w:p>
    <w:p>
      <w:pPr>
        <w:spacing w:after="85" w:before="210"/>
      </w:pPr>
      <w:r>
        <w:rPr>
          <w:rFonts w:ascii="Pilcrow Rounded" w:cs="Pilcrow Rounded" w:eastAsia="Pilcrow Rounded" w:hAnsi="Pilcrow Rounded"/>
          <w:b/>
          <w:bCs/>
          <w:color w:val="333333"/>
          <w:sz w:val="21"/>
          <w:szCs w:val="21"/>
        </w:rPr>
        <w:t xml:space="preserve">4.2  El campo de tipo de cliente del ERP no es criterio de clasificación</w:t>
      </w:r>
    </w:p>
    <w:p>
      <w:pPr>
        <w:spacing w:after="115" w:line="268"/>
        <w:jc w:val="both"/>
      </w:pPr>
      <w:r>
        <w:rPr>
          <w:rFonts w:ascii="Pilcrow Rounded" w:cs="Pilcrow Rounded" w:eastAsia="Pilcrow Rounded" w:hAnsi="Pilcrow Rounded"/>
          <w:color w:val="333333"/>
          <w:sz w:val="20"/>
          <w:szCs w:val="20"/>
        </w:rPr>
        <w:t xml:space="preserve">El diagnóstico del maestro de terceros del 5 de agosto de 2026 estableció que el campo de tipo de cliente no clasifica: de 3.781 clientes activos, 3.244 —el 79,3% de la venta identificada— quedarían en un canal equivocado si se usara. Un solo valor, «misceláneas», concentra 4.263 registros y contiene dentro 473 sociedades comerciales y 121 entidades públicas.</w:t>
      </w:r>
    </w:p>
    <w:p>
      <w:pPr>
        <w:spacing w:after="115" w:line="268"/>
        <w:jc w:val="both"/>
      </w:pPr>
      <w:r>
        <w:rPr>
          <w:rFonts w:ascii="Pilcrow Rounded" w:cs="Pilcrow Rounded" w:eastAsia="Pilcrow Rounded" w:hAnsi="Pilcrow Rounded"/>
          <w:b/>
          <w:bCs/>
          <w:color w:val="333333"/>
          <w:sz w:val="20"/>
          <w:szCs w:val="20"/>
        </w:rPr>
        <w:t xml:space="preserve">La consecuencia más grave: 18 entidades públicas y educativas —incluido el hospital de mayor venta de la compañía— quedarían sometidas al bloqueo automático del Régimen A por estar archivadas como cliente de mostrador. </w:t>
      </w:r>
      <w:r>
        <w:rPr>
          <w:rFonts w:ascii="Pilcrow Rounded" w:cs="Pilcrow Rounded" w:eastAsia="Pilcrow Rounded" w:hAnsi="Pilcrow Rounded"/>
          <w:color w:val="333333"/>
          <w:sz w:val="20"/>
          <w:szCs w:val="20"/>
        </w:rPr>
        <w:t xml:space="preserve">Bloquear a una alcaldía o a una empresa social del Estado por días de mora contradice el Artículo 6 y no es un error de política: es un error de dato.</w:t>
      </w:r>
    </w:p>
    <w:p>
      <w:pPr>
        <w:spacing w:after="115" w:line="268"/>
        <w:jc w:val="both"/>
      </w:pPr>
      <w:r>
        <w:rPr>
          <w:rFonts w:ascii="Pilcrow Rounded" w:cs="Pilcrow Rounded" w:eastAsia="Pilcrow Rounded" w:hAnsi="Pilcrow Rounded"/>
          <w:color w:val="333333"/>
          <w:sz w:val="20"/>
          <w:szCs w:val="20"/>
        </w:rPr>
        <w:t xml:space="preserve">Por tanto, la clasificación de esta política no se apoya en ese campo. Se determina en el siguiente orden, y las tres primeras señales son verificables sin criterio humano: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Naturaleza del tercero según su razón social: entidad pública, educativa o solidaria.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Estructura de la identificación: NIT de persona jurídica frente a documento de persona natural.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Forma societaria y actividad declarada en la razón social.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Comportamiento de compra: meses activos, consumo mensual y unidad de empaque adquirida.</w:t>
      </w:r>
    </w:p>
    <w:p>
      <w:pPr>
        <w:spacing w:after="115" w:line="268"/>
        <w:jc w:val="both"/>
      </w:pPr>
      <w:r>
        <w:rPr>
          <w:rFonts w:ascii="Pilcrow Rounded" w:cs="Pilcrow Rounded" w:eastAsia="Pilcrow Rounded" w:hAnsi="Pilcrow Rounded"/>
          <w:color w:val="333333"/>
          <w:sz w:val="20"/>
          <w:szCs w:val="20"/>
        </w:rPr>
        <w:t xml:space="preserve">Los casos que estas cuatro señales no resuelven se listan aparte y se deciden a mano antes de cargarse; a la fecha del diagnóstico son 91 clientes. Ninguno se carga con una clasificación supuesta.</w:t>
      </w:r>
    </w:p>
    <w:p>
      <w:pPr>
        <w:spacing w:after="140"/>
      </w:pPr>
    </w:p>
    <w:p>
      <w:pPr>
        <w:spacing w:after="85" w:before="210"/>
      </w:pPr>
      <w:r>
        <w:rPr>
          <w:rFonts w:ascii="Pilcrow Rounded" w:cs="Pilcrow Rounded" w:eastAsia="Pilcrow Rounded" w:hAnsi="Pilcrow Rounded"/>
          <w:b/>
          <w:bCs/>
          <w:color w:val="333333"/>
          <w:sz w:val="21"/>
          <w:szCs w:val="21"/>
        </w:rPr>
        <w:t xml:space="preserve">4.3  Partes vinculadas</w:t>
      </w:r>
    </w:p>
    <w:p>
      <w:pPr>
        <w:spacing w:after="115" w:line="268"/>
        <w:jc w:val="both"/>
      </w:pPr>
      <w:r>
        <w:rPr>
          <w:rFonts w:ascii="Pilcrow Rounded" w:cs="Pilcrow Rounded" w:eastAsia="Pilcrow Rounded" w:hAnsi="Pilcrow Rounded"/>
          <w:color w:val="333333"/>
          <w:sz w:val="20"/>
          <w:szCs w:val="20"/>
        </w:rPr>
        <w:t xml:space="preserve">Existen en el maestro nueve identificaciones que corresponden a partes vinculadas: la sociedad importadora del grupo, el socio con quien se realizan negocios directos y siete familiares del núcleo propietario. Su magnitud y su participación en la cartera vencida constan en el Anexo D.</w:t>
      </w:r>
    </w:p>
    <w:p>
      <w:pPr>
        <w:spacing w:after="115" w:line="268"/>
        <w:jc w:val="both"/>
      </w:pPr>
      <w:r>
        <w:rPr>
          <w:rFonts w:ascii="Pilcrow Rounded" w:cs="Pilcrow Rounded" w:eastAsia="Pilcrow Rounded" w:hAnsi="Pilcrow Rounded"/>
          <w:b/>
          <w:bCs/>
          <w:color w:val="333333"/>
          <w:sz w:val="20"/>
          <w:szCs w:val="20"/>
        </w:rPr>
        <w:t xml:space="preserve">Tratar esos saldos como cartera comercial distorsiona todos los indicadores del proceso. </w:t>
      </w:r>
      <w:r>
        <w:rPr>
          <w:rFonts w:ascii="Pilcrow Rounded" w:cs="Pilcrow Rounded" w:eastAsia="Pilcrow Rounded" w:hAnsi="Pilcrow Rounded"/>
          <w:color w:val="333333"/>
          <w:sz w:val="20"/>
          <w:szCs w:val="20"/>
        </w:rPr>
        <w:t xml:space="preserve">Separarlas cambia de forma material el indicador de cartera vencida y el número de clientes que quedarían bloqueados. La diferencia no es contable: cambia la lectura del riesgo y la decisión de arranque.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Las partes vinculadas se marcan en el maestro con un criterio de clasificación propio y quedan fuera del bloqueo automático, del cálculo de días de mora y de toda métrica publicada de cartera.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Sus condiciones se acuerdan por escrito entre las partes y se revisan en comité de gobierno, no en Comité de Cartera.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Bajo acuerdo de reorganización, las operaciones con partes vinculadas se revelan de forma separada. Esta política no las regula: las identifica y las excluye para que el resto de los indicadores digan la verdad.</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Ningún saldo con parte vinculada se incluye en reportes de cartera, en el semáforo de tesorería ni en la base de liquidación de comisiones.</w:t>
      </w:r>
    </w:p>
    <w:p>
      <w:pPr>
        <w:spacing w:after="10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REGLA DE CLASIFICACIÓN — POR QUÉ NO SE USA LA RAZÓN SOCIAL</w:t>
            </w:r>
          </w:p>
          <w:p>
            <w:pPr>
              <w:spacing w:after="55" w:line="252"/>
              <w:jc w:val="both"/>
            </w:pPr>
            <w:r>
              <w:rPr>
                <w:rFonts w:ascii="Pilcrow Rounded" w:cs="Pilcrow Rounded" w:eastAsia="Pilcrow Rounded" w:hAnsi="Pilcrow Rounded"/>
                <w:color w:val="333333"/>
                <w:sz w:val="19"/>
                <w:szCs w:val="19"/>
              </w:rPr>
              <w:t xml:space="preserve">Una sociedad comercial no es un cliente de consumo por el hecho de serlo. En la base actual, doce de las setenta y cuatro empresas privadas recurrentes son revendedores: el treinta por ciento de la venta de ese segmento. Clasificar por forma societaria les entregaría condiciones de consumo corporativo a competidores directos del mostrador.</w:t>
            </w:r>
          </w:p>
          <w:p>
            <w:pPr>
              <w:spacing w:after="55" w:line="252"/>
              <w:jc w:val="both"/>
            </w:pPr>
            <w:r>
              <w:rPr>
                <w:rFonts w:ascii="Pilcrow Rounded" w:cs="Pilcrow Rounded" w:eastAsia="Pilcrow Rounded" w:hAnsi="Pilcrow Rounded"/>
                <w:color w:val="333333"/>
                <w:sz w:val="19"/>
                <w:szCs w:val="19"/>
              </w:rPr>
              <w:t xml:space="preserve">El sistema clasifica por comportamiento observado: unidad de empaque comprada, actividad económica registrada, número de líneas por factura y estabilidad mensual. La forma societaria no es criterio.</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5. Régimen A — Comercial</w:t>
      </w:r>
    </w:p>
    <w:p>
      <w:pPr>
        <w:spacing w:after="85" w:before="210"/>
      </w:pPr>
      <w:r>
        <w:rPr>
          <w:rFonts w:ascii="Pilcrow Rounded" w:cs="Pilcrow Rounded" w:eastAsia="Pilcrow Rounded" w:hAnsi="Pilcrow Rounded"/>
          <w:b/>
          <w:bCs/>
          <w:color w:val="333333"/>
          <w:sz w:val="21"/>
          <w:szCs w:val="21"/>
        </w:rPr>
        <w:t xml:space="preserve">5.1  Otorgamiento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crédito no es un derecho del cliente ni una facultad del vendedor. Se otorga sobre cupo aprobado y registrado en el sistema.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Monto mínimo de venta a crédito: doscientos cincuenta mil pesos ($250.000). Toda compra por debajo de ese valor se atiende únicamente de contado.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Plazo estándar: treinta (30) días calendario contados desde la fecha de la factura. Cualquier plazo distinto debe estar registrado en el cupo del cliente.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Cliente sin cupo aprobado en el sistema: venta de contado. Sin excepción y sin trámite.</w:t>
      </w:r>
    </w:p>
    <w:p>
      <w:pPr>
        <w:spacing w:after="8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EL INTERMEDIARIO DE LICITACIÓN QUEDA EN RÉGIMEN A — DECISIÓN DELIBERADA</w:t>
            </w:r>
          </w:p>
          <w:p>
            <w:pPr>
              <w:spacing w:after="55" w:line="252"/>
              <w:jc w:val="both"/>
            </w:pPr>
            <w:r>
              <w:rPr>
                <w:rFonts w:ascii="Pilcrow Rounded" w:cs="Pilcrow Rounded" w:eastAsia="Pilcrow Rounded" w:hAnsi="Pilcrow Rounded"/>
                <w:color w:val="333333"/>
                <w:sz w:val="19"/>
                <w:szCs w:val="19"/>
              </w:rPr>
              <w:t xml:space="preserve">El intermediario compra para revender a entidades públicas. No consume, y por tanto no accede al Régimen C; y su contraparte es privada, por lo que tampoco accede al Régimen B pese a que su pago dependa de un giro público que no controla.</w:t>
            </w:r>
          </w:p>
          <w:p>
            <w:pPr>
              <w:spacing w:after="55" w:line="252"/>
              <w:jc w:val="both"/>
            </w:pPr>
            <w:r>
              <w:rPr>
                <w:rFonts w:ascii="Pilcrow Rounded" w:cs="Pilcrow Rounded" w:eastAsia="Pilcrow Rounded" w:hAnsi="Pilcrow Rounded"/>
                <w:color w:val="333333"/>
                <w:sz w:val="19"/>
                <w:szCs w:val="19"/>
              </w:rPr>
              <w:t xml:space="preserve">La decisión es intencional y no un efecto colateral del diseño: el intermediario existe porque asume el riesgo de financiar a la entidad. Si la compañía se lo financia a él, asume el riesgo y cede el margen —doce clientes, doscientos dieciocho millones al 17,6%, contra un 47,7% atendiendo directo—. Descontado el costo de capital de un ciclo de giro largo, ese negocio se aproxima a cero, y bajo Ley 1116 la caja vale más.</w:t>
            </w:r>
          </w:p>
          <w:p>
            <w:pPr>
              <w:spacing w:after="55" w:line="252"/>
              <w:jc w:val="both"/>
            </w:pPr>
            <w:r>
              <w:rPr>
                <w:rFonts w:ascii="Pilcrow Rounded" w:cs="Pilcrow Rounded" w:eastAsia="Pilcrow Rounded" w:hAnsi="Pilcrow Rounded"/>
                <w:color w:val="333333"/>
                <w:sz w:val="19"/>
                <w:szCs w:val="19"/>
              </w:rPr>
              <w:t xml:space="preserve">La decisión sobre precio, cupo y catálogo hacia este segmento corresponde al comité de gobierno y no al Comité de Cartera, porque es un conflicto entre negocios estratégicamente distintos —cliente del NED Volumen y competidor del NED Institucional— y ningún comité operativo puede arbitrar entre dos NED.</w:t>
            </w:r>
          </w:p>
          <w:p>
            <w:pPr>
              <w:spacing w:after="55" w:line="252"/>
              <w:jc w:val="both"/>
            </w:pPr>
            <w:r>
              <w:rPr>
                <w:rFonts w:ascii="Pilcrow Rounded" w:cs="Pilcrow Rounded" w:eastAsia="Pilcrow Rounded" w:hAnsi="Pilcrow Rounded"/>
                <w:color w:val="333333"/>
                <w:sz w:val="19"/>
                <w:szCs w:val="19"/>
              </w:rPr>
              <w:t xml:space="preserve">El comité decide en la sesión siguiente a la verificación SECOP del 21 de agosto de 2026, entre tres posturas explícitas: competir, formalizar o seleccionar. No decidir es la cuarta y es la única prohibida. Hasta esa fecha rige el Régimen A sin modificación.</w:t>
            </w:r>
          </w:p>
        </w:tc>
      </w:tr>
    </w:tbl>
    <w:p>
      <w:pPr>
        <w:spacing w:after="85" w:before="210"/>
      </w:pPr>
      <w:r>
        <w:rPr>
          <w:rFonts w:ascii="Pilcrow Rounded" w:cs="Pilcrow Rounded" w:eastAsia="Pilcrow Rounded" w:hAnsi="Pilcrow Rounded"/>
          <w:b/>
          <w:bCs/>
          <w:color w:val="333333"/>
          <w:sz w:val="21"/>
          <w:szCs w:val="21"/>
        </w:rPr>
        <w:t xml:space="preserve">5.2  Escalera de mora</w:t>
      </w:r>
    </w:p>
    <w:p>
      <w:pPr>
        <w:spacing w:after="115" w:line="268"/>
        <w:jc w:val="both"/>
      </w:pPr>
      <w:r>
        <w:rPr>
          <w:rFonts w:ascii="Pilcrow Rounded" w:cs="Pilcrow Rounded" w:eastAsia="Pilcrow Rounded" w:hAnsi="Pilcrow Rounded"/>
          <w:color w:val="333333"/>
          <w:sz w:val="20"/>
          <w:szCs w:val="20"/>
        </w:rPr>
        <w:t xml:space="preserve">Los días de mora se cuentan desde la fecha de vencimiento de la factura, no desde su fecha de emisión.</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500"/>
        <w:gridCol w:w="3500"/>
        <w:gridCol w:w="4360"/>
      </w:tblGrid>
      <w:tr>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Día</w:t>
            </w:r>
          </w:p>
        </w:tc>
        <w:tc>
          <w:tcPr>
            <w:tcW w:type="dxa" w:w="3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Evento</w:t>
            </w:r>
          </w:p>
        </w:tc>
        <w:tc>
          <w:tcPr>
            <w:tcW w:type="dxa" w:w="43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Efecto sobre la operación</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Día 1</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Marca de vencido</w:t>
            </w:r>
          </w:p>
        </w:tc>
        <w:tc>
          <w:tcPr>
            <w:tcW w:type="dxa" w:w="4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cliente aparece en el reporte del vendedor. Sin restricción comercial.</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Día 30</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Preaviso automático</w:t>
            </w:r>
          </w:p>
        </w:tc>
        <w:tc>
          <w:tcPr>
            <w:tcW w:type="dxa" w:w="4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sistema notifica al cliente y al vendedor la fecha exacta de bloqueo. El vendedor tiene quince días para gestionar.</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Día 45</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Bloqueo de crédito</w:t>
            </w:r>
          </w:p>
        </w:tc>
        <w:tc>
          <w:tcPr>
            <w:tcW w:type="dxa" w:w="4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sistema impide facturar a crédito. La venta de contado permanece habilitada en su totalidad.</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Al pago</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Desbloqueo automático</w:t>
            </w:r>
          </w:p>
        </w:tc>
        <w:tc>
          <w:tcPr>
            <w:tcW w:type="dxa" w:w="43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Cruzado el pago, el sistema habilita al cliente sin intervención humana y sin autorización de nadie.</w:t>
            </w:r>
          </w:p>
        </w:tc>
      </w:tr>
    </w:tbl>
    <w:p>
      <w:pPr>
        <w:spacing w:after="80"/>
      </w:pPr>
    </w:p>
    <w:p>
      <w:pPr>
        <w:spacing w:after="115" w:line="268"/>
        <w:jc w:val="both"/>
      </w:pPr>
      <w:r>
        <w:rPr>
          <w:rFonts w:ascii="Pilcrow Rounded" w:cs="Pilcrow Rounded" w:eastAsia="Pilcrow Rounded" w:hAnsi="Pilcrow Rounded"/>
          <w:color w:val="333333"/>
          <w:sz w:val="20"/>
          <w:szCs w:val="20"/>
        </w:rPr>
        <w:t xml:space="preserve">El bloqueo no requiere aprobación para ejecutarse y el desbloqueo no requiere aprobación para revertirse. Nadie —ningún vendedor, ningún líder de punto, ningún director— tiene la facultad de levantar un bloqueo por fuera de los mecanismos del Artículo 10.</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5.4. Naturaleza de la condición de pago</w:t>
      </w:r>
    </w:p>
    <w:p>
      <w:pPr>
        <w:spacing w:after="85" w:before="210"/>
      </w:pPr>
      <w:r>
        <w:rPr>
          <w:rFonts w:ascii="Pilcrow Rounded" w:cs="Pilcrow Rounded" w:eastAsia="Pilcrow Rounded" w:hAnsi="Pilcrow Rounded"/>
          <w:b/>
          <w:bCs/>
          <w:color w:val="333333"/>
          <w:sz w:val="21"/>
          <w:szCs w:val="21"/>
        </w:rPr>
        <w:t xml:space="preserve">5.4.1  Principio</w:t>
      </w:r>
    </w:p>
    <w:p>
      <w:pPr>
        <w:spacing w:after="115" w:line="268"/>
        <w:jc w:val="both"/>
      </w:pPr>
      <w:r>
        <w:rPr>
          <w:rFonts w:ascii="Pilcrow Rounded" w:cs="Pilcrow Rounded" w:eastAsia="Pilcrow Rounded" w:hAnsi="Pilcrow Rounded"/>
          <w:b/>
          <w:bCs/>
          <w:color w:val="333333"/>
          <w:sz w:val="20"/>
          <w:szCs w:val="20"/>
        </w:rPr>
        <w:t xml:space="preserve">La condición de pago de un documento no determina por sí sola si existe una operación de crédito. </w:t>
      </w:r>
      <w:r>
        <w:rPr>
          <w:rFonts w:ascii="Pilcrow Rounded" w:cs="Pilcrow Rounded" w:eastAsia="Pilcrow Rounded" w:hAnsi="Pilcrow Rounded"/>
          <w:color w:val="333333"/>
          <w:sz w:val="20"/>
          <w:szCs w:val="20"/>
        </w:rPr>
        <w:t xml:space="preserve">Una entrega pagada contra recibo, facturada con plazo por necesidad operativa, no es crédito otorgado y no se administra como tal.</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POR QUÉ EXISTE ESTE ARTÍCULO</w:t>
            </w:r>
          </w:p>
          <w:p>
            <w:pPr>
              <w:spacing w:after="55" w:line="252"/>
              <w:jc w:val="both"/>
            </w:pPr>
            <w:r>
              <w:rPr>
                <w:rFonts w:ascii="Pilcrow Rounded" w:cs="Pilcrow Rounded" w:eastAsia="Pilcrow Rounded" w:hAnsi="Pilcrow Rounded"/>
                <w:color w:val="333333"/>
                <w:sz w:val="19"/>
                <w:szCs w:val="19"/>
              </w:rPr>
              <w:t xml:space="preserve">Una entrega de ruta se factura con plazo de un día porque el cobro ocurre en la puerta del cliente, horas después de emitir el documento. Se verificó en producción el 13 de agosto de 2026 que una factura de contado no puede aprobarse sin el recaudo cargado por el valor total: dos intentos, por $263.963 y por $14.200, quedaron en estado Elaboración.</w:t>
            </w:r>
          </w:p>
          <w:p>
            <w:pPr>
              <w:spacing w:after="55" w:line="252"/>
              <w:jc w:val="both"/>
            </w:pPr>
            <w:r>
              <w:rPr>
                <w:rFonts w:ascii="Pilcrow Rounded" w:cs="Pilcrow Rounded" w:eastAsia="Pilcrow Rounded" w:hAnsi="Pilcrow Rounded"/>
                <w:color w:val="333333"/>
                <w:sz w:val="19"/>
                <w:szCs w:val="19"/>
              </w:rPr>
              <w:t xml:space="preserve">El plazo de un día no es una mala práctica ni un rodeo: es la única forma que el sistema admite de emitir un documento cuando el dinero llega después. La forma de pago dice contado; el vencimiento dice un día.</w:t>
            </w:r>
          </w:p>
          <w:p>
            <w:pPr>
              <w:spacing w:after="55" w:line="252"/>
              <w:jc w:val="both"/>
            </w:pPr>
            <w:r>
              <w:rPr>
                <w:rFonts w:ascii="Pilcrow Rounded" w:cs="Pilcrow Rounded" w:eastAsia="Pilcrow Rounded" w:hAnsi="Pilcrow Rounded"/>
                <w:color w:val="333333"/>
                <w:sz w:val="19"/>
                <w:szCs w:val="19"/>
              </w:rPr>
              <w:t xml:space="preserve">Pero el control de crédito mide sobre el vencimiento. El resultado es que la compañía registra como cartera lo que no es deuda, y bloquea clientes por entregas que ya pagaron.</w:t>
            </w:r>
          </w:p>
        </w:tc>
      </w:tr>
    </w:tbl>
    <w:p>
      <w:pPr>
        <w:spacing w:after="120"/>
      </w:pPr>
    </w:p>
    <w:p>
      <w:pPr>
        <w:spacing w:after="85" w:before="210"/>
      </w:pPr>
      <w:r>
        <w:rPr>
          <w:rFonts w:ascii="Pilcrow Rounded" w:cs="Pilcrow Rounded" w:eastAsia="Pilcrow Rounded" w:hAnsi="Pilcrow Rounded"/>
          <w:b/>
          <w:bCs/>
          <w:color w:val="333333"/>
          <w:sz w:val="21"/>
          <w:szCs w:val="21"/>
        </w:rPr>
        <w:t xml:space="preserve">5.4.2  Clasificación</w:t>
      </w:r>
    </w:p>
    <w:p>
      <w:pPr>
        <w:spacing w:after="115" w:line="268"/>
        <w:jc w:val="both"/>
      </w:pPr>
      <w:r>
        <w:rPr>
          <w:rFonts w:ascii="Pilcrow Rounded" w:cs="Pilcrow Rounded" w:eastAsia="Pilcrow Rounded" w:hAnsi="Pilcrow Rounded"/>
          <w:color w:val="333333"/>
          <w:sz w:val="20"/>
          <w:szCs w:val="20"/>
        </w:rPr>
        <w:t xml:space="preserve">Toda factura abierta pertenece a una de tres clases, según la forma de pago que corresponde a su condición:</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3200"/>
        <w:gridCol w:w="4060"/>
      </w:tblGrid>
      <w:tr>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Clase</w:t>
            </w:r>
          </w:p>
        </w:tc>
        <w:tc>
          <w:tcPr>
            <w:tcW w:type="dxa" w:w="3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es</w:t>
            </w:r>
          </w:p>
        </w:tc>
        <w:tc>
          <w:tcPr>
            <w:tcW w:type="dxa" w:w="40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Tratamiento</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Crédito</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Plazo otorgado y aceptado</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Computa mora · consume cupo · entra al comportamiento del cliente</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Contado</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Pago contra entrega, con documento emitido antes del cobro</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Ver numeral 5.4.3</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Ausente</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Condición desconocida o no consultable</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Se trata como crédito</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Las condiciones de contado son las que el maestro del ERP registra con forma de pago contado, más la condición de un día empleada en el despacho de rutas. La lista se actualiza por decisión del Comité de Cartera cuando el catálogo del sistema cambie, y su modificación queda en acta.</w:t>
      </w:r>
    </w:p>
    <w:p>
      <w:pPr>
        <w:spacing w:after="80"/>
      </w:pPr>
    </w:p>
    <w:p>
      <w:pPr>
        <w:spacing w:after="115" w:line="268"/>
        <w:jc w:val="both"/>
      </w:pPr>
      <w:r>
        <w:rPr>
          <w:rFonts w:ascii="Pilcrow Rounded" w:cs="Pilcrow Rounded" w:eastAsia="Pilcrow Rounded" w:hAnsi="Pilcrow Rounded"/>
          <w:b/>
          <w:bCs/>
          <w:color w:val="333333"/>
          <w:sz w:val="20"/>
          <w:szCs w:val="20"/>
        </w:rPr>
        <w:t xml:space="preserve">Por qué la clase ausente se trata como crédito. </w:t>
      </w:r>
      <w:r>
        <w:rPr>
          <w:rFonts w:ascii="Pilcrow Rounded" w:cs="Pilcrow Rounded" w:eastAsia="Pilcrow Rounded" w:hAnsi="Pilcrow Rounded"/>
          <w:color w:val="333333"/>
          <w:sz w:val="20"/>
          <w:szCs w:val="20"/>
        </w:rPr>
        <w:t xml:space="preserve">Un dato faltante no puede sacar una factura del radar. Una factura vigilada de más se descarta cuando alguien la revisa; una excluida porque el dato no llegó no aparece en ningún reporte y nadie la echa de menos. Ante la duda, sigue siendo deuda.</w:t>
      </w:r>
    </w:p>
    <w:p>
      <w:pPr>
        <w:spacing w:after="140"/>
      </w:pPr>
    </w:p>
    <w:p>
      <w:pPr>
        <w:spacing w:after="85" w:before="210"/>
      </w:pPr>
      <w:r>
        <w:rPr>
          <w:rFonts w:ascii="Pilcrow Rounded" w:cs="Pilcrow Rounded" w:eastAsia="Pilcrow Rounded" w:hAnsi="Pilcrow Rounded"/>
          <w:b/>
          <w:bCs/>
          <w:color w:val="333333"/>
          <w:sz w:val="21"/>
          <w:szCs w:val="21"/>
        </w:rPr>
        <w:t xml:space="preserve">5.4.3  El contado tiene reloj</w:t>
      </w:r>
    </w:p>
    <w:p>
      <w:pPr>
        <w:spacing w:after="115" w:line="268"/>
        <w:jc w:val="both"/>
      </w:pPr>
      <w:r>
        <w:rPr>
          <w:rFonts w:ascii="Pilcrow Rounded" w:cs="Pilcrow Rounded" w:eastAsia="Pilcrow Rounded" w:hAnsi="Pilcrow Rounded"/>
          <w:b/>
          <w:bCs/>
          <w:color w:val="333333"/>
          <w:sz w:val="20"/>
          <w:szCs w:val="20"/>
        </w:rPr>
        <w:t xml:space="preserve">Una factura de clase contado no computa mora de crédito mientras esté dentro del plazo de conciliación, fijado en quince (15) días calendario desde su vencimiento. </w:t>
      </w:r>
      <w:r>
        <w:rPr>
          <w:rFonts w:ascii="Pilcrow Rounded" w:cs="Pilcrow Rounded" w:eastAsia="Pilcrow Rounded" w:hAnsi="Pilcrow Rounded"/>
          <w:color w:val="333333"/>
          <w:sz w:val="20"/>
          <w:szCs w:val="20"/>
        </w:rPr>
        <w:t xml:space="preserve">Superado ese plazo vuelve a computar mora y entra a la cola de revisión del numeral 5.4.4.</w:t>
      </w:r>
    </w:p>
    <w:p>
      <w:pPr>
        <w:spacing w:after="80"/>
      </w:pPr>
    </w:p>
    <w:p>
      <w:pPr>
        <w:spacing w:after="115" w:line="268"/>
        <w:jc w:val="both"/>
      </w:pPr>
      <w:r>
        <w:rPr>
          <w:rFonts w:ascii="Pilcrow Rounded" w:cs="Pilcrow Rounded" w:eastAsia="Pilcrow Rounded" w:hAnsi="Pilcrow Rounded"/>
          <w:b/>
          <w:bCs/>
          <w:color w:val="333333"/>
          <w:sz w:val="20"/>
          <w:szCs w:val="20"/>
        </w:rPr>
        <w:t xml:space="preserve">El contado sí consume cupo, siempre y desde el primer día. </w:t>
      </w:r>
      <w:r>
        <w:rPr>
          <w:rFonts w:ascii="Pilcrow Rounded" w:cs="Pilcrow Rounded" w:eastAsia="Pilcrow Rounded" w:hAnsi="Pilcrow Rounded"/>
          <w:color w:val="333333"/>
          <w:sz w:val="20"/>
          <w:szCs w:val="20"/>
        </w:rPr>
        <w:t xml:space="preserve">Mora y cupo no responden la misma pregunta: la mora mide si alguien incumplió una fecha pactada, y en una entrega de contado no hay fecha que incumplir porque el cliente paga en la puerta. El cupo mide exposición, y ahí sí la hay — el cliente tiene la mercancía y el dinero todavía no ha entrado. El cupo se libera cuando el recaudo cruza el saldo.</w:t>
      </w:r>
    </w:p>
    <w:p>
      <w:pPr>
        <w:spacing w:after="10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DÓNDE PONE ESTA REGLA EL COSTO DE NO LIQUIDAR</w:t>
            </w:r>
          </w:p>
          <w:p>
            <w:pPr>
              <w:spacing w:after="55" w:line="252"/>
              <w:jc w:val="both"/>
            </w:pPr>
            <w:r>
              <w:rPr>
                <w:rFonts w:ascii="Pilcrow Rounded" w:cs="Pilcrow Rounded" w:eastAsia="Pilcrow Rounded" w:hAnsi="Pilcrow Rounded"/>
                <w:color w:val="333333"/>
                <w:sz w:val="19"/>
                <w:szCs w:val="19"/>
              </w:rPr>
              <w:t xml:space="preserve">Hoy una ruta que queda sin liquidar no le duele a nadie, y por eso puede quedarse abierta semanas. Si el contado consume cupo, un cliente que no puede recibir su pedido porque su entrega de anteayer sigue sin cerrarse aparece el mismo día — y quien tiene que resolverlo es quien liquida las rutas.</w:t>
            </w:r>
          </w:p>
          <w:p>
            <w:pPr>
              <w:spacing w:after="55" w:line="252"/>
              <w:jc w:val="both"/>
            </w:pPr>
            <w:r>
              <w:rPr>
                <w:rFonts w:ascii="Pilcrow Rounded" w:cs="Pilcrow Rounded" w:eastAsia="Pilcrow Rounded" w:hAnsi="Pilcrow Rounded"/>
                <w:color w:val="333333"/>
                <w:sz w:val="19"/>
                <w:szCs w:val="19"/>
              </w:rPr>
              <w:t xml:space="preserve">Es una fricción que se produce sola, con un mecanismo que la compañía ya tiene, y no necesita un indicador ni un comité para hacerse visible.</w:t>
            </w:r>
          </w:p>
          <w:p>
            <w:pPr>
              <w:spacing w:after="55" w:line="252"/>
              <w:jc w:val="both"/>
            </w:pPr>
            <w:r>
              <w:rPr>
                <w:rFonts w:ascii="Pilcrow Rounded" w:cs="Pilcrow Rounded" w:eastAsia="Pilcrow Rounded" w:hAnsi="Pilcrow Rounded"/>
                <w:color w:val="333333"/>
                <w:sz w:val="19"/>
                <w:szCs w:val="19"/>
              </w:rPr>
              <w:t xml:space="preserve">CONDICIÓN DE ENCENDIDO: el consumo de cupo sobre el contado se activa después de cargar los cupos, nunca antes. Con la inmensa mayoría de los clientes en cero, encenderlo primero detendría el despacho porque cualquier saldo abierto excede un cupo inexistente.</w:t>
            </w:r>
          </w:p>
        </w:tc>
      </w:tr>
    </w:tbl>
    <w:p>
      <w:pPr>
        <w:spacing w:after="10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POR QUÉ EL RELOJ Y NO UNA EXCLUSIÓN SIMPLE</w:t>
            </w:r>
          </w:p>
          <w:p>
            <w:pPr>
              <w:spacing w:after="55" w:line="252"/>
              <w:jc w:val="both"/>
            </w:pPr>
            <w:r>
              <w:rPr>
                <w:rFonts w:ascii="Pilcrow Rounded" w:cs="Pilcrow Rounded" w:eastAsia="Pilcrow Rounded" w:hAnsi="Pilcrow Rounded"/>
                <w:color w:val="333333"/>
                <w:sz w:val="19"/>
                <w:szCs w:val="19"/>
              </w:rPr>
              <w:t xml:space="preserve">Sobre el saldo de contado abierto existen dos explicaciones posibles con consecuencias opuestas. Si es dinero cobrado que nadie cruzó, excluirlo del cómputo de mora es correcto. Si es crédito otorgado en la puerta y nunca pagado, excluirlo esconde morosidad real.</w:t>
            </w:r>
          </w:p>
          <w:p>
            <w:pPr>
              <w:spacing w:after="55" w:line="252"/>
              <w:jc w:val="both"/>
            </w:pPr>
            <w:r>
              <w:rPr>
                <w:rFonts w:ascii="Pilcrow Rounded" w:cs="Pilcrow Rounded" w:eastAsia="Pilcrow Rounded" w:hAnsi="Pilcrow Rounded"/>
                <w:color w:val="333333"/>
                <w:sz w:val="19"/>
                <w:szCs w:val="19"/>
              </w:rPr>
              <w:t xml:space="preserve">Ninguna de las dos está verificada. El reloj permite no elegir: excluye lo plausiblemente reciente y devuelve al cómputo lo que envejece. Una entrega de contado de hace cuatrocientos días no está pendiente de conciliación bajo ninguna lectura.</w:t>
            </w:r>
          </w:p>
          <w:p>
            <w:pPr>
              <w:spacing w:after="55" w:line="252"/>
              <w:jc w:val="both"/>
            </w:pPr>
            <w:r>
              <w:rPr>
                <w:rFonts w:ascii="Pilcrow Rounded" w:cs="Pilcrow Rounded" w:eastAsia="Pilcrow Rounded" w:hAnsi="Pilcrow Rounded"/>
                <w:color w:val="333333"/>
                <w:sz w:val="19"/>
                <w:szCs w:val="19"/>
              </w:rPr>
              <w:t xml:space="preserve">Sin ese reloj, la cola de conciliación sería el lugar donde la morosidad se esconde con permiso de esta política.</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El plazo de quince días es un valor razonado, no medido. Una ruta se liquida el mismo día o al siguiente; quince días dejan margen para fines de semana, fallas de integración y reprocesos. Se calibra con el rezago real entre entrega y liquidación una vez el cierre financiero opere, y se ajusta por acta si hace falta.</w:t>
      </w:r>
    </w:p>
    <w:p>
      <w:pPr>
        <w:spacing w:after="140"/>
      </w:pPr>
    </w:p>
    <w:p>
      <w:pPr>
        <w:spacing w:after="85" w:before="210"/>
      </w:pPr>
      <w:r>
        <w:rPr>
          <w:rFonts w:ascii="Pilcrow Rounded" w:cs="Pilcrow Rounded" w:eastAsia="Pilcrow Rounded" w:hAnsi="Pilcrow Rounded"/>
          <w:b/>
          <w:bCs/>
          <w:color w:val="333333"/>
          <w:sz w:val="21"/>
          <w:szCs w:val="21"/>
        </w:rPr>
        <w:t xml:space="preserve">5.4.4  Las dos colas y sus responsables</w:t>
      </w:r>
    </w:p>
    <w:p>
      <w:pPr>
        <w:spacing w:after="115" w:line="268"/>
        <w:jc w:val="both"/>
      </w:pPr>
      <w:r>
        <w:rPr>
          <w:rFonts w:ascii="Pilcrow Rounded" w:cs="Pilcrow Rounded" w:eastAsia="Pilcrow Rounded" w:hAnsi="Pilcrow Rounded"/>
          <w:color w:val="333333"/>
          <w:sz w:val="20"/>
          <w:szCs w:val="20"/>
        </w:rPr>
        <w:t xml:space="preserve">La exclusión del numeral anterior no elimina ninguna factura de la contabilidad ni del sistema. Cambia su cola y su responsable.</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700"/>
        <w:gridCol w:w="3400"/>
        <w:gridCol w:w="3260"/>
      </w:tblGrid>
      <w:tr>
        <w:tc>
          <w:tcPr>
            <w:tcW w:type="dxa" w:w="27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Cola</w:t>
            </w:r>
          </w:p>
        </w:tc>
        <w:tc>
          <w:tcPr>
            <w:tcW w:type="dxa" w:w="3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contiene</w:t>
            </w:r>
          </w:p>
        </w:tc>
        <w:tc>
          <w:tcPr>
            <w:tcW w:type="dxa" w:w="32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Responsable</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Conciliación operativa</w:t>
            </w:r>
          </w:p>
        </w:tc>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 con quince días o menos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Logística — quien liquida las rutas</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Revisión</w:t>
            </w:r>
          </w:p>
        </w:tc>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 que superó los quince días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__________________</w:t>
            </w:r>
          </w:p>
        </w:tc>
      </w:tr>
    </w:tbl>
    <w:p>
      <w:pPr>
        <w:spacing w:after="120"/>
      </w:pPr>
    </w:p>
    <w:p>
      <w:pPr>
        <w:spacing w:after="115" w:line="268"/>
        <w:jc w:val="both"/>
      </w:pPr>
      <w:r>
        <w:rPr>
          <w:rFonts w:ascii="Pilcrow Rounded" w:cs="Pilcrow Rounded" w:eastAsia="Pilcrow Rounded" w:hAnsi="Pilcrow Rounded"/>
          <w:color w:val="333333"/>
          <w:sz w:val="20"/>
          <w:szCs w:val="20"/>
        </w:rPr>
        <w:t xml:space="preserve">La cola de revisión no es de cartera. Cada factura que llega ahí admite tres respuestas y solo una significa que el cliente no debe nada: se entregó y se cobró y nadie cruzó el documento, y entonces hay caja no reconocida; se entregó y no se cobró, y entonces es pérdida; o no se entregó, y entonces es inventario que no volvió. Ninguna de las tres se resuelve gestionando cobranza.</w:t>
      </w:r>
    </w:p>
    <w:p>
      <w:pPr>
        <w:spacing w:after="80"/>
      </w:pPr>
    </w:p>
    <w:p>
      <w:pPr>
        <w:spacing w:after="115" w:line="268"/>
        <w:jc w:val="both"/>
      </w:pPr>
      <w:r>
        <w:rPr>
          <w:rFonts w:ascii="Pilcrow Rounded" w:cs="Pilcrow Rounded" w:eastAsia="Pilcrow Rounded" w:hAnsi="Pilcrow Rounded"/>
          <w:b/>
          <w:bCs/>
          <w:color w:val="333333"/>
          <w:sz w:val="20"/>
          <w:szCs w:val="20"/>
        </w:rPr>
        <w:t xml:space="preserve">Mientras esa cola no tenga responsable nombrado, computa mora. </w:t>
      </w:r>
      <w:r>
        <w:rPr>
          <w:rFonts w:ascii="Pilcrow Rounded" w:cs="Pilcrow Rounded" w:eastAsia="Pilcrow Rounded" w:hAnsi="Pilcrow Rounded"/>
          <w:color w:val="333333"/>
          <w:sz w:val="20"/>
          <w:szCs w:val="20"/>
        </w:rPr>
        <w:t xml:space="preserve">Es el estado conservador y el que obliga a que alguien la reclame.</w:t>
      </w:r>
    </w:p>
    <w:p>
      <w:pPr>
        <w:spacing w:after="140"/>
      </w:pPr>
    </w:p>
    <w:p>
      <w:pPr>
        <w:spacing w:after="85" w:before="210"/>
      </w:pPr>
      <w:r>
        <w:rPr>
          <w:rFonts w:ascii="Pilcrow Rounded" w:cs="Pilcrow Rounded" w:eastAsia="Pilcrow Rounded" w:hAnsi="Pilcrow Rounded"/>
          <w:b/>
          <w:bCs/>
          <w:color w:val="333333"/>
          <w:sz w:val="21"/>
          <w:szCs w:val="21"/>
        </w:rPr>
        <w:t xml:space="preserve">5.4.5  Verificación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Comité de Cartera revisa trimestralmente el volumen y la antigüedad de las dos colas.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Revisa además el porcentaje de cartera sin condición de pago identificable. Es un indicador de calidad de dato, no de gestión: mientras siga alto, cualquier cifra por condición describe solo una parte del fenómeno.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regla del numeral 5.4.3 se enciende de forma gradual y su efecto se mide antes de que altere una sola decisión de bloqueo.</w:t>
      </w:r>
    </w:p>
    <w:p>
      <w:pPr>
        <w:spacing w:after="140"/>
      </w:pPr>
    </w:p>
    <w:p>
      <w:pPr>
        <w:spacing w:after="85" w:before="210"/>
      </w:pPr>
      <w:r>
        <w:rPr>
          <w:rFonts w:ascii="Pilcrow Rounded" w:cs="Pilcrow Rounded" w:eastAsia="Pilcrow Rounded" w:hAnsi="Pilcrow Rounded"/>
          <w:b/>
          <w:bCs/>
          <w:color w:val="333333"/>
          <w:sz w:val="21"/>
          <w:szCs w:val="21"/>
        </w:rPr>
        <w:t xml:space="preserve">5.4.6  Precedencia</w:t>
      </w:r>
    </w:p>
    <w:p>
      <w:pPr>
        <w:spacing w:after="115" w:line="268"/>
        <w:jc w:val="both"/>
      </w:pPr>
      <w:r>
        <w:rPr>
          <w:rFonts w:ascii="Pilcrow Rounded" w:cs="Pilcrow Rounded" w:eastAsia="Pilcrow Rounded" w:hAnsi="Pilcrow Rounded"/>
          <w:b/>
          <w:bCs/>
          <w:color w:val="333333"/>
          <w:sz w:val="20"/>
          <w:szCs w:val="20"/>
        </w:rPr>
        <w:t xml:space="preserve">Este artículo prevalece sobre los Artículos 5.1 y 5.2 </w:t>
      </w:r>
      <w:r>
        <w:rPr>
          <w:rFonts w:ascii="Pilcrow Rounded" w:cs="Pilcrow Rounded" w:eastAsia="Pilcrow Rounded" w:hAnsi="Pilcrow Rounded"/>
          <w:color w:val="333333"/>
          <w:sz w:val="20"/>
          <w:szCs w:val="20"/>
        </w:rPr>
        <w:t xml:space="preserve">en lo relativo al cómputo de mora. Donde el Artículo 5.2 dice «días desde el vencimiento», se entiende días de las facturas de clase crédito, más las de clase contado que hayan superado el plazo de conciliación. El Artículo 5.1 no se modifica: el cupo se calcula sobre el saldo total de cartera, cualquiera sea la clase de la factura.</w:t>
      </w:r>
    </w:p>
    <w:p>
      <w:pPr>
        <w:spacing w:after="3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6. Régimen B — Institucional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existe bloqueo por días de mora. El atraso de un ente público no es señal de riesgo: es calendario presupuestal. Tratarlo como riesgo destruye el canal de mayor margen de la compañía y contradice la doctrina del NED Institucional.</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El control es de información, no de bloqueo: </w:t>
      </w:r>
      <w:r>
        <w:rPr>
          <w:rFonts w:ascii="Pilcrow Rounded" w:cs="Pilcrow Rounded" w:eastAsia="Pilcrow Rounded" w:hAnsi="Pilcrow Rounded"/>
          <w:color w:val="333333"/>
          <w:sz w:val="20"/>
          <w:szCs w:val="20"/>
        </w:rPr>
        <w:t xml:space="preserve">toda factura del Régimen B debe tener registrada en el sistema una fecha de giro proyectada y su documento de respaldo —orden de compra, contrato, radicado o certificado de disponibilidad—.</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Un cliente institucional con facturas sin fecha de giro proyectada registrada no genera pedido nuevo. El bloqueo, cuando ocurre, es por ausencia de dato, no por mora.</w:t>
      </w:r>
    </w:p>
    <w:p>
      <w:pPr>
        <w:spacing w:after="85" w:before="210"/>
      </w:pPr>
      <w:r>
        <w:rPr>
          <w:rFonts w:ascii="Pilcrow Rounded" w:cs="Pilcrow Rounded" w:eastAsia="Pilcrow Rounded" w:hAnsi="Pilcrow Rounded"/>
          <w:b/>
          <w:bCs/>
          <w:color w:val="333333"/>
          <w:sz w:val="21"/>
          <w:szCs w:val="21"/>
        </w:rPr>
        <w:t xml:space="preserve">6.1  El reloj corre contra la fecha registrada, no contra el calendario</w:t>
      </w:r>
    </w:p>
    <w:p>
      <w:pPr>
        <w:spacing w:after="115" w:line="268"/>
        <w:jc w:val="both"/>
      </w:pPr>
      <w:r>
        <w:rPr>
          <w:rFonts w:ascii="Pilcrow Rounded" w:cs="Pilcrow Rounded" w:eastAsia="Pilcrow Rounded" w:hAnsi="Pilcrow Rounded"/>
          <w:color w:val="333333"/>
          <w:sz w:val="20"/>
          <w:szCs w:val="20"/>
        </w:rPr>
        <w:t xml:space="preserve">Este régimen no somete a las entidades públicas a la escalera de mora del Artículo 5.2, ni de forma inmediata ni con retardo. Someterlas después de sesenta días sería el mismo dunning automático, solo que diferido, y esta política no lo aplica.</w:t>
      </w:r>
    </w:p>
    <w:p>
      <w:pPr>
        <w:spacing w:after="115" w:line="268"/>
        <w:jc w:val="both"/>
      </w:pPr>
      <w:r>
        <w:rPr>
          <w:rFonts w:ascii="Pilcrow Rounded" w:cs="Pilcrow Rounded" w:eastAsia="Pilcrow Rounded" w:hAnsi="Pilcrow Rounded"/>
          <w:b/>
          <w:bCs/>
          <w:color w:val="333333"/>
          <w:sz w:val="20"/>
          <w:szCs w:val="20"/>
        </w:rPr>
        <w:t xml:space="preserve">La regla es otra: el reloj corre contra la fecha que la propia entidad registró. </w:t>
      </w:r>
      <w:r>
        <w:rPr>
          <w:rFonts w:ascii="Pilcrow Rounded" w:cs="Pilcrow Rounded" w:eastAsia="Pilcrow Rounded" w:hAnsi="Pilcrow Rounded"/>
          <w:color w:val="333333"/>
          <w:sz w:val="20"/>
          <w:szCs w:val="20"/>
        </w:rPr>
        <w:t xml:space="preserve">Si la entidad incumple su fecha comprometida, el bloqueo de crédito es automático —sin comité, sin autorización y sin excepción—. No es dunning por mora: es dunning por promesa incumplida, y lo puede ejecutar una máquina sin devolverle la decisión a una persona.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Tope de la fecha registrable: noventa (90) días desde la emisión de la factura. </w:t>
      </w:r>
      <w:r>
        <w:rPr>
          <w:rFonts w:ascii="Pilcrow Rounded" w:cs="Pilcrow Rounded" w:eastAsia="Pilcrow Rounded" w:hAnsi="Pilcrow Rounded"/>
          <w:color w:val="333333"/>
          <w:sz w:val="20"/>
          <w:szCs w:val="20"/>
        </w:rPr>
        <w:t xml:space="preserve">Más allá de ese plazo no es una promesa, es un aplazamiento indefinido con formato de dato. Este valor es provisional: se calibra con la serie real de días de pago del portafolio público —percentil 75 y 90, no promedio— y se ratifica o corrige en Comité de Cartera.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Una sola reprogramación por factura. </w:t>
      </w:r>
      <w:r>
        <w:rPr>
          <w:rFonts w:ascii="Pilcrow Rounded" w:cs="Pilcrow Rounded" w:eastAsia="Pilcrow Rounded" w:hAnsi="Pilcrow Rounded"/>
          <w:color w:val="333333"/>
          <w:sz w:val="20"/>
          <w:szCs w:val="20"/>
        </w:rPr>
        <w:t xml:space="preserve">La entidad puede mover su fecha una vez, con motivo registrado. La segunda reprogramación no se acepta y el bloqueo opera igual. Sin este límite la fecha se corre indefinidamente y el reloj nunca arranca; a diferencia del tope de noventa días, este límite no depende de ningún dato y rige desde el 17 de agosto de 2026.</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Bloqueo de crédito no es bloqueo de cliente: la venta de contado permanece habilitada en su totalidad, igual que en el Régimen A.</w:t>
      </w:r>
    </w:p>
    <w:p>
      <w:pPr>
        <w:spacing w:after="85" w:before="210"/>
      </w:pPr>
      <w:r>
        <w:rPr>
          <w:rFonts w:ascii="Pilcrow Rounded" w:cs="Pilcrow Rounded" w:eastAsia="Pilcrow Rounded" w:hAnsi="Pilcrow Rounded"/>
          <w:b/>
          <w:bCs/>
          <w:color w:val="333333"/>
          <w:sz w:val="21"/>
          <w:szCs w:val="21"/>
        </w:rPr>
        <w:t xml:space="preserve">6.2  Propiedad y escalamiento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cupo institucional se otorga por contrato u orden, no por saldo global del cliente, y se sujeta al techo de capital de trabajo fijado para el NED Institucional.</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La cola de gestión institucional está bajo custodia transitoria de la Dirección de Operaciones hasta el 1° de octubre de 2026, fecha en la que pasa al líder del NED Institucional y de Convenios. </w:t>
      </w:r>
      <w:r>
        <w:rPr>
          <w:rFonts w:ascii="Pilcrow Rounded" w:cs="Pilcrow Rounded" w:eastAsia="Pilcrow Rounded" w:hAnsi="Pilcrow Rounded"/>
          <w:color w:val="333333"/>
          <w:sz w:val="20"/>
          <w:szCs w:val="20"/>
        </w:rPr>
        <w:t xml:space="preserve">La custodia tiene fecha de descarga escrita porque una custodia sin fecha no es transitoria: es una función permanente sin nombrar.</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NED responde por el recaudo en su métrica; la ejecución del cobro es del Líder de Crédito y Cartera. Si quien vende también gestiona el cobro, se le entrega la coartada de atribuir su propio resultado a otra área.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escalamiento a cobro jurídico requiere visto bueno expreso de Gerencia General.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cliente institucional con consumo mensual estable puede operar bajo la mecánica de vencimiento único del Artículo 7.2 sin cambiar de régimen.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convenios prepagados no generan cartera: se cobran antes de despachar y quedan fuera de esta política.</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7. Régimen C — Consumo Corporativo</w:t>
      </w:r>
    </w:p>
    <w:p>
      <w:pPr>
        <w:spacing w:after="115" w:line="268"/>
        <w:jc w:val="both"/>
      </w:pPr>
      <w:r>
        <w:rPr>
          <w:rFonts w:ascii="Pilcrow Rounded" w:cs="Pilcrow Rounded" w:eastAsia="Pilcrow Rounded" w:hAnsi="Pilcrow Rounded"/>
          <w:color w:val="333333"/>
          <w:sz w:val="20"/>
          <w:szCs w:val="20"/>
        </w:rPr>
        <w:t xml:space="preserve">Este régimen existe porque la unidad de crédito equivocada destruye valor sin que nadie lo vea. Una empresa que consume de forma estable pero compra en pedidos pequeños genera una factura completa —con su costo de emisión, alistamiento, despacho, cruce y cobro— por cada compra menor. El cliente es rentable; la forma de atenderlo no lo es.</w:t>
      </w:r>
    </w:p>
    <w:p>
      <w:pPr>
        <w:spacing w:after="85" w:before="210"/>
      </w:pPr>
      <w:r>
        <w:rPr>
          <w:rFonts w:ascii="Pilcrow Rounded" w:cs="Pilcrow Rounded" w:eastAsia="Pilcrow Rounded" w:hAnsi="Pilcrow Rounded"/>
          <w:b/>
          <w:bCs/>
          <w:color w:val="333333"/>
          <w:sz w:val="21"/>
          <w:szCs w:val="21"/>
        </w:rPr>
        <w:t xml:space="preserve">7.1  Ingreso y salida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Ingresa el cliente que cumpla de forma simultánea: no revende, registra seis o más meses activos en los últimos doce, y consume trescientos mil pesos ($300.000) o más al mes en promedio.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Permanece mientras su promedio móvil de doce meses se mantenga en doscientos cincuenta mil pesos ($250.000) o más. </w:t>
      </w:r>
      <w:r>
        <w:rPr>
          <w:rFonts w:ascii="Pilcrow Rounded" w:cs="Pilcrow Rounded" w:eastAsia="Pilcrow Rounded" w:hAnsi="Pilcrow Rounded"/>
          <w:color w:val="333333"/>
          <w:sz w:val="20"/>
          <w:szCs w:val="20"/>
        </w:rPr>
        <w:t xml:space="preserve">La ventana es de doce meses y no de tres porque el canal tiene una estacionalidad de 2,2 veces entre su mejor y su peor mes: una ventana corta expulsaría en el valle a clientes perfectamente sanos, justo cuando más necesitan el crédito, para readmitirlos tres meses después.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Tres meses consecutivos por debajo del umbral no son causal de salida: son una alerta que dispara revisión en el comité siguiente y llamada del vendedor asignado. Es el mecanismo para detectar al cliente que se está muriendo antes de que el promedio móvil lo refleje.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salida se notifica con treinta (30) días de preaviso. Nadie pierde condiciones de crédito de un día para otro.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Reingreso: el cliente que salió vuelve cuando su promedio móvil supere los trescientos mil pesos ($300.000) mensuales. Sin antigüedad nueva y sin trámite.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Excepción por estacionalidad documentada: un cliente con ciclo conocido —educativo, agrícola o de temporada— puede sostenerse en el régimen por decisión del Comité de Cartera, con motivo registrado y vigencia de seis meses. Es la única excepción a esta regla y tiene fecha de vencimiento.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cálculo del consumo es mensual y automático. La decisión de entrada y salida es trimestral. Mover clientes de régimen todos los meses vuelve el sistema impredecible para el vendedor y para el cliente.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cliente que no califica no queda excluido: queda en Régimen A y compra de contado, o retira en punto. No se corta ningún cliente; se le cambia el modo de atención.</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ESTE RÉGIMEN NO EXPANDE CRÉDITO: ORDENA EL QUE YA EXISTE</w:t>
            </w:r>
          </w:p>
          <w:p>
            <w:pPr>
              <w:spacing w:after="55" w:line="252"/>
              <w:jc w:val="both"/>
            </w:pPr>
            <w:r>
              <w:rPr>
                <w:rFonts w:ascii="Pilcrow Rounded" w:cs="Pilcrow Rounded" w:eastAsia="Pilcrow Rounded" w:hAnsi="Pilcrow Rounded"/>
                <w:color w:val="333333"/>
                <w:sz w:val="19"/>
                <w:szCs w:val="19"/>
              </w:rPr>
              <w:t xml:space="preserve">De la población candidata, el 82,4% de la compra ya se hace a crédito hoy y solo el 17,6% de contado. Ningún candidato compra exclusivamente de contado, y veintiséis de treinta y cuatro alternan entre contado y crédito según la ocasión —lo que no es política de crédito sino ausencia de ella.</w:t>
            </w:r>
          </w:p>
          <w:p>
            <w:pPr>
              <w:spacing w:after="55" w:line="252"/>
              <w:jc w:val="both"/>
            </w:pPr>
            <w:r>
              <w:rPr>
                <w:rFonts w:ascii="Pilcrow Rounded" w:cs="Pilcrow Rounded" w:eastAsia="Pilcrow Rounded" w:hAnsi="Pilcrow Rounded"/>
                <w:color w:val="333333"/>
                <w:sz w:val="19"/>
                <w:szCs w:val="19"/>
              </w:rPr>
              <w:t xml:space="preserve">El capital de trabajo adicional que inmovilizaría llevar a treinta días la porción que hoy es de contado asciende a $5,6 millones de exposición mensual: el 0,28% de la venta mensual de la operación. Bajo acuerdo de reorganización el dato es relevante y por eso se calcula; la magnitud no condiciona la decisión.</w:t>
            </w:r>
          </w:p>
          <w:p>
            <w:pPr>
              <w:spacing w:after="55" w:line="252"/>
              <w:jc w:val="both"/>
            </w:pPr>
            <w:r>
              <w:rPr>
                <w:rFonts w:ascii="Pilcrow Rounded" w:cs="Pilcrow Rounded" w:eastAsia="Pilcrow Rounded" w:hAnsi="Pilcrow Rounded"/>
                <w:color w:val="333333"/>
                <w:sz w:val="19"/>
                <w:szCs w:val="19"/>
              </w:rPr>
              <w:t xml:space="preserve">El efecto dominante del régimen no es sobre la caja sino sobre la cartera: colapsa los múltiples contadores de mora de un mismo cliente en uno solo, que es lo que hace legible el bloqueo automático para este canal.</w:t>
            </w:r>
          </w:p>
        </w:tc>
      </w:tr>
    </w:tbl>
    <w:p>
      <w:pPr>
        <w:spacing w:after="85" w:before="210"/>
      </w:pPr>
      <w:r>
        <w:rPr>
          <w:rFonts w:ascii="Pilcrow Rounded" w:cs="Pilcrow Rounded" w:eastAsia="Pilcrow Rounded" w:hAnsi="Pilcrow Rounded"/>
          <w:b/>
          <w:bCs/>
          <w:color w:val="333333"/>
          <w:sz w:val="21"/>
          <w:szCs w:val="21"/>
        </w:rPr>
        <w:t xml:space="preserve">7.2  Mecánica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crédito se otorga como cupo mensual rotativo, no por pedido. Dentro del cupo el cliente compra cuando necesita, sin monto mínimo por pedido y sin restricción de frecuencia.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Vencimiento único: todas las facturas del mes vencen el mismo día del mes siguiente. </w:t>
      </w:r>
      <w:r>
        <w:rPr>
          <w:rFonts w:ascii="Pilcrow Rounded" w:cs="Pilcrow Rounded" w:eastAsia="Pilcrow Rounded" w:hAnsi="Pilcrow Rounded"/>
          <w:color w:val="333333"/>
          <w:sz w:val="20"/>
          <w:szCs w:val="20"/>
        </w:rPr>
        <w:t xml:space="preserve">Se parametriza en SIESA con el campo “Días fijo mes” de la condición de pago. No modifica la emisión: cada venta genera su factura como lo exige la normativa. Lo que se unifica es la fecha de corte.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Efecto sobre cartera: un cliente con 2,6 facturas mensuales tiene hoy 2,6 contadores de mora corriendo en paralelo, y el bloqueo automático lo alcanzaría por una factura mientras las otras están al día. Con vencimiento único tiene un contador y una fecha.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monto mínimo de crédito del Artículo 5.1 aplica sobre el consumo mensual del cliente, no sobre el pedido individual.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pago se cruza contra las facturas del mes según el procedimiento vigente de cartera. Esta política no modifica esa operación.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existe día fijo de entrega. La capacidad de despachar cuando el cliente lo pide es la ventaja competitiva del canal y no se sacrifica; su costo se gobierna por precio, según el Artículo 8.</w:t>
      </w:r>
    </w:p>
    <w:p>
      <w:pPr>
        <w:spacing w:after="85" w:before="210"/>
      </w:pPr>
      <w:r>
        <w:rPr>
          <w:rFonts w:ascii="Pilcrow Rounded" w:cs="Pilcrow Rounded" w:eastAsia="Pilcrow Rounded" w:hAnsi="Pilcrow Rounded"/>
          <w:b/>
          <w:bCs/>
          <w:color w:val="333333"/>
          <w:sz w:val="21"/>
          <w:szCs w:val="21"/>
        </w:rPr>
        <w:t xml:space="preserve">7.3  Velocidad y costo</w:t>
      </w:r>
    </w:p>
    <w:p>
      <w:pPr>
        <w:spacing w:after="115" w:line="268"/>
        <w:jc w:val="both"/>
      </w:pPr>
      <w:r>
        <w:rPr>
          <w:rFonts w:ascii="Pilcrow Rounded" w:cs="Pilcrow Rounded" w:eastAsia="Pilcrow Rounded" w:hAnsi="Pilcrow Rounded"/>
          <w:color w:val="333333"/>
          <w:sz w:val="20"/>
          <w:szCs w:val="20"/>
        </w:rPr>
        <w:t xml:space="preserve">El cliente de este régimen pide cuando necesita y se le despacha cuando lo pide. El costo que esa disponibilidad genera no se elimina restringiendo el servicio: se cobra según el Artículo 8, en las mismas condiciones que a cualquier otro régimen.</w:t>
      </w:r>
    </w:p>
    <w:p>
      <w:pPr>
        <w:spacing w:after="85" w:before="210"/>
      </w:pPr>
      <w:r>
        <w:rPr>
          <w:rFonts w:ascii="Pilcrow Rounded" w:cs="Pilcrow Rounded" w:eastAsia="Pilcrow Rounded" w:hAnsi="Pilcrow Rounded"/>
          <w:b/>
          <w:bCs/>
          <w:color w:val="333333"/>
          <w:sz w:val="21"/>
          <w:szCs w:val="21"/>
        </w:rPr>
        <w:t xml:space="preserve">7.4  Entrada en vigencia y migración</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El Régimen C no entra en vigencia el 17 de agosto de 2026. Entra el 1° de octubre de 2026. </w:t>
      </w:r>
      <w:r>
        <w:rPr>
          <w:rFonts w:ascii="Pilcrow Rounded" w:cs="Pilcrow Rounded" w:eastAsia="Pilcrow Rounded" w:hAnsi="Pilcrow Rounded"/>
          <w:color w:val="333333"/>
          <w:sz w:val="20"/>
          <w:szCs w:val="20"/>
        </w:rPr>
        <w:t xml:space="preserve">Cambiar la condición de pago de un cliente el mismo día que arranca el bloqueo automático introduce dos variables a la vez: si algo falla no se sabe cuál fue, y el cliente lee las dos cosas como una sola agresión.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población inicial es de veinticuatro (24) clientes, dieciséis de ellos atendidos por el CEDI 003. No es una migración masiva: son veinticuatro conversaciones.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cambio de condición de pago es una modificación de condiciones contractuales y requiere aceptación escrita del cliente. El cliente que no acepte permanece en Régimen A sin ninguna consecuencia comercial, y su negativa queda documentada.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Las facturas emitidas antes de la migración conservan su fecha de vencimiento original. </w:t>
      </w:r>
      <w:r>
        <w:rPr>
          <w:rFonts w:ascii="Pilcrow Rounded" w:cs="Pilcrow Rounded" w:eastAsia="Pilcrow Rounded" w:hAnsi="Pilcrow Rounded"/>
          <w:color w:val="333333"/>
          <w:sz w:val="20"/>
          <w:szCs w:val="20"/>
        </w:rPr>
        <w:t xml:space="preserve">No se reconduce el vencimiento de un documento electrónico ya expedido. Durante las primeras seis semanas cada cliente migrado tendrá dos calendarios conviviendo —las facturas anteriores con vencimiento corrido y las nuevas con día fijo—; el vendedor se lo explica al cliente en la llamada y el Líder de Crédito y Cartera lo advierte al comité antes del corte.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acuerdo comercial lo conduce el líder de NED con el vendedor asignado; la parametrización del maestro es de Gerencia General; el registro y seguimiento, del Líder de Crédito y Cartera.</w:t>
      </w:r>
    </w:p>
    <w:p>
      <w:pPr>
        <w:spacing w:after="85" w:before="210"/>
      </w:pPr>
      <w:r>
        <w:rPr>
          <w:rFonts w:ascii="Pilcrow Rounded" w:cs="Pilcrow Rounded" w:eastAsia="Pilcrow Rounded" w:hAnsi="Pilcrow Rounded"/>
          <w:b/>
          <w:bCs/>
          <w:color w:val="333333"/>
          <w:sz w:val="21"/>
          <w:szCs w:val="21"/>
        </w:rPr>
        <w:t xml:space="preserve">7.5  Prohibición de usar margen porcentual como criterio</w:t>
      </w:r>
    </w:p>
    <w:p>
      <w:pPr>
        <w:spacing w:after="115" w:line="268"/>
        <w:jc w:val="both"/>
      </w:pPr>
      <w:r>
        <w:rPr>
          <w:rFonts w:ascii="Pilcrow Rounded" w:cs="Pilcrow Rounded" w:eastAsia="Pilcrow Rounded" w:hAnsi="Pilcrow Rounded"/>
          <w:color w:val="333333"/>
          <w:sz w:val="20"/>
          <w:szCs w:val="20"/>
        </w:rPr>
        <w:t xml:space="preserve">En este canal el margen porcentual apunta en dirección contraria a la caja: los clientes que destruyen contribución neta marginan en la mediana 34,1%, y los que aportan marginan 30,9%. Un cliente de alto margen y ticket pequeño es, típicamente, el que más cuesta.</w:t>
      </w:r>
    </w:p>
    <w:p>
      <w:pPr>
        <w:spacing w:after="115" w:line="268"/>
        <w:jc w:val="both"/>
      </w:pPr>
      <w:r>
        <w:rPr>
          <w:rFonts w:ascii="Pilcrow Rounded" w:cs="Pilcrow Rounded" w:eastAsia="Pilcrow Rounded" w:hAnsi="Pilcrow Rounded"/>
          <w:b/>
          <w:bCs/>
          <w:color w:val="333333"/>
          <w:sz w:val="20"/>
          <w:szCs w:val="20"/>
        </w:rPr>
        <w:t xml:space="preserve">Queda prohibido usar margen porcentual como criterio para otorgar crédito, fijar condiciones, priorizar atención comercial o evaluar clientes en este régimen. </w:t>
      </w:r>
      <w:r>
        <w:rPr>
          <w:rFonts w:ascii="Pilcrow Rounded" w:cs="Pilcrow Rounded" w:eastAsia="Pilcrow Rounded" w:hAnsi="Pilcrow Rounded"/>
          <w:color w:val="333333"/>
          <w:sz w:val="20"/>
          <w:szCs w:val="20"/>
        </w:rPr>
        <w:t xml:space="preserve">La métrica de decisión es la contribución neta por cliente: margen bruto menos costo de servir. El sistema la calcula y la publica; el margen porcentual se conserva únicamente como dato contable.</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8. Precio del despacho</w:t>
      </w:r>
    </w:p>
    <w:p>
      <w:pPr>
        <w:spacing w:after="115" w:line="268"/>
        <w:jc w:val="both"/>
      </w:pPr>
      <w:r>
        <w:rPr>
          <w:rFonts w:ascii="Pilcrow Rounded" w:cs="Pilcrow Rounded" w:eastAsia="Pilcrow Rounded" w:hAnsi="Pilcrow Rounded"/>
          <w:color w:val="333333"/>
          <w:sz w:val="20"/>
          <w:szCs w:val="20"/>
        </w:rPr>
        <w:t xml:space="preserve">Este artículo aplica a los tres regímenes y a todos los canales. Despachar cuesta, y ese costo hoy lo paga la compañía sin verlo: un pedido pequeño consume el mismo alistamiento, el mismo vehículo y la misma ruta que uno grande.</w:t>
      </w:r>
    </w:p>
    <w:p>
      <w:pPr>
        <w:spacing w:after="115" w:line="268"/>
        <w:jc w:val="both"/>
      </w:pPr>
      <w:r>
        <w:rPr>
          <w:rFonts w:ascii="Pilcrow Rounded" w:cs="Pilcrow Rounded" w:eastAsia="Pilcrow Rounded" w:hAnsi="Pilcrow Rounded"/>
          <w:color w:val="333333"/>
          <w:sz w:val="20"/>
          <w:szCs w:val="20"/>
        </w:rPr>
        <w:t xml:space="preserve">La regla no restringe la velocidad de entrega. El cliente pide cuando quiere y se le despacha cuando lo pide. Lo que cambia es que el despacho tiene un precio cuando el pedido no lo paga.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100"/>
        <w:gridCol w:w="6260"/>
      </w:tblGrid>
      <w:tr>
        <w:tc>
          <w:tcPr>
            <w:tcW w:type="dxa" w:w="3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 del pedido</w:t>
            </w:r>
          </w:p>
        </w:tc>
        <w:tc>
          <w:tcPr>
            <w:tcW w:type="dxa" w:w="62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Condición de despacho</w:t>
            </w:r>
          </w:p>
        </w:tc>
      </w:tr>
      <w:tr>
        <w:tc>
          <w:tcPr>
            <w:tcW w:type="dxa" w:w="3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Igual o superior al umbral</w:t>
            </w:r>
          </w:p>
        </w:tc>
        <w:tc>
          <w:tcPr>
            <w:tcW w:type="dxa" w:w="6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Despacho sin cargo, en el tiempo de servicio comprometido.</w:t>
            </w:r>
          </w:p>
        </w:tc>
      </w:tr>
      <w:tr>
        <w:tc>
          <w:tcPr>
            <w:tcW w:type="dxa" w:w="3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Inferior al umbral</w:t>
            </w:r>
          </w:p>
        </w:tc>
        <w:tc>
          <w:tcPr>
            <w:tcW w:type="dxa" w:w="6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Retiro en punto sin cargo, o despacho con el cargo de flete del Anexo A. El cliente escoge. En ningún caso se niega la venta ni se aplaza la entrega sin su acuerdo.</w:t>
            </w:r>
          </w:p>
        </w:tc>
      </w:tr>
    </w:tbl>
    <w:p>
      <w:pPr>
        <w:spacing w:after="100"/>
      </w:pPr>
    </w:p>
    <w:p>
      <w:pPr>
        <w:spacing w:after="85" w:before="210"/>
      </w:pPr>
      <w:r>
        <w:rPr>
          <w:rFonts w:ascii="Pilcrow Rounded" w:cs="Pilcrow Rounded" w:eastAsia="Pilcrow Rounded" w:hAnsi="Pilcrow Rounded"/>
          <w:b/>
          <w:bCs/>
          <w:color w:val="333333"/>
          <w:sz w:val="21"/>
          <w:szCs w:val="21"/>
        </w:rPr>
        <w:t xml:space="preserve">8.1  El umbral es una fórmula, no un número</w:t>
      </w:r>
    </w:p>
    <w:p>
      <w:pPr>
        <w:spacing w:after="115" w:line="268"/>
        <w:jc w:val="both"/>
      </w:pPr>
      <w:r>
        <w:rPr>
          <w:rFonts w:ascii="Pilcrow Rounded" w:cs="Pilcrow Rounded" w:eastAsia="Pilcrow Rounded" w:hAnsi="Pilcrow Rounded"/>
          <w:color w:val="333333"/>
          <w:sz w:val="20"/>
          <w:szCs w:val="20"/>
        </w:rPr>
        <w:t xml:space="preserve">Un pedido paga su propio despacho cuando su margen bruto cubre el costo de servirlo. Como el margen difiere entre canales, el umbral difiere con él. La regla permanente es:</w:t>
      </w:r>
    </w:p>
    <w:p>
      <w:pPr>
        <w:spacing w:after="160" w:line="268"/>
        <w:jc w:val="center"/>
      </w:pPr>
      <w:r>
        <w:rPr>
          <w:rFonts w:ascii="Pilcrow Rounded" w:cs="Pilcrow Rounded" w:eastAsia="Pilcrow Rounded" w:hAnsi="Pilcrow Rounded"/>
          <w:b/>
          <w:bCs/>
          <w:color w:val="1E8395"/>
          <w:sz w:val="22"/>
          <w:szCs w:val="22"/>
        </w:rPr>
        <w:t xml:space="preserve">Umbral de despacho sin cargo  =  costo de despacho  ÷  margen del canal</w:t>
      </w:r>
    </w:p>
    <w:p>
      <w:pPr>
        <w:spacing w:after="115" w:line="268"/>
        <w:jc w:val="both"/>
      </w:pPr>
      <w:r>
        <w:rPr>
          <w:rFonts w:ascii="Pilcrow Rounded" w:cs="Pilcrow Rounded" w:eastAsia="Pilcrow Rounded" w:hAnsi="Pilcrow Rounded"/>
          <w:color w:val="333333"/>
          <w:sz w:val="20"/>
          <w:szCs w:val="20"/>
        </w:rPr>
        <w:t xml:space="preserve">Un pedido de cien mil pesos al canal mayorista deja veintinueve mil pesos de margen bruto. Si el despacho cuesta más que eso, cada entrega destruye valor sin excepción y sin importar cuán buen cliente sea. No es un juicio sobre el cliente: es aritmética sobre la forma de atenderlo.</w:t>
      </w:r>
    </w:p>
    <w:p>
      <w:pPr>
        <w:spacing w:after="85" w:before="210"/>
      </w:pPr>
      <w:r>
        <w:rPr>
          <w:rFonts w:ascii="Pilcrow Rounded" w:cs="Pilcrow Rounded" w:eastAsia="Pilcrow Rounded" w:hAnsi="Pilcrow Rounded"/>
          <w:b/>
          <w:bCs/>
          <w:color w:val="333333"/>
          <w:sz w:val="21"/>
          <w:szCs w:val="21"/>
        </w:rPr>
        <w:t xml:space="preserve">8.2  Régimen de transición del umbral</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Fase 1 — desde el 17 de agosto de 2026: </w:t>
      </w:r>
      <w:r>
        <w:rPr>
          <w:rFonts w:ascii="Pilcrow Rounded" w:cs="Pilcrow Rounded" w:eastAsia="Pilcrow Rounded" w:hAnsi="Pilcrow Rounded"/>
          <w:color w:val="333333"/>
          <w:sz w:val="20"/>
          <w:szCs w:val="20"/>
        </w:rPr>
        <w:t xml:space="preserve">umbral único de cien mil pesos ($100.000) para todos los canales. Es deliberadamente inferior al punto de equilibrio estimado de cualquier canal. Se adopta así porque los parámetros de costo aún no están medidos y una cifra modesta declarada como provisional es preferible a una cifra alta sostenida en supuestos.</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Fase 2 — una vez entregada la medición del Anexo B: </w:t>
      </w:r>
      <w:r>
        <w:rPr>
          <w:rFonts w:ascii="Pilcrow Rounded" w:cs="Pilcrow Rounded" w:eastAsia="Pilcrow Rounded" w:hAnsi="Pilcrow Rounded"/>
          <w:color w:val="333333"/>
          <w:sz w:val="20"/>
          <w:szCs w:val="20"/>
        </w:rPr>
        <w:t xml:space="preserve">el Comité de Cartera aplica la fórmula del 8.1 y fija el umbral por canal. La fórmula no se somete a votación; solo el costo medido entra como dato.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canal institucional queda excluido del cargo de flete sobre contratos y órdenes en ejecución, donde el despacho hace parte de la oferta económica aceptada. Aplica únicamente a órdenes nuevas, y debe incorporarse a la cotización desde el pliego.</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9. Precio del crédito y comisiones</w:t>
      </w:r>
    </w:p>
    <w:p>
      <w:pPr>
        <w:spacing w:after="85" w:before="210"/>
      </w:pPr>
      <w:r>
        <w:rPr>
          <w:rFonts w:ascii="Pilcrow Rounded" w:cs="Pilcrow Rounded" w:eastAsia="Pilcrow Rounded" w:hAnsi="Pilcrow Rounded"/>
          <w:b/>
          <w:bCs/>
          <w:color w:val="333333"/>
          <w:sz w:val="21"/>
          <w:szCs w:val="21"/>
        </w:rPr>
        <w:t xml:space="preserve">9.1  Diferencial de contado</w:t>
      </w:r>
    </w:p>
    <w:p>
      <w:pPr>
        <w:spacing w:after="115" w:line="268"/>
        <w:jc w:val="both"/>
      </w:pPr>
      <w:r>
        <w:rPr>
          <w:rFonts w:ascii="Pilcrow Rounded" w:cs="Pilcrow Rounded" w:eastAsia="Pilcrow Rounded" w:hAnsi="Pilcrow Rounded"/>
          <w:color w:val="333333"/>
          <w:sz w:val="20"/>
          <w:szCs w:val="20"/>
        </w:rPr>
        <w:t xml:space="preserve">El precio de lista incorpora el costo de financiar treinta días. Toda venta pagada de contado o cancelada dentro de los ocho (8) días siguientes a la factura recibe un descuento por pronto pago del tres por ciento (3%).</w:t>
      </w:r>
    </w:p>
    <w:p>
      <w:pPr>
        <w:spacing w:after="115" w:line="268"/>
        <w:jc w:val="both"/>
      </w:pPr>
      <w:r>
        <w:rPr>
          <w:rFonts w:ascii="Pilcrow Rounded" w:cs="Pilcrow Rounded" w:eastAsia="Pilcrow Rounded" w:hAnsi="Pilcrow Rounded"/>
          <w:color w:val="333333"/>
          <w:sz w:val="20"/>
          <w:szCs w:val="20"/>
        </w:rPr>
        <w:t xml:space="preserve">Este descuento no es una concesión comercial negociable por el vendedor: es un parámetro del sistema y se aplica automáticamente al cumplirse la condición.</w:t>
      </w:r>
    </w:p>
    <w:p>
      <w:pPr>
        <w:spacing w:after="6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ARTÍCULO ESCRITO Y SUSPENDIDO</w:t>
            </w:r>
          </w:p>
          <w:p>
            <w:pPr>
              <w:spacing w:after="55" w:line="252"/>
              <w:jc w:val="both"/>
            </w:pPr>
            <w:r>
              <w:rPr>
                <w:rFonts w:ascii="Pilcrow Rounded" w:cs="Pilcrow Rounded" w:eastAsia="Pilcrow Rounded" w:hAnsi="Pilcrow Rounded"/>
                <w:color w:val="333333"/>
                <w:sz w:val="19"/>
                <w:szCs w:val="19"/>
              </w:rPr>
              <w:t xml:space="preserve">El 9.1 no entra en vigencia el 17 de agosto de 2026. Los descuentos comerciales se negocian hoy a mano con una dispersión de 12,6 puntos —del 42% al 28,8% según el ticket—, de modo que un tres por ciento adicional se sumaría encima del descuento manual y erosionaría margen en lugar de gobernarlo.</w:t>
            </w:r>
          </w:p>
          <w:p>
            <w:pPr>
              <w:spacing w:after="55" w:line="252"/>
              <w:jc w:val="both"/>
            </w:pPr>
            <w:r>
              <w:rPr>
                <w:rFonts w:ascii="Pilcrow Rounded" w:cs="Pilcrow Rounded" w:eastAsia="Pilcrow Rounded" w:hAnsi="Pilcrow Rounded"/>
                <w:color w:val="333333"/>
                <w:sz w:val="19"/>
                <w:szCs w:val="19"/>
              </w:rPr>
              <w:t xml:space="preserve">Este artículo entra en vigencia el día en que exista la matriz de listas de precio, y no antes. Hasta entonces queda escrito, aprobado y sin aplicación. La suspensión se levanta por acta del Comité de Cartera con visto bueno de Gerencia General.</w:t>
            </w:r>
          </w:p>
        </w:tc>
      </w:tr>
    </w:tbl>
    <w:p>
      <w:pPr>
        <w:spacing w:after="85" w:before="210"/>
      </w:pPr>
      <w:r>
        <w:rPr>
          <w:rFonts w:ascii="Pilcrow Rounded" w:cs="Pilcrow Rounded" w:eastAsia="Pilcrow Rounded" w:hAnsi="Pilcrow Rounded"/>
          <w:b/>
          <w:bCs/>
          <w:color w:val="333333"/>
          <w:sz w:val="21"/>
          <w:szCs w:val="21"/>
        </w:rPr>
        <w:t xml:space="preserve">9.2  La comisión se causa al recaudo</w:t>
      </w:r>
    </w:p>
    <w:p>
      <w:pPr>
        <w:spacing w:after="115" w:line="268"/>
        <w:jc w:val="both"/>
      </w:pPr>
      <w:r>
        <w:rPr>
          <w:rFonts w:ascii="Pilcrow Rounded" w:cs="Pilcrow Rounded" w:eastAsia="Pilcrow Rounded" w:hAnsi="Pilcrow Rounded"/>
          <w:color w:val="333333"/>
          <w:sz w:val="20"/>
          <w:szCs w:val="20"/>
        </w:rPr>
        <w:t xml:space="preserve">Ninguna comisión se liquida sobre factura emitida. La comisión se causa el día en que el dinero ingresa y se liquida según el momento del recaudo: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600"/>
        <w:gridCol w:w="1900"/>
        <w:gridCol w:w="3860"/>
      </w:tblGrid>
      <w:tr>
        <w:tc>
          <w:tcPr>
            <w:tcW w:type="dxa" w:w="3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Momento del recaudo</w:t>
            </w:r>
          </w:p>
        </w:tc>
        <w:tc>
          <w:tcPr>
            <w:tcW w:type="dxa" w:w="1900"/>
            <w:shd w:fill="1E8395"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FFFFFF"/>
                <w:sz w:val="18"/>
                <w:szCs w:val="18"/>
              </w:rPr>
              <w:t xml:space="preserve">% de comisión</w:t>
            </w:r>
          </w:p>
        </w:tc>
        <w:tc>
          <w:tcPr>
            <w:tcW w:type="dxa" w:w="38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Beneficiario</w:t>
            </w:r>
          </w:p>
        </w:tc>
      </w:tr>
      <w:tr>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vencimiento o hasta el día 15 de mora</w:t>
            </w:r>
          </w:p>
        </w:tc>
        <w:tc>
          <w:tcPr>
            <w:tcW w:type="dxa" w:w="19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100%</w:t>
            </w:r>
          </w:p>
        </w:tc>
        <w:tc>
          <w:tcPr>
            <w:tcW w:type="dxa" w:w="3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Vendedor asignado</w:t>
            </w:r>
          </w:p>
        </w:tc>
      </w:tr>
      <w:tr>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Entre el día 16 y el día 45 de mora</w:t>
            </w:r>
          </w:p>
        </w:tc>
        <w:tc>
          <w:tcPr>
            <w:tcW w:type="dxa" w:w="19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70%</w:t>
            </w:r>
          </w:p>
        </w:tc>
        <w:tc>
          <w:tcPr>
            <w:tcW w:type="dxa" w:w="3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Vendedor asignado</w:t>
            </w:r>
          </w:p>
        </w:tc>
      </w:tr>
      <w:tr>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Después del día 45 de mora</w:t>
            </w:r>
          </w:p>
        </w:tc>
        <w:tc>
          <w:tcPr>
            <w:tcW w:type="dxa" w:w="19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F08C8C"/>
                <w:sz w:val="18"/>
                <w:szCs w:val="18"/>
              </w:rPr>
              <w:t xml:space="preserve">50%</w:t>
            </w:r>
          </w:p>
        </w:tc>
        <w:tc>
          <w:tcPr>
            <w:tcW w:type="dxa" w:w="38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Quien efectivamente realice el recaudo, sea o no el vendedor asignado</w:t>
            </w:r>
          </w:p>
        </w:tc>
      </w:tr>
    </w:tbl>
    <w:p>
      <w:pPr>
        <w:spacing w:after="80"/>
      </w:pPr>
    </w:p>
    <w:p>
      <w:pPr>
        <w:spacing w:after="115" w:line="268"/>
        <w:jc w:val="both"/>
      </w:pPr>
      <w:r>
        <w:rPr>
          <w:rFonts w:ascii="Pilcrow Rounded" w:cs="Pilcrow Rounded" w:eastAsia="Pilcrow Rounded" w:hAnsi="Pilcrow Rounded"/>
          <w:color w:val="333333"/>
          <w:sz w:val="20"/>
          <w:szCs w:val="20"/>
        </w:rPr>
        <w:t xml:space="preserve">La última línea resuelve dos problemas a la vez. Primero, la compañía no paga dos veces por el mismo peso: la comisión de recuperación sale del descuento aplicado al vendedor original, no de dinero nuevo. Segundo, la cartera vieja sigue teniendo valor para quien la persiga, en lugar de convertirse en un activo que a nadie le conviene tocar.</w:t>
      </w:r>
    </w:p>
    <w:p>
      <w:pPr>
        <w:spacing w:after="115" w:line="268"/>
        <w:jc w:val="both"/>
      </w:pPr>
      <w:r>
        <w:rPr>
          <w:rFonts w:ascii="Pilcrow Rounded" w:cs="Pilcrow Rounded" w:eastAsia="Pilcrow Rounded" w:hAnsi="Pilcrow Rounded"/>
          <w:color w:val="333333"/>
          <w:sz w:val="20"/>
          <w:szCs w:val="20"/>
        </w:rPr>
        <w:t xml:space="preserve">Un vendedor que no recauda no gana. Esta es la única regla de este documento que cambia comportamiento sin necesidad de vigilancia.</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10. Excepciones</w:t>
      </w:r>
    </w:p>
    <w:p>
      <w:pPr>
        <w:spacing w:after="115" w:line="268"/>
        <w:jc w:val="both"/>
      </w:pPr>
      <w:r>
        <w:rPr>
          <w:rFonts w:ascii="Pilcrow Rounded" w:cs="Pilcrow Rounded" w:eastAsia="Pilcrow Rounded" w:hAnsi="Pilcrow Rounded"/>
          <w:color w:val="333333"/>
          <w:sz w:val="20"/>
          <w:szCs w:val="20"/>
        </w:rPr>
        <w:t xml:space="preserve">Existen cuatro clases de excepción. Solo cuatro. La clase E2 se escalona en tres niveles de autorización según el monto, pero sigue siendo una sola situación. Toda circunstancia que no corresponda a una de las siguientes no es una excepción: es un no.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900"/>
        <w:gridCol w:w="3560"/>
        <w:gridCol w:w="2100"/>
        <w:gridCol w:w="1400"/>
        <w:gridCol w:w="1400"/>
      </w:tblGrid>
      <w:tr>
        <w:tc>
          <w:tcPr>
            <w:tcW w:type="dxa" w:w="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Cód.</w:t>
            </w:r>
          </w:p>
        </w:tc>
        <w:tc>
          <w:tcPr>
            <w:tcW w:type="dxa" w:w="35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Situación</w:t>
            </w:r>
          </w:p>
        </w:tc>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Autoriza</w:t>
            </w:r>
          </w:p>
        </w:tc>
        <w:tc>
          <w:tcPr>
            <w:tcW w:type="dxa" w:w="1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Tope</w:t>
            </w:r>
          </w:p>
        </w:tc>
        <w:tc>
          <w:tcPr>
            <w:tcW w:type="dxa" w:w="1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Plazo</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E1</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Error de la compañía: nota crédito pendiente, pago no cruzado, factura mal aplicada, devolución no procesada.</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Crédito y Cartera</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Sin tope</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 horas hábiles</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E2a</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Acuerdo de pago firmado con abono igual o superior al 30% del saldo vencido.</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Crédito y Cartera</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Hasta $2.000.000</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 horas hábiles</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E2b</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Acuerdo de pago firmado, saldo entre $2.000.000 y $20.000.000.</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 + Gerencia General</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Hasta $20.000.000</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24 horas</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E2c</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Acuerdo de pago con saldo superior a $20.000.000. Plazo máximo 18 meses.</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Sin tope</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48 horas</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E3</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Cliente institucional con fecha de giro documentada dentro de los 30 días siguientes.</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Sin tope</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24 horas</w:t>
            </w:r>
          </w:p>
        </w:tc>
      </w:tr>
      <w:tr>
        <w:tc>
          <w:tcPr>
            <w:tcW w:type="dxa" w:w="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E4</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Operación de temporada con garantía o respaldo aprobado en Comité de Cartera.</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 + Líder de NED</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Define el Comité</w:t>
            </w:r>
          </w:p>
        </w:tc>
        <w:tc>
          <w:tcPr>
            <w:tcW w:type="dxa" w:w="1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24 horas</w:t>
            </w:r>
          </w:p>
        </w:tc>
      </w:tr>
    </w:tbl>
    <w:p>
      <w:pPr>
        <w:spacing w:after="100"/>
      </w:pP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RECONCILIACIÓN CON EL ANEXO ÚNICO DE DERECHOS DE DECISIÓN v5</w:t>
            </w:r>
          </w:p>
          <w:p>
            <w:pPr>
              <w:spacing w:after="55" w:line="252"/>
              <w:jc w:val="both"/>
            </w:pPr>
            <w:r>
              <w:rPr>
                <w:rFonts w:ascii="Pilcrow Rounded" w:cs="Pilcrow Rounded" w:eastAsia="Pilcrow Rounded" w:hAnsi="Pilcrow Rounded"/>
                <w:color w:val="333333"/>
                <w:sz w:val="19"/>
                <w:szCs w:val="19"/>
              </w:rPr>
              <w:t xml:space="preserve">El Anexo Único reserva el desbloqueo manual a la Dirección de Operaciones y fija que los acuerdos de pago superiores a veinte millones son de su competencia, con plazo máximo de dieciocho meses. Esta política respeta ambas reglas y cierra la franja que quedaba sin gobernar entre dos y veinte millones.</w:t>
            </w:r>
          </w:p>
          <w:p>
            <w:pPr>
              <w:spacing w:after="55" w:line="252"/>
              <w:jc w:val="both"/>
            </w:pPr>
            <w:r>
              <w:rPr>
                <w:rFonts w:ascii="Pilcrow Rounded" w:cs="Pilcrow Rounded" w:eastAsia="Pilcrow Rounded" w:hAnsi="Pilcrow Rounded"/>
                <w:color w:val="333333"/>
                <w:sz w:val="19"/>
                <w:szCs w:val="19"/>
              </w:rPr>
              <w:t xml:space="preserve">La distinción que reconcilia los dos documentos: E1 no es un desbloqueo sino una corrección de dato —el cliente nunca debió estar bloqueado—, y por eso corresponde al Líder de Crédito y Cartera. E2, E3 y E4 sí son desbloqueos y se escalonan por monto según el Anexo.</w:t>
            </w:r>
          </w:p>
          <w:p>
            <w:pPr>
              <w:spacing w:after="55" w:line="252"/>
              <w:jc w:val="both"/>
            </w:pPr>
            <w:r>
              <w:rPr>
                <w:rFonts w:ascii="Pilcrow Rounded" w:cs="Pilcrow Rounded" w:eastAsia="Pilcrow Rounded" w:hAnsi="Pilcrow Rounded"/>
                <w:color w:val="333333"/>
                <w:sz w:val="19"/>
                <w:szCs w:val="19"/>
              </w:rPr>
              <w:t xml:space="preserve">Donde persista contradicción entre este documento y el Anexo Único v5, prevalece el Anexo.</w:t>
            </w:r>
          </w:p>
        </w:tc>
      </w:tr>
    </w:tbl>
    <w:p>
      <w:pPr>
        <w:spacing w:after="80"/>
      </w:pP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Toda excepción se registra en el sistema con código, autorizador, motivo y fecha de vencimiento. Vencida la fecha, el bloqueo se restablece automáticamente.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Toda excepción tiene vigencia máxima de treinta (30) días. No se renueva de forma automática ni indefinida.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Comité de Cartera revisa semanalmente el 100% de las excepciones otorgadas. Un autorizador cuyas excepciones se recauden en menos del 60% de los casos pierde la facultad de autorizar durante sesenta días. La facultad de excepcionar se gana con resultado, no con cargo.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Una autorización comunicada por teléfono, mensaje o de viva voz no habilita una venta. </w:t>
      </w:r>
      <w:r>
        <w:rPr>
          <w:rFonts w:ascii="Pilcrow Rounded" w:cs="Pilcrow Rounded" w:eastAsia="Pilcrow Rounded" w:hAnsi="Pilcrow Rounded"/>
          <w:color w:val="333333"/>
          <w:sz w:val="20"/>
          <w:szCs w:val="20"/>
        </w:rPr>
        <w:t xml:space="preserve">Si no está en el sistema, el sistema no la reconoce y la responsabilidad del saldo recae en quien facturó.</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11. Gobierno y seguimiento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Reporte individual de cartera por vendedor: se remite todos los lunes, generado por el sistema y no por elaboración manual.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Comité de Cartera: semanal, los lunes, treinta minutos, con agenda fija —excepciones de la semana, clientes que entraron a bloqueo, acuerdos de pago vencidos, cola institucional—. Un operador nombrado convoca, levanta acta y hace seguimiento a los compromisos.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Toda cifra de este proceso es recomputable desde la base de datos. Ningún tablero ni reporte intermedio tiene autoridad sobre el dato de origen.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Dirección de Operaciones publica mensualmente el indicador de cartera por régimen, separado. No se publican cifras de cartera mezclando Régimen A y Régimen B.</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12. Régimen de transición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Hasta el 10 de agosto de 2026 permanece abierta la amnistía: el cliente que cancele o formalice acuerdo de pago sobre su saldo vencido antes de esa fecha ingresa al nuevo régimen sin marca de mora previa.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Del 11 al 16 de agosto el sistema opera en modo sombra: calcula bloqueos y los reporta, sin ejecutarlos. Tiene dos propósitos: detectar errores de dato y </w:t>
      </w:r>
      <w:r>
        <w:rPr>
          <w:rFonts w:ascii="Pilcrow Rounded" w:cs="Pilcrow Rounded" w:eastAsia="Pilcrow Rounded" w:hAnsi="Pilcrow Rounded"/>
          <w:b/>
          <w:bCs/>
          <w:color w:val="333333"/>
          <w:sz w:val="20"/>
          <w:szCs w:val="20"/>
        </w:rPr>
        <w:t xml:space="preserve">medir el radio de explosión</w:t>
      </w:r>
      <w:r>
        <w:rPr>
          <w:rFonts w:ascii="Pilcrow Rounded" w:cs="Pilcrow Rounded" w:eastAsia="Pilcrow Rounded" w:hAnsi="Pilcrow Rounded"/>
          <w:color w:val="333333"/>
          <w:sz w:val="20"/>
          <w:szCs w:val="20"/>
        </w:rPr>
        <w:t xml:space="preserve"> —cuántos clientes y cuánta venta mensual quedarían bloqueados el 17—. No es un período para negociar la política.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Regla de aplazamiento, comprometida por anticipado: </w:t>
      </w:r>
      <w:r>
        <w:rPr>
          <w:rFonts w:ascii="Pilcrow Rounded" w:cs="Pilcrow Rounded" w:eastAsia="Pilcrow Rounded" w:hAnsi="Pilcrow Rounded"/>
          <w:color w:val="333333"/>
          <w:sz w:val="20"/>
          <w:szCs w:val="20"/>
        </w:rPr>
        <w:t xml:space="preserve">si el radio de explosión supera el ocho por ciento (8%) de la venta mensual, el go-live se corre dos semanas y se ejecuta primero la gestión directa sobre los clientes afectados. El umbral se fijó antes de conocer el resultado, precisamente para que la decisión no se racionalizara después de verlo.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Resultado de la medición vigente, registrada en el Anexo D: </w:t>
      </w:r>
      <w:r>
        <w:rPr>
          <w:rFonts w:ascii="Pilcrow Rounded" w:cs="Pilcrow Rounded" w:eastAsia="Pilcrow Rounded" w:hAnsi="Pilcrow Rounded"/>
          <w:color w:val="333333"/>
          <w:sz w:val="20"/>
          <w:szCs w:val="20"/>
        </w:rPr>
        <w:t xml:space="preserve">la venta mensual de los clientes que quedarían bloqueados representa el 2,6% de la venta mensual de la operación. </w:t>
      </w:r>
      <w:r>
        <w:rPr>
          <w:rFonts w:ascii="Pilcrow Rounded" w:cs="Pilcrow Rounded" w:eastAsia="Pilcrow Rounded" w:hAnsi="Pilcrow Rounded"/>
          <w:b/>
          <w:bCs/>
          <w:color w:val="333333"/>
          <w:sz w:val="20"/>
          <w:szCs w:val="20"/>
        </w:rPr>
        <w:t xml:space="preserve">Por debajo del umbral del ocho por ciento. El arranque procede en la fecha prevista.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De la corrida en sombra sale una lista nominada de los clientes de mayor venta que quedarían bloqueados. Esa lista se gestiona por llamada antes del 17, no después.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17 de agosto de 2026 el bloqueo automático entra en operación real para los Regímenes A y B.</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1° de octubre de 2026 entra en operación el Régimen C, después del cierre de septiembre y de la medición del Anexo B.</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 cartera anterior al 17 de agosto entra a la escalera del Artículo 5.2 con sus días de mora reales. No hay reinicio de contador.</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Las comisiones del Artículo 9.2 aplican a facturas emitidas desde el 1 de septiembre de 2026. Las facturas anteriores se liquidan bajo el esquema vigente al momento de su emisión.</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13. Qué no hace esta política</w:t>
      </w:r>
    </w:p>
    <w:p>
      <w:pPr>
        <w:spacing w:after="115" w:line="268"/>
        <w:jc w:val="both"/>
      </w:pPr>
      <w:r>
        <w:rPr>
          <w:rFonts w:ascii="Pilcrow Rounded" w:cs="Pilcrow Rounded" w:eastAsia="Pilcrow Rounded" w:hAnsi="Pilcrow Rounded"/>
          <w:color w:val="333333"/>
          <w:sz w:val="20"/>
          <w:szCs w:val="20"/>
        </w:rPr>
        <w:t xml:space="preserve">Se enuncia expresamente para evitar interpretaciones que en el pasado han circulado como ciertas: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prohíbe vender de contado a un cliente en mora. Nunca lo ha prohibido y no lo hará.</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bloquea automáticamente a clientes institucionales por días de mora.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elimina la comisión de la cartera vieja: la reduce y la traslada a quien recaude.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otorga a ningún cargo la facultad de levantar bloqueos por fuera de los códigos del Artículo 10.</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impone día fijo de entrega ni restringe la frecuencia con que un cliente puede pedir. La velocidad de respuesta es la ventaja del canal y no se sacrifica.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aplica el descuento por pronto pago el 17 de agosto: ese artículo está escrito y suspendido hasta que exista la matriz de listas.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modifica el procedimiento de cruce de pagos contra facturas, que opera hoy y seguirá operando igual.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cambia el vencimiento de facturas ya emitidas cuando un cliente migra de régimen.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expulsa del Régimen C a un cliente por una caída estacional: el criterio es el promedio móvil de doce meses, no los últimos tres.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aplica a las operaciones con partes vinculadas del grupo, que se rigen por el Artículo 4.3.</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somete a las entidades públicas a la escalera de mora, ni de inmediato ni a los sesenta días. El reloj del Régimen B corre contra la fecha que la propia entidad registró.</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deja la decisión sobre intermediarios de licitación en el Comité de Cartera: es del comité de gobierno.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 cuenta como mora de crédito una entrega de contado pendiente de conciliar, mientras esté dentro del plazo del Artículo 5.4.3. Sí la cuenta como exposición: consume cupo desde el primer día.</w:t>
      </w: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Artículo 14. Reforma</w:t>
      </w:r>
    </w:p>
    <w:p>
      <w:pPr>
        <w:spacing w:after="115" w:line="268"/>
        <w:jc w:val="both"/>
      </w:pPr>
      <w:r>
        <w:rPr>
          <w:rFonts w:ascii="Pilcrow Rounded" w:cs="Pilcrow Rounded" w:eastAsia="Pilcrow Rounded" w:hAnsi="Pilcrow Rounded"/>
          <w:color w:val="333333"/>
          <w:sz w:val="20"/>
          <w:szCs w:val="20"/>
        </w:rPr>
        <w:t xml:space="preserve">Los valores numéricos del Anexo A son parámetros y pueden modificarse por decisión del Comité de Cartera con aprobación de Gerencia General, dejando registro de la fecha y la razón del cambio.</w:t>
      </w:r>
    </w:p>
    <w:p>
      <w:pPr>
        <w:spacing w:after="115" w:line="268"/>
        <w:jc w:val="both"/>
      </w:pPr>
      <w:r>
        <w:rPr>
          <w:rFonts w:ascii="Pilcrow Rounded" w:cs="Pilcrow Rounded" w:eastAsia="Pilcrow Rounded" w:hAnsi="Pilcrow Rounded"/>
          <w:color w:val="333333"/>
          <w:sz w:val="20"/>
          <w:szCs w:val="20"/>
        </w:rPr>
        <w:t xml:space="preserve">Los Artículos 2, 3, 4, 7, 8 y 10 son estructurales. Su modificación requiere acta de Gerencia General y notificación previa a toda la red comercial. Ninguna instrucción operativa, de ningún nivel, los modifica de hecho.</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Anexo A. Tabla de parámetros</w:t>
      </w:r>
    </w:p>
    <w:p>
      <w:pPr>
        <w:spacing w:after="115" w:line="268"/>
        <w:jc w:val="both"/>
      </w:pPr>
      <w:r>
        <w:rPr>
          <w:rFonts w:ascii="Pilcrow Rounded" w:cs="Pilcrow Rounded" w:eastAsia="Pilcrow Rounded" w:hAnsi="Pilcrow Rounded"/>
          <w:color w:val="333333"/>
          <w:sz w:val="20"/>
          <w:szCs w:val="20"/>
        </w:rPr>
        <w:t xml:space="preserve">Estos son los valores que el sistema aplica. Están aquí, y no en el cuerpo del documento, para que puedan ajustarse con evidencia sin reescribir la política.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900"/>
        <w:gridCol w:w="2200"/>
        <w:gridCol w:w="3260"/>
      </w:tblGrid>
      <w:tr>
        <w:tc>
          <w:tcPr>
            <w:tcW w:type="dxa" w:w="3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Parámetro</w:t>
            </w:r>
          </w:p>
        </w:tc>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w:t>
            </w:r>
          </w:p>
        </w:tc>
        <w:tc>
          <w:tcPr>
            <w:tcW w:type="dxa" w:w="32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Dueño del parámetro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Costo de servir por factura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$60.000 (por medir)</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Costo de servir por línea de picking</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$1.200 (por medir)</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Umbral de despacho sin cargo — Fase 1</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$100.000 (provisional)</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Umbral de despacho sin cargo — Fase 2</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Costo de despacho ÷ margen del canal</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Fórmula: no se vota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Cargo de flete bajo umbral</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$25.000 por despacho</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Monto mínimo de venta a crédito (Régimen 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$250.000</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Consumo mensual de ingreso a Régimen C</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$300.000 / mes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Consumo mensual de salida de Régimen C</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$250.000 / mes por 3 meses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Meses activos mínimos para Régimen C</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6 de 12</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Cargo por despacho fuera de consolidación</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Igual al costo de servir por factura</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Plazo estándar de crédito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30 días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Día de preaviso automático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Día 30 de mora</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Día de bloqueo de crédito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Día 45 de mora</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Descuento por pronto pago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Ventana de pronto pago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8 días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Comisión — recaudo día 16 a 45</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70%</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Comisión — recaudo después del día 45</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50%</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Abono mínimo para acuerdo de pago (E2)</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30% del saldo</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Tope de excepción E2</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$2.000.000</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Vigencia máxima de una excepción</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30 días</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Tope de fecha de giro registrable (Régimen B)</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90 días (por calibrar)</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Reprogramaciones permitidas por factura (Régimen B)</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1</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Plazo de conciliación del contado (Artículo 5.4.3)</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15 días · por calibrar</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Umbral de recaudo para conservar facultad de autorizar</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60%</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LOS DOS PRIMEROS PARÁMETROS NO ESTÁN MEDIDOS</w:t>
            </w:r>
          </w:p>
          <w:p>
            <w:pPr>
              <w:spacing w:after="55" w:line="252"/>
              <w:jc w:val="both"/>
            </w:pPr>
            <w:r>
              <w:rPr>
                <w:rFonts w:ascii="Pilcrow Rounded" w:cs="Pilcrow Rounded" w:eastAsia="Pilcrow Rounded" w:hAnsi="Pilcrow Rounded"/>
                <w:color w:val="333333"/>
                <w:sz w:val="19"/>
                <w:szCs w:val="19"/>
              </w:rPr>
              <w:t xml:space="preserve">El costo de servir por factura y por línea son estimaciones. De ellos depende directamente el monto mínimo de crédito: con un costo de $40.000 por factura el punto de equilibrio del pedido es $179.498; con $60.000 es $254.531; con $80.000 es $329.564.</w:t>
            </w:r>
          </w:p>
          <w:p>
            <w:pPr>
              <w:spacing w:after="55" w:line="252"/>
              <w:jc w:val="both"/>
            </w:pPr>
            <w:r>
              <w:rPr>
                <w:rFonts w:ascii="Pilcrow Rounded" w:cs="Pilcrow Rounded" w:eastAsia="Pilcrow Rounded" w:hAnsi="Pilcrow Rounded"/>
                <w:color w:val="333333"/>
                <w:sz w:val="19"/>
                <w:szCs w:val="19"/>
              </w:rPr>
              <w:t xml:space="preserve">De estas dos estimaciones se derivaron tres parámetros de esta política: el monto mínimo de crédito, el umbral de ingreso al Régimen C y el umbral de despacho. La cadena debe ser visible para quien firme: son tres reglas apoyadas en dos supuestos. Por eso el umbral de despacho arranca en un valor deliberadamente bajo y la fórmula, no el número, es lo que se aprueba.</w:t>
            </w:r>
          </w:p>
          <w:p>
            <w:pPr>
              <w:spacing w:after="55" w:line="252"/>
              <w:jc w:val="both"/>
            </w:pPr>
            <w:r>
              <w:rPr>
                <w:rFonts w:ascii="Pilcrow Rounded" w:cs="Pilcrow Rounded" w:eastAsia="Pilcrow Rounded" w:hAnsi="Pilcrow Rounded"/>
                <w:color w:val="333333"/>
                <w:sz w:val="19"/>
                <w:szCs w:val="19"/>
              </w:rPr>
              <w:t xml:space="preserve">La Dirección de Operaciones entrega el dato medido a más tardar el 30 de septiembre de 2026, sobre muestra de dos semanas de operación del CEDI.</w:t>
            </w:r>
          </w:p>
          <w:p>
            <w:pPr>
              <w:spacing w:after="55" w:line="252"/>
              <w:jc w:val="both"/>
            </w:pPr>
            <w:r>
              <w:rPr>
                <w:rFonts w:ascii="Pilcrow Rounded" w:cs="Pilcrow Rounded" w:eastAsia="Pilcrow Rounded" w:hAnsi="Pilcrow Rounded"/>
                <w:color w:val="333333"/>
                <w:sz w:val="19"/>
                <w:szCs w:val="19"/>
              </w:rPr>
              <w:t xml:space="preserve">La mecánica de consolidación del Artículo 7 no depende de esta medición: es superior a la facturación por pedido en todos los escenarios evaluados.</w:t>
            </w:r>
          </w:p>
        </w:tc>
      </w:tr>
    </w:tbl>
    <w:p>
      <w:pPr>
        <w:spacing w:after="2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Anexo B. Medición pendiente del costo de servir</w:t>
      </w:r>
    </w:p>
    <w:p>
      <w:pPr>
        <w:spacing w:after="115" w:line="268"/>
        <w:jc w:val="both"/>
      </w:pPr>
      <w:r>
        <w:rPr>
          <w:rFonts w:ascii="Pilcrow Rounded" w:cs="Pilcrow Rounded" w:eastAsia="Pilcrow Rounded" w:hAnsi="Pilcrow Rounded"/>
          <w:color w:val="333333"/>
          <w:sz w:val="20"/>
          <w:szCs w:val="20"/>
        </w:rPr>
        <w:t xml:space="preserve">Sin este dato, el monto mínimo de crédito es una opinión con decimales. La medición no requiere proyecto ni sistema: requiere dos semanas de registro en el CEDI 003.</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Atajo disponible hoy: </w:t>
      </w:r>
      <w:r>
        <w:rPr>
          <w:rFonts w:ascii="Pilcrow Rounded" w:cs="Pilcrow Rounded" w:eastAsia="Pilcrow Rounded" w:hAnsi="Pilcrow Rounded"/>
          <w:color w:val="333333"/>
          <w:sz w:val="20"/>
          <w:szCs w:val="20"/>
        </w:rPr>
        <w:t xml:space="preserve">el componente dominante es transporte y ya es calculable con datos existentes —costo mensual de flota (conductores, combustible, mantenimiento y depreciación de los cinco vehículos) dividido entre las remisiones despachadas en el mes—. Esa sola división entrega entre la mitad y dos tercios del dato sin estudio de tiempos.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Qué se mide después: minutos de alistamiento por línea, minutos de emisión y revisión de factura, minutos de cruce contable del pago y minutos de gestión de cobro por factura, valorados al costo-minuto de la nómina real.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Cómo se convierte: costo por minuto de cada rol involucrado según nómina cargada, más costo directo de despacho.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Sobre qué muestra: dos semanas continuas de operación normal del CEDI, excluyendo temporada escolar.</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Quién responde: Dirección de Operaciones, con Jefe de Bodega y Líder de Crédito y Cartera.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Cuándo: dato entregado al Comité de Cartera a más tardar el 30 de septiembre de 2026.</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Qué se decide con él: ratificación o corrección del monto mínimo del Artículo 5.1, del umbral de ingreso al Régimen C y el paso del umbral de despacho de la Fase 1 a la Fase 2 del Artículo 8.2.</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Anexo C. Parametrización mínima exigida en el ERP</w:t>
      </w:r>
    </w:p>
    <w:p>
      <w:pPr>
        <w:spacing w:after="115" w:line="268"/>
        <w:jc w:val="both"/>
      </w:pPr>
      <w:r>
        <w:rPr>
          <w:rFonts w:ascii="Pilcrow Rounded" w:cs="Pilcrow Rounded" w:eastAsia="Pilcrow Rounded" w:hAnsi="Pilcrow Rounded"/>
          <w:color w:val="333333"/>
          <w:sz w:val="20"/>
          <w:szCs w:val="20"/>
        </w:rPr>
        <w:t xml:space="preserve">Ninguna cláusula de esta política se ejecuta sola. Este anexo lista lo que debe existir en el sistema para que el documento sea verdadero, con dueño y fecha. Lo que no esté listo en su fecha se declara suspendido por acta, como el Artículo 9.1 — nunca se descubre el día de la operación.</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900"/>
        <w:gridCol w:w="3300"/>
        <w:gridCol w:w="2160"/>
      </w:tblGrid>
      <w:tr>
        <w:tc>
          <w:tcPr>
            <w:tcW w:type="dxa" w:w="3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debe existir</w:t>
            </w:r>
          </w:p>
        </w:tc>
        <w:tc>
          <w:tcPr>
            <w:tcW w:type="dxa" w:w="3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Dueño</w:t>
            </w:r>
          </w:p>
        </w:tc>
        <w:tc>
          <w:tcPr>
            <w:tcW w:type="dxa" w:w="21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Fecha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Condición de pago heredada del maestro y bloqueada en facturación</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Creación de clientes restringida: tipo, canal y condición obligatorios</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del 17 ago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Respaldo de base de datos con restauración probada</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 cualquier carga</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Bloqueo y desbloqueo automático por días de mora</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Líder de Cartera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17 de agosto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Registro de excepciones con código, autorizador y vencimiento</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17 de agosto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Diagnóstico del maestro: clientes sin tipo, duplicados, NIT mal formado</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Semana del 18 ago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Criterios de clasificación creados: canal y régimen</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Agosto</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Reclasificación del maestro por lotes de 50, solo campos que cambian</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Gerencia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Septiembre</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Condición REG-C10 creada y probada con 4 casos de factura</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1ª semana sep</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Liquidación de comisión por momento de recaudo</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 + Nómina</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 de septiembre</w:t>
            </w:r>
          </w:p>
        </w:tc>
      </w:tr>
      <w:tr>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Cálculo mensual de consumo y contribución neta por cliente</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w:t>
            </w:r>
          </w:p>
        </w:tc>
        <w:tc>
          <w:tcPr>
            <w:tcW w:type="dxa" w:w="2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 de octubre</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SOBRE LA CARGA MASIVA DEL MAESTRO DE CLIENTES</w:t>
            </w:r>
          </w:p>
          <w:p>
            <w:pPr>
              <w:spacing w:after="55" w:line="252"/>
              <w:jc w:val="both"/>
            </w:pPr>
            <w:r>
              <w:rPr>
                <w:rFonts w:ascii="Pilcrow Rounded" w:cs="Pilcrow Rounded" w:eastAsia="Pilcrow Rounded" w:hAnsi="Pilcrow Rounded"/>
                <w:color w:val="333333"/>
                <w:sz w:val="19"/>
                <w:szCs w:val="19"/>
              </w:rPr>
              <w:t xml:space="preserve">Una actualización masiva con reemplazo de registro sobrescribe todos los campos incluidos en el plano, y escribe como vacío los que van vacíos. Sobre miles de terceros eso puede borrar direcciones, contactos, responsabilidades fiscales y regímenes tributarios de los que depende la facturación electrónica.</w:t>
            </w:r>
          </w:p>
          <w:p>
            <w:pPr>
              <w:spacing w:after="55" w:line="252"/>
              <w:jc w:val="both"/>
            </w:pPr>
            <w:r>
              <w:rPr>
                <w:rFonts w:ascii="Pilcrow Rounded" w:cs="Pilcrow Rounded" w:eastAsia="Pilcrow Rounded" w:hAnsi="Pilcrow Rounded"/>
                <w:color w:val="333333"/>
                <w:sz w:val="19"/>
                <w:szCs w:val="19"/>
              </w:rPr>
              <w:t xml:space="preserve">Condiciones innegociables: respaldo con restauración probada; plano que contenga únicamente los campos que cambian; lotes de cincuenta registros con validación entre lotes; y los primeros diez cargados en ambiente de pruebas y comparados campo por campo contra el registro original. Si un solo campo resulta alterado sin estar en el plano, la carga se detiene.</w:t>
            </w:r>
          </w:p>
          <w:p>
            <w:pPr>
              <w:spacing w:after="55" w:line="252"/>
              <w:jc w:val="both"/>
            </w:pPr>
            <w:r>
              <w:rPr>
                <w:rFonts w:ascii="Pilcrow Rounded" w:cs="Pilcrow Rounded" w:eastAsia="Pilcrow Rounded" w:hAnsi="Pilcrow Rounded"/>
                <w:color w:val="333333"/>
                <w:sz w:val="19"/>
                <w:szCs w:val="19"/>
              </w:rPr>
              <w:t xml:space="preserve">Un entorno restaurado desde datos de producción no es un ambiente de pruebas. Antes de la primera carga se confirma contra qué base apunta.</w:t>
            </w:r>
          </w:p>
        </w:tc>
      </w:tr>
    </w:tbl>
    <w:p>
      <w:pPr>
        <w:spacing w:after="200"/>
      </w:pP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Anexo D. Estado medido</w:t>
      </w:r>
    </w:p>
    <w:p>
      <w:pPr>
        <w:spacing w:after="115" w:line="268"/>
        <w:jc w:val="both"/>
      </w:pPr>
      <w:r>
        <w:rPr>
          <w:rFonts w:ascii="Pilcrow Rounded" w:cs="Pilcrow Rounded" w:eastAsia="Pilcrow Rounded" w:hAnsi="Pilcrow Rounded"/>
          <w:color w:val="333333"/>
          <w:sz w:val="20"/>
          <w:szCs w:val="20"/>
        </w:rPr>
        <w:t xml:space="preserve">Este anexo concentra todas las cifras medidas que sustentan decisiones de esta política. El cuerpo normativo no incrusta cifras: las remite aquí. Cuando la medición se corrija, se reemplaza este anexo y la norma no se reforma.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400"/>
        <w:gridCol w:w="5960"/>
      </w:tblGrid>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Corte de la medición</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5 de agosto de 2026</w:t>
            </w:r>
          </w:p>
        </w:tc>
      </w:tr>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Fuentes</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Maestro de terceros (10.852 registros) · documentos de venta 12 meses (335.712) · cartera abierta (629 facturas)</w:t>
            </w:r>
          </w:p>
        </w:tc>
      </w:tr>
      <w:tr>
        <w:tc>
          <w:tcPr>
            <w:tcW w:type="dxa" w:w="34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Última corrección</w:t>
            </w:r>
          </w:p>
        </w:tc>
        <w:tc>
          <w:tcPr>
            <w:tcW w:type="dxa" w:w="5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6 de agosto de 2026 — parseo de días vencidos</w:t>
            </w:r>
          </w:p>
        </w:tc>
      </w:tr>
    </w:tbl>
    <w:p>
      <w:pPr>
        <w:spacing w:after="140"/>
      </w:pPr>
    </w:p>
    <w:p>
      <w:pPr>
        <w:spacing w:after="85" w:before="210"/>
      </w:pPr>
      <w:r>
        <w:rPr>
          <w:rFonts w:ascii="Pilcrow Rounded" w:cs="Pilcrow Rounded" w:eastAsia="Pilcrow Rounded" w:hAnsi="Pilcrow Rounded"/>
          <w:b/>
          <w:bCs/>
          <w:color w:val="333333"/>
          <w:sz w:val="21"/>
          <w:szCs w:val="21"/>
        </w:rPr>
        <w:t xml:space="preserve">D.1  Cartera abierta</w:t>
      </w: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5200"/>
        <w:gridCol w:w="2100"/>
        <w:gridCol w:w="2060"/>
      </w:tblGrid>
      <w:tr>
        <w:tc>
          <w:tcPr>
            <w:tcW w:type="dxa" w:w="5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Concepto</w:t>
            </w:r>
          </w:p>
        </w:tc>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Clientes</w:t>
            </w:r>
          </w:p>
        </w:tc>
        <w:tc>
          <w:tcPr>
            <w:tcW w:type="dxa" w:w="20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Cartera abierta total (629 facturas)</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303</w:t>
            </w:r>
          </w:p>
        </w:tc>
        <w:tc>
          <w:tcPr>
            <w:tcW w:type="dxa" w:w="2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$697,7 M</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Vencida a más de 45 días</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259</w:t>
            </w:r>
          </w:p>
        </w:tc>
        <w:tc>
          <w:tcPr>
            <w:tcW w:type="dxa" w:w="2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$659,2 M</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 la cual, partes vinculadas (Artículo 4.3)</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w:t>
            </w:r>
          </w:p>
        </w:tc>
        <w:tc>
          <w:tcPr>
            <w:tcW w:type="dxa" w:w="2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$295,4 M · 45%</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 la cual, Régimen B (Artículo 6)</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18</w:t>
            </w:r>
          </w:p>
        </w:tc>
        <w:tc>
          <w:tcPr>
            <w:tcW w:type="dxa" w:w="2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$50,7 M</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Clientes que quedarían bloqueados</w:t>
            </w:r>
          </w:p>
        </w:tc>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236</w:t>
            </w:r>
          </w:p>
        </w:tc>
        <w:tc>
          <w:tcPr>
            <w:tcW w:type="dxa" w:w="2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$313,0 M</w:t>
            </w:r>
          </w:p>
        </w:tc>
      </w:tr>
    </w:tbl>
    <w:p>
      <w:pPr>
        <w:spacing w:after="120"/>
      </w:pPr>
    </w:p>
    <w:p>
      <w:pPr>
        <w:spacing w:after="85" w:before="210"/>
      </w:pPr>
      <w:r>
        <w:rPr>
          <w:rFonts w:ascii="Pilcrow Rounded" w:cs="Pilcrow Rounded" w:eastAsia="Pilcrow Rounded" w:hAnsi="Pilcrow Rounded"/>
          <w:b/>
          <w:bCs/>
          <w:color w:val="333333"/>
          <w:sz w:val="21"/>
          <w:szCs w:val="21"/>
        </w:rPr>
        <w:t xml:space="preserve">D.2  Radio de explosión — Artículo 12</w:t>
      </w: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5200"/>
        <w:gridCol w:w="4160"/>
      </w:tblGrid>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Venta mensual de los clientes que se bloquean</w:t>
            </w:r>
          </w:p>
        </w:tc>
        <w:tc>
          <w:tcPr>
            <w:tcW w:type="dxa" w:w="4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$52,7 M</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Como proporción de la venta mensual de la operación</w:t>
            </w:r>
          </w:p>
        </w:tc>
        <w:tc>
          <w:tcPr>
            <w:tcW w:type="dxa" w:w="4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1E8395"/>
                <w:sz w:val="18"/>
                <w:szCs w:val="18"/>
              </w:rPr>
              <w:t xml:space="preserve">2,6%</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Umbral de aplazamiento comprometido</w:t>
            </w:r>
          </w:p>
        </w:tc>
        <w:tc>
          <w:tcPr>
            <w:tcW w:type="dxa" w:w="4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8,0%  ·  $160,4 M</w:t>
            </w:r>
          </w:p>
        </w:tc>
      </w:tr>
      <w:tr>
        <w:tc>
          <w:tcPr>
            <w:tcW w:type="dxa" w:w="5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Resultado</w:t>
            </w:r>
          </w:p>
        </w:tc>
        <w:tc>
          <w:tcPr>
            <w:tcW w:type="dxa" w:w="4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1E8395"/>
                <w:sz w:val="18"/>
                <w:szCs w:val="18"/>
              </w:rPr>
              <w:t xml:space="preserve">Por debajo. El arranque procede.</w:t>
            </w:r>
          </w:p>
        </w:tc>
      </w:tr>
    </w:tbl>
    <w:p>
      <w:pPr>
        <w:spacing w:after="120"/>
      </w:pPr>
    </w:p>
    <w:p>
      <w:pPr>
        <w:spacing w:after="85" w:before="210"/>
      </w:pPr>
      <w:r>
        <w:rPr>
          <w:rFonts w:ascii="Pilcrow Rounded" w:cs="Pilcrow Rounded" w:eastAsia="Pilcrow Rounded" w:hAnsi="Pilcrow Rounded"/>
          <w:b/>
          <w:bCs/>
          <w:color w:val="333333"/>
          <w:sz w:val="21"/>
          <w:szCs w:val="21"/>
        </w:rPr>
        <w:t xml:space="preserve">D.3  Antigüedad de la cartera</w:t>
      </w: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600"/>
        <w:gridCol w:w="1900"/>
        <w:gridCol w:w="1900"/>
        <w:gridCol w:w="2960"/>
      </w:tblGrid>
      <w:tr>
        <w:tc>
          <w:tcPr>
            <w:tcW w:type="dxa" w:w="2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Rango</w:t>
            </w:r>
          </w:p>
        </w:tc>
        <w:tc>
          <w:tcPr>
            <w:tcW w:type="dxa" w:w="1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Facturas</w:t>
            </w:r>
          </w:p>
        </w:tc>
        <w:tc>
          <w:tcPr>
            <w:tcW w:type="dxa" w:w="1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Clientes</w:t>
            </w:r>
          </w:p>
        </w:tc>
        <w:tc>
          <w:tcPr>
            <w:tcW w:type="dxa" w:w="29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Valor</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0 – 29 días</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60</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49</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$10,7 M</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30 – 44 (preaviso)</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20</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18</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$27,8 M</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45 – 89</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41</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24</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$103,6 M</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90 – 179</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23</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16</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$57,0 M</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180 – 364</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71</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51</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$197,1 M</w:t>
            </w:r>
          </w:p>
        </w:tc>
      </w:tr>
      <w:tr>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365 o más</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414</w:t>
            </w:r>
          </w:p>
        </w:tc>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201</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$301,4 M</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El 66% de las facturas abiertas y el 43% del valor superan un año de mora. La factura más antigua registra 3.096 días. Esa antigüedad es la razón por la cual el encendido escalonado por bandas de riesgo no reduce de forma significativa la población afectada: prácticamente toda la mora ya está en la banda más alta.</w:t>
      </w:r>
    </w:p>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ADVERTENCIA SOBRE LA CALIDAD DE LA FUENTE</w:t>
            </w:r>
          </w:p>
          <w:p>
            <w:pPr>
              <w:spacing w:after="55" w:line="252"/>
              <w:jc w:val="both"/>
            </w:pPr>
            <w:r>
              <w:rPr>
                <w:rFonts w:ascii="Pilcrow Rounded" w:cs="Pilcrow Rounded" w:eastAsia="Pilcrow Rounded" w:hAnsi="Pilcrow Rounded"/>
                <w:color w:val="333333"/>
                <w:sz w:val="19"/>
                <w:szCs w:val="19"/>
              </w:rPr>
              <w:t xml:space="preserve">Ciento veinte facturas por $210,7 millones comparten la fecha de documento 31 de diciembre de 2023, con días vencidos que van de 1 a 3.096. Si hubieran sido emitidas ese día tendrían todas la misma antigüedad. El campo de fecha de documento está defaulteado en ese bloque y su antigüedad por fecha de emisión no es utilizable.</w:t>
            </w:r>
          </w:p>
          <w:p>
            <w:pPr>
              <w:spacing w:after="55" w:line="252"/>
              <w:jc w:val="both"/>
            </w:pPr>
            <w:r>
              <w:rPr>
                <w:rFonts w:ascii="Pilcrow Rounded" w:cs="Pilcrow Rounded" w:eastAsia="Pilcrow Rounded" w:hAnsi="Pilcrow Rounded"/>
                <w:color w:val="333333"/>
                <w:sz w:val="19"/>
                <w:szCs w:val="19"/>
              </w:rPr>
              <w:t xml:space="preserve">Los días vencidos de esas facturas sí son confiables porque se calculan contra la fecha de vencimiento. Treinta y seis de los clientes que quedarían bloqueados tienen facturas en ese bloque, por $205,5 millones: antes de gestionarlos hay que establecer su fecha real de emisión.</w:t>
            </w:r>
          </w:p>
          <w:p>
            <w:pPr>
              <w:spacing w:after="55" w:line="252"/>
              <w:jc w:val="both"/>
            </w:pPr>
            <w:r>
              <w:rPr>
                <w:rFonts w:ascii="Pilcrow Rounded" w:cs="Pilcrow Rounded" w:eastAsia="Pilcrow Rounded" w:hAnsi="Pilcrow Rounded"/>
                <w:color w:val="333333"/>
                <w:sz w:val="19"/>
                <w:szCs w:val="19"/>
              </w:rPr>
              <w:t xml:space="preserve">La corrección del 6 de agosto de 2026 se originó en un error de lectura de la columna de días vencidos, que emplea punto como separador de miles. Noventa y tres facturas quedaban registradas con un día de mora en lugar de más de mil. Toda cifra de este anexo anterior a esa fecha debe considerarse superada.</w:t>
            </w:r>
          </w:p>
        </w:tc>
      </w:tr>
    </w:tbl>
    <w:p>
      <w:pPr>
        <w:spacing w:after="4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Aprobación</w:t>
      </w:r>
    </w:p>
    <w:p>
      <w:pPr>
        <w:spacing w:after="300" w:line="268"/>
        <w:jc w:val="both"/>
      </w:pPr>
      <w:r>
        <w:rPr>
          <w:rFonts w:ascii="Pilcrow Rounded" w:cs="Pilcrow Rounded" w:eastAsia="Pilcrow Rounded" w:hAnsi="Pilcrow Rounded"/>
          <w:color w:val="333333"/>
          <w:sz w:val="20"/>
          <w:szCs w:val="20"/>
        </w:rPr>
        <w:t xml:space="preserve">Este documento no produce efectos hasta contar con las cuatro firmas. Cada firmante responde por la aplicación de la política dentro de su ámbito y se compromete a no autorizar excepciones por fuera de los mecanismos aquí definidos.</w:t>
      </w:r>
    </w:p>
    <w:tbl>
      <w:tblPr>
        <w:tblW w:type="dxa" w:w="9360"/>
        <w:tblBorders>
          <w:top w:val="none"/>
          <w:left w:val="none"/>
          <w:bottom w:val="none"/>
          <w:right w:val="none"/>
          <w:insideH w:val="none"/>
          <w:insideV w:val="none"/>
        </w:tblBorders>
      </w:tblPr>
      <w:tblGrid>
        <w:gridCol w:w="4680"/>
        <w:gridCol w:w="4680"/>
      </w:tblGrid>
      <w:tr>
        <w:tc>
          <w:tcPr>
            <w:tcW w:type="dxa" w:w="4680"/>
            <w:tcMar>
              <w:righ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Nelly Carmensa Figueroa Anacona</w:t>
            </w:r>
          </w:p>
          <w:p>
            <w:pPr>
              <w:spacing w:after="60"/>
            </w:pPr>
            <w:r>
              <w:rPr>
                <w:rFonts w:ascii="Pilcrow Rounded" w:cs="Pilcrow Rounded" w:eastAsia="Pilcrow Rounded" w:hAnsi="Pilcrow Rounded"/>
                <w:color w:val="6E6E6E"/>
                <w:sz w:val="19"/>
                <w:szCs w:val="19"/>
              </w:rPr>
              <w:t xml:space="preserve">Gerente General</w:t>
            </w:r>
          </w:p>
        </w:tc>
        <w:tc>
          <w:tcPr>
            <w:tcW w:type="dxa" w:w="4680"/>
            <w:tcMar>
              <w:lef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Santiago Giraldo Figueroa</w:t>
            </w:r>
          </w:p>
          <w:p>
            <w:pPr>
              <w:spacing w:after="60"/>
            </w:pPr>
            <w:r>
              <w:rPr>
                <w:rFonts w:ascii="Pilcrow Rounded" w:cs="Pilcrow Rounded" w:eastAsia="Pilcrow Rounded" w:hAnsi="Pilcrow Rounded"/>
                <w:color w:val="6E6E6E"/>
                <w:sz w:val="19"/>
                <w:szCs w:val="19"/>
              </w:rPr>
              <w:t xml:space="preserve">Dirección de Operaciones</w:t>
            </w:r>
          </w:p>
        </w:tc>
      </w:tr>
      <w:tr>
        <w:tc>
          <w:tcPr>
            <w:tcW w:type="dxa" w:w="4680"/>
            <w:tcMar>
              <w:righ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Kelly Guañarita</w:t>
            </w:r>
          </w:p>
          <w:p>
            <w:pPr>
              <w:spacing w:after="60"/>
            </w:pPr>
            <w:r>
              <w:rPr>
                <w:rFonts w:ascii="Pilcrow Rounded" w:cs="Pilcrow Rounded" w:eastAsia="Pilcrow Rounded" w:hAnsi="Pilcrow Rounded"/>
                <w:color w:val="6E6E6E"/>
                <w:sz w:val="19"/>
                <w:szCs w:val="19"/>
              </w:rPr>
              <w:t xml:space="preserve">Líder NED Volumen</w:t>
            </w:r>
          </w:p>
        </w:tc>
        <w:tc>
          <w:tcPr>
            <w:tcW w:type="dxa" w:w="4680"/>
            <w:tcMar>
              <w:lef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Cristian J. Rodríguez Arévalo</w:t>
            </w:r>
          </w:p>
          <w:p>
            <w:pPr>
              <w:spacing w:after="60"/>
            </w:pPr>
            <w:r>
              <w:rPr>
                <w:rFonts w:ascii="Pilcrow Rounded" w:cs="Pilcrow Rounded" w:eastAsia="Pilcrow Rounded" w:hAnsi="Pilcrow Rounded"/>
                <w:color w:val="6E6E6E"/>
                <w:sz w:val="19"/>
                <w:szCs w:val="19"/>
              </w:rPr>
              <w:t xml:space="preserve">Líder de Crédito y Cartera</w:t>
            </w:r>
          </w:p>
        </w:tc>
      </w:tr>
    </w:tbl>
    <w:sectPr>
      <w:headerReference w:type="default" r:id="rId7"/>
      <w:footerReference w:type="default" r:id="rId8"/>
      <w:pgSz w:w="12240" w:h="15840" w:orient="portrait"/>
      <w:pgMar w:top="1440" w:right="1440" w:bottom="144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E2" w:sz="4" w:space="6"/>
      </w:pBdr>
      <w:spacing w:before="40"/>
      <w:jc w:val="center"/>
    </w:pPr>
    <w:r>
      <w:rPr>
        <w:rFonts w:ascii="Pilcrow Rounded" w:cs="Pilcrow Rounded" w:eastAsia="Pilcrow Rounded" w:hAnsi="Pilcrow Rounded"/>
        <w:color w:val="9FB9BF"/>
        <w:sz w:val="15"/>
        <w:szCs w:val="15"/>
      </w:rPr>
      <w:t xml:space="preserve">Papelería Medellín  ·  Vigencia 17 de agosto de 2026  ·  Página </w:t>
    </w:r>
    <w:r>
      <w:rPr>
        <w:rFonts w:ascii="Pilcrow Rounded" w:cs="Pilcrow Rounded" w:eastAsia="Pilcrow Rounded" w:hAnsi="Pilcrow Rounded"/>
        <w:color w:val="9FB9BF"/>
        <w:sz w:val="15"/>
        <w:szCs w:val="15"/>
      </w:rPr>
      <w:fldChar w:fldCharType="begin"/>
      <w:instrText xml:space="preserve">PAGE</w:instrText>
      <w:fldChar w:fldCharType="separate"/>
      <w:fldChar w:fldCharType="end"/>
    </w:r>
    <w:r>
      <w:rPr>
        <w:rFonts w:ascii="Pilcrow Rounded" w:cs="Pilcrow Rounded" w:eastAsia="Pilcrow Rounded" w:hAnsi="Pilcrow Rounded"/>
        <w:color w:val="9FB9BF"/>
        <w:sz w:val="15"/>
        <w:szCs w:val="15"/>
      </w:rPr>
      <w:t xml:space="preserve"> de </w:t>
    </w:r>
    <w:r>
      <w:rPr>
        <w:rFonts w:ascii="Pilcrow Rounded" w:cs="Pilcrow Rounded" w:eastAsia="Pilcrow Rounded" w:hAnsi="Pilcrow Rounded"/>
        <w:color w:val="9FB9B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3238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33350"/>
                  </a:xfrm>
                  <a:prstGeom prst="rect">
                    <a:avLst/>
                  </a:prstGeom>
                </pic:spPr>
              </pic:pic>
            </a:graphicData>
          </a:graphic>
        </wp:inline>
      </w:drawing>
    </w:r>
    <w:r>
      <w:rPr>
        <w:rFonts w:ascii="Pilcrow Rounded" w:cs="Pilcrow Rounded" w:eastAsia="Pilcrow Rounded" w:hAnsi="Pilcrow Rounded"/>
        <w:color w:val="9FB9BF"/>
        <w:sz w:val="15"/>
        <w:szCs w:val="15"/>
      </w:rPr>
      <w:t xml:space="preserve">   BK-CAR-01 · Política de Crédito y Cartera v2.8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E83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d0c6ad013c8e057d608ef22729092b41a499a.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c0b4bb55a1f465fa76ee78e8aa17726c25c080.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Crédito y Cartera v2.8</dc:title>
  <dc:creator>Papelería Medellín</dc:creator>
  <cp:lastModifiedBy>Un-named</cp:lastModifiedBy>
  <cp:revision>1</cp:revision>
  <dcterms:created xsi:type="dcterms:W3CDTF">2026-08-14T01:00:23.118Z</dcterms:created>
  <dcterms:modified xsi:type="dcterms:W3CDTF">2026-08-14T01:00:23.118Z</dcterms:modified>
</cp:coreProperties>
</file>

<file path=docProps/custom.xml><?xml version="1.0" encoding="utf-8"?>
<Properties xmlns="http://schemas.openxmlformats.org/officeDocument/2006/custom-properties" xmlns:vt="http://schemas.openxmlformats.org/officeDocument/2006/docPropsVTypes"/>
</file>