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eastAsia="Calibri"/>
          <w:b/>
          <w:color w:val="0B1220"/>
          <w:sz w:val="44"/>
        </w:rPr>
        <w:t>Augusta Search</w:t>
      </w:r>
    </w:p>
    <w:p>
      <w:pPr>
        <w:spacing w:before="0" w:after="160"/>
      </w:pPr>
      <w:r>
        <w:rPr>
          <w:rFonts w:ascii="Calibri" w:hAnsi="Calibri" w:eastAsia="Calibri"/>
          <w:b/>
          <w:color w:val="9A7A35"/>
          <w:sz w:val="24"/>
        </w:rPr>
        <w:t>AI Powered Building Compliance and Standards Intelligence</w:t>
      </w:r>
    </w:p>
    <w:p>
      <w:pPr>
        <w:spacing w:after="80"/>
      </w:pPr>
      <w:r>
        <w:rPr>
          <w:rFonts w:ascii="Calibri" w:hAnsi="Calibri" w:eastAsia="Calibri"/>
          <w:b w:val="0"/>
          <w:color w:val="475569"/>
          <w:sz w:val="18"/>
        </w:rPr>
        <w:t>One-page overview  ·  Partnership discussion  ·  Confidential</w:t>
      </w:r>
    </w:p>
    <w:p>
      <w:pPr>
        <w:spacing w:before="200" w:after="40"/>
      </w:pPr>
      <w:r>
        <w:rPr>
          <w:rFonts w:ascii="Calibri" w:hAnsi="Calibri" w:eastAsia="Calibri"/>
          <w:b/>
          <w:color w:val="9A7A35"/>
          <w:sz w:val="20"/>
        </w:rPr>
        <w:t>THE PROBLEM</w:t>
      </w:r>
    </w:p>
    <w:p>
      <w:pPr>
        <w:spacing w:before="0" w:after="20"/>
        <w:ind w:left="216"/>
      </w:pPr>
      <w:r>
        <w:rPr>
          <w:rFonts w:ascii="Calibri" w:hAnsi="Calibri" w:eastAsia="Calibri"/>
          <w:b w:val="0"/>
          <w:color w:val="1E293B"/>
          <w:sz w:val="20"/>
        </w:rPr>
        <w:t>•  Compliance is getting harder — thousands of pages, cross-references, time sinks</w:t>
      </w:r>
    </w:p>
    <w:p>
      <w:pPr>
        <w:spacing w:before="0" w:after="20"/>
        <w:ind w:left="216"/>
      </w:pPr>
      <w:r>
        <w:rPr>
          <w:rFonts w:ascii="Calibri" w:hAnsi="Calibri" w:eastAsia="Calibri"/>
          <w:b w:val="0"/>
          <w:color w:val="1E293B"/>
          <w:sz w:val="20"/>
        </w:rPr>
        <w:t>•  Risk of missing something in dense standards work</w:t>
      </w:r>
    </w:p>
    <w:p>
      <w:pPr>
        <w:spacing w:before="0" w:after="20"/>
        <w:ind w:left="216"/>
      </w:pPr>
      <w:r>
        <w:rPr>
          <w:rFonts w:ascii="Calibri" w:hAnsi="Calibri" w:eastAsia="Calibri"/>
          <w:b w:val="0"/>
          <w:color w:val="1E293B"/>
          <w:sz w:val="20"/>
        </w:rPr>
        <w:t>•  Every engineering firm feels the same pain: lost hours, higher costs, compliance risk</w:t>
      </w:r>
    </w:p>
    <w:p>
      <w:pPr>
        <w:spacing w:before="200" w:after="40"/>
      </w:pPr>
      <w:r>
        <w:rPr>
          <w:rFonts w:ascii="Calibri" w:hAnsi="Calibri" w:eastAsia="Calibri"/>
          <w:b/>
          <w:color w:val="9A7A35"/>
          <w:sz w:val="20"/>
        </w:rPr>
        <w:t>THE SOLUTION</w:t>
      </w:r>
    </w:p>
    <w:p>
      <w:pPr>
        <w:spacing w:before="0" w:after="20"/>
        <w:ind w:left="216"/>
      </w:pPr>
      <w:r>
        <w:rPr>
          <w:rFonts w:ascii="Calibri" w:hAnsi="Calibri" w:eastAsia="Calibri"/>
          <w:b w:val="0"/>
          <w:color w:val="1E293B"/>
          <w:sz w:val="20"/>
        </w:rPr>
        <w:t>•  Augusta Search — ask in plain English, get cited answers in seconds</w:t>
      </w:r>
    </w:p>
    <w:p>
      <w:pPr>
        <w:spacing w:before="0" w:after="20"/>
        <w:ind w:left="216"/>
      </w:pPr>
      <w:r>
        <w:rPr>
          <w:rFonts w:ascii="Calibri" w:hAnsi="Calibri" w:eastAsia="Calibri"/>
          <w:b w:val="0"/>
          <w:color w:val="1E293B"/>
          <w:sz w:val="20"/>
        </w:rPr>
        <w:t>•  Purpose-built for standards and compliance workflows</w:t>
      </w:r>
    </w:p>
    <w:p>
      <w:pPr>
        <w:spacing w:before="0" w:after="20"/>
        <w:ind w:left="216"/>
      </w:pPr>
      <w:r>
        <w:rPr>
          <w:rFonts w:ascii="Calibri" w:hAnsi="Calibri" w:eastAsia="Calibri"/>
          <w:b w:val="0"/>
          <w:color w:val="1E293B"/>
          <w:sz w:val="20"/>
        </w:rPr>
        <w:t>•  Faster retrieval so professionals find relevant information quickly</w:t>
      </w:r>
    </w:p>
    <w:p>
      <w:pPr>
        <w:spacing w:before="200" w:after="40"/>
      </w:pPr>
      <w:r>
        <w:rPr>
          <w:rFonts w:ascii="Calibri" w:hAnsi="Calibri" w:eastAsia="Calibri"/>
          <w:b/>
          <w:color w:val="9A7A35"/>
          <w:sz w:val="20"/>
        </w:rPr>
        <w:t>WHO USES IT</w:t>
      </w:r>
    </w:p>
    <w:p>
      <w:pPr>
        <w:spacing w:before="0" w:after="20"/>
        <w:ind w:left="216"/>
      </w:pPr>
      <w:r>
        <w:rPr>
          <w:rFonts w:ascii="Calibri" w:hAnsi="Calibri" w:eastAsia="Calibri"/>
          <w:b w:val="0"/>
          <w:color w:val="1E293B"/>
          <w:sz w:val="20"/>
        </w:rPr>
        <w:t>•  Practising engineers — electrical, fire, mechanical, and hydraulic</w:t>
      </w:r>
    </w:p>
    <w:p>
      <w:pPr>
        <w:spacing w:before="0" w:after="20"/>
        <w:ind w:left="216"/>
      </w:pPr>
      <w:r>
        <w:rPr>
          <w:rFonts w:ascii="Calibri" w:hAnsi="Calibri" w:eastAsia="Calibri"/>
          <w:b w:val="0"/>
          <w:color w:val="1E293B"/>
          <w:sz w:val="20"/>
        </w:rPr>
        <w:t>•  Focused on engineering compliance and standards workflows</w:t>
      </w:r>
    </w:p>
    <w:p>
      <w:pPr>
        <w:spacing w:before="200" w:after="40"/>
      </w:pPr>
      <w:r>
        <w:rPr>
          <w:rFonts w:ascii="Calibri" w:hAnsi="Calibri" w:eastAsia="Calibri"/>
          <w:b/>
          <w:color w:val="9A7A35"/>
          <w:sz w:val="20"/>
        </w:rPr>
        <w:t>BUSINESS MODEL</w:t>
      </w:r>
    </w:p>
    <w:p>
      <w:pPr>
        <w:spacing w:before="0" w:after="20"/>
        <w:ind w:left="216"/>
      </w:pPr>
      <w:r>
        <w:rPr>
          <w:rFonts w:ascii="Calibri" w:hAnsi="Calibri" w:eastAsia="Calibri"/>
          <w:b w:val="0"/>
          <w:color w:val="1E293B"/>
          <w:sz w:val="20"/>
        </w:rPr>
        <w:t>•  Subscription SaaS with monthly plans and recurring revenue</w:t>
      </w:r>
    </w:p>
    <w:p>
      <w:pPr>
        <w:spacing w:before="0" w:after="20"/>
        <w:ind w:left="216"/>
      </w:pPr>
      <w:r>
        <w:rPr>
          <w:rFonts w:ascii="Calibri" w:hAnsi="Calibri" w:eastAsia="Calibri"/>
          <w:b w:val="0"/>
          <w:color w:val="1E293B"/>
          <w:sz w:val="20"/>
        </w:rPr>
        <w:t>•  Sole (free) · Professional ($49/mo) · Company Small ($599/mo, ≤25 seats) · Company Large ($1,099/mo, ≤50 seats)</w:t>
      </w:r>
    </w:p>
    <w:p>
      <w:pPr>
        <w:spacing w:before="0" w:after="20"/>
        <w:ind w:left="216"/>
      </w:pPr>
      <w:r>
        <w:rPr>
          <w:rFonts w:ascii="Calibri" w:hAnsi="Calibri" w:eastAsia="Calibri"/>
          <w:b w:val="0"/>
          <w:color w:val="1E293B"/>
          <w:sz w:val="20"/>
        </w:rPr>
        <w:t>•  Vs ChatGPT Business (~$625 / $1,250 for 25 / 50 seats) or Claude Enterprise seats ($500+ / $1,000+ plus usage)</w:t>
      </w:r>
    </w:p>
    <w:p>
      <w:pPr>
        <w:spacing w:before="200" w:after="40"/>
      </w:pPr>
      <w:r>
        <w:rPr>
          <w:rFonts w:ascii="Calibri" w:hAnsi="Calibri" w:eastAsia="Calibri"/>
          <w:b/>
          <w:color w:val="9A7A35"/>
          <w:sz w:val="20"/>
        </w:rPr>
        <w:t>WHY A MARKETING PARTNER — AND WHY NOW</w:t>
      </w:r>
    </w:p>
    <w:p>
      <w:pPr>
        <w:spacing w:before="0" w:after="20"/>
        <w:ind w:left="216"/>
      </w:pPr>
      <w:r>
        <w:rPr>
          <w:rFonts w:ascii="Calibri" w:hAnsi="Calibri" w:eastAsia="Calibri"/>
          <w:b w:val="0"/>
          <w:color w:val="1E293B"/>
          <w:sz w:val="20"/>
        </w:rPr>
        <w:t>•  Tech is built — focus shifts to growth: awareness, partnerships, recurring revenue</w:t>
      </w:r>
    </w:p>
    <w:p>
      <w:pPr>
        <w:spacing w:before="0" w:after="20"/>
        <w:ind w:left="216"/>
      </w:pPr>
      <w:r>
        <w:rPr>
          <w:rFonts w:ascii="Calibri" w:hAnsi="Calibri" w:eastAsia="Calibri"/>
          <w:b w:val="0"/>
          <w:color w:val="1E293B"/>
          <w:sz w:val="20"/>
        </w:rPr>
        <w:t>•  Early-stage, ground-floor opportunity to shape growth with shared upside</w:t>
      </w:r>
    </w:p>
    <w:p>
      <w:pPr>
        <w:spacing w:before="200" w:after="40"/>
      </w:pPr>
      <w:r>
        <w:rPr>
          <w:rFonts w:ascii="Calibri" w:hAnsi="Calibri" w:eastAsia="Calibri"/>
          <w:b/>
          <w:color w:val="9A7A35"/>
          <w:sz w:val="20"/>
        </w:rPr>
        <w:t>DISCUSSION</w:t>
      </w:r>
    </w:p>
    <w:p>
      <w:pPr>
        <w:spacing w:before="0" w:after="20"/>
        <w:ind w:left="216"/>
      </w:pPr>
      <w:r>
        <w:rPr>
          <w:rFonts w:ascii="Calibri" w:hAnsi="Calibri" w:eastAsia="Calibri"/>
          <w:b w:val="0"/>
          <w:color w:val="1E293B"/>
          <w:sz w:val="20"/>
        </w:rPr>
        <w:t>•  Your feedback, ideas, and questions</w:t>
      </w:r>
    </w:p>
    <w:p>
      <w:pPr>
        <w:spacing w:before="0" w:after="20"/>
        <w:ind w:left="216"/>
      </w:pPr>
      <w:r>
        <w:rPr>
          <w:rFonts w:ascii="Calibri" w:hAnsi="Calibri" w:eastAsia="Calibri"/>
          <w:b w:val="0"/>
          <w:color w:val="1E293B"/>
          <w:sz w:val="20"/>
        </w:rPr>
        <w:t>•  ausstd.augustasearch.com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