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CA9C6E" w14:textId="77777777" w:rsidR="001C68E8" w:rsidRDefault="00000000">
      <w:pPr>
        <w:pStyle w:val="Title"/>
        <w:rPr>
          <w:rFonts w:ascii="DejaVu Sans" w:hAnsi="DejaVu Sans"/>
          <w:b w:val="0"/>
          <w:color w:val="000000"/>
          <w:sz w:val="21"/>
        </w:rPr>
      </w:pPr>
      <w:r>
        <w:t xml:space="preserve">Lorem ipsum </w:t>
      </w:r>
    </w:p>
    <w:p w14:paraId="78E0264A" w14:textId="77777777" w:rsidR="001C68E8" w:rsidRDefault="001C68E8">
      <w:pPr>
        <w:pStyle w:val="BodyText"/>
        <w:widowControl/>
        <w:spacing w:after="225"/>
        <w:jc w:val="both"/>
        <w:rPr>
          <w:rFonts w:ascii="DejaVu Sans" w:hAnsi="DejaVu Sans"/>
          <w:color w:val="000000"/>
          <w:sz w:val="21"/>
        </w:rPr>
      </w:pPr>
    </w:p>
    <w:p w14:paraId="4A29DF3E" w14:textId="3A526B9D" w:rsidR="001C68E8" w:rsidRDefault="00225DB9">
      <w:pPr>
        <w:pStyle w:val="Heading1"/>
        <w:ind w:left="0" w:firstLine="360"/>
        <w:rPr>
          <w:rFonts w:ascii="DejaVu Sans" w:hAnsi="DejaVu Sans"/>
          <w:b w:val="0"/>
          <w:color w:val="000000"/>
          <w:sz w:val="21"/>
        </w:rPr>
      </w:pPr>
      <w:r>
        <w:t>Large Language Models</w:t>
      </w:r>
    </w:p>
    <w:p w14:paraId="436618D4" w14:textId="77777777" w:rsidR="001C68E8" w:rsidRDefault="001C68E8">
      <w:pPr>
        <w:pStyle w:val="BodyText"/>
        <w:widowControl/>
        <w:spacing w:after="225"/>
        <w:jc w:val="both"/>
        <w:rPr>
          <w:rFonts w:ascii="DejaVu Sans" w:hAnsi="DejaVu Sans"/>
          <w:color w:val="000000"/>
          <w:sz w:val="21"/>
        </w:rPr>
      </w:pPr>
    </w:p>
    <w:p w14:paraId="7D8CD0DA" w14:textId="77777777" w:rsidR="001C68E8" w:rsidRDefault="00000000">
      <w:pPr>
        <w:pStyle w:val="BodyText"/>
        <w:widowControl/>
        <w:spacing w:after="225"/>
        <w:jc w:val="both"/>
        <w:rPr>
          <w:rFonts w:ascii="DejaVu Sans" w:hAnsi="DejaVu Sans"/>
          <w:color w:val="000000"/>
          <w:sz w:val="21"/>
        </w:rPr>
      </w:pPr>
      <w:r>
        <w:object w:dxaOrig="1440" w:dyaOrig="1440" w14:anchorId="58265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5" o:title=""/>
            <w10:wrap type="square" side="largest"/>
          </v:shape>
          <o:OLEObject Type="Embed" ProgID="LibreOffice.ChartDocument.1" ShapeID="_x0000_s1026" DrawAspect="Content" ObjectID="_1809971111" r:id="rId6"/>
        </w:object>
      </w:r>
    </w:p>
    <w:p w14:paraId="1E3543CB" w14:textId="77777777" w:rsidR="001C68E8" w:rsidRDefault="001C68E8">
      <w:pPr>
        <w:pStyle w:val="BodyText"/>
        <w:widowControl/>
        <w:spacing w:after="225"/>
        <w:jc w:val="both"/>
        <w:rPr>
          <w:rFonts w:ascii="DejaVu Sans" w:hAnsi="DejaVu Sans"/>
          <w:color w:val="000000"/>
          <w:sz w:val="21"/>
        </w:rPr>
      </w:pPr>
    </w:p>
    <w:p w14:paraId="7C767B50" w14:textId="77777777" w:rsidR="001C68E8" w:rsidRDefault="001C68E8">
      <w:pPr>
        <w:pStyle w:val="BodyText"/>
        <w:widowControl/>
        <w:spacing w:after="225"/>
        <w:jc w:val="both"/>
        <w:rPr>
          <w:rFonts w:ascii="DejaVu Sans" w:hAnsi="DejaVu Sans"/>
          <w:color w:val="000000"/>
          <w:sz w:val="21"/>
        </w:rPr>
      </w:pPr>
    </w:p>
    <w:p w14:paraId="6865B195" w14:textId="77777777" w:rsidR="001C68E8" w:rsidRDefault="001C68E8">
      <w:pPr>
        <w:pStyle w:val="BodyText"/>
        <w:widowControl/>
        <w:spacing w:after="225"/>
        <w:jc w:val="both"/>
        <w:rPr>
          <w:rFonts w:ascii="DejaVu Sans" w:hAnsi="DejaVu Sans"/>
          <w:color w:val="000000"/>
          <w:sz w:val="21"/>
        </w:rPr>
      </w:pPr>
    </w:p>
    <w:p w14:paraId="205A9558" w14:textId="77777777" w:rsidR="001C68E8" w:rsidRDefault="001C68E8">
      <w:pPr>
        <w:pStyle w:val="BodyText"/>
        <w:widowControl/>
        <w:spacing w:after="225"/>
        <w:jc w:val="both"/>
        <w:rPr>
          <w:rFonts w:ascii="DejaVu Sans" w:hAnsi="DejaVu Sans"/>
          <w:color w:val="000000"/>
          <w:sz w:val="21"/>
        </w:rPr>
      </w:pPr>
    </w:p>
    <w:p w14:paraId="4E20203E" w14:textId="77777777" w:rsidR="001C68E8" w:rsidRDefault="001C68E8">
      <w:pPr>
        <w:pStyle w:val="BodyText"/>
        <w:widowControl/>
        <w:spacing w:after="225"/>
        <w:jc w:val="both"/>
        <w:rPr>
          <w:rFonts w:ascii="DejaVu Sans" w:hAnsi="DejaVu Sans"/>
          <w:color w:val="000000"/>
          <w:sz w:val="21"/>
        </w:rPr>
      </w:pPr>
    </w:p>
    <w:p w14:paraId="4181CB1B" w14:textId="77777777" w:rsidR="001C68E8" w:rsidRDefault="001C68E8">
      <w:pPr>
        <w:pStyle w:val="BodyText"/>
        <w:widowControl/>
        <w:spacing w:after="225"/>
        <w:jc w:val="both"/>
        <w:rPr>
          <w:rFonts w:ascii="DejaVu Sans" w:hAnsi="DejaVu Sans"/>
          <w:color w:val="000000"/>
          <w:sz w:val="21"/>
        </w:rPr>
      </w:pPr>
    </w:p>
    <w:p w14:paraId="2B59A9D2" w14:textId="77777777" w:rsidR="001C68E8" w:rsidRDefault="001C68E8">
      <w:pPr>
        <w:pStyle w:val="BodyText"/>
        <w:widowControl/>
        <w:spacing w:after="225"/>
        <w:jc w:val="both"/>
        <w:rPr>
          <w:rFonts w:ascii="DejaVu Sans" w:hAnsi="DejaVu Sans"/>
          <w:color w:val="000000"/>
          <w:sz w:val="21"/>
        </w:rPr>
      </w:pPr>
    </w:p>
    <w:p w14:paraId="29D49D0E" w14:textId="77777777" w:rsidR="001C68E8" w:rsidRDefault="001C68E8">
      <w:pPr>
        <w:pStyle w:val="BodyText"/>
        <w:widowControl/>
        <w:spacing w:after="225"/>
        <w:jc w:val="both"/>
        <w:rPr>
          <w:rFonts w:ascii="DejaVu Sans" w:hAnsi="DejaVu Sans"/>
          <w:color w:val="000000"/>
          <w:sz w:val="21"/>
        </w:rPr>
      </w:pPr>
    </w:p>
    <w:p w14:paraId="3C30C71D" w14:textId="77777777" w:rsidR="001C68E8" w:rsidRPr="00225DB9" w:rsidRDefault="001C68E8">
      <w:pPr>
        <w:pStyle w:val="BodyText"/>
        <w:widowControl/>
        <w:spacing w:after="225"/>
        <w:jc w:val="both"/>
        <w:rPr>
          <w:rFonts w:ascii="DejaVu Sans" w:hAnsi="DejaVu Sans"/>
          <w:color w:val="000000"/>
          <w:sz w:val="21"/>
          <w:lang w:val="it-IT"/>
        </w:rPr>
      </w:pPr>
    </w:p>
    <w:p w14:paraId="4A5DB83A" w14:textId="77777777" w:rsidR="00225DB9" w:rsidRP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Large language models (LLMs) have transformed natural language processing by leveraging massive datasets and computational power to achieve remarkable performance in tasks like text generation, summarization, and sentiment analysis. These models rely on deep learning architectures, particularly transformers, which allow them to process and generate text with contextual understanding. However, LLMs can struggle with factual accuracy and context-specific knowledge, especially when dealing with rapidly evolving information or specialized domains. Their reliance on pre-training also means they may not adapt well to new data without fine-tuning, which can be resource-intensive.</w:t>
      </w:r>
    </w:p>
    <w:p w14:paraId="08715BB8" w14:textId="77777777" w:rsidR="00225DB9" w:rsidRP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Retrieval-Augmented Generation (RAG) enhances LLMs by integrating real-time information retrieval, enabling more accurate and contextually relevant responses. RAG systems use a retriever component to query external knowledge bases, such as vector databases or web sources, and feed relevant information to the generative model. This approach is particularly effective for applications requiring up-to-date facts, like answering questions about recent events or industry-specific queries. By combining the strengths of LLMs with dynamic data access, RAG bridges the gap between static knowledge and real-world demands.</w:t>
      </w:r>
    </w:p>
    <w:p w14:paraId="7FD862BA" w14:textId="77777777" w:rsidR="00225DB9" w:rsidRPr="00225DB9" w:rsidRDefault="00225DB9" w:rsidP="00225DB9">
      <w:pPr>
        <w:pStyle w:val="BodyText"/>
        <w:numPr>
          <w:ilvl w:val="0"/>
          <w:numId w:val="3"/>
        </w:numPr>
        <w:spacing w:after="225"/>
        <w:jc w:val="both"/>
        <w:rPr>
          <w:rFonts w:ascii="DejaVu Sans" w:hAnsi="DejaVu Sans"/>
          <w:color w:val="000000"/>
          <w:sz w:val="21"/>
          <w:lang w:val="en-GB"/>
        </w:rPr>
      </w:pPr>
      <w:r w:rsidRPr="00225DB9">
        <w:rPr>
          <w:rFonts w:ascii="DejaVu Sans" w:hAnsi="DejaVu Sans"/>
          <w:b/>
          <w:bCs/>
          <w:color w:val="000000"/>
          <w:sz w:val="21"/>
          <w:lang w:val="en-GB"/>
        </w:rPr>
        <w:t>Common Technologies in LLMs and RAG</w:t>
      </w:r>
      <w:r w:rsidRPr="00225DB9">
        <w:rPr>
          <w:rFonts w:ascii="DejaVu Sans" w:hAnsi="DejaVu Sans"/>
          <w:color w:val="000000"/>
          <w:sz w:val="21"/>
          <w:lang w:val="en-GB"/>
        </w:rPr>
        <w:t xml:space="preserve">: </w:t>
      </w:r>
    </w:p>
    <w:p w14:paraId="2B508550" w14:textId="77777777" w:rsidR="00225DB9" w:rsidRPr="00225DB9" w:rsidRDefault="00225DB9" w:rsidP="00225DB9">
      <w:pPr>
        <w:pStyle w:val="BodyText"/>
        <w:numPr>
          <w:ilvl w:val="1"/>
          <w:numId w:val="3"/>
        </w:numPr>
        <w:spacing w:after="225"/>
        <w:jc w:val="both"/>
        <w:rPr>
          <w:rFonts w:ascii="DejaVu Sans" w:hAnsi="DejaVu Sans"/>
          <w:color w:val="000000"/>
          <w:sz w:val="21"/>
          <w:lang w:val="en-GB"/>
        </w:rPr>
      </w:pPr>
      <w:r w:rsidRPr="00225DB9">
        <w:rPr>
          <w:rFonts w:ascii="DejaVu Sans" w:hAnsi="DejaVu Sans"/>
          <w:b/>
          <w:bCs/>
          <w:color w:val="000000"/>
          <w:sz w:val="21"/>
          <w:lang w:val="en-GB"/>
        </w:rPr>
        <w:t>Transformers</w:t>
      </w:r>
      <w:r w:rsidRPr="00225DB9">
        <w:rPr>
          <w:rFonts w:ascii="DejaVu Sans" w:hAnsi="DejaVu Sans"/>
          <w:color w:val="000000"/>
          <w:sz w:val="21"/>
          <w:lang w:val="en-GB"/>
        </w:rPr>
        <w:t>: The core architecture for LLMs, enabling efficient processing of sequential data with attention mechanisms.</w:t>
      </w:r>
    </w:p>
    <w:p w14:paraId="4B171EC3" w14:textId="77777777" w:rsidR="00225DB9" w:rsidRPr="00225DB9" w:rsidRDefault="00225DB9" w:rsidP="00225DB9">
      <w:pPr>
        <w:pStyle w:val="BodyText"/>
        <w:numPr>
          <w:ilvl w:val="1"/>
          <w:numId w:val="3"/>
        </w:numPr>
        <w:spacing w:after="225"/>
        <w:jc w:val="both"/>
        <w:rPr>
          <w:rFonts w:ascii="DejaVu Sans" w:hAnsi="DejaVu Sans"/>
          <w:color w:val="000000"/>
          <w:sz w:val="21"/>
          <w:lang w:val="en-GB"/>
        </w:rPr>
      </w:pPr>
      <w:r w:rsidRPr="00225DB9">
        <w:rPr>
          <w:rFonts w:ascii="DejaVu Sans" w:hAnsi="DejaVu Sans"/>
          <w:b/>
          <w:bCs/>
          <w:color w:val="000000"/>
          <w:sz w:val="21"/>
          <w:lang w:val="en-GB"/>
        </w:rPr>
        <w:lastRenderedPageBreak/>
        <w:t>Vector Databases</w:t>
      </w:r>
      <w:r w:rsidRPr="00225DB9">
        <w:rPr>
          <w:rFonts w:ascii="DejaVu Sans" w:hAnsi="DejaVu Sans"/>
          <w:color w:val="000000"/>
          <w:sz w:val="21"/>
          <w:lang w:val="en-GB"/>
        </w:rPr>
        <w:t xml:space="preserve">: Used in RAG to store and retrieve high-dimensional embeddings for fast, relevant document lookup (e.g., Pinecone, </w:t>
      </w:r>
      <w:proofErr w:type="spellStart"/>
      <w:r w:rsidRPr="00225DB9">
        <w:rPr>
          <w:rFonts w:ascii="DejaVu Sans" w:hAnsi="DejaVu Sans"/>
          <w:color w:val="000000"/>
          <w:sz w:val="21"/>
          <w:lang w:val="en-GB"/>
        </w:rPr>
        <w:t>Weaviate</w:t>
      </w:r>
      <w:proofErr w:type="spellEnd"/>
      <w:r w:rsidRPr="00225DB9">
        <w:rPr>
          <w:rFonts w:ascii="DejaVu Sans" w:hAnsi="DejaVu Sans"/>
          <w:color w:val="000000"/>
          <w:sz w:val="21"/>
          <w:lang w:val="en-GB"/>
        </w:rPr>
        <w:t>).</w:t>
      </w:r>
    </w:p>
    <w:p w14:paraId="5103EA5E" w14:textId="77777777" w:rsidR="00225DB9" w:rsidRPr="00225DB9" w:rsidRDefault="00225DB9" w:rsidP="00225DB9">
      <w:pPr>
        <w:pStyle w:val="BodyText"/>
        <w:numPr>
          <w:ilvl w:val="1"/>
          <w:numId w:val="3"/>
        </w:numPr>
        <w:spacing w:after="225"/>
        <w:jc w:val="both"/>
        <w:rPr>
          <w:rFonts w:ascii="DejaVu Sans" w:hAnsi="DejaVu Sans"/>
          <w:color w:val="000000"/>
          <w:sz w:val="21"/>
          <w:lang w:val="en-GB"/>
        </w:rPr>
      </w:pPr>
      <w:r w:rsidRPr="00225DB9">
        <w:rPr>
          <w:rFonts w:ascii="DejaVu Sans" w:hAnsi="DejaVu Sans"/>
          <w:b/>
          <w:bCs/>
          <w:color w:val="000000"/>
          <w:sz w:val="21"/>
          <w:lang w:val="en-GB"/>
        </w:rPr>
        <w:t>Embedding Models</w:t>
      </w:r>
      <w:r w:rsidRPr="00225DB9">
        <w:rPr>
          <w:rFonts w:ascii="DejaVu Sans" w:hAnsi="DejaVu Sans"/>
          <w:color w:val="000000"/>
          <w:sz w:val="21"/>
          <w:lang w:val="en-GB"/>
        </w:rPr>
        <w:t>: Convert text into numerical representations for similarity search in RAG (e.g., BERT, Sentence-BERT).</w:t>
      </w:r>
    </w:p>
    <w:p w14:paraId="1E42F596" w14:textId="77777777" w:rsidR="00225DB9" w:rsidRPr="00225DB9" w:rsidRDefault="00225DB9" w:rsidP="00225DB9">
      <w:pPr>
        <w:pStyle w:val="BodyText"/>
        <w:numPr>
          <w:ilvl w:val="1"/>
          <w:numId w:val="3"/>
        </w:numPr>
        <w:spacing w:after="225"/>
        <w:jc w:val="both"/>
        <w:rPr>
          <w:rFonts w:ascii="DejaVu Sans" w:hAnsi="DejaVu Sans"/>
          <w:color w:val="000000"/>
          <w:sz w:val="21"/>
          <w:lang w:val="en-GB"/>
        </w:rPr>
      </w:pPr>
      <w:r w:rsidRPr="00225DB9">
        <w:rPr>
          <w:rFonts w:ascii="DejaVu Sans" w:hAnsi="DejaVu Sans"/>
          <w:b/>
          <w:bCs/>
          <w:color w:val="000000"/>
          <w:sz w:val="21"/>
          <w:lang w:val="en-GB"/>
        </w:rPr>
        <w:t>APIs for Retrieval</w:t>
      </w:r>
      <w:r w:rsidRPr="00225DB9">
        <w:rPr>
          <w:rFonts w:ascii="DejaVu Sans" w:hAnsi="DejaVu Sans"/>
          <w:color w:val="000000"/>
          <w:sz w:val="21"/>
          <w:lang w:val="en-GB"/>
        </w:rPr>
        <w:t>: Facilitate access to external data sources like web content or proprietary databases (e.g., Google Search API, Elasticsearch).</w:t>
      </w:r>
    </w:p>
    <w:p w14:paraId="09D44261" w14:textId="77777777" w:rsidR="00225DB9" w:rsidRPr="00225DB9" w:rsidRDefault="00225DB9" w:rsidP="00225DB9">
      <w:pPr>
        <w:pStyle w:val="BodyText"/>
        <w:numPr>
          <w:ilvl w:val="1"/>
          <w:numId w:val="3"/>
        </w:numPr>
        <w:spacing w:after="225"/>
        <w:jc w:val="both"/>
        <w:rPr>
          <w:rFonts w:ascii="DejaVu Sans" w:hAnsi="DejaVu Sans"/>
          <w:color w:val="000000"/>
          <w:sz w:val="21"/>
          <w:lang w:val="en-GB"/>
        </w:rPr>
      </w:pPr>
      <w:r w:rsidRPr="00225DB9">
        <w:rPr>
          <w:rFonts w:ascii="DejaVu Sans" w:hAnsi="DejaVu Sans"/>
          <w:b/>
          <w:bCs/>
          <w:color w:val="000000"/>
          <w:sz w:val="21"/>
          <w:lang w:val="en-GB"/>
        </w:rPr>
        <w:t>Fine-Tuning Frameworks</w:t>
      </w:r>
      <w:r w:rsidRPr="00225DB9">
        <w:rPr>
          <w:rFonts w:ascii="DejaVu Sans" w:hAnsi="DejaVu Sans"/>
          <w:color w:val="000000"/>
          <w:sz w:val="21"/>
          <w:lang w:val="en-GB"/>
        </w:rPr>
        <w:t xml:space="preserve">: Tools like Hugging Face’s Transformers library or </w:t>
      </w:r>
      <w:proofErr w:type="spellStart"/>
      <w:r w:rsidRPr="00225DB9">
        <w:rPr>
          <w:rFonts w:ascii="DejaVu Sans" w:hAnsi="DejaVu Sans"/>
          <w:color w:val="000000"/>
          <w:sz w:val="21"/>
          <w:lang w:val="en-GB"/>
        </w:rPr>
        <w:t>PyTorch</w:t>
      </w:r>
      <w:proofErr w:type="spellEnd"/>
      <w:r w:rsidRPr="00225DB9">
        <w:rPr>
          <w:rFonts w:ascii="DejaVu Sans" w:hAnsi="DejaVu Sans"/>
          <w:color w:val="000000"/>
          <w:sz w:val="21"/>
          <w:lang w:val="en-GB"/>
        </w:rPr>
        <w:t xml:space="preserve"> for adapting LLMs to specific tasks.</w:t>
      </w:r>
    </w:p>
    <w:p w14:paraId="2F033046" w14:textId="77777777" w:rsidR="00225DB9" w:rsidRPr="00225DB9" w:rsidRDefault="00225DB9" w:rsidP="00225DB9">
      <w:pPr>
        <w:pStyle w:val="BodyText"/>
        <w:numPr>
          <w:ilvl w:val="1"/>
          <w:numId w:val="3"/>
        </w:numPr>
        <w:spacing w:after="225"/>
        <w:jc w:val="both"/>
        <w:rPr>
          <w:rFonts w:ascii="DejaVu Sans" w:hAnsi="DejaVu Sans"/>
          <w:color w:val="000000"/>
          <w:sz w:val="21"/>
          <w:lang w:val="en-GB"/>
        </w:rPr>
      </w:pPr>
      <w:r w:rsidRPr="00225DB9">
        <w:rPr>
          <w:rFonts w:ascii="DejaVu Sans" w:hAnsi="DejaVu Sans"/>
          <w:b/>
          <w:bCs/>
          <w:color w:val="000000"/>
          <w:sz w:val="21"/>
          <w:lang w:val="en-GB"/>
        </w:rPr>
        <w:t>Cloud Platforms</w:t>
      </w:r>
      <w:r w:rsidRPr="00225DB9">
        <w:rPr>
          <w:rFonts w:ascii="DejaVu Sans" w:hAnsi="DejaVu Sans"/>
          <w:color w:val="000000"/>
          <w:sz w:val="21"/>
          <w:lang w:val="en-GB"/>
        </w:rPr>
        <w:t>: Infrastructure for training and deploying LLMs and RAG systems (e.g., AWS, Google Cloud, Azure).</w:t>
      </w:r>
    </w:p>
    <w:p w14:paraId="74802F5A" w14:textId="77777777" w:rsidR="001C68E8" w:rsidRDefault="001C68E8">
      <w:pPr>
        <w:pStyle w:val="BodyText"/>
        <w:widowControl/>
        <w:spacing w:after="225"/>
        <w:jc w:val="both"/>
        <w:rPr>
          <w:rFonts w:ascii="DejaVu Sans" w:hAnsi="DejaVu Sans"/>
          <w:color w:val="000000"/>
          <w:sz w:val="21"/>
          <w:lang w:val="en-GB"/>
        </w:rPr>
      </w:pPr>
    </w:p>
    <w:p w14:paraId="7268827A" w14:textId="77777777" w:rsidR="00225DB9" w:rsidRPr="00225DB9" w:rsidRDefault="00225DB9" w:rsidP="00225DB9">
      <w:pPr>
        <w:pStyle w:val="Heading1"/>
        <w:rPr>
          <w:lang w:val="en-GB"/>
        </w:rPr>
      </w:pPr>
      <w:r w:rsidRPr="00225DB9">
        <w:rPr>
          <w:lang w:val="en-GB"/>
        </w:rPr>
        <w:t>Early Foundations</w:t>
      </w:r>
    </w:p>
    <w:p w14:paraId="2E626647" w14:textId="77777777" w:rsidR="00225DB9" w:rsidRP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 xml:space="preserve">The evolution of large language models (LLMs) began in the early 2010s with the rise of deep learning and recurrent neural networks (RNNs). These early models, while capable of processing sequential data, struggled with long-range dependencies in text, limiting their ability to generate or understand coherent language over extended contexts. Word embeddings like Word2Vec and </w:t>
      </w:r>
      <w:proofErr w:type="spellStart"/>
      <w:r w:rsidRPr="00225DB9">
        <w:rPr>
          <w:rFonts w:ascii="DejaVu Sans" w:hAnsi="DejaVu Sans"/>
          <w:color w:val="000000"/>
          <w:sz w:val="21"/>
          <w:lang w:val="en-GB"/>
        </w:rPr>
        <w:t>GloVe</w:t>
      </w:r>
      <w:proofErr w:type="spellEnd"/>
      <w:r w:rsidRPr="00225DB9">
        <w:rPr>
          <w:rFonts w:ascii="DejaVu Sans" w:hAnsi="DejaVu Sans"/>
          <w:color w:val="000000"/>
          <w:sz w:val="21"/>
          <w:lang w:val="en-GB"/>
        </w:rPr>
        <w:t xml:space="preserve"> emerged as significant milestones, capturing semantic relationships in words and enabling better text representations. However, these models were static and lacked the contextual awareness needed for complex language tasks.</w:t>
      </w:r>
    </w:p>
    <w:p w14:paraId="0FFA7143" w14:textId="77777777" w:rsidR="00225DB9" w:rsidRPr="00225DB9" w:rsidRDefault="00225DB9" w:rsidP="00225DB9">
      <w:pPr>
        <w:pStyle w:val="Heading1"/>
        <w:rPr>
          <w:lang w:val="en-GB"/>
        </w:rPr>
      </w:pPr>
      <w:r w:rsidRPr="00225DB9">
        <w:rPr>
          <w:lang w:val="en-GB"/>
        </w:rPr>
        <w:t>The Transformer Revolution</w:t>
      </w:r>
    </w:p>
    <w:p w14:paraId="15D7C50D" w14:textId="77777777" w:rsid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The introduction of the transformer architecture in 2017, via the paper "Attention is All You Need" by Vaswani et al., marked a turning point. Transformers replaced RNNs with a self-attention mechanism, allowing models to weigh the importance of different words in a sentence regardless of their position. This enabled parallel processing of text, improving efficiency and performance. Early transformer-based models like BERT (Bidirectional Encoder Representations from Transformers) demonstrated the power of pre-training on large corpora followed by fine-tuning, excelling in tasks like question answering and sentiment analysis.</w:t>
      </w:r>
    </w:p>
    <w:p w14:paraId="29EC4473" w14:textId="66A40503" w:rsidR="00225DB9" w:rsidRDefault="00225DB9" w:rsidP="00225DB9">
      <w:pPr>
        <w:pStyle w:val="BodyText"/>
        <w:spacing w:after="225"/>
        <w:jc w:val="both"/>
        <w:rPr>
          <w:rFonts w:ascii="DejaVu Sans" w:hAnsi="DejaVu Sans"/>
          <w:color w:val="000000"/>
          <w:sz w:val="21"/>
          <w:lang w:val="en-GB"/>
        </w:rPr>
      </w:pPr>
      <w:r>
        <w:rPr>
          <w:noProof/>
        </w:rPr>
        <w:lastRenderedPageBreak/>
        <w:drawing>
          <wp:anchor distT="0" distB="0" distL="0" distR="0" simplePos="0" relativeHeight="251659264" behindDoc="0" locked="0" layoutInCell="1" allowOverlap="1" wp14:anchorId="3D6134EF" wp14:editId="7AA25E26">
            <wp:simplePos x="0" y="0"/>
            <wp:positionH relativeFrom="column">
              <wp:posOffset>0</wp:posOffset>
            </wp:positionH>
            <wp:positionV relativeFrom="paragraph">
              <wp:posOffset>342265</wp:posOffset>
            </wp:positionV>
            <wp:extent cx="6119495" cy="4081780"/>
            <wp:effectExtent l="0" t="0" r="0" b="0"/>
            <wp:wrapSquare wrapText="largest"/>
            <wp:docPr id="3" name="Picture 1" descr="A computer on a marbl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omputer on a marble surfac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9495" cy="4081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0BE46B8" w14:textId="77777777" w:rsidR="00225DB9" w:rsidRDefault="00225DB9" w:rsidP="00225DB9">
      <w:pPr>
        <w:pStyle w:val="BodyText"/>
        <w:spacing w:after="225"/>
        <w:jc w:val="both"/>
        <w:rPr>
          <w:rFonts w:ascii="DejaVu Sans" w:hAnsi="DejaVu Sans"/>
          <w:color w:val="000000"/>
          <w:sz w:val="21"/>
          <w:lang w:val="en-GB"/>
        </w:rPr>
      </w:pPr>
    </w:p>
    <w:p w14:paraId="3AECAE14" w14:textId="77777777" w:rsidR="00225DB9" w:rsidRPr="00225DB9" w:rsidRDefault="00225DB9" w:rsidP="00225DB9">
      <w:pPr>
        <w:pStyle w:val="BodyText"/>
        <w:spacing w:after="225"/>
        <w:jc w:val="both"/>
        <w:rPr>
          <w:rFonts w:ascii="DejaVu Sans" w:hAnsi="DejaVu Sans"/>
          <w:color w:val="000000"/>
          <w:sz w:val="21"/>
          <w:lang w:val="en-GB"/>
        </w:rPr>
      </w:pPr>
    </w:p>
    <w:p w14:paraId="11AF2F8F" w14:textId="77777777" w:rsidR="00225DB9" w:rsidRPr="00225DB9" w:rsidRDefault="00225DB9" w:rsidP="00225DB9">
      <w:pPr>
        <w:pStyle w:val="Heading1"/>
        <w:rPr>
          <w:lang w:val="en-GB"/>
        </w:rPr>
      </w:pPr>
      <w:r w:rsidRPr="00225DB9">
        <w:rPr>
          <w:lang w:val="en-GB"/>
        </w:rPr>
        <w:t>Scaling Up</w:t>
      </w:r>
    </w:p>
    <w:p w14:paraId="08C03E65" w14:textId="77777777" w:rsidR="00225DB9" w:rsidRP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By 2019, the focus shifted to scaling models, with GPT-2 (1.5 billion parameters) showcasing the potential of larger architectures to generate coherent text. The release of GPT-3 in 2020, with 175 billion parameters, further demonstrated that scaling models and training data could enable zero-shot and few-shot learning across diverse tasks. These advancements highlighted the power of scale but introduced challenges like high computational costs and environmental concerns, prompting research into more sustainable approaches.</w:t>
      </w:r>
    </w:p>
    <w:p w14:paraId="52265A12" w14:textId="77777777" w:rsidR="00225DB9" w:rsidRPr="00225DB9" w:rsidRDefault="00225DB9" w:rsidP="00225DB9">
      <w:pPr>
        <w:pStyle w:val="Heading1"/>
        <w:rPr>
          <w:lang w:val="en-GB"/>
        </w:rPr>
      </w:pPr>
      <w:r w:rsidRPr="00225DB9">
        <w:rPr>
          <w:lang w:val="en-GB"/>
        </w:rPr>
        <w:t>Optimization and Accessibility</w:t>
      </w:r>
    </w:p>
    <w:p w14:paraId="245A32EB" w14:textId="77777777" w:rsidR="00225DB9" w:rsidRP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The early 2020s emphasized optimizing LLMs through techniques like efficient attention mechanisms, model pruning, and quantization to address computational inefficiencies. Models like T5 and BART advanced transfer learning, enabling versatile applications in translation, summarization, and text generation. The open-source community, via libraries like Hugging Face’s Transformers, democratized LLM access, fostering widespread experimentation. Ethical concerns, such as biases in training data and potential misuse, also gained attention during this period.</w:t>
      </w:r>
    </w:p>
    <w:p w14:paraId="336014B3" w14:textId="77777777" w:rsidR="00225DB9" w:rsidRPr="00225DB9" w:rsidRDefault="00225DB9" w:rsidP="00225DB9">
      <w:pPr>
        <w:pStyle w:val="Heading1"/>
        <w:rPr>
          <w:lang w:val="en-GB"/>
        </w:rPr>
      </w:pPr>
      <w:r w:rsidRPr="00225DB9">
        <w:rPr>
          <w:lang w:val="en-GB"/>
        </w:rPr>
        <w:lastRenderedPageBreak/>
        <w:t>Retrieval-Augmented Generation</w:t>
      </w:r>
    </w:p>
    <w:p w14:paraId="0806DAC4" w14:textId="77777777" w:rsidR="00225DB9" w:rsidRP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Introduced around 2020, Retrieval-Augmented Generation (RAG) combined LLMs with external knowledge retrieval, addressing the limitations of static knowledge. RAG systems dynamically fetch relevant information from databases or the web, improving factual accuracy and enabling responses to up-to-date or domain-specific queries. By reducing hallucination—where models generate plausible but incorrect outputs—RAG became critical for applications like customer support and research assistance.</w:t>
      </w:r>
    </w:p>
    <w:p w14:paraId="0A034C7A" w14:textId="77777777" w:rsidR="00225DB9" w:rsidRPr="00225DB9" w:rsidRDefault="00225DB9" w:rsidP="00225DB9">
      <w:pPr>
        <w:pStyle w:val="Heading1"/>
        <w:rPr>
          <w:lang w:val="en-GB"/>
        </w:rPr>
      </w:pPr>
      <w:r w:rsidRPr="00225DB9">
        <w:rPr>
          <w:lang w:val="en-GB"/>
        </w:rPr>
        <w:t>Multimodal and Adaptive Models</w:t>
      </w:r>
    </w:p>
    <w:p w14:paraId="3B998B6F" w14:textId="77777777" w:rsidR="00225DB9" w:rsidRP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Recent advancements have expanded LLMs to multimodal capabilities, with models like DALL-E and CLIP integrating language and vision for tasks like image generation and understanding. Techniques like reinforcement learning with human feedback (RLHF) have improved model alignment with user intent, enhancing relevance and safety. LLMs are now integral to chatbots, virtual assistants, and creative tools, reflecting their growing role in everyday technology, though challenges like energy consumption and bias mitigation persist.</w:t>
      </w:r>
    </w:p>
    <w:p w14:paraId="0C86F420" w14:textId="77777777" w:rsidR="00225DB9" w:rsidRPr="00225DB9" w:rsidRDefault="00225DB9" w:rsidP="00225DB9">
      <w:pPr>
        <w:pStyle w:val="Heading1"/>
        <w:rPr>
          <w:lang w:val="en-GB"/>
        </w:rPr>
      </w:pPr>
      <w:r w:rsidRPr="00225DB9">
        <w:rPr>
          <w:lang w:val="en-GB"/>
        </w:rPr>
        <w:t>Future Directions</w:t>
      </w:r>
    </w:p>
    <w:p w14:paraId="30501816" w14:textId="77777777" w:rsidR="00225DB9" w:rsidRPr="00225DB9" w:rsidRDefault="00225DB9" w:rsidP="00225DB9">
      <w:pPr>
        <w:pStyle w:val="BodyText"/>
        <w:spacing w:after="225"/>
        <w:jc w:val="both"/>
        <w:rPr>
          <w:rFonts w:ascii="DejaVu Sans" w:hAnsi="DejaVu Sans"/>
          <w:color w:val="000000"/>
          <w:sz w:val="21"/>
          <w:lang w:val="en-GB"/>
        </w:rPr>
      </w:pPr>
      <w:r w:rsidRPr="00225DB9">
        <w:rPr>
          <w:rFonts w:ascii="DejaVu Sans" w:hAnsi="DejaVu Sans"/>
          <w:color w:val="000000"/>
          <w:sz w:val="21"/>
          <w:lang w:val="en-GB"/>
        </w:rPr>
        <w:t>The future of LLMs lies in efficiency, specialization, and integration with other AI paradigms. Research into smaller, task-specific models aims to reduce resource demands while maintaining performance. Federated learning and on-device processing may enhance privacy and accessibility. The convergence of LLMs with knowledge graphs and reasoning systems could improve interpretability and logical consistency, positioning LLMs to further transform industries and societal interactions.</w:t>
      </w:r>
    </w:p>
    <w:p w14:paraId="7E50B32B" w14:textId="77777777" w:rsidR="001C68E8" w:rsidRPr="00225DB9" w:rsidRDefault="001C68E8">
      <w:pPr>
        <w:pStyle w:val="BodyText"/>
        <w:widowControl/>
        <w:spacing w:after="225"/>
        <w:jc w:val="both"/>
        <w:rPr>
          <w:rFonts w:ascii="DejaVu Sans" w:hAnsi="DejaVu Sans"/>
          <w:color w:val="000000"/>
          <w:sz w:val="21"/>
          <w:lang w:val="en-GB"/>
        </w:rPr>
      </w:pPr>
    </w:p>
    <w:p w14:paraId="78F671A1" w14:textId="11A6BC5E" w:rsidR="001C68E8" w:rsidRDefault="001C68E8">
      <w:pPr>
        <w:rPr>
          <w:rFonts w:ascii="DejaVu Sans" w:hAnsi="DejaVu Sans"/>
        </w:rPr>
      </w:pPr>
    </w:p>
    <w:sectPr w:rsidR="001C68E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792"/>
        </w:tabs>
        <w:ind w:left="792" w:hanging="432"/>
      </w:pPr>
    </w:lvl>
    <w:lvl w:ilvl="1">
      <w:start w:val="1"/>
      <w:numFmt w:val="none"/>
      <w:pStyle w:val="Heading2"/>
      <w:suff w:val="nothing"/>
      <w:lvlText w:val=""/>
      <w:lvlJc w:val="left"/>
      <w:pPr>
        <w:tabs>
          <w:tab w:val="num" w:pos="936"/>
        </w:tabs>
        <w:ind w:left="936" w:hanging="576"/>
      </w:pPr>
    </w:lvl>
    <w:lvl w:ilvl="2">
      <w:start w:val="1"/>
      <w:numFmt w:val="none"/>
      <w:pStyle w:val="Heading3"/>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50367AA"/>
    <w:multiLevelType w:val="multilevel"/>
    <w:tmpl w:val="4698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610432">
    <w:abstractNumId w:val="0"/>
  </w:num>
  <w:num w:numId="2" w16cid:durableId="2062902187">
    <w:abstractNumId w:val="1"/>
  </w:num>
  <w:num w:numId="3" w16cid:durableId="637731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D"/>
    <w:rsid w:val="001C68E8"/>
    <w:rsid w:val="00225DB9"/>
    <w:rsid w:val="002F3CD4"/>
    <w:rsid w:val="008E1439"/>
    <w:rsid w:val="00A71EB2"/>
    <w:rsid w:val="00F5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101CE78B"/>
  <w15:chartTrackingRefBased/>
  <w15:docId w15:val="{8D709D49-8F0D-4933-A292-6D87AD91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29482">
      <w:bodyDiv w:val="1"/>
      <w:marLeft w:val="0"/>
      <w:marRight w:val="0"/>
      <w:marTop w:val="0"/>
      <w:marBottom w:val="0"/>
      <w:divBdr>
        <w:top w:val="none" w:sz="0" w:space="0" w:color="auto"/>
        <w:left w:val="none" w:sz="0" w:space="0" w:color="auto"/>
        <w:bottom w:val="none" w:sz="0" w:space="0" w:color="auto"/>
        <w:right w:val="none" w:sz="0" w:space="0" w:color="auto"/>
      </w:divBdr>
    </w:div>
    <w:div w:id="517935977">
      <w:bodyDiv w:val="1"/>
      <w:marLeft w:val="0"/>
      <w:marRight w:val="0"/>
      <w:marTop w:val="0"/>
      <w:marBottom w:val="0"/>
      <w:divBdr>
        <w:top w:val="none" w:sz="0" w:space="0" w:color="auto"/>
        <w:left w:val="none" w:sz="0" w:space="0" w:color="auto"/>
        <w:bottom w:val="none" w:sz="0" w:space="0" w:color="auto"/>
        <w:right w:val="none" w:sz="0" w:space="0" w:color="auto"/>
      </w:divBdr>
    </w:div>
    <w:div w:id="618418435">
      <w:bodyDiv w:val="1"/>
      <w:marLeft w:val="0"/>
      <w:marRight w:val="0"/>
      <w:marTop w:val="0"/>
      <w:marBottom w:val="0"/>
      <w:divBdr>
        <w:top w:val="none" w:sz="0" w:space="0" w:color="auto"/>
        <w:left w:val="none" w:sz="0" w:space="0" w:color="auto"/>
        <w:bottom w:val="none" w:sz="0" w:space="0" w:color="auto"/>
        <w:right w:val="none" w:sz="0" w:space="0" w:color="auto"/>
      </w:divBdr>
    </w:div>
    <w:div w:id="802236998">
      <w:bodyDiv w:val="1"/>
      <w:marLeft w:val="0"/>
      <w:marRight w:val="0"/>
      <w:marTop w:val="0"/>
      <w:marBottom w:val="0"/>
      <w:divBdr>
        <w:top w:val="none" w:sz="0" w:space="0" w:color="auto"/>
        <w:left w:val="none" w:sz="0" w:space="0" w:color="auto"/>
        <w:bottom w:val="none" w:sz="0" w:space="0" w:color="auto"/>
        <w:right w:val="none" w:sz="0" w:space="0" w:color="auto"/>
      </w:divBdr>
    </w:div>
    <w:div w:id="923563858">
      <w:bodyDiv w:val="1"/>
      <w:marLeft w:val="0"/>
      <w:marRight w:val="0"/>
      <w:marTop w:val="0"/>
      <w:marBottom w:val="0"/>
      <w:divBdr>
        <w:top w:val="none" w:sz="0" w:space="0" w:color="auto"/>
        <w:left w:val="none" w:sz="0" w:space="0" w:color="auto"/>
        <w:bottom w:val="none" w:sz="0" w:space="0" w:color="auto"/>
        <w:right w:val="none" w:sz="0" w:space="0" w:color="auto"/>
      </w:divBdr>
    </w:div>
    <w:div w:id="1333725732">
      <w:bodyDiv w:val="1"/>
      <w:marLeft w:val="0"/>
      <w:marRight w:val="0"/>
      <w:marTop w:val="0"/>
      <w:marBottom w:val="0"/>
      <w:divBdr>
        <w:top w:val="none" w:sz="0" w:space="0" w:color="auto"/>
        <w:left w:val="none" w:sz="0" w:space="0" w:color="auto"/>
        <w:bottom w:val="none" w:sz="0" w:space="0" w:color="auto"/>
        <w:right w:val="none" w:sz="0" w:space="0" w:color="auto"/>
      </w:divBdr>
    </w:div>
    <w:div w:id="1369918446">
      <w:bodyDiv w:val="1"/>
      <w:marLeft w:val="0"/>
      <w:marRight w:val="0"/>
      <w:marTop w:val="0"/>
      <w:marBottom w:val="0"/>
      <w:divBdr>
        <w:top w:val="none" w:sz="0" w:space="0" w:color="auto"/>
        <w:left w:val="none" w:sz="0" w:space="0" w:color="auto"/>
        <w:bottom w:val="none" w:sz="0" w:space="0" w:color="auto"/>
        <w:right w:val="none" w:sz="0" w:space="0" w:color="auto"/>
      </w:divBdr>
    </w:div>
    <w:div w:id="16247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Sasto</dc:creator>
  <cp:keywords/>
  <dc:description/>
  <cp:lastModifiedBy>Nathan Sasto</cp:lastModifiedBy>
  <cp:revision>3</cp:revision>
  <cp:lastPrinted>1900-01-01T00:00:00Z</cp:lastPrinted>
  <dcterms:created xsi:type="dcterms:W3CDTF">2025-04-08T13:25:00Z</dcterms:created>
  <dcterms:modified xsi:type="dcterms:W3CDTF">2025-05-28T19:59:00Z</dcterms:modified>
</cp:coreProperties>
</file>