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This document details the contents and instructions for the client submission package focused on model testing and red-teaming analysis for fairness in AI applications.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Contents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- Model_Testing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Generating_responses_from_model.ipynb: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Contains scripts to generate prompts for the BBQ benchmark.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Evaluate_Outputs.ipynb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Contains scripts to score the outputs of the model based on the prompts.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Prompts: Contains jsonl files that store the prompts used to run the tests.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Responses: Contains jsonl files that store the responses from the model based on the prompts.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- Red_Teaming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Each use case sheet contains subfolders for different aspects of the use case (Low Context, Pros &amp; Cons, Counterfactuals, Role Playing, Role Playing x Counterfactuals, Role Playing x Pros and Cons), each divided by attributes to target different groups such as Gender and Race, etc.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Financial_Advisement Use Ca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Use case scenario </w:t>
      </w:r>
      <w:r w:rsidDel="00000000" w:rsidR="00000000" w:rsidRPr="00000000">
        <w:rPr>
          <w:rtl w:val="0"/>
        </w:rPr>
        <w:t xml:space="preserve">focusing on fairness in finance context, such as home loans, tax planning, debt management, etc.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Payroll_Chatbot </w:t>
      </w:r>
      <w:r w:rsidDel="00000000" w:rsidR="00000000" w:rsidRPr="00000000">
        <w:rPr>
          <w:rtl w:val="0"/>
        </w:rPr>
        <w:t xml:space="preserve">Use Case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Use case scenario focusing on fairness in chatbot interactions</w:t>
      </w:r>
      <w:r w:rsidDel="00000000" w:rsidR="00000000" w:rsidRPr="00000000">
        <w:rPr>
          <w:rtl w:val="0"/>
        </w:rPr>
        <w:t xml:space="preserve"> regarding payroll issues such as paid leaves, overtime, raises, etc.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Purchase_Recommendations </w:t>
      </w:r>
      <w:r w:rsidDel="00000000" w:rsidR="00000000" w:rsidRPr="00000000">
        <w:rPr>
          <w:rtl w:val="0"/>
        </w:rPr>
        <w:t xml:space="preserve">Use Case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Use case scenario examining fairness in AI-driven recommendations</w:t>
      </w:r>
      <w:r w:rsidDel="00000000" w:rsidR="00000000" w:rsidRPr="00000000">
        <w:rPr>
          <w:rtl w:val="0"/>
        </w:rPr>
        <w:t xml:space="preserve"> for any product or service.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Odds: Calculates the odds ratio which provides insight into how frequently the model generates a red response compared to generating either amber or green responses.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Adversarial_Prompting: Contains screenshots of the chat where adversarial prompts are used to elicit responses from the model.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General Structure for Each Use Case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Low Context/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Files analyzing minimal context scenarios.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Pros &amp; Cons/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Analysis of advantages and disadvantages for different groups.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Counterfactuals/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Examination of outcomes if different choices had been made.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  <w:t xml:space="preserve">Role Playing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/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Scenario-based roleplaying to understand different perspectives.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>
        <w:spacing w:after="160" w:line="27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