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070" w14:textId="4C1FC176" w:rsidR="00FA08CA" w:rsidRPr="00FA08CA" w:rsidRDefault="00FA08CA">
      <w:pPr>
        <w:rPr>
          <w:b/>
          <w:bCs/>
          <w:sz w:val="28"/>
          <w:szCs w:val="28"/>
        </w:rPr>
      </w:pPr>
      <w:r w:rsidRPr="00FA08CA">
        <w:rPr>
          <w:b/>
          <w:bCs/>
          <w:sz w:val="28"/>
          <w:szCs w:val="28"/>
        </w:rPr>
        <w:t>MULTINOMIAL:</w:t>
      </w:r>
    </w:p>
    <w:p w14:paraId="43D1BC33" w14:textId="7581A7FC" w:rsidR="00D85478" w:rsidRPr="00616894" w:rsidRDefault="002938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multinomial</w:t>
      </w:r>
      <w:r w:rsidR="00616894" w:rsidRPr="00616894">
        <w:rPr>
          <w:b/>
          <w:bCs/>
          <w:sz w:val="28"/>
          <w:szCs w:val="28"/>
        </w:rPr>
        <w:t>-</w:t>
      </w:r>
      <w:proofErr w:type="spellStart"/>
      <w:r w:rsidR="00616894" w:rsidRPr="00616894">
        <w:rPr>
          <w:b/>
          <w:bCs/>
          <w:sz w:val="28"/>
          <w:szCs w:val="28"/>
        </w:rPr>
        <w:t>exp</w:t>
      </w:r>
      <w:proofErr w:type="spellEnd"/>
      <w:r w:rsidR="00616894" w:rsidRPr="00616894">
        <w:rPr>
          <w:b/>
          <w:bCs/>
          <w:sz w:val="28"/>
          <w:szCs w:val="28"/>
        </w:rPr>
        <w:t>:</w:t>
      </w:r>
    </w:p>
    <w:p w14:paraId="4606C804" w14:textId="2244C43C" w:rsidR="00616894" w:rsidRDefault="005E7CF7">
      <w:r>
        <w:rPr>
          <w:noProof/>
        </w:rPr>
        <w:drawing>
          <wp:inline distT="0" distB="0" distL="0" distR="0" wp14:anchorId="4328E892" wp14:editId="68F08D3B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EE02F2A" w14:textId="097E334E" w:rsidR="00AE1D02" w:rsidRDefault="00AE1D02"/>
    <w:p w14:paraId="4982F108" w14:textId="3D85BD0C" w:rsidR="00AE1D02" w:rsidRDefault="00AE1D02">
      <w:r>
        <w:t xml:space="preserve">Como podemos observar en la gráfica, </w:t>
      </w:r>
      <w:r w:rsidR="00F00972">
        <w:t xml:space="preserve">los </w:t>
      </w:r>
      <w:proofErr w:type="spellStart"/>
      <w:r w:rsidR="00F00972">
        <w:t>epsilons</w:t>
      </w:r>
      <w:proofErr w:type="spellEnd"/>
      <w:r w:rsidR="00F00972">
        <w:t xml:space="preserve"> &gt; 1e-5 empeoran considerablemente el % de error. Es decir, cuanto más se acerca épsilon a 1, peor es el resultado de multinomial.</w:t>
      </w:r>
    </w:p>
    <w:p w14:paraId="4EB24B4D" w14:textId="77777777" w:rsidR="00620EC1" w:rsidRDefault="00620EC1"/>
    <w:p w14:paraId="7A461658" w14:textId="301F3767" w:rsidR="00F00972" w:rsidRPr="00616894" w:rsidRDefault="00F00972" w:rsidP="00F009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multinomial</w:t>
      </w:r>
      <w:r w:rsidRPr="00616894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eva</w:t>
      </w:r>
      <w:proofErr w:type="spellEnd"/>
      <w:r w:rsidRPr="00616894">
        <w:rPr>
          <w:b/>
          <w:bCs/>
          <w:sz w:val="28"/>
          <w:szCs w:val="28"/>
        </w:rPr>
        <w:t>:</w:t>
      </w:r>
    </w:p>
    <w:p w14:paraId="47393F81" w14:textId="665F9EE6" w:rsidR="00F00972" w:rsidRDefault="00100CF8">
      <w:r>
        <w:t>Ejecutando multinomial con épsilon 1e-9, se obtiene un error aproximado de 16.33. Consultando MNIST, se confirma que este clasificador no es el óptimo para este tipo de datos.</w:t>
      </w:r>
    </w:p>
    <w:p w14:paraId="209F6F12" w14:textId="1F74CFB8" w:rsidR="00616894" w:rsidRDefault="00616894"/>
    <w:p w14:paraId="767F73A1" w14:textId="64B4EE9B" w:rsidR="0090439B" w:rsidRDefault="0090439B"/>
    <w:p w14:paraId="0C32AFFD" w14:textId="0F96442C" w:rsidR="008A632B" w:rsidRDefault="008A632B"/>
    <w:p w14:paraId="12C1F57F" w14:textId="35F3D4BE" w:rsidR="008A632B" w:rsidRDefault="008A632B"/>
    <w:p w14:paraId="66353B10" w14:textId="2327BDF0" w:rsidR="008A632B" w:rsidRDefault="008A632B"/>
    <w:p w14:paraId="46AE73F5" w14:textId="2DA35AB1" w:rsidR="008A632B" w:rsidRDefault="008A632B"/>
    <w:p w14:paraId="6EDB0639" w14:textId="638AB550" w:rsidR="008A632B" w:rsidRDefault="008A632B"/>
    <w:p w14:paraId="5B5A9A99" w14:textId="3DE9C5EF" w:rsidR="008A632B" w:rsidRDefault="008A632B"/>
    <w:p w14:paraId="0105935E" w14:textId="4DF33D96" w:rsidR="008A632B" w:rsidRDefault="008A632B"/>
    <w:p w14:paraId="01A1750D" w14:textId="241DAF06" w:rsidR="008A632B" w:rsidRDefault="008A632B" w:rsidP="008A63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</w:t>
      </w:r>
      <w:r w:rsidRPr="00FA08CA">
        <w:rPr>
          <w:b/>
          <w:bCs/>
          <w:sz w:val="28"/>
          <w:szCs w:val="28"/>
        </w:rPr>
        <w:t>:</w:t>
      </w:r>
    </w:p>
    <w:p w14:paraId="4CE8DCB3" w14:textId="77B1BD2A" w:rsidR="008A632B" w:rsidRPr="00616894" w:rsidRDefault="008A632B" w:rsidP="008A632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gaussian</w:t>
      </w:r>
      <w:r w:rsidRPr="00616894">
        <w:rPr>
          <w:b/>
          <w:bCs/>
          <w:sz w:val="28"/>
          <w:szCs w:val="28"/>
        </w:rPr>
        <w:t>-exp</w:t>
      </w:r>
      <w:proofErr w:type="spellEnd"/>
      <w:r w:rsidRPr="00616894">
        <w:rPr>
          <w:b/>
          <w:bCs/>
          <w:sz w:val="28"/>
          <w:szCs w:val="28"/>
        </w:rPr>
        <w:t>:</w:t>
      </w:r>
    </w:p>
    <w:p w14:paraId="21D03E0A" w14:textId="49FCEE24" w:rsidR="008A632B" w:rsidRPr="00FA08CA" w:rsidRDefault="008A632B" w:rsidP="008A632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8C6AE" wp14:editId="58E524A4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BA3051" w14:textId="18CB3B84" w:rsidR="008A632B" w:rsidRDefault="00B26604" w:rsidP="008A632B">
      <w:r>
        <w:t>En la gráfica se puede observar la influencia de la variación de Alpha en gauss</w:t>
      </w:r>
      <w:r w:rsidR="008A632B">
        <w:t>.</w:t>
      </w:r>
      <w:r>
        <w:t xml:space="preserve"> En 1e-4 se alcanza el % de error mínimo (4,47), por lo que se recomienda usar ese valor en el clasificador.</w:t>
      </w:r>
    </w:p>
    <w:p w14:paraId="0DDC9308" w14:textId="77777777" w:rsidR="008A632B" w:rsidRDefault="008A632B" w:rsidP="008A632B"/>
    <w:p w14:paraId="62015A45" w14:textId="224FDB17" w:rsidR="008A632B" w:rsidRPr="00616894" w:rsidRDefault="008A632B" w:rsidP="008A632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gaussian</w:t>
      </w:r>
      <w:r w:rsidRPr="00616894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eva</w:t>
      </w:r>
      <w:proofErr w:type="spellEnd"/>
      <w:r w:rsidRPr="00616894">
        <w:rPr>
          <w:b/>
          <w:bCs/>
          <w:sz w:val="28"/>
          <w:szCs w:val="28"/>
        </w:rPr>
        <w:t>:</w:t>
      </w:r>
    </w:p>
    <w:p w14:paraId="68F0E407" w14:textId="2B68966D" w:rsidR="008A632B" w:rsidRDefault="008A632B" w:rsidP="008A632B">
      <w:r>
        <w:t xml:space="preserve">Ejecutando </w:t>
      </w:r>
      <w:proofErr w:type="spellStart"/>
      <w:r w:rsidR="002445F5">
        <w:t>gaussian</w:t>
      </w:r>
      <w:proofErr w:type="spellEnd"/>
      <w:r>
        <w:t xml:space="preserve"> con épsilon 1e-</w:t>
      </w:r>
      <w:r w:rsidR="002445F5">
        <w:t>4</w:t>
      </w:r>
      <w:r>
        <w:t xml:space="preserve">, se obtiene un error aproximado de </w:t>
      </w:r>
      <w:r w:rsidR="002445F5">
        <w:t>4,18</w:t>
      </w:r>
      <w:r>
        <w:t xml:space="preserve">. Consultando MNIST, se confirma que este clasificador no es el </w:t>
      </w:r>
      <w:r w:rsidR="002445F5">
        <w:t>óptimo</w:t>
      </w:r>
      <w:r>
        <w:t xml:space="preserve"> para este tipo de datos.</w:t>
      </w:r>
    </w:p>
    <w:p w14:paraId="078E856E" w14:textId="3BFB8D35" w:rsidR="008A632B" w:rsidRDefault="008A632B"/>
    <w:p w14:paraId="3C64FB54" w14:textId="090A8D87" w:rsidR="00251B98" w:rsidRDefault="00251B98"/>
    <w:p w14:paraId="74E41682" w14:textId="6D406858" w:rsidR="00251B98" w:rsidRDefault="00251B98"/>
    <w:p w14:paraId="5AEFE031" w14:textId="3F78AB1E" w:rsidR="00251B98" w:rsidRDefault="00251B98"/>
    <w:p w14:paraId="13496648" w14:textId="01E59D78" w:rsidR="00251B98" w:rsidRDefault="00251B98"/>
    <w:p w14:paraId="60D6B8BE" w14:textId="287A3B0D" w:rsidR="00251B98" w:rsidRDefault="00251B98"/>
    <w:p w14:paraId="74382D06" w14:textId="2A242E13" w:rsidR="00251B98" w:rsidRDefault="00251B98"/>
    <w:p w14:paraId="49086226" w14:textId="61AA1E13" w:rsidR="00251B98" w:rsidRDefault="00251B98"/>
    <w:p w14:paraId="5650A9AD" w14:textId="6F8A2577" w:rsidR="00251B98" w:rsidRDefault="00251B98"/>
    <w:p w14:paraId="21CC3B58" w14:textId="330D7536" w:rsidR="00251B98" w:rsidRDefault="00251B98"/>
    <w:p w14:paraId="26567515" w14:textId="5DD65FA6" w:rsidR="00251B98" w:rsidRDefault="00251B98"/>
    <w:p w14:paraId="042045EA" w14:textId="6526D6FB" w:rsidR="00251B98" w:rsidRDefault="00251B98"/>
    <w:p w14:paraId="6F221FE7" w14:textId="0BC19A0C" w:rsidR="00251B98" w:rsidRPr="00251B98" w:rsidRDefault="00251B98" w:rsidP="00251B98">
      <w:pPr>
        <w:rPr>
          <w:b/>
          <w:bCs/>
          <w:sz w:val="28"/>
          <w:szCs w:val="28"/>
          <w:lang w:val="en-US"/>
        </w:rPr>
      </w:pPr>
      <w:r w:rsidRPr="00251B98">
        <w:rPr>
          <w:b/>
          <w:bCs/>
          <w:sz w:val="28"/>
          <w:szCs w:val="28"/>
          <w:lang w:val="en-US"/>
        </w:rPr>
        <w:t>OPCIONAL-&gt; PCA+GAUSSIAN:</w:t>
      </w:r>
    </w:p>
    <w:p w14:paraId="5A4AA3CC" w14:textId="30691F02" w:rsidR="00251B98" w:rsidRPr="00251B98" w:rsidRDefault="00A67503" w:rsidP="00251B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</w:t>
      </w:r>
      <w:r w:rsidR="00251B98" w:rsidRPr="00251B98">
        <w:rPr>
          <w:b/>
          <w:bCs/>
          <w:sz w:val="28"/>
          <w:szCs w:val="28"/>
          <w:lang w:val="en-US"/>
        </w:rPr>
        <w:t>aussian</w:t>
      </w:r>
      <w:r w:rsidR="005B717C">
        <w:rPr>
          <w:b/>
          <w:bCs/>
          <w:sz w:val="28"/>
          <w:szCs w:val="28"/>
          <w:lang w:val="en-US"/>
        </w:rPr>
        <w:t>-</w:t>
      </w:r>
      <w:proofErr w:type="spellStart"/>
      <w:r w:rsidR="005B717C">
        <w:rPr>
          <w:b/>
          <w:bCs/>
          <w:sz w:val="28"/>
          <w:szCs w:val="28"/>
          <w:lang w:val="en-US"/>
        </w:rPr>
        <w:t>pca</w:t>
      </w:r>
      <w:proofErr w:type="spellEnd"/>
      <w:r w:rsidR="00251B98" w:rsidRPr="00251B98">
        <w:rPr>
          <w:b/>
          <w:bCs/>
          <w:sz w:val="28"/>
          <w:szCs w:val="28"/>
          <w:lang w:val="en-US"/>
        </w:rPr>
        <w:t>-exp:</w:t>
      </w:r>
    </w:p>
    <w:p w14:paraId="2DE28B14" w14:textId="28E842FD" w:rsidR="00251B98" w:rsidRDefault="00251B98">
      <w:pPr>
        <w:rPr>
          <w:lang w:val="en-US"/>
        </w:rPr>
      </w:pPr>
      <w:r>
        <w:rPr>
          <w:noProof/>
        </w:rPr>
        <w:drawing>
          <wp:inline distT="0" distB="0" distL="0" distR="0" wp14:anchorId="1A086E0E" wp14:editId="157C8921">
            <wp:extent cx="6391275" cy="4524375"/>
            <wp:effectExtent l="0" t="0" r="9525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5EA03A" w14:textId="33C53C60" w:rsidR="00251B98" w:rsidRDefault="00251B98">
      <w:pPr>
        <w:rPr>
          <w:lang w:val="en-US"/>
        </w:rPr>
      </w:pPr>
    </w:p>
    <w:p w14:paraId="30A9F10A" w14:textId="4A30CA26" w:rsidR="00F06C04" w:rsidRDefault="00F06C04">
      <w:r w:rsidRPr="00F06C04">
        <w:t>En la gráfica se p</w:t>
      </w:r>
      <w:r>
        <w:t xml:space="preserve">uede observar la influencia de la variación de Alpha en gauss, así como la de las distintas dimensiones empleadas por PCA. Como ya comprobamos en apartados anteriores, Alpha 1e-4 presenta el error mínimo. Y en este caso, </w:t>
      </w:r>
      <w:r w:rsidR="004A11B3">
        <w:t>el óptimo está en la dimensión 90.</w:t>
      </w:r>
    </w:p>
    <w:p w14:paraId="4CC7DF8F" w14:textId="77777777" w:rsidR="004A11B3" w:rsidRPr="00F06C04" w:rsidRDefault="004A11B3"/>
    <w:p w14:paraId="317A0111" w14:textId="77777777" w:rsidR="00251B98" w:rsidRDefault="00251B98" w:rsidP="00251B98"/>
    <w:p w14:paraId="3087A69E" w14:textId="3E805A96" w:rsidR="00251B98" w:rsidRPr="00616894" w:rsidRDefault="00251B98" w:rsidP="00251B9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gaussian</w:t>
      </w:r>
      <w:r w:rsidRPr="00616894">
        <w:rPr>
          <w:b/>
          <w:bCs/>
          <w:sz w:val="28"/>
          <w:szCs w:val="28"/>
        </w:rPr>
        <w:t>-</w:t>
      </w:r>
      <w:r w:rsidR="00A67503">
        <w:rPr>
          <w:b/>
          <w:bCs/>
          <w:sz w:val="28"/>
          <w:szCs w:val="28"/>
        </w:rPr>
        <w:t>pca-</w:t>
      </w:r>
      <w:r>
        <w:rPr>
          <w:b/>
          <w:bCs/>
          <w:sz w:val="28"/>
          <w:szCs w:val="28"/>
        </w:rPr>
        <w:t>eva</w:t>
      </w:r>
      <w:proofErr w:type="spellEnd"/>
      <w:r w:rsidRPr="00616894">
        <w:rPr>
          <w:b/>
          <w:bCs/>
          <w:sz w:val="28"/>
          <w:szCs w:val="28"/>
        </w:rPr>
        <w:t>:</w:t>
      </w:r>
    </w:p>
    <w:p w14:paraId="5F0FD323" w14:textId="28F0A26B" w:rsidR="00251B98" w:rsidRDefault="00251B98" w:rsidP="00251B98">
      <w:r>
        <w:t xml:space="preserve">Ejecutando </w:t>
      </w:r>
      <w:r w:rsidR="004A11B3">
        <w:t>Gaussian-</w:t>
      </w:r>
      <w:proofErr w:type="spellStart"/>
      <w:r w:rsidR="004A11B3">
        <w:t>pca</w:t>
      </w:r>
      <w:proofErr w:type="spellEnd"/>
      <w:r>
        <w:t xml:space="preserve"> con </w:t>
      </w:r>
      <w:proofErr w:type="spellStart"/>
      <w:r w:rsidR="004A11B3">
        <w:t>alpha</w:t>
      </w:r>
      <w:proofErr w:type="spellEnd"/>
      <w:r>
        <w:t xml:space="preserve"> 1e-4</w:t>
      </w:r>
      <w:r w:rsidR="004A11B3">
        <w:t xml:space="preserve"> y dimensión 90</w:t>
      </w:r>
      <w:r>
        <w:t>, se obtiene un error aproximado de 4,1</w:t>
      </w:r>
      <w:r w:rsidR="004A11B3">
        <w:t>9</w:t>
      </w:r>
      <w:r>
        <w:t>. Consultando MNIST, se confirma que este clasificador no es el óptimo para este tipo de datos.</w:t>
      </w:r>
    </w:p>
    <w:p w14:paraId="652F4FB3" w14:textId="77777777" w:rsidR="00251B98" w:rsidRPr="00251B98" w:rsidRDefault="00251B98"/>
    <w:sectPr w:rsidR="00251B98" w:rsidRPr="00251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9F"/>
    <w:rsid w:val="000F2BFC"/>
    <w:rsid w:val="00100CF8"/>
    <w:rsid w:val="001617E4"/>
    <w:rsid w:val="002173B3"/>
    <w:rsid w:val="002220B7"/>
    <w:rsid w:val="002402EF"/>
    <w:rsid w:val="002445F5"/>
    <w:rsid w:val="00251B98"/>
    <w:rsid w:val="00293824"/>
    <w:rsid w:val="002A247F"/>
    <w:rsid w:val="0031185E"/>
    <w:rsid w:val="003C4B18"/>
    <w:rsid w:val="00442ED6"/>
    <w:rsid w:val="004A11B3"/>
    <w:rsid w:val="005B717C"/>
    <w:rsid w:val="005E7CF7"/>
    <w:rsid w:val="00616894"/>
    <w:rsid w:val="00620EC1"/>
    <w:rsid w:val="0068539F"/>
    <w:rsid w:val="006C48D0"/>
    <w:rsid w:val="00774BEC"/>
    <w:rsid w:val="008A632B"/>
    <w:rsid w:val="0090439B"/>
    <w:rsid w:val="00952BCA"/>
    <w:rsid w:val="00A67503"/>
    <w:rsid w:val="00AC19AF"/>
    <w:rsid w:val="00AD42F9"/>
    <w:rsid w:val="00AE1D02"/>
    <w:rsid w:val="00B26604"/>
    <w:rsid w:val="00B27D75"/>
    <w:rsid w:val="00BC3448"/>
    <w:rsid w:val="00CA1D6F"/>
    <w:rsid w:val="00DB2A70"/>
    <w:rsid w:val="00E04F36"/>
    <w:rsid w:val="00E40273"/>
    <w:rsid w:val="00E7517C"/>
    <w:rsid w:val="00F00972"/>
    <w:rsid w:val="00F06C04"/>
    <w:rsid w:val="00F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2BC2"/>
  <w15:chartTrackingRefBased/>
  <w15:docId w15:val="{DEACD6D1-EB60-4787-8AE3-6CFF52DB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MNIST Multinomial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0.00E+00</c:formatCode>
                <c:ptCount val="10"/>
                <c:pt idx="0">
                  <c:v>1E-10</c:v>
                </c:pt>
                <c:pt idx="1">
                  <c:v>1.0000000000000001E-9</c:v>
                </c:pt>
                <c:pt idx="2">
                  <c:v>1E-8</c:v>
                </c:pt>
                <c:pt idx="3">
                  <c:v>9.9999999999999995E-8</c:v>
                </c:pt>
                <c:pt idx="4">
                  <c:v>9.9999999999999995E-7</c:v>
                </c:pt>
                <c:pt idx="5">
                  <c:v>1.0000000000000001E-5</c:v>
                </c:pt>
                <c:pt idx="6">
                  <c:v>1E-4</c:v>
                </c:pt>
                <c:pt idx="7">
                  <c:v>1E-3</c:v>
                </c:pt>
                <c:pt idx="8">
                  <c:v>0.01</c:v>
                </c:pt>
                <c:pt idx="9">
                  <c:v>0.1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16.87</c:v>
                </c:pt>
                <c:pt idx="1">
                  <c:v>16.87</c:v>
                </c:pt>
                <c:pt idx="2">
                  <c:v>16.87</c:v>
                </c:pt>
                <c:pt idx="3">
                  <c:v>16.88</c:v>
                </c:pt>
                <c:pt idx="4">
                  <c:v>16.899999999999999</c:v>
                </c:pt>
                <c:pt idx="5">
                  <c:v>17.100000000000001</c:v>
                </c:pt>
                <c:pt idx="6">
                  <c:v>17.850000000000001</c:v>
                </c:pt>
                <c:pt idx="7">
                  <c:v>20.22</c:v>
                </c:pt>
                <c:pt idx="8">
                  <c:v>28.47</c:v>
                </c:pt>
                <c:pt idx="9">
                  <c:v>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0F-4451-B5D0-3C06B3ED2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641903"/>
        <c:axId val="235649791"/>
      </c:lineChart>
      <c:catAx>
        <c:axId val="437641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Epsilon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5649791"/>
        <c:crosses val="autoZero"/>
        <c:auto val="1"/>
        <c:lblAlgn val="ctr"/>
        <c:lblOffset val="100"/>
        <c:noMultiLvlLbl val="0"/>
      </c:catAx>
      <c:valAx>
        <c:axId val="235649791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764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MNIST Gaussian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0.00E+00</c:formatCode>
                <c:ptCount val="10"/>
                <c:pt idx="0">
                  <c:v>1E-10</c:v>
                </c:pt>
                <c:pt idx="1">
                  <c:v>1.0000000000000001E-9</c:v>
                </c:pt>
                <c:pt idx="2">
                  <c:v>1E-8</c:v>
                </c:pt>
                <c:pt idx="3">
                  <c:v>9.9999999999999995E-8</c:v>
                </c:pt>
                <c:pt idx="4">
                  <c:v>9.9999999999999995E-7</c:v>
                </c:pt>
                <c:pt idx="5">
                  <c:v>1.0000000000000001E-5</c:v>
                </c:pt>
                <c:pt idx="6">
                  <c:v>1E-4</c:v>
                </c:pt>
                <c:pt idx="7">
                  <c:v>1E-3</c:v>
                </c:pt>
                <c:pt idx="8">
                  <c:v>0.01</c:v>
                </c:pt>
                <c:pt idx="9">
                  <c:v>0.1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18.93</c:v>
                </c:pt>
                <c:pt idx="1">
                  <c:v>18.93</c:v>
                </c:pt>
                <c:pt idx="2">
                  <c:v>18.850000000000001</c:v>
                </c:pt>
                <c:pt idx="3">
                  <c:v>18.02</c:v>
                </c:pt>
                <c:pt idx="4">
                  <c:v>13.25</c:v>
                </c:pt>
                <c:pt idx="5">
                  <c:v>5.65</c:v>
                </c:pt>
                <c:pt idx="6">
                  <c:v>4.47</c:v>
                </c:pt>
                <c:pt idx="7">
                  <c:v>6.5</c:v>
                </c:pt>
                <c:pt idx="8">
                  <c:v>10.42</c:v>
                </c:pt>
                <c:pt idx="9">
                  <c:v>12.98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01-4627-98CF-2FDBADC1AD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641903"/>
        <c:axId val="235649791"/>
      </c:lineChart>
      <c:catAx>
        <c:axId val="437641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Alpha</a:t>
                </a:r>
              </a:p>
            </c:rich>
          </c:tx>
          <c:layout>
            <c:manualLayout>
              <c:xMode val="edge"/>
              <c:yMode val="edge"/>
              <c:x val="0.49177339427115357"/>
              <c:y val="0.81826181221400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5649791"/>
        <c:crosses val="autoZero"/>
        <c:auto val="1"/>
        <c:lblAlgn val="ctr"/>
        <c:lblOffset val="100"/>
        <c:noMultiLvlLbl val="0"/>
      </c:catAx>
      <c:valAx>
        <c:axId val="23564979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764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1,00E-10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Hoja1!$B$2:$B$11</c:f>
              <c:numCache>
                <c:formatCode>0.00</c:formatCode>
                <c:ptCount val="10"/>
                <c:pt idx="0">
                  <c:v>88.88</c:v>
                </c:pt>
                <c:pt idx="1">
                  <c:v>76.78</c:v>
                </c:pt>
                <c:pt idx="2">
                  <c:v>43.93</c:v>
                </c:pt>
                <c:pt idx="3">
                  <c:v>32.630000000000003</c:v>
                </c:pt>
                <c:pt idx="4">
                  <c:v>23.98</c:v>
                </c:pt>
                <c:pt idx="5">
                  <c:v>21.97</c:v>
                </c:pt>
                <c:pt idx="6">
                  <c:v>21.83</c:v>
                </c:pt>
                <c:pt idx="7">
                  <c:v>21.87</c:v>
                </c:pt>
                <c:pt idx="8">
                  <c:v>21.82</c:v>
                </c:pt>
                <c:pt idx="9">
                  <c:v>21.82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6-4510-9D76-C60EB30D02B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1,00E-09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Hoja1!$C$2:$C$11</c:f>
              <c:numCache>
                <c:formatCode>0.00</c:formatCode>
                <c:ptCount val="10"/>
                <c:pt idx="0">
                  <c:v>88.88</c:v>
                </c:pt>
                <c:pt idx="1">
                  <c:v>76.78</c:v>
                </c:pt>
                <c:pt idx="2">
                  <c:v>43.92</c:v>
                </c:pt>
                <c:pt idx="3">
                  <c:v>32.619999999999997</c:v>
                </c:pt>
                <c:pt idx="4">
                  <c:v>23.98</c:v>
                </c:pt>
                <c:pt idx="5">
                  <c:v>21.97</c:v>
                </c:pt>
                <c:pt idx="6">
                  <c:v>21.8</c:v>
                </c:pt>
                <c:pt idx="7">
                  <c:v>21.87</c:v>
                </c:pt>
                <c:pt idx="8">
                  <c:v>21.82</c:v>
                </c:pt>
                <c:pt idx="9">
                  <c:v>21.82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95-43BE-8984-66A2E696D700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1,00E-08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Hoja1!$D$2:$D$11</c:f>
              <c:numCache>
                <c:formatCode>0.00</c:formatCode>
                <c:ptCount val="10"/>
                <c:pt idx="0">
                  <c:v>88.88</c:v>
                </c:pt>
                <c:pt idx="1">
                  <c:v>76.78</c:v>
                </c:pt>
                <c:pt idx="2">
                  <c:v>43.92</c:v>
                </c:pt>
                <c:pt idx="3">
                  <c:v>32.58</c:v>
                </c:pt>
                <c:pt idx="4">
                  <c:v>23.83</c:v>
                </c:pt>
                <c:pt idx="5">
                  <c:v>21.83</c:v>
                </c:pt>
                <c:pt idx="6">
                  <c:v>21.72</c:v>
                </c:pt>
                <c:pt idx="7">
                  <c:v>21.78</c:v>
                </c:pt>
                <c:pt idx="8">
                  <c:v>21.7</c:v>
                </c:pt>
                <c:pt idx="9">
                  <c:v>21.7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95-43BE-8984-66A2E696D700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1,00E-07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Hoja1!$E$2:$E$11</c:f>
              <c:numCache>
                <c:formatCode>0.00</c:formatCode>
                <c:ptCount val="10"/>
                <c:pt idx="0">
                  <c:v>88.88</c:v>
                </c:pt>
                <c:pt idx="1">
                  <c:v>76.78</c:v>
                </c:pt>
                <c:pt idx="2">
                  <c:v>43.85</c:v>
                </c:pt>
                <c:pt idx="3">
                  <c:v>31.98</c:v>
                </c:pt>
                <c:pt idx="4">
                  <c:v>22.75</c:v>
                </c:pt>
                <c:pt idx="5">
                  <c:v>20.9</c:v>
                </c:pt>
                <c:pt idx="6">
                  <c:v>20.82</c:v>
                </c:pt>
                <c:pt idx="7">
                  <c:v>20.77</c:v>
                </c:pt>
                <c:pt idx="8">
                  <c:v>20.73</c:v>
                </c:pt>
                <c:pt idx="9">
                  <c:v>20.75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95-43BE-8984-66A2E696D700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1,00E-06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Hoja1!$F$2:$F$11</c:f>
              <c:numCache>
                <c:formatCode>0.00</c:formatCode>
                <c:ptCount val="10"/>
                <c:pt idx="0">
                  <c:v>88.88</c:v>
                </c:pt>
                <c:pt idx="1">
                  <c:v>76.819999999999993</c:v>
                </c:pt>
                <c:pt idx="2">
                  <c:v>42.67</c:v>
                </c:pt>
                <c:pt idx="3">
                  <c:v>27.57</c:v>
                </c:pt>
                <c:pt idx="4">
                  <c:v>17.579999999999998</c:v>
                </c:pt>
                <c:pt idx="5">
                  <c:v>15.23</c:v>
                </c:pt>
                <c:pt idx="6">
                  <c:v>14.8</c:v>
                </c:pt>
                <c:pt idx="7">
                  <c:v>14.77</c:v>
                </c:pt>
                <c:pt idx="8">
                  <c:v>14.65</c:v>
                </c:pt>
                <c:pt idx="9">
                  <c:v>14.62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95-43BE-8984-66A2E696D700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1,00E-05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Hoja1!$G$2:$G$11</c:f>
              <c:numCache>
                <c:formatCode>0.00</c:formatCode>
                <c:ptCount val="10"/>
                <c:pt idx="0">
                  <c:v>88.88</c:v>
                </c:pt>
                <c:pt idx="1">
                  <c:v>76.88</c:v>
                </c:pt>
                <c:pt idx="2">
                  <c:v>40.270000000000003</c:v>
                </c:pt>
                <c:pt idx="3">
                  <c:v>19.3</c:v>
                </c:pt>
                <c:pt idx="4">
                  <c:v>9.3000000000000007</c:v>
                </c:pt>
                <c:pt idx="5">
                  <c:v>6.23</c:v>
                </c:pt>
                <c:pt idx="6">
                  <c:v>5.97</c:v>
                </c:pt>
                <c:pt idx="7">
                  <c:v>6.05</c:v>
                </c:pt>
                <c:pt idx="8">
                  <c:v>5.98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B95-43BE-8984-66A2E696D700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1,00E-04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Hoja1!$H$2:$H$11</c:f>
              <c:numCache>
                <c:formatCode>0.00</c:formatCode>
                <c:ptCount val="10"/>
                <c:pt idx="0">
                  <c:v>88.88</c:v>
                </c:pt>
                <c:pt idx="1">
                  <c:v>76.95</c:v>
                </c:pt>
                <c:pt idx="2">
                  <c:v>39.78</c:v>
                </c:pt>
                <c:pt idx="3">
                  <c:v>15.77</c:v>
                </c:pt>
                <c:pt idx="4">
                  <c:v>6.33</c:v>
                </c:pt>
                <c:pt idx="5">
                  <c:v>4.43</c:v>
                </c:pt>
                <c:pt idx="6">
                  <c:v>4.4000000000000004</c:v>
                </c:pt>
                <c:pt idx="7">
                  <c:v>4.4800000000000004</c:v>
                </c:pt>
                <c:pt idx="8">
                  <c:v>4.47</c:v>
                </c:pt>
                <c:pt idx="9">
                  <c:v>4.5199999999999996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B95-43BE-8984-66A2E696D700}"/>
            </c:ext>
          </c:extLst>
        </c:ser>
        <c:ser>
          <c:idx val="7"/>
          <c:order val="7"/>
          <c:tx>
            <c:strRef>
              <c:f>Hoja1!$I$1</c:f>
              <c:strCache>
                <c:ptCount val="1"/>
                <c:pt idx="0">
                  <c:v>1,00E-03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Hoja1!$I$2:$I$11</c:f>
              <c:numCache>
                <c:formatCode>0.00</c:formatCode>
                <c:ptCount val="10"/>
                <c:pt idx="0">
                  <c:v>88.88</c:v>
                </c:pt>
                <c:pt idx="1">
                  <c:v>76.92</c:v>
                </c:pt>
                <c:pt idx="2">
                  <c:v>40.4</c:v>
                </c:pt>
                <c:pt idx="3">
                  <c:v>16.55</c:v>
                </c:pt>
                <c:pt idx="4">
                  <c:v>6.95</c:v>
                </c:pt>
                <c:pt idx="5">
                  <c:v>5.47</c:v>
                </c:pt>
                <c:pt idx="6">
                  <c:v>5.6</c:v>
                </c:pt>
                <c:pt idx="7">
                  <c:v>5.6</c:v>
                </c:pt>
                <c:pt idx="8">
                  <c:v>6.33</c:v>
                </c:pt>
                <c:pt idx="9">
                  <c:v>6.65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B95-43BE-8984-66A2E696D700}"/>
            </c:ext>
          </c:extLst>
        </c:ser>
        <c:ser>
          <c:idx val="8"/>
          <c:order val="8"/>
          <c:tx>
            <c:strRef>
              <c:f>Hoja1!$J$1</c:f>
              <c:strCache>
                <c:ptCount val="1"/>
                <c:pt idx="0">
                  <c:v>1,00E-02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Hoja1!$J$2:$J$11</c:f>
              <c:numCache>
                <c:formatCode>0.00</c:formatCode>
                <c:ptCount val="10"/>
                <c:pt idx="0">
                  <c:v>88.88</c:v>
                </c:pt>
                <c:pt idx="1">
                  <c:v>76.8</c:v>
                </c:pt>
                <c:pt idx="2">
                  <c:v>40.369999999999997</c:v>
                </c:pt>
                <c:pt idx="3">
                  <c:v>16.68</c:v>
                </c:pt>
                <c:pt idx="4">
                  <c:v>7.3</c:v>
                </c:pt>
                <c:pt idx="5">
                  <c:v>6.38</c:v>
                </c:pt>
                <c:pt idx="6">
                  <c:v>6.9</c:v>
                </c:pt>
                <c:pt idx="7">
                  <c:v>7.13</c:v>
                </c:pt>
                <c:pt idx="8">
                  <c:v>8.57</c:v>
                </c:pt>
                <c:pt idx="9">
                  <c:v>10.35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B95-43BE-8984-66A2E696D700}"/>
            </c:ext>
          </c:extLst>
        </c:ser>
        <c:ser>
          <c:idx val="9"/>
          <c:order val="9"/>
          <c:tx>
            <c:strRef>
              <c:f>Hoja1!$K$1</c:f>
              <c:strCache>
                <c:ptCount val="1"/>
                <c:pt idx="0">
                  <c:v>1,00E-01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90</c:v>
                </c:pt>
                <c:pt idx="7">
                  <c:v>100</c:v>
                </c:pt>
                <c:pt idx="8">
                  <c:v>200</c:v>
                </c:pt>
                <c:pt idx="9">
                  <c:v>500</c:v>
                </c:pt>
              </c:numCache>
            </c:numRef>
          </c:cat>
          <c:val>
            <c:numRef>
              <c:f>Hoja1!$K$2:$K$11</c:f>
              <c:numCache>
                <c:formatCode>0.00</c:formatCode>
                <c:ptCount val="10"/>
                <c:pt idx="0">
                  <c:v>88.88</c:v>
                </c:pt>
                <c:pt idx="1">
                  <c:v>76.180000000000007</c:v>
                </c:pt>
                <c:pt idx="2">
                  <c:v>39.950000000000003</c:v>
                </c:pt>
                <c:pt idx="3">
                  <c:v>16.420000000000002</c:v>
                </c:pt>
                <c:pt idx="4">
                  <c:v>7.2</c:v>
                </c:pt>
                <c:pt idx="5">
                  <c:v>6.3</c:v>
                </c:pt>
                <c:pt idx="6">
                  <c:v>7.02</c:v>
                </c:pt>
                <c:pt idx="7">
                  <c:v>7.42</c:v>
                </c:pt>
                <c:pt idx="8">
                  <c:v>8.9700000000000006</c:v>
                </c:pt>
                <c:pt idx="9">
                  <c:v>12.6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B95-43BE-8984-66A2E696D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641903"/>
        <c:axId val="235649791"/>
      </c:lineChart>
      <c:catAx>
        <c:axId val="437641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Dimensiones</a:t>
                </a:r>
              </a:p>
            </c:rich>
          </c:tx>
          <c:layout>
            <c:manualLayout>
              <c:xMode val="edge"/>
              <c:yMode val="edge"/>
              <c:x val="0.49177339427115357"/>
              <c:y val="0.81826181221400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35649791"/>
        <c:crosses val="autoZero"/>
        <c:auto val="1"/>
        <c:lblAlgn val="ctr"/>
        <c:lblOffset val="100"/>
        <c:noMultiLvlLbl val="0"/>
      </c:catAx>
      <c:valAx>
        <c:axId val="235649791"/>
        <c:scaling>
          <c:orientation val="minMax"/>
          <c:max val="9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764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Saugar Villar</dc:creator>
  <cp:keywords/>
  <dc:description/>
  <cp:lastModifiedBy>Noelia Saugar Villar</cp:lastModifiedBy>
  <cp:revision>13</cp:revision>
  <dcterms:created xsi:type="dcterms:W3CDTF">2022-05-30T14:58:00Z</dcterms:created>
  <dcterms:modified xsi:type="dcterms:W3CDTF">2022-12-23T12:56:00Z</dcterms:modified>
</cp:coreProperties>
</file>