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375266"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75266"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375266"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375266"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375266"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375266"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375266"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375266"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fldSimple w:instr=" SEQ Figure \* ARABIC ">
        <w:r w:rsidR="00797CF7">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F4A2A" w14:textId="77777777" w:rsidR="00375266" w:rsidRDefault="00375266" w:rsidP="005F5648">
      <w:pPr>
        <w:spacing w:after="0" w:line="240" w:lineRule="auto"/>
      </w:pPr>
      <w:r>
        <w:separator/>
      </w:r>
    </w:p>
  </w:endnote>
  <w:endnote w:type="continuationSeparator" w:id="0">
    <w:p w14:paraId="4954D847" w14:textId="77777777" w:rsidR="00375266" w:rsidRDefault="00375266"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07366" w14:textId="77777777" w:rsidR="00375266" w:rsidRDefault="00375266" w:rsidP="005F5648">
      <w:pPr>
        <w:spacing w:after="0" w:line="240" w:lineRule="auto"/>
      </w:pPr>
      <w:r>
        <w:separator/>
      </w:r>
    </w:p>
  </w:footnote>
  <w:footnote w:type="continuationSeparator" w:id="0">
    <w:p w14:paraId="697FBA69" w14:textId="77777777" w:rsidR="00375266" w:rsidRDefault="00375266"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E08FB"/>
    <w:rsid w:val="002F1E87"/>
    <w:rsid w:val="002F56FE"/>
    <w:rsid w:val="002F5D1C"/>
    <w:rsid w:val="003019D6"/>
    <w:rsid w:val="00325A6D"/>
    <w:rsid w:val="00330992"/>
    <w:rsid w:val="00337BD5"/>
    <w:rsid w:val="00341243"/>
    <w:rsid w:val="0035161B"/>
    <w:rsid w:val="0035280B"/>
    <w:rsid w:val="003606FD"/>
    <w:rsid w:val="00361458"/>
    <w:rsid w:val="00361638"/>
    <w:rsid w:val="00375266"/>
    <w:rsid w:val="003822A7"/>
    <w:rsid w:val="003836F4"/>
    <w:rsid w:val="003842E3"/>
    <w:rsid w:val="00392A7B"/>
    <w:rsid w:val="003A25AB"/>
    <w:rsid w:val="003B0221"/>
    <w:rsid w:val="003C0E47"/>
    <w:rsid w:val="003C3CF8"/>
    <w:rsid w:val="003C3F1D"/>
    <w:rsid w:val="003C5616"/>
    <w:rsid w:val="003D4C2E"/>
    <w:rsid w:val="003E15C4"/>
    <w:rsid w:val="003E2F6D"/>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20B"/>
    <w:rsid w:val="004846BB"/>
    <w:rsid w:val="00487DBA"/>
    <w:rsid w:val="004A2039"/>
    <w:rsid w:val="004B1D26"/>
    <w:rsid w:val="004B797B"/>
    <w:rsid w:val="004C438D"/>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C68A1"/>
    <w:rsid w:val="005E2D0C"/>
    <w:rsid w:val="005E7FD9"/>
    <w:rsid w:val="005F1446"/>
    <w:rsid w:val="005F3832"/>
    <w:rsid w:val="005F5648"/>
    <w:rsid w:val="00601DE9"/>
    <w:rsid w:val="00603F3F"/>
    <w:rsid w:val="006101AE"/>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53D4C"/>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A61D4"/>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713F4B"/>
    <w:rsid w:val="00D15127"/>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21</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415</cp:revision>
  <cp:lastPrinted>2021-04-01T11:23:00Z</cp:lastPrinted>
  <dcterms:created xsi:type="dcterms:W3CDTF">2021-03-31T18:34:00Z</dcterms:created>
  <dcterms:modified xsi:type="dcterms:W3CDTF">2021-04-02T00:29:00Z</dcterms:modified>
  <cp:category>CS 542 – Computer Networks – I | Spring 2021 | Illinois Institute of Technology</cp:category>
</cp:coreProperties>
</file>