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240" w:after="120"/>
        <w:rPr/>
      </w:pPr>
      <w:r>
        <w:rPr/>
        <w:t xml:space="preserve">Global drivers and vulnerabilities of coral reef fish functions: </w:t>
      </w:r>
      <w:r>
        <w:rPr/>
        <w:t>Extended</w:t>
      </w:r>
      <w:bookmarkStart w:id="0" w:name="supplementary-data-figures-and-tables-drivers-and-vulnerability-of-global-coral-reef-fish-functions"/>
      <w:bookmarkEnd w:id="0"/>
      <w:r>
        <w:rPr/>
        <w:t xml:space="preserve"> data figures and tables</w:t>
      </w:r>
    </w:p>
    <w:p>
      <w:pPr>
        <w:pStyle w:val="Heading2"/>
        <w:rPr/>
      </w:pPr>
      <w:bookmarkStart w:id="1" w:name="tables"/>
      <w:bookmarkEnd w:id="1"/>
      <w:r>
        <w:rPr/>
        <w:t>Tables</w:t>
      </w:r>
    </w:p>
    <w:p>
      <w:pPr>
        <w:pStyle w:val="TableCaption"/>
        <w:rPr/>
      </w:pPr>
      <w:r>
        <w:rPr/>
        <w:t>Extended Dat</w:t>
      </w:r>
      <w:r>
        <w:rPr/>
        <w:t>a</w:t>
      </w:r>
      <w:r>
        <w:rPr/>
        <w:t xml:space="preserve"> table 2: Overview of localities of UVC transects, used in this study, including number of sites and number of transects</w:t>
      </w:r>
    </w:p>
    <w:tbl>
      <w:tblPr>
        <w:tblW w:w="6449" w:type="dxa"/>
        <w:jc w:val="center"/>
        <w:tblInd w:w="0" w:type="dxa"/>
        <w:tblBorders>
          <w:top w:val="single" w:sz="16" w:space="0" w:color="000001"/>
          <w:bottom w:val="single" w:sz="16" w:space="0" w:color="000001"/>
          <w:insideH w:val="single" w:sz="16" w:space="0" w:color="000001"/>
        </w:tblBorders>
        <w:tblCellMar>
          <w:top w:w="0" w:type="dxa"/>
          <w:left w:w="0" w:type="dxa"/>
          <w:bottom w:w="0" w:type="dxa"/>
          <w:right w:w="0" w:type="dxa"/>
        </w:tblCellMar>
        <w:tblLook w:noVBand="1" w:noHBand="0" w:lastColumn="0" w:firstColumn="0" w:lastRow="0" w:firstRow="1"/>
      </w:tblPr>
      <w:tblGrid>
        <w:gridCol w:w="1353"/>
        <w:gridCol w:w="2613"/>
        <w:gridCol w:w="1037"/>
        <w:gridCol w:w="1445"/>
      </w:tblGrid>
      <w:tr>
        <w:trPr>
          <w:tblHeader w:val="true"/>
          <w:trHeight w:val="443" w:hRule="atLeast"/>
          <w:cantSplit w:val="true"/>
        </w:trPr>
        <w:tc>
          <w:tcPr>
            <w:tcW w:w="1353" w:type="dxa"/>
            <w:tcBorders>
              <w:top w:val="single" w:sz="16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20"/>
                <w:szCs w:val="20"/>
              </w:rPr>
              <w:t>bioregion</w:t>
            </w:r>
          </w:p>
        </w:tc>
        <w:tc>
          <w:tcPr>
            <w:tcW w:w="2613" w:type="dxa"/>
            <w:tcBorders>
              <w:top w:val="single" w:sz="16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20"/>
                <w:szCs w:val="20"/>
              </w:rPr>
              <w:t>locality</w:t>
            </w:r>
          </w:p>
        </w:tc>
        <w:tc>
          <w:tcPr>
            <w:tcW w:w="1037" w:type="dxa"/>
            <w:tcBorders>
              <w:top w:val="single" w:sz="16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20"/>
                <w:szCs w:val="20"/>
              </w:rPr>
              <w:t>n_sites</w:t>
            </w:r>
          </w:p>
        </w:tc>
        <w:tc>
          <w:tcPr>
            <w:tcW w:w="1445" w:type="dxa"/>
            <w:tcBorders>
              <w:top w:val="single" w:sz="16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20"/>
                <w:szCs w:val="20"/>
              </w:rPr>
              <w:t>n_transects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aceh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4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50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ambon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10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bali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18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cambodia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christmas_island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17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dampier_archipelago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44</w:t>
            </w:r>
          </w:p>
        </w:tc>
      </w:tr>
      <w:tr>
        <w:trPr>
          <w:trHeight w:val="416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darwin_(nt)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18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flores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13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hong_kong_island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12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kai_ketjil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8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kimberley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11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mornington_island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16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ningaloo_marine_park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8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250</w:t>
            </w:r>
          </w:p>
        </w:tc>
      </w:tr>
      <w:tr>
        <w:trPr>
          <w:trHeight w:val="416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northern_territory_(other)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76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north_west_shelf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26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284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offshore_shoals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11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okinawa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8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palau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25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papua_new_guinea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pualu_kaimeer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4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pulau_jamdena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8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pulau_naira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12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raja_ampat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15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259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c_indopacific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solomon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47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322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ailuk_atoll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14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austral_islands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12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capricorn_group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64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central_coral_sea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233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central_gbr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20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145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cook_islands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14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cook_islands_sp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24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elizabeth_and_middleton_reefs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66</w:t>
            </w:r>
          </w:p>
        </w:tc>
      </w:tr>
      <w:tr>
        <w:trPr>
          <w:trHeight w:val="406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fiji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316</w:t>
            </w:r>
          </w:p>
        </w:tc>
      </w:tr>
      <w:tr>
        <w:trPr>
          <w:trHeight w:val="406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french_polynesia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18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226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hawaii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521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lord_howe_island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530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marquesas_islands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minerva_reefs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17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new_caledonia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884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niue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8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norfolk_island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38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northern_coral_sea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10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157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northern_gbr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9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97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pitcairn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4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254</w:t>
            </w:r>
          </w:p>
        </w:tc>
      </w:tr>
      <w:tr>
        <w:trPr>
          <w:trHeight w:val="416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queensland_(other)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10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66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rapa_nui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4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65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rongalap_atoll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9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rose_atoll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16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salaz_y_gomez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63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samoa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8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358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society_islands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21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southern_coral_sea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7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109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southern_gbr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25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tonga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9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293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whitsundays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8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cverde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97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stome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38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clipperton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80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cocos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178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coiba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15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188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costa_rica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48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galapagos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139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las_perlas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47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machalilla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19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malpelo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70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nicaragua_tep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58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panama_pacific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e_pacific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revillagigedo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116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abrolhos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91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arraial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347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belize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37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bocas_del_toro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30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bonaire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14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cuba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curacao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4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117</w:t>
            </w:r>
          </w:p>
        </w:tc>
      </w:tr>
      <w:tr>
        <w:trPr>
          <w:trHeight w:val="406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florida_keys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4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33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grand_cayman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</w:tr>
      <w:tr>
        <w:trPr>
          <w:trHeight w:val="399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guarapari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114</w:t>
            </w:r>
          </w:p>
        </w:tc>
      </w:tr>
      <w:tr>
        <w:trPr>
          <w:trHeight w:val="404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ilha_gde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25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l_santos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57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mexico_caribbean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31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neb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22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noronha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61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rio_de_janeiro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rocas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51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salvador_bts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49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san_blas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13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santa_catarina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253</w:t>
            </w:r>
          </w:p>
        </w:tc>
      </w:tr>
      <w:tr>
        <w:trPr>
          <w:trHeight w:val="384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seaflower_marine_reserve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47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southwestern_caribbean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</w:t>
            </w:r>
          </w:p>
        </w:tc>
      </w:tr>
      <w:tr>
        <w:trPr>
          <w:trHeight w:val="403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stpauls_rocks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27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trindade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238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w_atlantic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turks_and_caicos_islands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4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w_indian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eilat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</w:t>
            </w:r>
          </w:p>
        </w:tc>
      </w:tr>
      <w:tr>
        <w:trPr>
          <w:trHeight w:val="403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w_indian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mozambique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7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30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w_indian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red_sea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5</w:t>
            </w:r>
          </w:p>
        </w:tc>
      </w:tr>
      <w:tr>
        <w:trPr>
          <w:trHeight w:val="405" w:hRule="atLeast"/>
          <w:cantSplit w:val="true"/>
        </w:trPr>
        <w:tc>
          <w:tcPr>
            <w:tcW w:w="135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w_indian</w:t>
            </w:r>
          </w:p>
        </w:tc>
        <w:tc>
          <w:tcPr>
            <w:tcW w:w="2613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seychelles</w:t>
            </w:r>
          </w:p>
        </w:tc>
        <w:tc>
          <w:tcPr>
            <w:tcW w:w="1037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6</w:t>
            </w:r>
          </w:p>
        </w:tc>
        <w:tc>
          <w:tcPr>
            <w:tcW w:w="1445" w:type="dxa"/>
            <w:tcBorders/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165</w:t>
            </w:r>
          </w:p>
        </w:tc>
      </w:tr>
      <w:tr>
        <w:trPr>
          <w:trHeight w:val="382" w:hRule="atLeast"/>
          <w:cantSplit w:val="true"/>
        </w:trPr>
        <w:tc>
          <w:tcPr>
            <w:tcW w:w="1353" w:type="dxa"/>
            <w:tcBorders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w_indian</w:t>
            </w:r>
          </w:p>
        </w:tc>
        <w:tc>
          <w:tcPr>
            <w:tcW w:w="2613" w:type="dxa"/>
            <w:tcBorders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tanzania</w:t>
            </w:r>
          </w:p>
        </w:tc>
        <w:tc>
          <w:tcPr>
            <w:tcW w:w="1037" w:type="dxa"/>
            <w:tcBorders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</w:t>
            </w:r>
          </w:p>
        </w:tc>
        <w:tc>
          <w:tcPr>
            <w:tcW w:w="1445" w:type="dxa"/>
            <w:tcBorders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8</w:t>
            </w:r>
          </w:p>
        </w:tc>
      </w:tr>
    </w:tbl>
    <w:p>
      <w:pPr>
        <w:pStyle w:val="TableCaption"/>
        <w:rPr/>
      </w:pPr>
      <w:r>
        <w:rPr/>
      </w:r>
      <w:r>
        <w:br w:type="page"/>
      </w:r>
    </w:p>
    <w:p>
      <w:pPr>
        <w:pStyle w:val="TableCaption"/>
        <w:rPr/>
      </w:pPr>
      <w:r>
        <w:rPr/>
        <w:t>Extended Dat</w:t>
      </w:r>
      <w:r>
        <w:rPr/>
        <w:t>a</w:t>
      </w:r>
      <w:r>
        <w:rPr/>
        <w:t xml:space="preserve"> table 2: Overview of parameters of the regressions relating the five functions to the community structure variables</w:t>
      </w:r>
    </w:p>
    <w:tbl>
      <w:tblPr>
        <w:tblW w:w="7832" w:type="dxa"/>
        <w:jc w:val="center"/>
        <w:tblInd w:w="0" w:type="dxa"/>
        <w:tblBorders>
          <w:top w:val="single" w:sz="16" w:space="0" w:color="000001"/>
          <w:bottom w:val="single" w:sz="16" w:space="0" w:color="000001"/>
          <w:insideH w:val="single" w:sz="16" w:space="0" w:color="000001"/>
        </w:tblBorders>
        <w:tblCellMar>
          <w:top w:w="0" w:type="dxa"/>
          <w:left w:w="0" w:type="dxa"/>
          <w:bottom w:w="0" w:type="dxa"/>
          <w:right w:w="0" w:type="dxa"/>
        </w:tblCellMar>
        <w:tblLook w:noVBand="1" w:noHBand="0" w:lastColumn="0" w:firstColumn="0" w:lastRow="0" w:firstRow="1"/>
      </w:tblPr>
      <w:tblGrid>
        <w:gridCol w:w="1552"/>
        <w:gridCol w:w="1852"/>
        <w:gridCol w:w="1189"/>
        <w:gridCol w:w="1168"/>
        <w:gridCol w:w="1035"/>
        <w:gridCol w:w="1035"/>
      </w:tblGrid>
      <w:tr>
        <w:trPr>
          <w:tblHeader w:val="true"/>
          <w:trHeight w:val="403" w:hRule="atLeast"/>
          <w:cantSplit w:val="true"/>
        </w:trPr>
        <w:tc>
          <w:tcPr>
            <w:tcW w:w="1552" w:type="dxa"/>
            <w:tcBorders>
              <w:top w:val="single" w:sz="16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20"/>
                <w:szCs w:val="20"/>
              </w:rPr>
              <w:t>response</w:t>
            </w:r>
          </w:p>
        </w:tc>
        <w:tc>
          <w:tcPr>
            <w:tcW w:w="1852" w:type="dxa"/>
            <w:tcBorders>
              <w:top w:val="single" w:sz="16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20"/>
                <w:szCs w:val="20"/>
              </w:rPr>
              <w:t>term</w:t>
            </w:r>
          </w:p>
        </w:tc>
        <w:tc>
          <w:tcPr>
            <w:tcW w:w="1189" w:type="dxa"/>
            <w:tcBorders>
              <w:top w:val="single" w:sz="16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20"/>
                <w:szCs w:val="20"/>
              </w:rPr>
              <w:t>estimate</w:t>
            </w:r>
          </w:p>
        </w:tc>
        <w:tc>
          <w:tcPr>
            <w:tcW w:w="1168" w:type="dxa"/>
            <w:tcBorders>
              <w:top w:val="single" w:sz="16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20"/>
                <w:szCs w:val="20"/>
              </w:rPr>
              <w:t>std.error</w:t>
            </w:r>
          </w:p>
        </w:tc>
        <w:tc>
          <w:tcPr>
            <w:tcW w:w="1035" w:type="dxa"/>
            <w:tcBorders>
              <w:top w:val="single" w:sz="16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20"/>
                <w:szCs w:val="20"/>
              </w:rPr>
              <w:t>lower</w:t>
            </w:r>
          </w:p>
        </w:tc>
        <w:tc>
          <w:tcPr>
            <w:tcW w:w="1035" w:type="dxa"/>
            <w:tcBorders>
              <w:top w:val="single" w:sz="16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20"/>
                <w:szCs w:val="20"/>
              </w:rPr>
              <w:t>upper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restart"/>
            <w:tcBorders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log(N excretion)</w:t>
            </w:r>
          </w:p>
        </w:tc>
        <w:tc>
          <w:tcPr>
            <w:tcW w:w="1852" w:type="dxa"/>
            <w:tcBorders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intercept</w:t>
            </w:r>
          </w:p>
        </w:tc>
        <w:tc>
          <w:tcPr>
            <w:tcW w:w="1189" w:type="dxa"/>
            <w:tcBorders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-8.7502</w:t>
            </w:r>
          </w:p>
        </w:tc>
        <w:tc>
          <w:tcPr>
            <w:tcW w:w="1168" w:type="dxa"/>
            <w:tcBorders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0.0264</w:t>
            </w:r>
          </w:p>
        </w:tc>
        <w:tc>
          <w:tcPr>
            <w:tcW w:w="1035" w:type="dxa"/>
            <w:tcBorders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-8.7927</w:t>
            </w:r>
          </w:p>
        </w:tc>
        <w:tc>
          <w:tcPr>
            <w:tcW w:w="1035" w:type="dxa"/>
            <w:tcBorders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-8.7061</w:t>
            </w:r>
          </w:p>
        </w:tc>
      </w:tr>
      <w:tr>
        <w:trPr>
          <w:trHeight w:val="368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sst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0.0290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0.0007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0.0279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0.0301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log(biomass)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0.9664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0.9643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0.9686</w:t>
            </w:r>
          </w:p>
        </w:tc>
      </w:tr>
      <w:tr>
        <w:trPr>
          <w:trHeight w:val="372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richness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0.0010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0.0001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0.0008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0.0012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-0.0040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-0.0046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-0.0034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-0.0145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0.0028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-0.0190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-0.0098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0.0185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0.0010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0.0169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0.0201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(97.5)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-0.0087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0.0002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-0.0089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-0.0084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(97.5%)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-0.0385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0.0052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-0.0471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-0.0300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0.0055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0.0027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0.0081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(97.5%)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0.0099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0.0089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0.0110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0.0199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0.0048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0.0121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0.0278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0.0034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0.0025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0.0044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restart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log(P excretion)</w:t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intercept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-12.7600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0.0454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-12.8354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-12.6861</w:t>
            </w:r>
          </w:p>
        </w:tc>
      </w:tr>
      <w:tr>
        <w:trPr>
          <w:trHeight w:val="368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sst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0.0265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0.0011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0.0246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0.0284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log(biomass)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1.0130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0.0023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1.0092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1.0167</w:t>
            </w:r>
          </w:p>
        </w:tc>
      </w:tr>
      <w:tr>
        <w:trPr>
          <w:trHeight w:val="372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richness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0.0003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0.0002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-0.0001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0.0007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0.0031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0.0020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0.0041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0.1468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0.0046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0.1393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0.1543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-0.0510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-0.0536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-0.0482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(97.5)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0.0033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0.0029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0.0038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(97.5%)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0.1285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0.0093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0.1129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0.1437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-0.0810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0.0028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-0.0857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-0.0765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(97.5%)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-0.0083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0.0011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-0.0100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-0.0065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0.0716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0.0081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0.0583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0.0858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0.0022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0.0010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0.0037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restart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log(Production)</w:t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intercept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-9.2949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0.0646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-9.4005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-9.1877</w:t>
            </w:r>
          </w:p>
        </w:tc>
      </w:tr>
      <w:tr>
        <w:trPr>
          <w:trHeight w:val="368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sst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0.0371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0.0344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0.0398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log(biomass)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0.8809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0.0033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0.8755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0.8865</w:t>
            </w:r>
          </w:p>
        </w:tc>
      </w:tr>
      <w:tr>
        <w:trPr>
          <w:trHeight w:val="372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richness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0.0053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0.0047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0.0058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-0.0109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0.0009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-0.0124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-0.0094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-0.0632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0.0064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-0.0737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-0.0528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0.1344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0.0024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0.1304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0.1385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(97.5)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-0.0230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-0.0236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-0.0223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(97.5%)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-0.0100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0.0131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-0.0320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0.0116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0.1014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0.0041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0.0946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0.1083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(97.5%)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0.0501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0.0015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0.0476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0.0526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-0.0031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0.0116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-0.0214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0.0159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0.0044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0.0022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0.0066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restart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log(Herbivory)</w:t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intercept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-4.3397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0.1756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-4.6184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-4.0594</w:t>
            </w:r>
          </w:p>
        </w:tc>
      </w:tr>
      <w:tr>
        <w:trPr>
          <w:trHeight w:val="368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sst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0.0895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0.0045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0.0821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0.0969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log(biomass)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0.9258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0.0091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0.9110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0.9407</w:t>
            </w:r>
          </w:p>
        </w:tc>
      </w:tr>
      <w:tr>
        <w:trPr>
          <w:trHeight w:val="372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richness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0.0017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0.0009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0.0031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0.0050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0.0025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0.0009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0.0092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-0.7042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0.0174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-0.7335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-0.6762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0.0922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0.0067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0.0813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0.1032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(97.5)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-0.0009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0.0011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-0.0027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0.0009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(97.5%)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-0.3129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0.0377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-0.3757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-0.2511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0.0416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0.0115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0.0223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0.0605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(97.5%)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0.0502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0.0043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0.0433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0.0574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-1.1401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0.0342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-1.1950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-1.0836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0.0321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0.0038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0.0258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0.0384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restart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log(Piscivory)</w:t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intercept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-13.0583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0.4678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-13.8237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-12.3086</w:t>
            </w:r>
          </w:p>
        </w:tc>
      </w:tr>
      <w:tr>
        <w:trPr>
          <w:trHeight w:val="368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sst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-0.0807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0.0104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-0.0980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-0.0635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log(biomass)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0.7567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0.0192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0.7253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0.7885</w:t>
            </w:r>
          </w:p>
        </w:tc>
      </w:tr>
      <w:tr>
        <w:trPr>
          <w:trHeight w:val="372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richness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0.0007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0.0016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-0.0019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0.0035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-0.0334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0.0051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-0.0416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-0.0250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-0.0240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0.0376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-0.0867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0.0377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(mean)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-0.0178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0.0149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-0.0420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0.0062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(97.5)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0.0194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0.0022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0.0158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0.0231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(97.5%)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1.5393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0.0839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1.4012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1.6814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-0.0003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0.0260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-0.0434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0.0428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immaturity (97.5%)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-0.0001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0.0093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-0.0155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0.0150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trophic level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-0.1561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0.0700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-0.2705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8" w:space="0" w:color="000001"/>
              <w:insideH w:val="single" w:sz="8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-0.0398</w:t>
            </w:r>
          </w:p>
        </w:tc>
      </w:tr>
      <w:tr>
        <w:trPr>
          <w:trHeight w:val="416" w:hRule="atLeast"/>
          <w:cantSplit w:val="true"/>
        </w:trPr>
        <w:tc>
          <w:tcPr>
            <w:tcW w:w="1552" w:type="dxa"/>
            <w:vMerge w:val="continue"/>
            <w:tcBorders>
              <w:top w:val="single" w:sz="8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/>
            </w:r>
          </w:p>
        </w:tc>
        <w:tc>
          <w:tcPr>
            <w:tcW w:w="1852" w:type="dxa"/>
            <w:tcBorders>
              <w:top w:val="single" w:sz="8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lef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size (2.5%)</w:t>
            </w:r>
          </w:p>
        </w:tc>
        <w:tc>
          <w:tcPr>
            <w:tcW w:w="1189" w:type="dxa"/>
            <w:tcBorders>
              <w:top w:val="single" w:sz="8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0.1072</w:t>
            </w:r>
          </w:p>
        </w:tc>
        <w:tc>
          <w:tcPr>
            <w:tcW w:w="1168" w:type="dxa"/>
            <w:tcBorders>
              <w:top w:val="single" w:sz="8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0.0083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0.0938</w:t>
            </w:r>
          </w:p>
        </w:tc>
        <w:tc>
          <w:tcPr>
            <w:tcW w:w="1035" w:type="dxa"/>
            <w:tcBorders>
              <w:top w:val="single" w:sz="8" w:space="0" w:color="000001"/>
              <w:bottom w:val="single" w:sz="16" w:space="0" w:color="000001"/>
              <w:insideH w:val="single" w:sz="16" w:space="0" w:color="000001"/>
            </w:tcBorders>
            <w:shd w:color="auto" w:fill="FFFFFF" w:val="clear"/>
            <w:vAlign w:val="center"/>
          </w:tcPr>
          <w:p>
            <w:pPr>
              <w:pStyle w:val="Normal"/>
              <w:spacing w:lineRule="exact" w:line="240" w:before="40" w:after="40"/>
              <w:ind w:left="100" w:right="100" w:hanging="0"/>
              <w:jc w:val="right"/>
              <w:rPr/>
            </w:pPr>
            <w:r>
              <w:rPr>
                <w:rFonts w:eastAsia="Roboto" w:cs="Roboto" w:ascii="Roboto" w:hAnsi="Roboto"/>
                <w:color w:val="111111"/>
                <w:sz w:val="16"/>
                <w:szCs w:val="16"/>
              </w:rPr>
              <w:t>0.1210</w:t>
            </w:r>
          </w:p>
        </w:tc>
      </w:tr>
    </w:tbl>
    <w:p>
      <w:pPr>
        <w:pStyle w:val="Heading2"/>
        <w:rPr/>
      </w:pPr>
      <w:r>
        <w:rPr/>
      </w:r>
      <w:r>
        <w:br w:type="page"/>
      </w:r>
    </w:p>
    <w:p>
      <w:pPr>
        <w:pStyle w:val="Heading2"/>
        <w:rPr/>
      </w:pPr>
      <w:bookmarkStart w:id="2" w:name="figures"/>
      <w:bookmarkEnd w:id="2"/>
      <w:r>
        <w:rPr/>
        <w:t>Figures</w:t>
      </w:r>
    </w:p>
    <w:p>
      <w:pPr>
        <w:pStyle w:val="Normal"/>
        <w:rPr/>
      </w:pPr>
      <w:r>
        <w:rPr/>
        <w:drawing>
          <wp:inline distT="0" distB="0" distL="114935" distR="114935">
            <wp:extent cx="4180840" cy="6689090"/>
            <wp:effectExtent l="0" t="0" r="0" b="0"/>
            <wp:docPr id="1" name="Picture" descr="Extended Data Figure 1: a-e) Relationship between biomass and the five functions. Lines and shaded areas show the average and 95% credible interval of the predicted functions respectively, for a constant sea surface temperature of 26°C (the average across all sites). Vertical lines show the range of the estimated functions across fish communities per biomass class of 100g/m2. f) Fold variation of each function per biomass class of 100g/m2 across fish communities. g) Correlation matrix of the residuals of the five functions after regression with biomass and sea surface temperature. Standard deviations of correlation coefficients did not exceed 0.0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Extended Data Figure 1: a-e) Relationship between biomass and the five functions. Lines and shaded areas show the average and 95% credible interval of the predicted functions respectively, for a constant sea surface temperature of 26°C (the average across all sites). Vertical lines show the range of the estimated functions across fish communities per biomass class of 100g/m2. f) Fold variation of each function per biomass class of 100g/m2 across fish communities. g) Correlation matrix of the residuals of the five functions after regression with biomass and sea surface temperature. Standard deviations of correlation coefficients did not exceed 0.01.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840" cy="668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Extended Data Figure 1: a-e) Relationship between biomass and the five functions. Lines and shaded areas show the average and 95% credible interval of the predicted functions respectively, for a constant sea surface temperature of 26°C (the average across all sites). Vertical lines show the range of the estimated functions across fish communities per biomass class of 100g/m2. f) Fold variation of each function per biomass class of 100g/m2 across fish communities. g) Correlation matrix of the residuals of the five functions after regression with biomass and sea surface temperature. Standard deviations of correlation coefficients did not exceed 0.01.</w:t>
      </w:r>
    </w:p>
    <w:p>
      <w:pPr>
        <w:pStyle w:val="Normal"/>
        <w:rPr/>
      </w:pPr>
      <w:r>
        <w:rPr/>
        <w:drawing>
          <wp:inline distT="0" distB="0" distL="114935" distR="114935">
            <wp:extent cx="4442460" cy="7404100"/>
            <wp:effectExtent l="0" t="0" r="0" b="0"/>
            <wp:docPr id="2" name="Image1" descr="Extended Data Figure 2: Posterior predictive checks of the five models relating functions with biomass and sea surface temperature only (a) N excretion, b) P excretion, c) Production, d) Herbivory, e) Piscivory), and the five models relating functions with community variables (f) N excretion, g) P excretion, h) Production, i) Herbivory, j) Piscivory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Extended Data Figure 2: Posterior predictive checks of the five models relating functions with biomass and sea surface temperature only (a) N excretion, b) P excretion, c) Production, d) Herbivory, e) Piscivory), and the five models relating functions with community variables (f) N excretion, g) P excretion, h) Production, i) Herbivory, j) Piscivory)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60" cy="740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Extended Data Figure 2: Posterior predictive checks of the five models relating functions with biomass and sea surface temperature only (a) N excretion, b) P excretion, c) Production, d) Herbivory, e) Piscivory), and the five models relating functions with community variables (f) N excretion, g) P excretion, h) Production, i) Herbivory, j) Piscivory)</w:t>
      </w:r>
    </w:p>
    <w:p>
      <w:pPr>
        <w:pStyle w:val="TextBody"/>
        <w:rPr/>
      </w:pPr>
      <w:r>
        <w:rPr/>
        <w:drawing>
          <wp:inline distT="0" distB="0" distL="114935" distR="114935">
            <wp:extent cx="5727700" cy="5727700"/>
            <wp:effectExtent l="0" t="0" r="0" b="0"/>
            <wp:docPr id="3" name="Image2" descr="Extended Data Figure 3: Average relative contribution of fish families to all five functions per biogeographical ocean basin. CIP = Central-Indo-Pacific, CP = Central Pacific, EA = Eastern Atlantic, WA = Western Atlantic, WI = Western Ind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Extended Data Figure 3: Average relative contribution of fish families to all five functions per biogeographical ocean basin. CIP = Central-Indo-Pacific, CP = Central Pacific, EA = Eastern Atlantic, WA = Western Atlantic, WI = Western Indian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r>
        <w:rPr/>
        <w:t>Extended Data Figure 3: Average relative contribution of fish families to all five functions per biogeographical ocean basin. CIP = Central-Indo-Pacific, CP = Central Pacific, EA = Eastern Atlantic, WA = Western Atlantic, WI = Western Indian</w:t>
      </w:r>
    </w:p>
    <w:p>
      <w:pPr>
        <w:pStyle w:val="TextBody"/>
        <w:rPr/>
      </w:pPr>
      <w:r>
        <w:rPr/>
        <w:t xml:space="preserve"> </w:t>
      </w:r>
      <w:r>
        <w:rPr/>
        <w:drawing>
          <wp:inline distT="0" distB="0" distL="114935" distR="114935">
            <wp:extent cx="5727700" cy="5727700"/>
            <wp:effectExtent l="0" t="0" r="0" b="0"/>
            <wp:docPr id="4" name="Image3" descr="Extended Data Figure 4: Average relative contribution of the top ten most contributing species to all five functions per biogeographical ocean basin. CIP = Central-Indo-Pacific, CP = Central Pacific, EA = Eastern Atlantic, WA = Western Atlantic, WI = Western Ind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Extended Data Figure 4: Average relative contribution of the top ten most contributing species to all five functions per biogeographical ocean basin. CIP = Central-Indo-Pacific, CP = Central Pacific, EA = Eastern Atlantic, WA = Western Atlantic, WI = Western Indian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Extended Data Figure 4: Average relative contribution of the top ten most contributing species to all five functions per biogeographical ocean basin. CIP = Central-Indo-Pacific, CP = Central Pacific, EA = Eastern Atlantic, WA = Western Atlantic, WI = Western Indian</w:t>
      </w:r>
    </w:p>
    <w:p>
      <w:pPr>
        <w:pStyle w:val="Normal"/>
        <w:rPr/>
      </w:pPr>
      <w:r>
        <w:rPr/>
        <w:drawing>
          <wp:inline distT="0" distB="0" distL="114935" distR="114935">
            <wp:extent cx="5727700" cy="4295775"/>
            <wp:effectExtent l="0" t="0" r="0" b="0"/>
            <wp:docPr id="5" name="Image4" descr="Extended Data Figure 5: Comparison herbivory and piscivory rates when using alternative diet classifications from Mouillot et al. (2014) and Siqueira et al. 2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Extended Data Figure 5: Comparison herbivory and piscivory rates when using alternative diet classifications from Mouillot et al. (2014) and Siqueira et al. 202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Extended Data Figure 5: Comparison herbivory and piscivory rates when using alternative diet classifications from Mouillot et al. (2014) and Siqueira et al. 2020</w:t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Roboto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embedSystemFonts/>
  <w:defaultTabStop w:val="720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/>
      <w:bidi w:val="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4"/>
      <w:szCs w:val="24"/>
      <w:lang w:val="en-US" w:eastAsia="en-US" w:bidi="ar-SA"/>
    </w:rPr>
  </w:style>
  <w:style w:type="paragraph" w:styleId="Heading1">
    <w:name w:val="Heading 1"/>
    <w:basedOn w:val="Heading"/>
    <w:qFormat/>
    <w:pPr/>
    <w:rPr/>
  </w:style>
  <w:style w:type="paragraph" w:styleId="Heading2">
    <w:name w:val="Heading 2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KeywordTok" w:customStyle="1">
    <w:name w:val="KeywordTok"/>
    <w:qFormat/>
    <w:rPr>
      <w:color w:val="204A87"/>
      <w:shd w:fill="F8F8F8" w:val="clear"/>
    </w:rPr>
  </w:style>
  <w:style w:type="character" w:styleId="DataTypeTok" w:customStyle="1">
    <w:name w:val="DataTypeTok"/>
    <w:qFormat/>
    <w:rPr>
      <w:color w:val="204A87"/>
      <w:shd w:fill="F8F8F8" w:val="clear"/>
    </w:rPr>
  </w:style>
  <w:style w:type="character" w:styleId="DecValTok" w:customStyle="1">
    <w:name w:val="DecValTok"/>
    <w:qFormat/>
    <w:rPr>
      <w:color w:val="0000CF"/>
      <w:shd w:fill="F8F8F8" w:val="clear"/>
    </w:rPr>
  </w:style>
  <w:style w:type="character" w:styleId="BaseNTok" w:customStyle="1">
    <w:name w:val="BaseNTok"/>
    <w:qFormat/>
    <w:rPr>
      <w:color w:val="0000CF"/>
      <w:shd w:fill="F8F8F8" w:val="clear"/>
    </w:rPr>
  </w:style>
  <w:style w:type="character" w:styleId="FloatTok" w:customStyle="1">
    <w:name w:val="FloatTok"/>
    <w:qFormat/>
    <w:rPr>
      <w:color w:val="0000CF"/>
      <w:shd w:fill="F8F8F8" w:val="clear"/>
    </w:rPr>
  </w:style>
  <w:style w:type="character" w:styleId="ConstantTok" w:customStyle="1">
    <w:name w:val="ConstantTok"/>
    <w:qFormat/>
    <w:rPr>
      <w:color w:val="000000"/>
      <w:shd w:fill="F8F8F8" w:val="clear"/>
    </w:rPr>
  </w:style>
  <w:style w:type="character" w:styleId="CharTok" w:customStyle="1">
    <w:name w:val="CharTok"/>
    <w:qFormat/>
    <w:rPr>
      <w:color w:val="4E9A06"/>
      <w:shd w:fill="F8F8F8" w:val="clear"/>
    </w:rPr>
  </w:style>
  <w:style w:type="character" w:styleId="SpecialCharTok" w:customStyle="1">
    <w:name w:val="SpecialCharTok"/>
    <w:qFormat/>
    <w:rPr>
      <w:color w:val="000000"/>
      <w:shd w:fill="F8F8F8" w:val="clear"/>
    </w:rPr>
  </w:style>
  <w:style w:type="character" w:styleId="StringTok" w:customStyle="1">
    <w:name w:val="StringTok"/>
    <w:qFormat/>
    <w:rPr>
      <w:color w:val="4E9A06"/>
      <w:shd w:fill="F8F8F8" w:val="clear"/>
    </w:rPr>
  </w:style>
  <w:style w:type="character" w:styleId="VerbatimStringTok" w:customStyle="1">
    <w:name w:val="VerbatimStringTok"/>
    <w:qFormat/>
    <w:rPr>
      <w:color w:val="4E9A06"/>
      <w:shd w:fill="F8F8F8" w:val="clear"/>
    </w:rPr>
  </w:style>
  <w:style w:type="character" w:styleId="SpecialStringTok" w:customStyle="1">
    <w:name w:val="SpecialStringTok"/>
    <w:qFormat/>
    <w:rPr>
      <w:color w:val="4E9A06"/>
      <w:shd w:fill="F8F8F8" w:val="clear"/>
    </w:rPr>
  </w:style>
  <w:style w:type="character" w:styleId="ImportTok" w:customStyle="1">
    <w:name w:val="ImportTok"/>
    <w:qFormat/>
    <w:rPr>
      <w:shd w:fill="F8F8F8" w:val="clear"/>
    </w:rPr>
  </w:style>
  <w:style w:type="character" w:styleId="CommentTok" w:customStyle="1">
    <w:name w:val="CommentTok"/>
    <w:qFormat/>
    <w:rPr>
      <w:i/>
      <w:color w:val="8F5902"/>
      <w:shd w:fill="F8F8F8" w:val="clear"/>
    </w:rPr>
  </w:style>
  <w:style w:type="character" w:styleId="DocumentationTok" w:customStyle="1">
    <w:name w:val="DocumentationTok"/>
    <w:qFormat/>
    <w:rPr>
      <w:i/>
      <w:color w:val="8F5902"/>
      <w:shd w:fill="F8F8F8" w:val="clear"/>
    </w:rPr>
  </w:style>
  <w:style w:type="character" w:styleId="AnnotationTok" w:customStyle="1">
    <w:name w:val="AnnotationTok"/>
    <w:qFormat/>
    <w:rPr>
      <w:i/>
      <w:color w:val="8F5902"/>
      <w:shd w:fill="F8F8F8" w:val="clear"/>
    </w:rPr>
  </w:style>
  <w:style w:type="character" w:styleId="CommentVarTok" w:customStyle="1">
    <w:name w:val="CommentVarTok"/>
    <w:qFormat/>
    <w:rPr>
      <w:i/>
      <w:color w:val="8F5902"/>
      <w:shd w:fill="F8F8F8" w:val="clear"/>
    </w:rPr>
  </w:style>
  <w:style w:type="character" w:styleId="OtherTok" w:customStyle="1">
    <w:name w:val="OtherTok"/>
    <w:qFormat/>
    <w:rPr>
      <w:color w:val="8F5902"/>
      <w:shd w:fill="F8F8F8" w:val="clear"/>
    </w:rPr>
  </w:style>
  <w:style w:type="character" w:styleId="FunctionTok" w:customStyle="1">
    <w:name w:val="FunctionTok"/>
    <w:qFormat/>
    <w:rPr>
      <w:color w:val="000000"/>
      <w:shd w:fill="F8F8F8" w:val="clear"/>
    </w:rPr>
  </w:style>
  <w:style w:type="character" w:styleId="VariableTok" w:customStyle="1">
    <w:name w:val="VariableTok"/>
    <w:qFormat/>
    <w:rPr>
      <w:color w:val="000000"/>
      <w:shd w:fill="F8F8F8" w:val="clear"/>
    </w:rPr>
  </w:style>
  <w:style w:type="character" w:styleId="ControlFlowTok" w:customStyle="1">
    <w:name w:val="ControlFlowTok"/>
    <w:qFormat/>
    <w:rPr>
      <w:color w:val="204A87"/>
      <w:shd w:fill="F8F8F8" w:val="clear"/>
    </w:rPr>
  </w:style>
  <w:style w:type="character" w:styleId="OperatorTok" w:customStyle="1">
    <w:name w:val="OperatorTok"/>
    <w:qFormat/>
    <w:rPr>
      <w:color w:val="CE5C00"/>
      <w:shd w:fill="F8F8F8" w:val="clear"/>
    </w:rPr>
  </w:style>
  <w:style w:type="character" w:styleId="BuiltInTok" w:customStyle="1">
    <w:name w:val="BuiltInTok"/>
    <w:qFormat/>
    <w:rPr>
      <w:shd w:fill="F8F8F8" w:val="clear"/>
    </w:rPr>
  </w:style>
  <w:style w:type="character" w:styleId="ExtensionTok" w:customStyle="1">
    <w:name w:val="ExtensionTok"/>
    <w:qFormat/>
    <w:rPr>
      <w:shd w:fill="F8F8F8" w:val="clear"/>
    </w:rPr>
  </w:style>
  <w:style w:type="character" w:styleId="PreprocessorTok" w:customStyle="1">
    <w:name w:val="PreprocessorTok"/>
    <w:qFormat/>
    <w:rPr>
      <w:i/>
      <w:color w:val="8F5902"/>
      <w:shd w:fill="F8F8F8" w:val="clear"/>
    </w:rPr>
  </w:style>
  <w:style w:type="character" w:styleId="AttributeTok" w:customStyle="1">
    <w:name w:val="AttributeTok"/>
    <w:qFormat/>
    <w:rPr>
      <w:color w:val="C4A000"/>
      <w:shd w:fill="F8F8F8" w:val="clear"/>
    </w:rPr>
  </w:style>
  <w:style w:type="character" w:styleId="RegionMarkerTok" w:customStyle="1">
    <w:name w:val="RegionMarkerTok"/>
    <w:qFormat/>
    <w:rPr>
      <w:shd w:fill="F8F8F8" w:val="clear"/>
    </w:rPr>
  </w:style>
  <w:style w:type="character" w:styleId="InformationTok" w:customStyle="1">
    <w:name w:val="InformationTok"/>
    <w:qFormat/>
    <w:rPr>
      <w:i/>
      <w:color w:val="8F5902"/>
      <w:shd w:fill="F8F8F8" w:val="clear"/>
    </w:rPr>
  </w:style>
  <w:style w:type="character" w:styleId="WarningTok" w:customStyle="1">
    <w:name w:val="WarningTok"/>
    <w:qFormat/>
    <w:rPr>
      <w:i/>
      <w:color w:val="8F5902"/>
      <w:shd w:fill="F8F8F8" w:val="clear"/>
    </w:rPr>
  </w:style>
  <w:style w:type="character" w:styleId="AlertTok" w:customStyle="1">
    <w:name w:val="AlertTok"/>
    <w:qFormat/>
    <w:rPr>
      <w:color w:val="EF2929"/>
      <w:shd w:fill="F8F8F8" w:val="clear"/>
    </w:rPr>
  </w:style>
  <w:style w:type="character" w:styleId="ErrorTok" w:customStyle="1">
    <w:name w:val="ErrorTok"/>
    <w:qFormat/>
    <w:rPr>
      <w:color w:val="A40000"/>
      <w:shd w:fill="F8F8F8" w:val="clear"/>
    </w:rPr>
  </w:style>
  <w:style w:type="character" w:styleId="NormalTok" w:customStyle="1">
    <w:name w:val="NormalTok"/>
    <w:qFormat/>
    <w:rPr>
      <w:shd w:fill="F8F8F8" w:val="clear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ableCaption" w:customStyle="1">
    <w:name w:val="Table Caption"/>
    <w:qFormat/>
    <w:pPr>
      <w:widowControl w:val="false"/>
    </w:pPr>
    <w:rPr>
      <w:rFonts w:ascii="Calibri" w:hAnsi="Calibri" w:eastAsia="Calibri" w:cs="" w:asciiTheme="minorHAnsi" w:cstheme="minorBidi" w:eastAsiaTheme="minorHAnsi" w:hAnsiTheme="minorHAnsi"/>
      <w:color w:val="auto"/>
      <w:sz w:val="24"/>
      <w:szCs w:val="24"/>
      <w:lang w:val="en-US" w:eastAsia="en-US" w:bidi="ar-SA"/>
    </w:rPr>
  </w:style>
  <w:style w:type="paragraph" w:styleId="SourceCode" w:customStyle="1">
    <w:name w:val="Source Code"/>
    <w:basedOn w:val="Normal"/>
    <w:link w:val="VerbatimChar"/>
    <w:qFormat/>
    <w:pPr>
      <w:shd w:val="clear" w:fill="F8F8F8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Application>LibreOffice/5.1.6.2$Linux_X86_64 LibreOffice_project/10m0$Build-2</Application>
  <Pages>12</Pages>
  <Words>1105</Words>
  <Characters>6790</Characters>
  <CharactersWithSpaces>7155</CharactersWithSpaces>
  <Paragraphs>745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2020-11-10T12:32:29Z</dcterms:created>
  <dc:creator/>
  <dc:description/>
  <dc:language>en-GB</dc:language>
  <cp:lastModifiedBy/>
  <dcterms:modified xsi:type="dcterms:W3CDTF">2020-11-24T13:40:50Z</dcterms:modified>
  <cp:revision>4</cp:revision>
  <dc:subject/>
  <dc:title/>
</cp:coreProperties>
</file>