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33815" w14:textId="7F40B35D" w:rsidR="00B33408" w:rsidRDefault="00AF640C">
      <w:r>
        <w:t>Nathan T. Scott</w:t>
      </w:r>
    </w:p>
    <w:p w14:paraId="2E88B850" w14:textId="6D18D626" w:rsidR="00AF640C" w:rsidRDefault="00AF640C" w:rsidP="00AF640C">
      <w:pPr>
        <w:pStyle w:val="Heading1"/>
        <w:jc w:val="center"/>
      </w:pPr>
      <w:r>
        <w:t>Client Portfolio Strategy</w:t>
      </w:r>
    </w:p>
    <w:p w14:paraId="5C637545" w14:textId="25E3D854" w:rsidR="00AF640C" w:rsidRDefault="00AF640C" w:rsidP="00AF640C">
      <w:pPr>
        <w:pStyle w:val="Heading2"/>
      </w:pPr>
      <w:r>
        <w:t>Client Profile</w:t>
      </w:r>
    </w:p>
    <w:p w14:paraId="537AF499" w14:textId="47BD400C" w:rsidR="00AF640C" w:rsidRDefault="00AF640C" w:rsidP="00AF640C">
      <w:r>
        <w:t xml:space="preserve">Age:35 </w:t>
      </w:r>
    </w:p>
    <w:p w14:paraId="65444255" w14:textId="7FECA069" w:rsidR="00AF640C" w:rsidRDefault="00AF640C" w:rsidP="00AF640C">
      <w:r>
        <w:t>Annual Income: 115,000, with an initial investment of 50k</w:t>
      </w:r>
    </w:p>
    <w:p w14:paraId="0EAA2A11" w14:textId="5E39812F" w:rsidR="00AF640C" w:rsidRDefault="00AF640C" w:rsidP="00AF640C">
      <w:r>
        <w:t>Moderate Risk</w:t>
      </w:r>
    </w:p>
    <w:p w14:paraId="185F293C" w14:textId="4E2B05C3" w:rsidR="00AF640C" w:rsidRDefault="00AF640C" w:rsidP="00AF640C">
      <w:r>
        <w:t>Goal: To retire in 30 years at the age of 65</w:t>
      </w:r>
    </w:p>
    <w:p w14:paraId="3D953A79" w14:textId="403EEF94" w:rsidR="00AF640C" w:rsidRDefault="00AF640C" w:rsidP="00AF640C">
      <w:pPr>
        <w:pStyle w:val="Heading2"/>
      </w:pPr>
      <w:r>
        <w:t>Strategy</w:t>
      </w:r>
    </w:p>
    <w:p w14:paraId="61CD091A" w14:textId="7B5F3689" w:rsidR="00AF640C" w:rsidRDefault="00AF640C" w:rsidP="00E541ED">
      <w:pPr>
        <w:ind w:firstLine="720"/>
      </w:pPr>
      <w:r>
        <w:t>The strategy to use to best target th</w:t>
      </w:r>
      <w:r w:rsidR="006F4F50">
        <w:t xml:space="preserve">e </w:t>
      </w:r>
      <w:r>
        <w:t xml:space="preserve">clients’ needs and goals is to focus on long-term growth. Risk can be balanced with a well-diversified asset allocation across </w:t>
      </w:r>
      <w:r w:rsidR="00F12225">
        <w:t>equities, bonds, and alternatives.</w:t>
      </w:r>
      <w:r w:rsidR="0013013E">
        <w:t xml:space="preserve"> The equity portion is positioned with a mix of short-term growth while keeping in mind the </w:t>
      </w:r>
      <w:r w:rsidR="003844CA">
        <w:t>clients’</w:t>
      </w:r>
      <w:r w:rsidR="0013013E">
        <w:t xml:space="preserve"> risk tolerance. </w:t>
      </w:r>
      <w:r w:rsidR="003844CA">
        <w:t xml:space="preserve">Investing in the Tech sector will give the best chance of high yield </w:t>
      </w:r>
      <w:r w:rsidR="00F40C53">
        <w:t>returns. Energy exposure</w:t>
      </w:r>
      <w:r w:rsidR="00AC2B38" w:rsidRPr="006465B5">
        <w:rPr>
          <w:color w:val="FF0000"/>
        </w:rPr>
        <w:t xml:space="preserve"> </w:t>
      </w:r>
      <w:r w:rsidR="00F40C53" w:rsidRPr="00F40C53">
        <w:t>may provide divide</w:t>
      </w:r>
      <w:r w:rsidR="00F40C53">
        <w:t xml:space="preserve">nd </w:t>
      </w:r>
      <w:r w:rsidR="00F40C53" w:rsidRPr="00F40C53">
        <w:t xml:space="preserve">income, Inflation sensitivity, and further diversity. </w:t>
      </w:r>
      <w:r w:rsidR="00F40C53">
        <w:rPr>
          <w:color w:val="FF0000"/>
        </w:rPr>
        <w:t xml:space="preserve"> </w:t>
      </w:r>
      <w:r w:rsidR="00F40C53">
        <w:t xml:space="preserve">International Exposure will further diversify the </w:t>
      </w:r>
      <w:r w:rsidR="0071521A">
        <w:t>client’s</w:t>
      </w:r>
      <w:r w:rsidR="00F40C53">
        <w:t xml:space="preserve"> positions</w:t>
      </w:r>
      <w:r w:rsidR="00C3743A">
        <w:t xml:space="preserve"> and promote long-term growth. </w:t>
      </w:r>
      <w:r w:rsidR="00221B26">
        <w:t>With the remaining investment we will create a safety net of diversity to ensure safe and long-term gains for the client. With defensive equities, Bonds, REITs</w:t>
      </w:r>
      <w:r w:rsidR="006B5585">
        <w:t xml:space="preserve"> </w:t>
      </w:r>
      <w:r w:rsidR="00221B26">
        <w:t>the client</w:t>
      </w:r>
      <w:r w:rsidR="00F40C53">
        <w:t>’s portfolio</w:t>
      </w:r>
      <w:r w:rsidR="00221B26">
        <w:t xml:space="preserve"> will be </w:t>
      </w:r>
      <w:r w:rsidR="00F40C53">
        <w:t>designed to reduce downside volatility during adverse market conditions.</w:t>
      </w:r>
    </w:p>
    <w:p w14:paraId="033B89D9" w14:textId="4DC799DD" w:rsidR="0013013E" w:rsidRDefault="0013013E" w:rsidP="00AF640C">
      <w:pPr>
        <w:rPr>
          <w:rStyle w:val="Heading2Char"/>
        </w:rPr>
      </w:pPr>
      <w:r>
        <w:rPr>
          <w:rStyle w:val="Heading2Char"/>
        </w:rPr>
        <w:t>Allocation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3"/>
        <w:gridCol w:w="931"/>
        <w:gridCol w:w="3536"/>
      </w:tblGrid>
      <w:tr w:rsidR="00E41BE1" w:rsidRPr="00E41BE1" w14:paraId="02B4C036" w14:textId="729411AC" w:rsidTr="00E41BE1">
        <w:trPr>
          <w:tblHeader/>
          <w:tblCellSpacing w:w="15" w:type="dxa"/>
        </w:trPr>
        <w:tc>
          <w:tcPr>
            <w:tcW w:w="1748" w:type="dxa"/>
            <w:tcBorders>
              <w:top w:val="single" w:sz="6" w:space="0" w:color="auto"/>
              <w:left w:val="single" w:sz="6" w:space="0" w:color="auto"/>
              <w:bottom w:val="single" w:sz="6" w:space="0" w:color="auto"/>
              <w:right w:val="single" w:sz="6" w:space="0" w:color="auto"/>
            </w:tcBorders>
            <w:vAlign w:val="center"/>
            <w:hideMark/>
          </w:tcPr>
          <w:p w14:paraId="382FD0DC" w14:textId="77777777" w:rsidR="00E41BE1" w:rsidRPr="00E41BE1" w:rsidRDefault="00E41BE1" w:rsidP="00E41BE1">
            <w:r w:rsidRPr="00E41BE1">
              <w:t>Asset Class</w:t>
            </w:r>
          </w:p>
        </w:tc>
        <w:tc>
          <w:tcPr>
            <w:tcW w:w="901" w:type="dxa"/>
            <w:tcBorders>
              <w:top w:val="single" w:sz="6" w:space="0" w:color="auto"/>
              <w:left w:val="single" w:sz="6" w:space="0" w:color="auto"/>
              <w:bottom w:val="single" w:sz="6" w:space="0" w:color="auto"/>
              <w:right w:val="single" w:sz="6" w:space="0" w:color="auto"/>
            </w:tcBorders>
            <w:vAlign w:val="center"/>
            <w:hideMark/>
          </w:tcPr>
          <w:p w14:paraId="1D6C53E7" w14:textId="77777777" w:rsidR="00E41BE1" w:rsidRPr="00E41BE1" w:rsidRDefault="00E41BE1" w:rsidP="00E41BE1">
            <w:r w:rsidRPr="00E41BE1">
              <w:t>Weight</w:t>
            </w:r>
          </w:p>
        </w:tc>
        <w:tc>
          <w:tcPr>
            <w:tcW w:w="3491" w:type="dxa"/>
            <w:tcBorders>
              <w:top w:val="single" w:sz="6" w:space="0" w:color="auto"/>
              <w:left w:val="single" w:sz="6" w:space="0" w:color="auto"/>
              <w:bottom w:val="single" w:sz="6" w:space="0" w:color="auto"/>
              <w:right w:val="single" w:sz="6" w:space="0" w:color="auto"/>
            </w:tcBorders>
            <w:vAlign w:val="center"/>
            <w:hideMark/>
          </w:tcPr>
          <w:p w14:paraId="5FDB7F6F" w14:textId="77777777" w:rsidR="00E41BE1" w:rsidRPr="00E41BE1" w:rsidRDefault="00E41BE1" w:rsidP="00E41BE1">
            <w:r w:rsidRPr="00E41BE1">
              <w:t>Key Holdings</w:t>
            </w:r>
          </w:p>
        </w:tc>
      </w:tr>
      <w:tr w:rsidR="00E41BE1" w:rsidRPr="00E41BE1" w14:paraId="5A9C7FE1" w14:textId="5F81B76A" w:rsidTr="00E41BE1">
        <w:trPr>
          <w:tblCellSpacing w:w="15" w:type="dxa"/>
        </w:trPr>
        <w:tc>
          <w:tcPr>
            <w:tcW w:w="1748" w:type="dxa"/>
            <w:tcBorders>
              <w:top w:val="single" w:sz="6" w:space="0" w:color="auto"/>
              <w:left w:val="single" w:sz="6" w:space="0" w:color="auto"/>
              <w:bottom w:val="single" w:sz="6" w:space="0" w:color="auto"/>
              <w:right w:val="single" w:sz="6" w:space="0" w:color="auto"/>
            </w:tcBorders>
            <w:vAlign w:val="center"/>
            <w:hideMark/>
          </w:tcPr>
          <w:p w14:paraId="6B3E86E5" w14:textId="77777777" w:rsidR="00E41BE1" w:rsidRPr="00E41BE1" w:rsidRDefault="00E41BE1" w:rsidP="00E41BE1">
            <w:r w:rsidRPr="00E41BE1">
              <w:t>Equities</w:t>
            </w:r>
          </w:p>
        </w:tc>
        <w:tc>
          <w:tcPr>
            <w:tcW w:w="901" w:type="dxa"/>
            <w:tcBorders>
              <w:top w:val="single" w:sz="6" w:space="0" w:color="auto"/>
              <w:left w:val="single" w:sz="6" w:space="0" w:color="auto"/>
              <w:bottom w:val="single" w:sz="6" w:space="0" w:color="auto"/>
              <w:right w:val="single" w:sz="6" w:space="0" w:color="auto"/>
            </w:tcBorders>
            <w:vAlign w:val="center"/>
            <w:hideMark/>
          </w:tcPr>
          <w:p w14:paraId="58C9F0A2" w14:textId="5C9A1DAD" w:rsidR="00E41BE1" w:rsidRPr="00E41BE1" w:rsidRDefault="00E41BE1" w:rsidP="00E41BE1">
            <w:r w:rsidRPr="00E41BE1">
              <w:t>6</w:t>
            </w:r>
            <w:r w:rsidR="00FC442E">
              <w:t>5</w:t>
            </w:r>
            <w:r w:rsidRPr="00E41BE1">
              <w:t>%</w:t>
            </w:r>
          </w:p>
        </w:tc>
        <w:tc>
          <w:tcPr>
            <w:tcW w:w="3491" w:type="dxa"/>
            <w:tcBorders>
              <w:top w:val="single" w:sz="6" w:space="0" w:color="auto"/>
              <w:left w:val="single" w:sz="6" w:space="0" w:color="auto"/>
              <w:bottom w:val="single" w:sz="6" w:space="0" w:color="auto"/>
              <w:right w:val="single" w:sz="6" w:space="0" w:color="auto"/>
            </w:tcBorders>
            <w:vAlign w:val="center"/>
            <w:hideMark/>
          </w:tcPr>
          <w:p w14:paraId="562167EB" w14:textId="72FECA96" w:rsidR="00E41BE1" w:rsidRPr="00E41BE1" w:rsidRDefault="0071521A" w:rsidP="00E41BE1">
            <w:r>
              <w:t xml:space="preserve">VOO, </w:t>
            </w:r>
            <w:r w:rsidR="00E41BE1" w:rsidRPr="00E41BE1">
              <w:t>Apple, Nvidia, Micron, Exxon, P&amp;G, J&amp;J</w:t>
            </w:r>
            <w:r w:rsidR="00E41BE1">
              <w:t>,</w:t>
            </w:r>
          </w:p>
        </w:tc>
      </w:tr>
      <w:tr w:rsidR="00E41BE1" w:rsidRPr="00E41BE1" w14:paraId="0698A9DE" w14:textId="26B63E6D" w:rsidTr="00E41BE1">
        <w:trPr>
          <w:tblCellSpacing w:w="15" w:type="dxa"/>
        </w:trPr>
        <w:tc>
          <w:tcPr>
            <w:tcW w:w="1748" w:type="dxa"/>
            <w:tcBorders>
              <w:top w:val="single" w:sz="6" w:space="0" w:color="auto"/>
              <w:left w:val="single" w:sz="6" w:space="0" w:color="auto"/>
              <w:bottom w:val="single" w:sz="6" w:space="0" w:color="auto"/>
              <w:right w:val="single" w:sz="6" w:space="0" w:color="auto"/>
            </w:tcBorders>
            <w:vAlign w:val="center"/>
            <w:hideMark/>
          </w:tcPr>
          <w:p w14:paraId="40E2CEF4" w14:textId="77777777" w:rsidR="00E41BE1" w:rsidRPr="00E41BE1" w:rsidRDefault="00E41BE1" w:rsidP="00E41BE1">
            <w:r w:rsidRPr="00E41BE1">
              <w:t>Fixed Income</w:t>
            </w:r>
          </w:p>
        </w:tc>
        <w:tc>
          <w:tcPr>
            <w:tcW w:w="901" w:type="dxa"/>
            <w:tcBorders>
              <w:top w:val="single" w:sz="6" w:space="0" w:color="auto"/>
              <w:left w:val="single" w:sz="6" w:space="0" w:color="auto"/>
              <w:bottom w:val="single" w:sz="6" w:space="0" w:color="auto"/>
              <w:right w:val="single" w:sz="6" w:space="0" w:color="auto"/>
            </w:tcBorders>
            <w:vAlign w:val="center"/>
            <w:hideMark/>
          </w:tcPr>
          <w:p w14:paraId="582A35EA" w14:textId="77777777" w:rsidR="00E41BE1" w:rsidRPr="00E41BE1" w:rsidRDefault="00E41BE1" w:rsidP="00E41BE1">
            <w:r w:rsidRPr="00E41BE1">
              <w:t>25%</w:t>
            </w:r>
          </w:p>
        </w:tc>
        <w:tc>
          <w:tcPr>
            <w:tcW w:w="3491" w:type="dxa"/>
            <w:tcBorders>
              <w:top w:val="single" w:sz="6" w:space="0" w:color="auto"/>
              <w:left w:val="single" w:sz="6" w:space="0" w:color="auto"/>
              <w:bottom w:val="single" w:sz="6" w:space="0" w:color="auto"/>
              <w:right w:val="single" w:sz="6" w:space="0" w:color="auto"/>
            </w:tcBorders>
            <w:vAlign w:val="center"/>
            <w:hideMark/>
          </w:tcPr>
          <w:p w14:paraId="66633297" w14:textId="77777777" w:rsidR="00E41BE1" w:rsidRPr="00E41BE1" w:rsidRDefault="00E41BE1" w:rsidP="00E41BE1">
            <w:r w:rsidRPr="00E41BE1">
              <w:t>U.S. Treasuries, Investment Grade Corporates</w:t>
            </w:r>
          </w:p>
        </w:tc>
      </w:tr>
      <w:tr w:rsidR="00E41BE1" w:rsidRPr="00E41BE1" w14:paraId="55D06E7A" w14:textId="4141A0CD" w:rsidTr="00E41BE1">
        <w:trPr>
          <w:tblCellSpacing w:w="15" w:type="dxa"/>
        </w:trPr>
        <w:tc>
          <w:tcPr>
            <w:tcW w:w="1748" w:type="dxa"/>
            <w:tcBorders>
              <w:top w:val="single" w:sz="6" w:space="0" w:color="auto"/>
              <w:left w:val="single" w:sz="6" w:space="0" w:color="auto"/>
              <w:bottom w:val="single" w:sz="6" w:space="0" w:color="auto"/>
              <w:right w:val="single" w:sz="6" w:space="0" w:color="auto"/>
            </w:tcBorders>
            <w:vAlign w:val="center"/>
            <w:hideMark/>
          </w:tcPr>
          <w:p w14:paraId="29B9696A" w14:textId="737F6F58" w:rsidR="00E41BE1" w:rsidRPr="00E41BE1" w:rsidRDefault="00E41BE1" w:rsidP="00E41BE1">
            <w:r w:rsidRPr="00E41BE1">
              <w:t>Real Assets</w:t>
            </w:r>
            <w:r>
              <w:t xml:space="preserve"> </w:t>
            </w:r>
          </w:p>
        </w:tc>
        <w:tc>
          <w:tcPr>
            <w:tcW w:w="901" w:type="dxa"/>
            <w:tcBorders>
              <w:top w:val="single" w:sz="6" w:space="0" w:color="auto"/>
              <w:left w:val="single" w:sz="6" w:space="0" w:color="auto"/>
              <w:bottom w:val="single" w:sz="6" w:space="0" w:color="auto"/>
              <w:right w:val="single" w:sz="6" w:space="0" w:color="auto"/>
            </w:tcBorders>
            <w:vAlign w:val="center"/>
            <w:hideMark/>
          </w:tcPr>
          <w:p w14:paraId="490DD116" w14:textId="046D72A2" w:rsidR="00E41BE1" w:rsidRPr="00E41BE1" w:rsidRDefault="00FC442E" w:rsidP="00E41BE1">
            <w:r>
              <w:t>5</w:t>
            </w:r>
            <w:r w:rsidR="00E41BE1" w:rsidRPr="00E41BE1">
              <w:t>%</w:t>
            </w:r>
          </w:p>
        </w:tc>
        <w:tc>
          <w:tcPr>
            <w:tcW w:w="3491" w:type="dxa"/>
            <w:tcBorders>
              <w:top w:val="single" w:sz="6" w:space="0" w:color="auto"/>
              <w:left w:val="single" w:sz="6" w:space="0" w:color="auto"/>
              <w:bottom w:val="single" w:sz="6" w:space="0" w:color="auto"/>
              <w:right w:val="single" w:sz="6" w:space="0" w:color="auto"/>
            </w:tcBorders>
            <w:vAlign w:val="center"/>
            <w:hideMark/>
          </w:tcPr>
          <w:p w14:paraId="321B2112" w14:textId="0B02B455" w:rsidR="00E41BE1" w:rsidRPr="00E41BE1" w:rsidRDefault="00E41BE1" w:rsidP="00E41BE1">
            <w:r w:rsidRPr="00E41BE1">
              <w:t>REITs</w:t>
            </w:r>
          </w:p>
        </w:tc>
      </w:tr>
      <w:tr w:rsidR="00E41BE1" w:rsidRPr="00E41BE1" w14:paraId="3FEC787F" w14:textId="2F1A4424" w:rsidTr="00E41BE1">
        <w:trPr>
          <w:tblCellSpacing w:w="15" w:type="dxa"/>
        </w:trPr>
        <w:tc>
          <w:tcPr>
            <w:tcW w:w="1748" w:type="dxa"/>
            <w:tcBorders>
              <w:top w:val="single" w:sz="6" w:space="0" w:color="auto"/>
              <w:left w:val="single" w:sz="6" w:space="0" w:color="auto"/>
              <w:bottom w:val="single" w:sz="6" w:space="0" w:color="auto"/>
              <w:right w:val="single" w:sz="6" w:space="0" w:color="auto"/>
            </w:tcBorders>
            <w:vAlign w:val="center"/>
            <w:hideMark/>
          </w:tcPr>
          <w:p w14:paraId="382B2E57" w14:textId="77777777" w:rsidR="00E41BE1" w:rsidRPr="00E41BE1" w:rsidRDefault="00E41BE1" w:rsidP="00E41BE1">
            <w:r w:rsidRPr="00E41BE1">
              <w:t>Cash/Liquidity</w:t>
            </w:r>
          </w:p>
        </w:tc>
        <w:tc>
          <w:tcPr>
            <w:tcW w:w="901" w:type="dxa"/>
            <w:tcBorders>
              <w:top w:val="single" w:sz="6" w:space="0" w:color="auto"/>
              <w:left w:val="single" w:sz="6" w:space="0" w:color="auto"/>
              <w:bottom w:val="single" w:sz="6" w:space="0" w:color="auto"/>
              <w:right w:val="single" w:sz="6" w:space="0" w:color="auto"/>
            </w:tcBorders>
            <w:vAlign w:val="center"/>
            <w:hideMark/>
          </w:tcPr>
          <w:p w14:paraId="6B9D8849" w14:textId="77777777" w:rsidR="00E41BE1" w:rsidRPr="00E41BE1" w:rsidRDefault="00E41BE1" w:rsidP="00E41BE1">
            <w:r w:rsidRPr="00E41BE1">
              <w:t>5%</w:t>
            </w:r>
          </w:p>
        </w:tc>
        <w:tc>
          <w:tcPr>
            <w:tcW w:w="3491" w:type="dxa"/>
            <w:tcBorders>
              <w:top w:val="single" w:sz="6" w:space="0" w:color="auto"/>
              <w:left w:val="single" w:sz="6" w:space="0" w:color="auto"/>
              <w:bottom w:val="single" w:sz="6" w:space="0" w:color="auto"/>
              <w:right w:val="single" w:sz="6" w:space="0" w:color="auto"/>
            </w:tcBorders>
            <w:vAlign w:val="center"/>
            <w:hideMark/>
          </w:tcPr>
          <w:p w14:paraId="158239B4" w14:textId="77777777" w:rsidR="00E41BE1" w:rsidRPr="00E41BE1" w:rsidRDefault="00E41BE1" w:rsidP="00E41BE1">
            <w:r w:rsidRPr="00E41BE1">
              <w:t>Money Market</w:t>
            </w:r>
          </w:p>
        </w:tc>
      </w:tr>
    </w:tbl>
    <w:p w14:paraId="37E9E482" w14:textId="77777777" w:rsidR="00E41BE1" w:rsidRDefault="00E41BE1" w:rsidP="00AF640C">
      <w:pPr>
        <w:rPr>
          <w:rStyle w:val="Heading2Char"/>
        </w:rPr>
      </w:pPr>
    </w:p>
    <w:p w14:paraId="7C84506A" w14:textId="30A6F3E0" w:rsidR="0013013E" w:rsidRDefault="00F12225" w:rsidP="00AF640C">
      <w:r w:rsidRPr="0013013E">
        <w:rPr>
          <w:b/>
          <w:bCs/>
        </w:rPr>
        <w:lastRenderedPageBreak/>
        <w:t xml:space="preserve"> 6</w:t>
      </w:r>
      <w:r w:rsidR="00F45296">
        <w:rPr>
          <w:b/>
          <w:bCs/>
        </w:rPr>
        <w:t>5</w:t>
      </w:r>
      <w:r w:rsidRPr="0013013E">
        <w:rPr>
          <w:b/>
          <w:bCs/>
        </w:rPr>
        <w:t xml:space="preserve">% of the initial investment will go into </w:t>
      </w:r>
      <w:r w:rsidR="0013013E" w:rsidRPr="0013013E">
        <w:rPr>
          <w:b/>
          <w:bCs/>
        </w:rPr>
        <w:t>equit</w:t>
      </w:r>
      <w:r w:rsidR="0013013E">
        <w:rPr>
          <w:b/>
          <w:bCs/>
        </w:rPr>
        <w:t>y.</w:t>
      </w:r>
      <w:r w:rsidRPr="006F4F50">
        <w:t xml:space="preserve"> </w:t>
      </w:r>
    </w:p>
    <w:p w14:paraId="13F2ECBC" w14:textId="58B2485F" w:rsidR="00755642" w:rsidRDefault="00755642" w:rsidP="00755642">
      <w:pPr>
        <w:pStyle w:val="ListParagraph"/>
        <w:numPr>
          <w:ilvl w:val="0"/>
          <w:numId w:val="1"/>
        </w:numPr>
      </w:pPr>
      <w:r>
        <w:t xml:space="preserve">20% allocated to an S&amp;P tracking ETF such as </w:t>
      </w:r>
      <w:r w:rsidRPr="00F45296">
        <w:rPr>
          <w:b/>
          <w:bCs/>
        </w:rPr>
        <w:t>VOO</w:t>
      </w:r>
    </w:p>
    <w:p w14:paraId="78B32230" w14:textId="1F167EC1" w:rsidR="00755642" w:rsidRDefault="00755642" w:rsidP="00755642">
      <w:pPr>
        <w:pStyle w:val="ListParagraph"/>
        <w:numPr>
          <w:ilvl w:val="0"/>
          <w:numId w:val="1"/>
        </w:numPr>
      </w:pPr>
      <w:r>
        <w:t>1</w:t>
      </w:r>
      <w:r w:rsidR="00F45296">
        <w:t>5</w:t>
      </w:r>
      <w:r>
        <w:t xml:space="preserve">% allocated to international exposure such as </w:t>
      </w:r>
      <w:r w:rsidRPr="00F45296">
        <w:rPr>
          <w:b/>
          <w:bCs/>
        </w:rPr>
        <w:t xml:space="preserve">VXUS </w:t>
      </w:r>
      <w:r>
        <w:t xml:space="preserve">or </w:t>
      </w:r>
      <w:r w:rsidRPr="00F45296">
        <w:rPr>
          <w:b/>
          <w:bCs/>
        </w:rPr>
        <w:t>VEA</w:t>
      </w:r>
    </w:p>
    <w:p w14:paraId="58745C78" w14:textId="64EF2566" w:rsidR="00755642" w:rsidRDefault="00755642" w:rsidP="00755642">
      <w:pPr>
        <w:pStyle w:val="ListParagraph"/>
        <w:numPr>
          <w:ilvl w:val="0"/>
          <w:numId w:val="1"/>
        </w:numPr>
      </w:pPr>
      <w:r>
        <w:t xml:space="preserve">10% allocated to tech stocks (5% </w:t>
      </w:r>
      <w:r w:rsidRPr="00F45296">
        <w:rPr>
          <w:b/>
          <w:bCs/>
        </w:rPr>
        <w:t>Apple</w:t>
      </w:r>
      <w:r>
        <w:t>, 3% Nvidia, 2%Micron</w:t>
      </w:r>
      <w:r w:rsidR="00FC442E">
        <w:t xml:space="preserve"> Technology</w:t>
      </w:r>
      <w:r>
        <w:t>)</w:t>
      </w:r>
    </w:p>
    <w:p w14:paraId="146EC9AF" w14:textId="08563CB2" w:rsidR="00755642" w:rsidRDefault="00755642" w:rsidP="00755642">
      <w:pPr>
        <w:pStyle w:val="ListParagraph"/>
        <w:numPr>
          <w:ilvl w:val="0"/>
          <w:numId w:val="1"/>
        </w:numPr>
      </w:pPr>
      <w:r>
        <w:t xml:space="preserve">10% allocated to the energy </w:t>
      </w:r>
      <w:r w:rsidR="00F45296">
        <w:t>Sector (5</w:t>
      </w:r>
      <w:r>
        <w:t>% ExxonMobil, 2.5% Valero, 2.5 % Eaton)</w:t>
      </w:r>
    </w:p>
    <w:p w14:paraId="18486ECD" w14:textId="65A3BDBC" w:rsidR="00755642" w:rsidRDefault="00F45296" w:rsidP="00755642">
      <w:pPr>
        <w:pStyle w:val="ListParagraph"/>
        <w:numPr>
          <w:ilvl w:val="0"/>
          <w:numId w:val="1"/>
        </w:numPr>
      </w:pPr>
      <w:r>
        <w:t xml:space="preserve">10% Defensive/Dividend focused Stocks (3% </w:t>
      </w:r>
      <w:r w:rsidRPr="0013013E">
        <w:rPr>
          <w:i/>
          <w:iCs/>
        </w:rPr>
        <w:t>Johnson &amp; Johnson</w:t>
      </w:r>
      <w:r>
        <w:rPr>
          <w:i/>
          <w:iCs/>
        </w:rPr>
        <w:t xml:space="preserve">, 3% Procter &amp; Gamble, 2% </w:t>
      </w:r>
      <w:r w:rsidR="00FC442E">
        <w:rPr>
          <w:i/>
          <w:iCs/>
        </w:rPr>
        <w:t>PepsiCo</w:t>
      </w:r>
      <w:r>
        <w:rPr>
          <w:i/>
          <w:iCs/>
        </w:rPr>
        <w:t>, 2% Energy Transfer)</w:t>
      </w:r>
    </w:p>
    <w:p w14:paraId="72714367" w14:textId="26228968" w:rsidR="0013013E" w:rsidRPr="0013013E" w:rsidRDefault="002824D8" w:rsidP="00AF640C">
      <w:pPr>
        <w:rPr>
          <w:b/>
          <w:bCs/>
        </w:rPr>
      </w:pPr>
      <w:r w:rsidRPr="0013013E">
        <w:rPr>
          <w:b/>
          <w:bCs/>
        </w:rPr>
        <w:t>25% of the</w:t>
      </w:r>
      <w:r w:rsidR="0013013E" w:rsidRPr="0013013E">
        <w:rPr>
          <w:b/>
          <w:bCs/>
        </w:rPr>
        <w:t xml:space="preserve"> </w:t>
      </w:r>
      <w:r w:rsidRPr="0013013E">
        <w:rPr>
          <w:b/>
          <w:bCs/>
        </w:rPr>
        <w:t xml:space="preserve">initial investment will be placed into </w:t>
      </w:r>
      <w:r w:rsidR="00660D02">
        <w:rPr>
          <w:b/>
          <w:bCs/>
        </w:rPr>
        <w:t>Fixed Income (Bonds)</w:t>
      </w:r>
      <w:r w:rsidR="0013013E" w:rsidRPr="0013013E">
        <w:rPr>
          <w:b/>
          <w:bCs/>
        </w:rPr>
        <w:t>.</w:t>
      </w:r>
    </w:p>
    <w:p w14:paraId="7DCA8C72" w14:textId="77777777" w:rsidR="0013013E" w:rsidRPr="0013013E" w:rsidRDefault="002824D8" w:rsidP="00221B26">
      <w:pPr>
        <w:ind w:firstLine="720"/>
        <w:rPr>
          <w:i/>
          <w:iCs/>
        </w:rPr>
      </w:pPr>
      <w:r>
        <w:t xml:space="preserve"> </w:t>
      </w:r>
      <w:r w:rsidRPr="0013013E">
        <w:rPr>
          <w:i/>
          <w:iCs/>
        </w:rPr>
        <w:t xml:space="preserve">(15% U.S. intermediate term Treasuries, 10% Investment Grade Corporate Bonds) </w:t>
      </w:r>
    </w:p>
    <w:p w14:paraId="39042263" w14:textId="5DCF6522" w:rsidR="0013013E" w:rsidRPr="0013013E" w:rsidRDefault="00F45296" w:rsidP="00AF640C">
      <w:pPr>
        <w:rPr>
          <w:b/>
          <w:bCs/>
        </w:rPr>
      </w:pPr>
      <w:r>
        <w:rPr>
          <w:b/>
          <w:bCs/>
        </w:rPr>
        <w:t>5</w:t>
      </w:r>
      <w:r w:rsidR="002824D8" w:rsidRPr="0013013E">
        <w:rPr>
          <w:b/>
          <w:bCs/>
        </w:rPr>
        <w:t xml:space="preserve">% </w:t>
      </w:r>
      <w:r w:rsidR="0013013E" w:rsidRPr="0013013E">
        <w:rPr>
          <w:b/>
          <w:bCs/>
        </w:rPr>
        <w:t xml:space="preserve">of the initial investment will be placed in </w:t>
      </w:r>
      <w:r w:rsidR="002824D8" w:rsidRPr="0013013E">
        <w:rPr>
          <w:b/>
          <w:bCs/>
        </w:rPr>
        <w:t xml:space="preserve">Real Assets </w:t>
      </w:r>
    </w:p>
    <w:p w14:paraId="70F03DBC" w14:textId="75F63860" w:rsidR="00AF640C" w:rsidRPr="0013013E" w:rsidRDefault="002824D8" w:rsidP="00221B26">
      <w:pPr>
        <w:ind w:firstLine="720"/>
        <w:rPr>
          <w:i/>
          <w:iCs/>
        </w:rPr>
      </w:pPr>
      <w:r w:rsidRPr="0013013E">
        <w:rPr>
          <w:i/>
          <w:iCs/>
        </w:rPr>
        <w:t>(</w:t>
      </w:r>
      <w:r w:rsidR="0013013E" w:rsidRPr="0013013E">
        <w:rPr>
          <w:i/>
          <w:iCs/>
        </w:rPr>
        <w:t>5</w:t>
      </w:r>
      <w:r w:rsidRPr="0013013E">
        <w:rPr>
          <w:i/>
          <w:iCs/>
        </w:rPr>
        <w:t>% REI</w:t>
      </w:r>
      <w:r w:rsidR="0071521A">
        <w:rPr>
          <w:i/>
          <w:iCs/>
        </w:rPr>
        <w:t>T for further diversification an ETF such as VNQ could be consider</w:t>
      </w:r>
      <w:r w:rsidR="00F45296">
        <w:rPr>
          <w:i/>
          <w:iCs/>
        </w:rPr>
        <w:t>ed)</w:t>
      </w:r>
    </w:p>
    <w:p w14:paraId="73304572" w14:textId="0FAF74F1" w:rsidR="0013013E" w:rsidRPr="0013013E" w:rsidRDefault="0013013E" w:rsidP="00AF640C">
      <w:pPr>
        <w:rPr>
          <w:b/>
          <w:bCs/>
        </w:rPr>
      </w:pPr>
      <w:r w:rsidRPr="0013013E">
        <w:rPr>
          <w:b/>
          <w:bCs/>
        </w:rPr>
        <w:t>5% of the initial Investment will be held liquid.</w:t>
      </w:r>
    </w:p>
    <w:p w14:paraId="21890FF5" w14:textId="1F4E02F4" w:rsidR="0013013E" w:rsidRPr="0013013E" w:rsidRDefault="0013013E" w:rsidP="00221B26">
      <w:pPr>
        <w:ind w:firstLine="720"/>
        <w:rPr>
          <w:i/>
          <w:iCs/>
        </w:rPr>
      </w:pPr>
      <w:r w:rsidRPr="0013013E">
        <w:rPr>
          <w:i/>
          <w:iCs/>
        </w:rPr>
        <w:t>(Money Market, High-Yield Savings)</w:t>
      </w:r>
    </w:p>
    <w:p w14:paraId="3F5B761A" w14:textId="3A566D5D" w:rsidR="00AF640C" w:rsidRDefault="00AF640C" w:rsidP="006F4F50">
      <w:pPr>
        <w:pStyle w:val="Heading2"/>
      </w:pPr>
      <w:r>
        <w:t>Rationale:</w:t>
      </w:r>
    </w:p>
    <w:p w14:paraId="490BC4AE" w14:textId="596F928D" w:rsidR="00AC2B38" w:rsidRDefault="00FC442E" w:rsidP="00FC442E">
      <w:pPr>
        <w:ind w:firstLine="720"/>
      </w:pPr>
      <w:r>
        <w:t>This diversified portfolio is designed to provide a balance between long term growth and capital preservation. Given the client’s 30</w:t>
      </w:r>
      <w:r w:rsidR="00D16373">
        <w:t>-</w:t>
      </w:r>
      <w:r>
        <w:t>year horizon, the portfolio is positioned to benefit from compounding returns while maintaining appropriate diversification to reduce overall portfolio volatility.</w:t>
      </w:r>
      <w:r w:rsidR="00C33CCE">
        <w:t xml:space="preserve"> </w:t>
      </w:r>
      <w:r w:rsidR="00C33CCE" w:rsidRPr="00C33CCE">
        <w:t>Allocation to international equities through VXUS or VEA enhances geographic diversification by reducing reliance on the U.S. market. This exposure allows the portfolio to benefit from global economic growth across developed and select international markets</w:t>
      </w:r>
      <w:r w:rsidR="00C33CCE">
        <w:t xml:space="preserve">. This provides increased long term growth </w:t>
      </w:r>
      <w:r w:rsidR="004335DC">
        <w:t>potential,</w:t>
      </w:r>
      <w:r w:rsidR="00C33CCE">
        <w:t xml:space="preserve"> and the portfolio will be more stable during declining U.S. Market conditions. </w:t>
      </w:r>
      <w:r>
        <w:t xml:space="preserve">The technology allocation focuses on companies with strong competitive positioning and </w:t>
      </w:r>
      <w:r w:rsidR="004335DC">
        <w:t>long-term</w:t>
      </w:r>
      <w:r>
        <w:t xml:space="preserve"> growth drivers. Apple provides stability through its established ecosystem, strong balance sheet, and consistent cash flow generation. Nvidia and Micron Technology offer exposure to increasing demand for artificial intelligence infrastructure, semiconductor development, and data center expansion. The energy allocation provides exposure to dividend income, inflation protection, and global energy demand. Exxon Mobil and Valero offer exposure to traditional energy markets, while Eaton provides diversification through electrical infrastructure and industrial exposure tied to growing energy and power demand. The defensive equity allocation emphasizes companies with historically stable earnings, strong dividend histories, and resilient business models during economic downturns. Companies such as Procter &amp; Gamble, Johnson &amp; Johnson, and PepsiCo provide exposure to consumer </w:t>
      </w:r>
      <w:r>
        <w:lastRenderedPageBreak/>
        <w:t xml:space="preserve">staples and healthcare sectors, which tend to perform more consistently during periods of market volatility. Fixed income investments strengthen the portfolio’s stability by reducing downside risk and providing predictable income streams. Real assets such as REITs further diversify the portfolio and may provide protection against inflationary pressures. </w:t>
      </w:r>
      <w:r w:rsidR="00660D02">
        <w:t xml:space="preserve">A 5% liquid holding provides flexibility for future investing opportunities. </w:t>
      </w:r>
      <w:r w:rsidR="004103DA">
        <w:t xml:space="preserve">The diverse allocation of the </w:t>
      </w:r>
      <w:r w:rsidR="0013013E">
        <w:t>client’s</w:t>
      </w:r>
      <w:r w:rsidR="004103DA">
        <w:t xml:space="preserve"> initial investment will serve as a strong foundation and mix of risk and safety.</w:t>
      </w:r>
      <w:r w:rsidR="0013013E">
        <w:t xml:space="preserve"> With 30 years till retirement the client is positioned to benefit from the compounding of equity growth </w:t>
      </w:r>
      <w:r w:rsidR="003844CA">
        <w:t xml:space="preserve">while maintaining a safety net of downturn in the market through Bonds, Real Assets, and Alternatives. </w:t>
      </w:r>
    </w:p>
    <w:p w14:paraId="5A8C4282" w14:textId="0E1E0796" w:rsidR="00AF640C" w:rsidRDefault="00AF640C" w:rsidP="006F4F50">
      <w:pPr>
        <w:pStyle w:val="Heading2"/>
      </w:pPr>
      <w:r>
        <w:t>Risk:</w:t>
      </w:r>
    </w:p>
    <w:p w14:paraId="08EDFD4F" w14:textId="10861AB7" w:rsidR="00AF640C" w:rsidRDefault="00755642" w:rsidP="00755642">
      <w:pPr>
        <w:ind w:firstLine="720"/>
      </w:pPr>
      <w:r>
        <w:t>The primary risks within this portfolio come from exposure to technology and energy equities, which may experience elevated volatility during periods of economic uncertainty, rising interest rates, or sector-specific downturns. Technology companies, while offering strong growth potential, are more sensitive to valuation compression and changing market sentiment. Energy investments may be affected by fluctuations in commodity prices, geopolitical developments, and changes in global energy demand. Additionally, fixed income investments are subject to interest rate risk, particularly during periods of rising rates. Despite these risks, the portfolio’s diversified structure across multiple sectors and asset classes reduces concentration risk and improves long term risk adjusted returns. The allocation is designed to align with the client’s moderate risk tolerance and long-term retirement objectives.</w:t>
      </w:r>
    </w:p>
    <w:sectPr w:rsidR="00AF64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9D1935"/>
    <w:multiLevelType w:val="hybridMultilevel"/>
    <w:tmpl w:val="60BA1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95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40C"/>
    <w:rsid w:val="000A1593"/>
    <w:rsid w:val="0013013E"/>
    <w:rsid w:val="00221B26"/>
    <w:rsid w:val="002824D8"/>
    <w:rsid w:val="002E4A1A"/>
    <w:rsid w:val="003844CA"/>
    <w:rsid w:val="004103DA"/>
    <w:rsid w:val="004335DC"/>
    <w:rsid w:val="00492C5B"/>
    <w:rsid w:val="004D3B1C"/>
    <w:rsid w:val="006465B5"/>
    <w:rsid w:val="00650A70"/>
    <w:rsid w:val="00660D02"/>
    <w:rsid w:val="006B5585"/>
    <w:rsid w:val="006F4F50"/>
    <w:rsid w:val="0071521A"/>
    <w:rsid w:val="007269D7"/>
    <w:rsid w:val="00755642"/>
    <w:rsid w:val="00AC2B38"/>
    <w:rsid w:val="00AF0E82"/>
    <w:rsid w:val="00AF640C"/>
    <w:rsid w:val="00B33408"/>
    <w:rsid w:val="00C33CCE"/>
    <w:rsid w:val="00C3743A"/>
    <w:rsid w:val="00C66906"/>
    <w:rsid w:val="00D02F0E"/>
    <w:rsid w:val="00D16373"/>
    <w:rsid w:val="00D60BE4"/>
    <w:rsid w:val="00E054AF"/>
    <w:rsid w:val="00E11573"/>
    <w:rsid w:val="00E41BE1"/>
    <w:rsid w:val="00E541ED"/>
    <w:rsid w:val="00EE55BC"/>
    <w:rsid w:val="00F12225"/>
    <w:rsid w:val="00F40C53"/>
    <w:rsid w:val="00F45296"/>
    <w:rsid w:val="00FC44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25D7F"/>
  <w15:chartTrackingRefBased/>
  <w15:docId w15:val="{386436D5-70D2-478C-A3F5-3B3B51C1B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64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F64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64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64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64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64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64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64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64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64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F64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64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64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64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64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64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64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640C"/>
    <w:rPr>
      <w:rFonts w:eastAsiaTheme="majorEastAsia" w:cstheme="majorBidi"/>
      <w:color w:val="272727" w:themeColor="text1" w:themeTint="D8"/>
    </w:rPr>
  </w:style>
  <w:style w:type="paragraph" w:styleId="Title">
    <w:name w:val="Title"/>
    <w:basedOn w:val="Normal"/>
    <w:next w:val="Normal"/>
    <w:link w:val="TitleChar"/>
    <w:uiPriority w:val="10"/>
    <w:qFormat/>
    <w:rsid w:val="00AF64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64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64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64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640C"/>
    <w:pPr>
      <w:spacing w:before="160"/>
      <w:jc w:val="center"/>
    </w:pPr>
    <w:rPr>
      <w:i/>
      <w:iCs/>
      <w:color w:val="404040" w:themeColor="text1" w:themeTint="BF"/>
    </w:rPr>
  </w:style>
  <w:style w:type="character" w:customStyle="1" w:styleId="QuoteChar">
    <w:name w:val="Quote Char"/>
    <w:basedOn w:val="DefaultParagraphFont"/>
    <w:link w:val="Quote"/>
    <w:uiPriority w:val="29"/>
    <w:rsid w:val="00AF640C"/>
    <w:rPr>
      <w:i/>
      <w:iCs/>
      <w:color w:val="404040" w:themeColor="text1" w:themeTint="BF"/>
    </w:rPr>
  </w:style>
  <w:style w:type="paragraph" w:styleId="ListParagraph">
    <w:name w:val="List Paragraph"/>
    <w:basedOn w:val="Normal"/>
    <w:uiPriority w:val="34"/>
    <w:qFormat/>
    <w:rsid w:val="00AF640C"/>
    <w:pPr>
      <w:ind w:left="720"/>
      <w:contextualSpacing/>
    </w:pPr>
  </w:style>
  <w:style w:type="character" w:styleId="IntenseEmphasis">
    <w:name w:val="Intense Emphasis"/>
    <w:basedOn w:val="DefaultParagraphFont"/>
    <w:uiPriority w:val="21"/>
    <w:qFormat/>
    <w:rsid w:val="00AF640C"/>
    <w:rPr>
      <w:i/>
      <w:iCs/>
      <w:color w:val="0F4761" w:themeColor="accent1" w:themeShade="BF"/>
    </w:rPr>
  </w:style>
  <w:style w:type="paragraph" w:styleId="IntenseQuote">
    <w:name w:val="Intense Quote"/>
    <w:basedOn w:val="Normal"/>
    <w:next w:val="Normal"/>
    <w:link w:val="IntenseQuoteChar"/>
    <w:uiPriority w:val="30"/>
    <w:qFormat/>
    <w:rsid w:val="00AF64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640C"/>
    <w:rPr>
      <w:i/>
      <w:iCs/>
      <w:color w:val="0F4761" w:themeColor="accent1" w:themeShade="BF"/>
    </w:rPr>
  </w:style>
  <w:style w:type="character" w:styleId="IntenseReference">
    <w:name w:val="Intense Reference"/>
    <w:basedOn w:val="DefaultParagraphFont"/>
    <w:uiPriority w:val="32"/>
    <w:qFormat/>
    <w:rsid w:val="00AF64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807</Words>
  <Characters>4605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scott</dc:creator>
  <cp:keywords/>
  <dc:description/>
  <cp:lastModifiedBy>nathan scott</cp:lastModifiedBy>
  <cp:revision>5</cp:revision>
  <cp:lastPrinted>2026-05-08T21:51:00Z</cp:lastPrinted>
  <dcterms:created xsi:type="dcterms:W3CDTF">2026-05-08T23:03:00Z</dcterms:created>
  <dcterms:modified xsi:type="dcterms:W3CDTF">2026-05-08T23:06:00Z</dcterms:modified>
</cp:coreProperties>
</file>