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8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074920" cy="1134279"/>
            <wp:docPr id="1" name="Picture 1"/>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074920" cy="1134279"/>
                    </a:xfrm>
                    <a:prstGeom prst="rect"/>
                  </pic:spPr>
                </pic:pic>
              </a:graphicData>
            </a:graphic>
          </wp:inline>
        </w:drawing>
      </w:r>
    </w:p>
    <w:p>
      <w:pPr>
        <w:pStyle w:val="CoverLine"/>
        <w:spacing w:after="200"/>
      </w:pPr>
      <w:r>
        <w:rPr>
          <w:rFonts w:ascii="Times New Roman" w:hAnsi="Times New Roman" w:eastAsia="Times New Roman" w:cs="Times New Roman"/>
          <w:b/>
          <w:color w:val="000000"/>
          <w:sz w:val="28"/>
        </w:rPr>
        <w:t>BLACK BOOK PROJECT REPORT ON</w:t>
      </w:r>
    </w:p>
    <w:p>
      <w:pPr>
        <w:pStyle w:val="CoverLine"/>
        <w:spacing w:after="60"/>
      </w:pPr>
      <w:r>
        <w:rPr>
          <w:rFonts w:ascii="Times New Roman" w:hAnsi="Times New Roman" w:eastAsia="Times New Roman" w:cs="Times New Roman"/>
          <w:b/>
          <w:color w:val="000000"/>
          <w:sz w:val="28"/>
        </w:rPr>
        <w:t>FUNDAMENTAL ANALYSIS OF</w:t>
      </w:r>
    </w:p>
    <w:p>
      <w:pPr>
        <w:pStyle w:val="CoverLine"/>
        <w:spacing w:after="360"/>
      </w:pPr>
      <w:r>
        <w:rPr>
          <w:rFonts w:ascii="Times New Roman" w:hAnsi="Times New Roman" w:eastAsia="Times New Roman" w:cs="Times New Roman"/>
          <w:b/>
          <w:color w:val="000000"/>
          <w:sz w:val="28"/>
        </w:rPr>
        <w:t>FEDBANK FINANCIAL SERVICES LIMITED</w:t>
      </w:r>
    </w:p>
    <w:p>
      <w:pPr>
        <w:pStyle w:val="CoverLine"/>
        <w:spacing w:after="140"/>
      </w:pPr>
      <w:r>
        <w:rPr>
          <w:rFonts w:ascii="Times New Roman" w:hAnsi="Times New Roman" w:eastAsia="Times New Roman" w:cs="Times New Roman"/>
          <w:b w:val="0"/>
          <w:color w:val="000000"/>
          <w:sz w:val="24"/>
        </w:rPr>
        <w:t>Submitted in partial fulfilment for the award of the degree of</w:t>
      </w:r>
    </w:p>
    <w:p>
      <w:pPr>
        <w:pStyle w:val="CoverLine"/>
        <w:spacing w:after="20"/>
      </w:pPr>
      <w:r>
        <w:rPr>
          <w:rFonts w:ascii="Times New Roman" w:hAnsi="Times New Roman" w:eastAsia="Times New Roman" w:cs="Times New Roman"/>
          <w:b/>
          <w:color w:val="000000"/>
          <w:sz w:val="28"/>
        </w:rPr>
        <w:t>MASTER OF MANAGEMENT STUDIES</w:t>
      </w:r>
    </w:p>
    <w:p>
      <w:pPr>
        <w:pStyle w:val="CoverLine"/>
        <w:spacing w:after="20"/>
      </w:pPr>
      <w:r>
        <w:rPr>
          <w:rFonts w:ascii="Times New Roman" w:hAnsi="Times New Roman" w:eastAsia="Times New Roman" w:cs="Times New Roman"/>
          <w:b/>
          <w:color w:val="000000"/>
          <w:sz w:val="26"/>
        </w:rPr>
        <w:t>FINANCE</w:t>
      </w:r>
    </w:p>
    <w:p>
      <w:pPr>
        <w:pStyle w:val="CoverLine"/>
        <w:spacing w:after="260"/>
      </w:pPr>
      <w:r>
        <w:rPr>
          <w:rFonts w:ascii="Times New Roman" w:hAnsi="Times New Roman" w:eastAsia="Times New Roman" w:cs="Times New Roman"/>
          <w:b/>
          <w:color w:val="000000"/>
          <w:sz w:val="26"/>
        </w:rPr>
        <w:t>UNIVERSITY OF MUMBAI</w:t>
      </w:r>
    </w:p>
    <w:p>
      <w:pPr>
        <w:pStyle w:val="CoverLine"/>
        <w:spacing w:after="40"/>
      </w:pPr>
      <w:r>
        <w:rPr>
          <w:rFonts w:ascii="Times New Roman" w:hAnsi="Times New Roman" w:eastAsia="Times New Roman" w:cs="Times New Roman"/>
          <w:b w:val="0"/>
          <w:color w:val="000000"/>
          <w:sz w:val="24"/>
        </w:rPr>
        <w:t>Submitted by</w:t>
      </w:r>
    </w:p>
    <w:p>
      <w:pPr>
        <w:pStyle w:val="CoverLine"/>
        <w:spacing w:after="20"/>
      </w:pPr>
      <w:r>
        <w:rPr>
          <w:rFonts w:ascii="Times New Roman" w:hAnsi="Times New Roman" w:eastAsia="Times New Roman" w:cs="Times New Roman"/>
          <w:b/>
          <w:color w:val="000000"/>
          <w:sz w:val="24"/>
        </w:rPr>
        <w:t>DATTAGURU KALLAPA PATIL</w:t>
      </w:r>
    </w:p>
    <w:p>
      <w:pPr>
        <w:pStyle w:val="CoverLine"/>
        <w:spacing w:after="20"/>
      </w:pPr>
      <w:r>
        <w:rPr>
          <w:rFonts w:ascii="Times New Roman" w:hAnsi="Times New Roman" w:eastAsia="Times New Roman" w:cs="Times New Roman"/>
          <w:b/>
          <w:color w:val="000000"/>
          <w:sz w:val="24"/>
        </w:rPr>
        <w:t>ROLL NO: M-16144</w:t>
      </w:r>
    </w:p>
    <w:p>
      <w:pPr>
        <w:pStyle w:val="CoverLine"/>
        <w:spacing w:after="240"/>
      </w:pPr>
      <w:r>
        <w:rPr>
          <w:rFonts w:ascii="Times New Roman" w:hAnsi="Times New Roman" w:eastAsia="Times New Roman" w:cs="Times New Roman"/>
          <w:b/>
          <w:color w:val="000000"/>
          <w:sz w:val="24"/>
        </w:rPr>
        <w:t>ACADEMIC YEAR 2026–2027</w:t>
      </w:r>
    </w:p>
    <w:p>
      <w:pPr>
        <w:pStyle w:val="CoverLine"/>
        <w:spacing w:after="60"/>
      </w:pPr>
      <w:r>
        <w:rPr>
          <w:rFonts w:ascii="Times New Roman" w:hAnsi="Times New Roman" w:eastAsia="Times New Roman" w:cs="Times New Roman"/>
          <w:b w:val="0"/>
          <w:color w:val="000000"/>
          <w:sz w:val="24"/>
        </w:rPr>
        <w:t>Under the Guidance of</w:t>
      </w:r>
    </w:p>
    <w:p>
      <w:pPr>
        <w:pStyle w:val="CoverLine"/>
        <w:spacing w:after="240"/>
      </w:pPr>
      <w:r>
        <w:rPr>
          <w:rFonts w:ascii="Times New Roman" w:hAnsi="Times New Roman" w:eastAsia="Times New Roman" w:cs="Times New Roman"/>
          <w:b/>
          <w:color w:val="000000"/>
          <w:sz w:val="24"/>
        </w:rPr>
        <w:t>DR. RAHUL N. WADEKAR  |  DR. PRASAD SUPEKAR</w:t>
      </w:r>
    </w:p>
    <w:p>
      <w:pPr>
        <w:pStyle w:val="CoverLine"/>
        <w:spacing w:before="60" w:after="40"/>
      </w:pPr>
      <w:r>
        <w:rPr>
          <w:rFonts w:ascii="Times New Roman" w:hAnsi="Times New Roman" w:eastAsia="Times New Roman" w:cs="Times New Roman"/>
          <w:b/>
          <w:color w:val="000000"/>
          <w:sz w:val="22"/>
        </w:rPr>
        <w:t>DES’S NAVINCHANDRA MEHTA INSTITUTE OF TECHNOLOGY AND DEVELOPMENT</w:t>
      </w:r>
    </w:p>
    <w:p>
      <w:pPr>
        <w:pStyle w:val="CoverLine"/>
        <w:spacing w:after="0"/>
      </w:pPr>
      <w:r>
        <w:rPr>
          <w:rFonts w:ascii="Times New Roman" w:hAnsi="Times New Roman" w:eastAsia="Times New Roman" w:cs="Times New Roman"/>
          <w:b/>
          <w:color w:val="000000"/>
          <w:sz w:val="22"/>
        </w:rPr>
        <w:t>DES MUMBAI CAMPUS, KIRTI COLLEGE ROAD, OFF VEER SAVARKAR MARG, DADAR (W), MUMBAI – 400028</w:t>
      </w:r>
    </w:p>
    <w:p>
      <w:r>
        <w:rPr>
          <w:rFonts w:ascii="Times New Roman" w:hAnsi="Times New Roman" w:eastAsia="Times New Roman" w:cs="Times New Roman"/>
          <w:color w:val="000000"/>
          <w:sz w:val="24"/>
        </w:rPr>
        <w:br w:type="page"/>
      </w:r>
    </w:p>
    <w:p>
      <w:pPr>
        <w:pStyle w:val="FrontTitle"/>
      </w:pPr>
      <w:r>
        <w:rPr>
          <w:rFonts w:ascii="Times New Roman" w:hAnsi="Times New Roman" w:eastAsia="Times New Roman" w:cs="Times New Roman"/>
          <w:b/>
          <w:color w:val="000000"/>
          <w:sz w:val="28"/>
        </w:rPr>
        <w:t>CERTIFICATE</w:t>
      </w:r>
    </w:p>
    <w:p>
      <w:pPr>
        <w:pStyle w:val="FrontBody"/>
      </w:pPr>
      <w:r>
        <w:rPr>
          <w:rFonts w:ascii="Times New Roman" w:hAnsi="Times New Roman" w:eastAsia="Times New Roman" w:cs="Times New Roman"/>
          <w:b w:val="0"/>
          <w:i w:val="0"/>
          <w:color w:val="000000"/>
          <w:sz w:val="24"/>
        </w:rPr>
        <w:t>This is to certify that the project report entitled “Fundamental Analysis of Fedbank Financial Services Limited” submitted by Mr. Dattaguru Kallapa Patil (Roll No. M-16144) in partial fulfilment of the requirements for the award of the Master of Management Studies degree in Finance of the University of Mumbai for the academic year 2026–2027 is a record of research work carried out under academic guidance and is submitted for evaluation.</w:t>
      </w:r>
    </w:p>
    <w:p>
      <w:pPr>
        <w:pStyle w:val="FrontBody"/>
      </w:pPr>
      <w:r>
        <w:rPr>
          <w:rFonts w:ascii="Times New Roman" w:hAnsi="Times New Roman" w:eastAsia="Times New Roman" w:cs="Times New Roman"/>
          <w:b w:val="0"/>
          <w:i w:val="0"/>
          <w:color w:val="000000"/>
          <w:sz w:val="24"/>
        </w:rPr>
        <w:t>The study is based on the company’s published disclosures and the supporting material identified in the report. The report is subject to the University and Institute’s review and approval.</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009"/>
        <w:gridCol w:w="3009"/>
        <w:gridCol w:w="3009"/>
      </w:tblGrid>
      <w:tr>
        <w:tc>
          <w:tcPr>
            <w:tcW w:type="dxa" w:w="2880"/>
            <w:vAlign w:val="center"/>
          </w:tcPr>
          <w:p>
            <w:pPr>
              <w:spacing w:line="240" w:lineRule="auto" w:after="20"/>
              <w:jc w:val="center"/>
            </w:pPr>
            <w:r>
              <w:rPr>
                <w:rFonts w:ascii="Times New Roman" w:hAnsi="Times New Roman" w:eastAsia="Times New Roman" w:cs="Times New Roman"/>
                <w:b/>
                <w:color w:val="000000"/>
                <w:sz w:val="18"/>
              </w:rPr>
              <w:br/>
              <w:br/>
              <w:t>________________________</w:t>
              <w:br/>
              <w:t>DIRECTOR</w:t>
            </w:r>
          </w:p>
        </w:tc>
        <w:tc>
          <w:tcPr>
            <w:tcW w:type="dxa" w:w="3168"/>
            <w:vAlign w:val="center"/>
          </w:tcPr>
          <w:p>
            <w:pPr>
              <w:spacing w:line="240" w:lineRule="auto" w:after="20"/>
              <w:jc w:val="center"/>
            </w:pPr>
            <w:r>
              <w:rPr>
                <w:rFonts w:ascii="Times New Roman" w:hAnsi="Times New Roman" w:eastAsia="Times New Roman" w:cs="Times New Roman"/>
                <w:b/>
                <w:color w:val="000000"/>
                <w:sz w:val="18"/>
              </w:rPr>
              <w:br/>
              <w:br/>
              <w:t>________________________</w:t>
              <w:br/>
              <w:t>PROJECT GUIDES</w:t>
            </w:r>
          </w:p>
        </w:tc>
        <w:tc>
          <w:tcPr>
            <w:tcW w:type="dxa" w:w="2880"/>
            <w:vAlign w:val="center"/>
          </w:tcPr>
          <w:p>
            <w:pPr>
              <w:spacing w:line="240" w:lineRule="auto" w:after="20"/>
              <w:jc w:val="center"/>
            </w:pPr>
            <w:r>
              <w:rPr>
                <w:rFonts w:ascii="Times New Roman" w:hAnsi="Times New Roman" w:eastAsia="Times New Roman" w:cs="Times New Roman"/>
                <w:b/>
                <w:color w:val="000000"/>
                <w:sz w:val="18"/>
              </w:rPr>
              <w:br/>
              <w:br/>
              <w:t>________________________</w:t>
              <w:br/>
              <w:t>EXTERNAL EXAMINER</w:t>
            </w:r>
          </w:p>
        </w:tc>
      </w:tr>
      <w:tr>
        <w:tc>
          <w:tcPr>
            <w:tcW w:type="dxa" w:w="2880"/>
          </w:tcPr>
          <w:p>
            <w:pPr>
              <w:spacing w:line="240" w:lineRule="auto"/>
              <w:jc w:val="center"/>
            </w:pPr>
            <w:r>
              <w:rPr>
                <w:rFonts w:ascii="Times New Roman" w:hAnsi="Times New Roman" w:eastAsia="Times New Roman" w:cs="Times New Roman"/>
                <w:color w:val="000000"/>
                <w:sz w:val="18"/>
              </w:rPr>
              <w:t>Dr. Rasika Mallya</w:t>
            </w:r>
          </w:p>
        </w:tc>
        <w:tc>
          <w:tcPr>
            <w:tcW w:type="dxa" w:w="3168"/>
          </w:tcPr>
          <w:p>
            <w:pPr>
              <w:spacing w:line="240" w:lineRule="auto"/>
              <w:jc w:val="center"/>
            </w:pPr>
            <w:r>
              <w:rPr>
                <w:rFonts w:ascii="Times New Roman" w:hAnsi="Times New Roman" w:eastAsia="Times New Roman" w:cs="Times New Roman"/>
                <w:color w:val="000000"/>
                <w:sz w:val="18"/>
              </w:rPr>
              <w:t>Dr. Rahul N. Wadekar</w:t>
              <w:br/>
              <w:t>Dr. Prasad Supekar</w:t>
            </w:r>
          </w:p>
        </w:tc>
        <w:tc>
          <w:tcPr>
            <w:tcW w:type="dxa" w:w="2880"/>
          </w:tcPr>
          <w:p>
            <w:pPr>
              <w:spacing w:line="240" w:lineRule="auto"/>
              <w:jc w:val="center"/>
            </w:pPr>
            <w:r>
              <w:rPr>
                <w:rFonts w:ascii="Times New Roman" w:hAnsi="Times New Roman" w:eastAsia="Times New Roman" w:cs="Times New Roman"/>
                <w:color w:val="000000"/>
                <w:sz w:val="18"/>
              </w:rPr>
            </w:r>
          </w:p>
        </w:tc>
      </w:tr>
    </w:tbl>
    <w:p>
      <w:pP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26"/>
      </w:tblGrid>
      <w:tr>
        <w:trPr>
          <w:trHeight w:val="1037" w:hRule="atLeast"/>
        </w:trPr>
        <w:tc>
          <w:tcPr>
            <w:tcW w:type="dxa" w:w="2664"/>
            <w:vAlign w:val="center"/>
          </w:tcPr>
          <w:p>
            <w:pPr>
              <w:jc w:val="center"/>
            </w:pPr>
            <w:r>
              <w:rPr>
                <w:rFonts w:ascii="Times New Roman" w:hAnsi="Times New Roman" w:eastAsia="Times New Roman" w:cs="Times New Roman"/>
                <w:b/>
                <w:color w:val="000000"/>
                <w:sz w:val="18"/>
              </w:rPr>
              <w:t>COLLEGE STAMP HERE</w:t>
            </w:r>
          </w:p>
        </w:tc>
      </w:tr>
    </w:tbl>
    <w:p>
      <w:r>
        <w:rPr>
          <w:rFonts w:ascii="Times New Roman" w:hAnsi="Times New Roman" w:eastAsia="Times New Roman" w:cs="Times New Roman"/>
          <w:color w:val="000000"/>
          <w:sz w:val="24"/>
        </w:rPr>
        <w:br w:type="page"/>
      </w:r>
    </w:p>
    <w:p>
      <w:pPr>
        <w:pStyle w:val="FrontTitle"/>
      </w:pPr>
      <w:r>
        <w:rPr>
          <w:rFonts w:ascii="Times New Roman" w:hAnsi="Times New Roman" w:eastAsia="Times New Roman" w:cs="Times New Roman"/>
          <w:b/>
          <w:color w:val="000000"/>
          <w:sz w:val="28"/>
        </w:rPr>
        <w:t>INTERNSHIP CERTIFICATE</w:t>
      </w:r>
    </w:p>
    <w:p>
      <w:pPr>
        <w:pStyle w:val="FrontBody"/>
      </w:pPr>
      <w:r>
        <w:rPr>
          <w:rFonts w:ascii="Times New Roman" w:hAnsi="Times New Roman" w:eastAsia="Times New Roman" w:cs="Times New Roman"/>
          <w:b w:val="0"/>
          <w:i w:val="0"/>
          <w:color w:val="000000"/>
          <w:sz w:val="24"/>
        </w:rPr>
        <w:t>The following certificate was supplied with the project material and is reproduced as provided.</w:t>
      </w:r>
    </w:p>
    <w:p>
      <w:pPr>
        <w:spacing w:before="0" w:after="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4343400" cy="7721600"/>
            <wp:docPr id="2" name="Picture 2"/>
            <wp:cNvGraphicFramePr>
              <a:graphicFrameLocks noChangeAspect="1"/>
            </wp:cNvGraphicFramePr>
            <a:graphic>
              <a:graphicData uri="http://schemas.openxmlformats.org/drawingml/2006/picture">
                <pic:pic>
                  <pic:nvPicPr>
                    <pic:cNvPr id="0" name="image3.jpeg"/>
                    <pic:cNvPicPr/>
                  </pic:nvPicPr>
                  <pic:blipFill>
                    <a:blip r:embed="rId12"/>
                    <a:stretch>
                      <a:fillRect/>
                    </a:stretch>
                  </pic:blipFill>
                  <pic:spPr>
                    <a:xfrm>
                      <a:off x="0" y="0"/>
                      <a:ext cx="4343400" cy="7721600"/>
                    </a:xfrm>
                    <a:prstGeom prst="rect"/>
                  </pic:spPr>
                </pic:pic>
              </a:graphicData>
            </a:graphic>
          </wp:inline>
        </w:drawing>
      </w:r>
    </w:p>
    <w:p>
      <w:r>
        <w:rPr>
          <w:rFonts w:ascii="Times New Roman" w:hAnsi="Times New Roman" w:eastAsia="Times New Roman" w:cs="Times New Roman"/>
          <w:color w:val="000000"/>
          <w:sz w:val="24"/>
        </w:rPr>
        <w:br w:type="page"/>
      </w:r>
    </w:p>
    <w:p>
      <w:pPr>
        <w:pStyle w:val="FrontTitle"/>
      </w:pPr>
      <w:r>
        <w:rPr>
          <w:rFonts w:ascii="Times New Roman" w:hAnsi="Times New Roman" w:eastAsia="Times New Roman" w:cs="Times New Roman"/>
          <w:b/>
          <w:color w:val="000000"/>
          <w:sz w:val="28"/>
        </w:rPr>
        <w:t>DECLARATION</w:t>
      </w:r>
    </w:p>
    <w:p>
      <w:pPr>
        <w:pStyle w:val="FrontBody"/>
      </w:pPr>
      <w:r>
        <w:rPr>
          <w:rFonts w:ascii="Times New Roman" w:hAnsi="Times New Roman" w:eastAsia="Times New Roman" w:cs="Times New Roman"/>
          <w:b w:val="0"/>
          <w:i w:val="0"/>
          <w:color w:val="000000"/>
          <w:sz w:val="24"/>
        </w:rPr>
        <w:t>I hereby declare that this project report entitled “Fundamental Analysis of Fedbank Financial Services Limited”, submitted in partial fulfilment of the requirements for the award of the Master of Management Studies degree in Finance of the University of Mumbai, is my bona fide academic work. It has not been submitted to any other University or Institute for the award of a degree, diploma or certificate.</w:t>
      </w:r>
    </w:p>
    <w:p>
      <w:pPr>
        <w:pStyle w:val="FrontBody"/>
      </w:pPr>
      <w:r>
        <w:rPr>
          <w:rFonts w:ascii="Times New Roman" w:hAnsi="Times New Roman" w:eastAsia="Times New Roman" w:cs="Times New Roman"/>
          <w:b w:val="0"/>
          <w:i w:val="0"/>
          <w:color w:val="000000"/>
          <w:sz w:val="24"/>
        </w:rPr>
        <w:t>The analysis is based on publicly available company disclosures and regulatory material identified in the report. Financial information is distinguished from calculations derived from reported data. No survey, interview or borrower-level dataset has been used. Where the supplied disclosures present inconsistent definitions or figures, the difference is identified rather than resolved by assumption.</w:t>
      </w:r>
    </w:p>
    <w:p>
      <w:pPr>
        <w:pStyle w:val="FrontBody"/>
      </w:pPr>
      <w:r>
        <w:rPr>
          <w:rFonts w:ascii="Times New Roman" w:hAnsi="Times New Roman" w:eastAsia="Times New Roman" w:cs="Times New Roman"/>
          <w:b w:val="0"/>
          <w:i w:val="0"/>
          <w:color w:val="000000"/>
          <w:sz w:val="24"/>
        </w:rPr>
        <w:t>The report is prepared for academic purposes only. It is not investment advice, an audit, a credit rating or a valuation opinion.</w:t>
      </w:r>
    </w:p>
    <w:p>
      <w:pPr>
        <w:pStyle w:val="FrontBody"/>
      </w:pPr>
      <w:r>
        <w:rPr>
          <w:rFonts w:ascii="Times New Roman" w:hAnsi="Times New Roman" w:eastAsia="Times New Roman" w:cs="Times New Roman"/>
          <w:b w:val="0"/>
          <w:i w:val="0"/>
          <w:color w:val="000000"/>
          <w:sz w:val="24"/>
        </w:rPr>
        <w:t>Name: Dattaguru Kallapa Patil</w:t>
      </w:r>
    </w:p>
    <w:p>
      <w:pPr>
        <w:pStyle w:val="FrontBody"/>
      </w:pPr>
      <w:r>
        <w:rPr>
          <w:rFonts w:ascii="Times New Roman" w:hAnsi="Times New Roman" w:eastAsia="Times New Roman" w:cs="Times New Roman"/>
          <w:b w:val="0"/>
          <w:i w:val="0"/>
          <w:color w:val="000000"/>
          <w:sz w:val="24"/>
        </w:rPr>
        <w:t>Roll No.: M-16144</w:t>
      </w:r>
    </w:p>
    <w:p>
      <w:pPr>
        <w:pStyle w:val="FrontBody"/>
      </w:pPr>
      <w:r>
        <w:rPr>
          <w:rFonts w:ascii="Times New Roman" w:hAnsi="Times New Roman" w:eastAsia="Times New Roman" w:cs="Times New Roman"/>
          <w:b w:val="0"/>
          <w:i w:val="0"/>
          <w:color w:val="000000"/>
          <w:sz w:val="24"/>
        </w:rPr>
        <w:t>Signature: __________________________________________</w:t>
      </w:r>
    </w:p>
    <w:p>
      <w:r>
        <w:rPr>
          <w:rFonts w:ascii="Times New Roman" w:hAnsi="Times New Roman" w:eastAsia="Times New Roman" w:cs="Times New Roman"/>
          <w:color w:val="000000"/>
          <w:sz w:val="24"/>
        </w:rPr>
        <w:br w:type="page"/>
      </w:r>
    </w:p>
    <w:p>
      <w:pPr>
        <w:pStyle w:val="FrontTitle"/>
      </w:pPr>
      <w:r>
        <w:rPr>
          <w:rFonts w:ascii="Times New Roman" w:hAnsi="Times New Roman" w:eastAsia="Times New Roman" w:cs="Times New Roman"/>
          <w:b/>
          <w:color w:val="000000"/>
          <w:sz w:val="28"/>
        </w:rPr>
        <w:t>ACKNOWLEDGEMENT</w:t>
      </w:r>
    </w:p>
    <w:p>
      <w:pPr>
        <w:pStyle w:val="FrontBody"/>
      </w:pPr>
      <w:r>
        <w:rPr>
          <w:rFonts w:ascii="Times New Roman" w:hAnsi="Times New Roman" w:eastAsia="Times New Roman" w:cs="Times New Roman"/>
          <w:b w:val="0"/>
          <w:i w:val="0"/>
          <w:color w:val="000000"/>
          <w:sz w:val="24"/>
        </w:rPr>
        <w:t>I express my sincere gratitude to my project guides, Dr. Rahul N. Wadekar and Dr. Prasad Supekar, for their guidance, feedback and encouragement during the preparation of this report. Their emphasis on linking conclusions to disclosed evidence helped shape the analytical approach adopted in the study.</w:t>
      </w:r>
    </w:p>
    <w:p>
      <w:pPr>
        <w:pStyle w:val="FrontBody"/>
      </w:pPr>
      <w:r>
        <w:rPr>
          <w:rFonts w:ascii="Times New Roman" w:hAnsi="Times New Roman" w:eastAsia="Times New Roman" w:cs="Times New Roman"/>
          <w:b w:val="0"/>
          <w:i w:val="0"/>
          <w:color w:val="000000"/>
          <w:sz w:val="24"/>
        </w:rPr>
        <w:t>I thank Dr. Rasika Mallya, Director, DES’s Navinchandra Mehta Institute of Technology and Development, and the faculty members of the Finance specialisation for the academic environment and resources provided for this work. I am also grateful to the Institute’s library staff for their assistance with research materials.</w:t>
      </w:r>
    </w:p>
    <w:p>
      <w:pPr>
        <w:pStyle w:val="FrontBody"/>
      </w:pPr>
      <w:r>
        <w:rPr>
          <w:rFonts w:ascii="Times New Roman" w:hAnsi="Times New Roman" w:eastAsia="Times New Roman" w:cs="Times New Roman"/>
          <w:b w:val="0"/>
          <w:i w:val="0"/>
          <w:color w:val="000000"/>
          <w:sz w:val="24"/>
        </w:rPr>
        <w:t>I acknowledge Fedbank Financial Services Limited for making its annual reports and corporate disclosures available to the public. The company’s FY 2023–24, FY 2024–25 and FY 2025–26 annual reports form the principal data sources for this project. I also thank my family, classmates and friends for their support throughout the internship and report-writing period.</w:t>
      </w:r>
    </w:p>
    <w:p>
      <w:pPr>
        <w:pStyle w:val="FrontBody"/>
      </w:pPr>
      <w:r>
        <w:rPr>
          <w:rFonts w:ascii="Times New Roman" w:hAnsi="Times New Roman" w:eastAsia="Times New Roman" w:cs="Times New Roman"/>
          <w:b w:val="0"/>
          <w:i w:val="0"/>
          <w:color w:val="000000"/>
          <w:sz w:val="24"/>
        </w:rPr>
        <w:t>Dattaguru Kallapa Patil</w:t>
        <w:br/>
        <w:t>Roll No. M-16144  |  MMS (Finance) 2026–2027</w:t>
      </w:r>
    </w:p>
    <w:p>
      <w:r>
        <w:rPr>
          <w:rFonts w:ascii="Times New Roman" w:hAnsi="Times New Roman" w:eastAsia="Times New Roman" w:cs="Times New Roman"/>
          <w:color w:val="000000"/>
          <w:sz w:val="24"/>
        </w:rPr>
        <w:br w:type="page"/>
      </w:r>
    </w:p>
    <w:p>
      <w:pPr>
        <w:pStyle w:val="FrontTitle"/>
      </w:pPr>
      <w:r>
        <w:rPr>
          <w:rFonts w:ascii="Times New Roman" w:hAnsi="Times New Roman" w:eastAsia="Times New Roman" w:cs="Times New Roman"/>
          <w:b/>
          <w:color w:val="000000"/>
          <w:sz w:val="28"/>
        </w:rPr>
        <w:t>EXECUTIVE SUMMARY</w:t>
      </w:r>
    </w:p>
    <w:p>
      <w:pPr>
        <w:pStyle w:val="FrontBody"/>
      </w:pPr>
      <w:r>
        <w:rPr>
          <w:rFonts w:ascii="Times New Roman" w:hAnsi="Times New Roman" w:eastAsia="Times New Roman" w:cs="Times New Roman"/>
          <w:b w:val="0"/>
          <w:i w:val="0"/>
          <w:color w:val="000000"/>
          <w:sz w:val="24"/>
        </w:rPr>
        <w:t>This project examines the fundamental position of Fedbank Financial Services Limited (“Fedfina”), a listed retail-lending non-banking financial company and a majority-owned subsidiary of The Federal Bank Limited. The study follows an Economy–Industry–Company approach and focuses on whether the company’s rapid growth and shift toward secured lending have been accompanied by sustainable profitability, sound asset quality and adequate funding and capital.</w:t>
      </w:r>
    </w:p>
    <w:p>
      <w:pPr>
        <w:pStyle w:val="FrontBody"/>
      </w:pPr>
      <w:r>
        <w:rPr>
          <w:rFonts w:ascii="Times New Roman" w:hAnsi="Times New Roman" w:eastAsia="Times New Roman" w:cs="Times New Roman"/>
          <w:b w:val="0"/>
          <w:i w:val="0"/>
          <w:color w:val="000000"/>
          <w:sz w:val="24"/>
        </w:rPr>
        <w:t>The analysis uses the company’s annual reports for FY 2023–24, FY 2024–25 and FY 2025–26. The FY26 annual report supplies audited financial statements and selected five-year indicators; the earlier reports are used to extend time-series analysis. The research is secondary-data based. No questionnaire, respondent sample, interview or borrower-level data was used. Trend and common-size analysis, lender-specific ratios, a DuPont-style return bridge, qualitative risk assessment, PESTLE, Porter’s Five Forces and SWOT are applied. Ratios and figures computed from reported items are identified as derived.</w:t>
      </w:r>
    </w:p>
    <w:p>
      <w:pPr>
        <w:pStyle w:val="FrontBody"/>
      </w:pPr>
      <w:r>
        <w:rPr>
          <w:rFonts w:ascii="Times New Roman" w:hAnsi="Times New Roman" w:eastAsia="Times New Roman" w:cs="Times New Roman"/>
          <w:b w:val="0"/>
          <w:i w:val="0"/>
          <w:color w:val="000000"/>
          <w:sz w:val="24"/>
        </w:rPr>
        <w:t>Fedfina reported assets under management of ₹20,153 crore at 31 March 2026, up 27.5% year on year, and profit after tax of ₹343.60 crore for FY26, up 52.6%. Net interest income increased 14.8% to ₹1,229.75 crore, while the reported credit cost declined to 0.8% from 1.8% in FY25. The secured share of AUM was reported at 98.9%. Gold loans represented 51.4% of AUM (₹10,352 crore), while mortgage lending remained a substantial second engine. The company ended the year with 757 branches in 17 states and union territories and reported capital adequacy of 22.4% (Tier I 17.5%).</w:t>
      </w:r>
    </w:p>
    <w:p>
      <w:pPr>
        <w:pStyle w:val="FrontBody"/>
      </w:pPr>
      <w:r>
        <w:rPr>
          <w:rFonts w:ascii="Times New Roman" w:hAnsi="Times New Roman" w:eastAsia="Times New Roman" w:cs="Times New Roman"/>
          <w:b w:val="0"/>
          <w:i w:val="0"/>
          <w:color w:val="000000"/>
          <w:sz w:val="24"/>
        </w:rPr>
        <w:t>FY25 was a reset year, with small-ticket mortgage stress and higher provisioning weighing on earnings; FY26 showed a recovery. That improvement was not solely a function of higher revenue: lower impairment charges, lower funding costs and stronger net interest income also contributed. Operating expenses continued to rise as the company invested in branches and employees, and the cost-to-income ratio improved only marginally. AUM growth should therefore be read with credit cost, branch productivity, funding and leverage rather than in isolation.</w:t>
      </w:r>
    </w:p>
    <w:p>
      <w:pPr>
        <w:pStyle w:val="FrontBody"/>
      </w:pPr>
      <w:r>
        <w:rPr>
          <w:rFonts w:ascii="Times New Roman" w:hAnsi="Times New Roman" w:eastAsia="Times New Roman" w:cs="Times New Roman"/>
          <w:b w:val="0"/>
          <w:i w:val="0"/>
          <w:color w:val="000000"/>
          <w:sz w:val="24"/>
        </w:rPr>
        <w:t>The analysis also identifies disclosure limitations that affect interpretation. The FY26 report presents GNPA as 1.9% in its highlights and 2.2% in a five-year chart. Note 26 reports ₹101.98 crore of income on direct assignment, while the Corporate Overview presents a narrower ₹7.4 crore measure. Product-level AUM amounts do not fully bridge to total AUM, and the report does not publish a complete AUM-to-on-book-loans reconciliation. These differences are reported transparently; the study does not select an unsupported reconciliation.</w:t>
      </w:r>
    </w:p>
    <w:p>
      <w:pPr>
        <w:pStyle w:val="FrontBody"/>
      </w:pPr>
      <w:r>
        <w:rPr>
          <w:rFonts w:ascii="Times New Roman" w:hAnsi="Times New Roman" w:eastAsia="Times New Roman" w:cs="Times New Roman"/>
          <w:b w:val="0"/>
          <w:i w:val="0"/>
          <w:color w:val="000000"/>
          <w:sz w:val="24"/>
        </w:rPr>
        <w:t>The conclusion is balanced. Fedfina has a more secured and diversified funding platform than in the prior year, with improving reported returns and lower credit cost. The durability of the recovery depends on maintaining underwriting and collections discipline in newer mortgage vintages, converting recently opened branches into productive capacity, preserving capital as leverage rises, and managing gold-price, regulatory, cyber and refinancing risks. Recommendations focus on these evidence-based monitoring areas. No live share-price series was supplied, so technical analysis and a current investment recommendation are not made.</w:t>
      </w:r>
    </w:p>
    <w:p>
      <w:r>
        <w:rPr>
          <w:rFonts w:ascii="Times New Roman" w:hAnsi="Times New Roman" w:eastAsia="Times New Roman" w:cs="Times New Roman"/>
          <w:color w:val="000000"/>
          <w:sz w:val="24"/>
        </w:rPr>
        <w:br w:type="page"/>
      </w:r>
    </w:p>
    <w:p>
      <w:pPr>
        <w:pStyle w:val="FrontTitle"/>
      </w:pPr>
      <w:r>
        <w:rPr>
          <w:rFonts w:ascii="Times New Roman" w:hAnsi="Times New Roman" w:eastAsia="Times New Roman" w:cs="Times New Roman"/>
          <w:b/>
          <w:color w:val="000000"/>
          <w:sz w:val="28"/>
        </w:rPr>
        <w:t>CONTENTS</w:t>
      </w:r>
    </w:p>
    <w:p>
      <w:pPr>
        <w:pStyle w:val="FrontBody"/>
      </w:pPr>
      <w:r>
        <w:rPr>
          <w:rFonts w:ascii="Times New Roman" w:hAnsi="Times New Roman" w:eastAsia="Times New Roman" w:cs="Times New Roman"/>
          <w:b w:val="0"/>
          <w:i w:val="0"/>
          <w:color w:val="000000"/>
          <w:sz w:val="24"/>
        </w:rPr>
        <w:t>The following consolidated contents field is linked to the report’s chapter and subsection headings.</w:t>
      </w:r>
    </w:p>
    <w:p>
      <w:pPr>
        <w:spacing w:line="240" w:lineRule="auto" w:after="80"/>
      </w:pPr>
      <w:r>
        <w:rPr>
          <w:rFonts w:ascii="Times New Roman" w:hAnsi="Times New Roman" w:eastAsia="Times New Roman" w:cs="Times New Roman"/>
          <w:color w:val="000000"/>
          <w:sz w:val="24"/>
        </w:rPr>
        <w:fldChar w:fldCharType="begin" w:dirty="true"/>
      </w:r>
      <w:r>
        <w:rPr>
          <w:rFonts w:ascii="Times New Roman" w:hAnsi="Times New Roman" w:eastAsia="Times New Roman" w:cs="Times New Roman"/>
          <w:color w:val="000000"/>
          <w:sz w:val="24"/>
        </w:rPr>
        <w:instrText xml:space="preserve"> TOC \o "1-2" \h \z \u </w:instrText>
      </w:r>
      <w:r>
        <w:rPr>
          <w:rFonts w:ascii="Times New Roman" w:hAnsi="Times New Roman" w:eastAsia="Times New Roman" w:cs="Times New Roman"/>
          <w:color w:val="000000"/>
          <w:sz w:val="24"/>
        </w:rPr>
        <w:fldChar w:fldCharType="separate"/>
      </w:r>
      <w:r>
        <w:rPr>
          <w:rFonts w:ascii="Times New Roman" w:hAnsi="Times New Roman" w:eastAsia="Times New Roman" w:cs="Times New Roman"/>
          <w:color w:val="000000"/>
          <w:sz w:val="20"/>
        </w:rPr>
        <w:t>Update the table of contents in Word to display current headings and page numbers.</w:t>
      </w:r>
      <w:r>
        <w:rPr>
          <w:rFonts w:ascii="Times New Roman" w:hAnsi="Times New Roman" w:eastAsia="Times New Roman" w:cs="Times New Roman"/>
          <w:color w:val="000000"/>
          <w:sz w:val="24"/>
        </w:rPr>
        <w:fldChar w:fldCharType="end"/>
      </w:r>
    </w:p>
    <w:p>
      <w:r>
        <w:rPr>
          <w:rFonts w:ascii="Times New Roman" w:hAnsi="Times New Roman" w:eastAsia="Times New Roman" w:cs="Times New Roman"/>
          <w:color w:val="000000"/>
          <w:sz w:val="24"/>
        </w:rPr>
        <w:br w:type="page"/>
      </w:r>
    </w:p>
    <w:p>
      <w:pPr>
        <w:pStyle w:val="FrontTitle"/>
      </w:pPr>
      <w:r>
        <w:rPr>
          <w:rFonts w:ascii="Times New Roman" w:hAnsi="Times New Roman" w:eastAsia="Times New Roman" w:cs="Times New Roman"/>
          <w:b/>
          <w:color w:val="000000"/>
          <w:sz w:val="28"/>
        </w:rPr>
        <w:t>LIST OF ABBREVIATIONS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4513"/>
        <w:gridCol w:w="4513"/>
      </w:tblGrid>
      <w:tr>
        <w:trPr>
          <w:tblHeader w:val="true"/>
          <w:cantSplit/>
        </w:trPr>
        <w:tc>
          <w:tcPr>
            <w:tcW w:type="dxa" w:w="2088"/>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Abbreviation</w:t>
            </w:r>
          </w:p>
        </w:tc>
        <w:tc>
          <w:tcPr>
            <w:tcW w:type="dxa" w:w="6941"/>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Meaning</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AUM</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Assets under management</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ALM</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Asset-liability management</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ARC</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Asset reconstruction company</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BRSR</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Business Responsibility and Sustainability Report</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CAGR</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Compound annual growth rate</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CoB</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Cost of borrowings</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CRAR</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Capital to risk-weighted assets ratio</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DA</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Direct assignment</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D/E</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Debt-to-equity</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ECL</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Expected credit loss</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ECB</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External commercial borrowing</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EPS</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Earnings per share</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FY</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Financial year ending 31 March</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GNPA / NNPA</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Gross / net non-performing assets</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LAP</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Loan against property</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LTV</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Loan-to-value</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NBFC</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Non-banking financial company</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NII / NIM</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Net interest income / net interest margin</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PAT</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Profit after tax</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PCR</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Provision coverage ratio</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PPOP</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Pre-provision operating profit</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RBI</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Reserve Bank of India</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RoA / RoE</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Return on assets / return on equity</w:t>
            </w:r>
          </w:p>
        </w:tc>
      </w:tr>
      <w:tr>
        <w:trPr>
          <w:cantSplit/>
        </w:trPr>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color w:val="000000"/>
                <w:sz w:val="18"/>
              </w:rPr>
              <w:t>ST / MT LAP</w:t>
            </w:r>
          </w:p>
        </w:tc>
        <w:tc>
          <w:tcPr>
            <w:tcW w:type="dxa" w:w="4513"/>
            <w:tcMar>
              <w:top w:w="65" w:type="dxa"/>
              <w:start w:w="85" w:type="dxa"/>
              <w:bottom w:w="65" w:type="dxa"/>
              <w:end w:w="85" w:type="dxa"/>
            </w:tcMar>
            <w:vAlign w:val="center"/>
          </w:tcPr>
          <w:p>
            <w:pPr>
              <w:pStyle w:val="SmallTable"/>
              <w:spacing w:line="240" w:lineRule="auto" w:after="0"/>
            </w:pPr>
            <w:r>
              <w:rPr>
                <w:rFonts w:ascii="Times New Roman" w:hAnsi="Times New Roman" w:eastAsia="Times New Roman" w:cs="Times New Roman"/>
                <w:b w:val="0"/>
                <w:color w:val="000000"/>
                <w:sz w:val="18"/>
              </w:rPr>
              <w:t>Small-ticket / medium-ticket loan against property</w:t>
            </w:r>
          </w:p>
        </w:tc>
      </w:tr>
    </w:tbl>
    <w:p>
      <w:r>
        <w:rPr>
          <w:rFonts w:ascii="Times New Roman" w:hAnsi="Times New Roman" w:eastAsia="Times New Roman" w:cs="Times New Roman"/>
          <w:color w:val="000000"/>
          <w:sz w:val="24"/>
        </w:rPr>
        <w:br w:type="page"/>
      </w:r>
    </w:p>
    <w:p>
      <w:pPr>
        <w:pStyle w:val="ChapterIdentifier"/>
      </w:pPr>
      <w:r>
        <w:rPr>
          <w:rFonts w:ascii="Times New Roman" w:hAnsi="Times New Roman" w:eastAsia="Times New Roman" w:cs="Times New Roman"/>
          <w:b/>
          <w:color w:val="000000"/>
          <w:sz w:val="28"/>
        </w:rPr>
        <w:t>CHAPTER 1</w:t>
      </w:r>
    </w:p>
    <w:p>
      <w:bookmarkStart w:id="10" w:name="Chapter1"/>
      <w:pPr>
        <w:pStyle w:val="Heading1"/>
        <w:pageBreakBefore w:val="0"/>
      </w:pPr>
      <w:r>
        <w:rPr>
          <w:rFonts w:ascii="Times New Roman" w:hAnsi="Times New Roman" w:eastAsia="Times New Roman" w:cs="Times New Roman"/>
          <w:b/>
          <w:color w:val="000000"/>
          <w:sz w:val="28"/>
        </w:rPr>
        <w:t>INTRODUCTION</w:t>
      </w:r>
      <w:bookmarkEnd w:id="10"/>
    </w:p>
    <w:p>
      <w:bookmarkStart w:id="11" w:name="S11"/>
      <w:pPr>
        <w:pStyle w:val="Heading2"/>
      </w:pPr>
      <w:r>
        <w:rPr>
          <w:rFonts w:ascii="Times New Roman" w:hAnsi="Times New Roman" w:eastAsia="Times New Roman" w:cs="Times New Roman"/>
          <w:b/>
          <w:color w:val="000000"/>
          <w:sz w:val="24"/>
        </w:rPr>
        <w:t>1.1 BACKGROUND OF THE STUDY</w:t>
      </w:r>
      <w:bookmarkEnd w:id="11"/>
    </w:p>
    <w:p>
      <w:pPr/>
      <w:r>
        <w:rPr>
          <w:rFonts w:ascii="Times New Roman" w:hAnsi="Times New Roman" w:eastAsia="Times New Roman" w:cs="Times New Roman"/>
          <w:b w:val="0"/>
          <w:i w:val="0"/>
          <w:color w:val="000000"/>
          <w:sz w:val="24"/>
        </w:rPr>
        <w:t>Financial intermediaries channel savings into credit for households, entrepreneurs and businesses. In India, banks and non-bank lenders serve different combinations of customers, products and geographies. Non-banking financial companies (NBFCs) commonly specialise in lending models where local distribution, collateral appraisal, smaller ticket sizes or flexible cash-flow assessment are important. Their growth can widen access to formal finance, but it also depends on the quality of underwriting, collections, funding and governance.</w:t>
      </w:r>
    </w:p>
    <w:p>
      <w:pPr/>
      <w:r>
        <w:rPr>
          <w:rFonts w:ascii="Times New Roman" w:hAnsi="Times New Roman" w:eastAsia="Times New Roman" w:cs="Times New Roman"/>
          <w:b w:val="0"/>
          <w:i w:val="0"/>
          <w:color w:val="000000"/>
          <w:sz w:val="24"/>
        </w:rPr>
        <w:t>Fedbank Financial Services Limited is a listed NBFC whose disclosed portfolio is centred on gold loans and loans against property. It is promoted by The Federal Bank Limited and operates through a branch network across multiple states and union territories. This combination of secured products allows the study to consider a short-tenor, collateral-led product alongside longer-tenor mortgage lending within one company.</w:t>
      </w:r>
    </w:p>
    <w:p>
      <w:pPr/>
      <w:r>
        <w:rPr>
          <w:rFonts w:ascii="Times New Roman" w:hAnsi="Times New Roman" w:eastAsia="Times New Roman" w:cs="Times New Roman"/>
          <w:b w:val="0"/>
          <w:i w:val="0"/>
          <w:color w:val="000000"/>
          <w:sz w:val="24"/>
        </w:rPr>
        <w:t>The study period includes three distinct reported phases: growth and listing in FY24, portfolio stress and recalibration in FY25, and a profitability recovery with a more secured book in FY26. The contrast is useful for examining how growth, product mix, credit cost, funding and capital interact over a lending cycle.</w:t>
      </w:r>
    </w:p>
    <w:p>
      <w:bookmarkStart w:id="12" w:name="S12"/>
      <w:pPr>
        <w:pStyle w:val="Heading2"/>
      </w:pPr>
      <w:r>
        <w:rPr>
          <w:rFonts w:ascii="Times New Roman" w:hAnsi="Times New Roman" w:eastAsia="Times New Roman" w:cs="Times New Roman"/>
          <w:b/>
          <w:color w:val="000000"/>
          <w:sz w:val="24"/>
        </w:rPr>
        <w:t>1.2 NEED OF THE STUDY</w:t>
      </w:r>
      <w:bookmarkEnd w:id="12"/>
    </w:p>
    <w:p>
      <w:pPr/>
      <w:r>
        <w:rPr>
          <w:rFonts w:ascii="Times New Roman" w:hAnsi="Times New Roman" w:eastAsia="Times New Roman" w:cs="Times New Roman"/>
          <w:b w:val="0"/>
          <w:i w:val="0"/>
          <w:color w:val="000000"/>
          <w:sz w:val="24"/>
        </w:rPr>
        <w:t>A lender cannot be assessed by profit growth alone. Lending is funded with liabilities, while the loan book is the principal earning asset and the main source of credit risk. Asset quality can deteriorate with a lag; a low current non-performing-asset ratio does not remove the need to examine delinquencies, write-offs, provisions, collateral values and collection capability. Conventional industrial ratios such as inventory turnover and operating margin are not appropriate substitutes for lender-specific measures.</w:t>
      </w:r>
    </w:p>
    <w:p>
      <w:pPr/>
      <w:r>
        <w:rPr>
          <w:rFonts w:ascii="Times New Roman" w:hAnsi="Times New Roman" w:eastAsia="Times New Roman" w:cs="Times New Roman"/>
          <w:b w:val="0"/>
          <w:i w:val="0"/>
          <w:color w:val="000000"/>
          <w:sz w:val="24"/>
        </w:rPr>
        <w:t>Fedfina’s FY25 and FY26 disclosures make the subject particularly relevant. FY25 profitability declined as credit costs rose and the company addressed stress in small-ticket mortgages and legacy unsecured lending. FY26 reported lower credit cost and higher profit alongside a pivot toward secured products. The study therefore asks whether the FY26 improvement reflects a durable change in portfolio and operating quality or a rebound that still requires confirmation over a longer period.</w:t>
      </w:r>
    </w:p>
    <w:p>
      <w:pPr/>
      <w:r>
        <w:rPr>
          <w:rFonts w:ascii="Times New Roman" w:hAnsi="Times New Roman" w:eastAsia="Times New Roman" w:cs="Times New Roman"/>
          <w:b w:val="0"/>
          <w:i w:val="0"/>
          <w:color w:val="000000"/>
          <w:sz w:val="24"/>
        </w:rPr>
        <w:t>A further need is to assess data consistency. Annual reports provide multiple presentations of certain metrics, and AUM is not identical to on-book loans. Identifying these distinctions is part of responsible financial analysis and prevents a researcher from treating rounded or differently defined indicators as interchangeable.</w:t>
      </w:r>
    </w:p>
    <w:p>
      <w:bookmarkStart w:id="13" w:name="S13"/>
      <w:pPr>
        <w:pStyle w:val="Heading2"/>
      </w:pPr>
      <w:r>
        <w:rPr>
          <w:rFonts w:ascii="Times New Roman" w:hAnsi="Times New Roman" w:eastAsia="Times New Roman" w:cs="Times New Roman"/>
          <w:b/>
          <w:color w:val="000000"/>
          <w:sz w:val="24"/>
        </w:rPr>
        <w:t>1.3 PROBLEM STATEMENT / RESEARCH PROBLEM</w:t>
      </w:r>
      <w:bookmarkEnd w:id="13"/>
    </w:p>
    <w:p>
      <w:pPr/>
      <w:r>
        <w:rPr>
          <w:rFonts w:ascii="Times New Roman" w:hAnsi="Times New Roman" w:eastAsia="Times New Roman" w:cs="Times New Roman"/>
          <w:b w:val="0"/>
          <w:i w:val="0"/>
          <w:color w:val="000000"/>
          <w:sz w:val="24"/>
        </w:rPr>
        <w:t>The research problem is to evaluate whether Fedfina’s growth in AUM and FY26 earnings recovery are supported by a stronger secured portfolio, resilient funding and adequate capital, while recognising the risks associated with leverage, new branch cohorts, mortgage vintages, gold-price movements and regulatory change. The analysis also assesses whether the company’s public disclosures provide a sufficiently consistent basis for interpreting those trends.</w:t>
      </w:r>
    </w:p>
    <w:p>
      <w:bookmarkStart w:id="14" w:name="S14"/>
      <w:pPr>
        <w:pStyle w:val="Heading2"/>
      </w:pPr>
      <w:r>
        <w:rPr>
          <w:rFonts w:ascii="Times New Roman" w:hAnsi="Times New Roman" w:eastAsia="Times New Roman" w:cs="Times New Roman"/>
          <w:b/>
          <w:color w:val="000000"/>
          <w:sz w:val="24"/>
        </w:rPr>
        <w:t>1.4 OBJECTIVES OF THE STUDY</w:t>
      </w:r>
      <w:bookmarkEnd w:id="14"/>
    </w:p>
    <w:p>
      <w:pPr>
        <w:pStyle w:val="ListBullet"/>
        <w:spacing w:line="360" w:lineRule="auto" w:after="100"/>
        <w:ind w:left="389" w:hanging="259"/>
        <w:jc w:val="both"/>
      </w:pPr>
      <w:r>
        <w:rPr>
          <w:rFonts w:ascii="Times New Roman" w:hAnsi="Times New Roman" w:eastAsia="Times New Roman" w:cs="Times New Roman"/>
          <w:color w:val="000000"/>
          <w:sz w:val="24"/>
        </w:rPr>
        <w:t>To describe the Indian NBFC environment relevant to gold lending, mortgage lending and secured MSME finance, using sector information as cited in the supplied company reports.</w:t>
      </w:r>
    </w:p>
    <w:p>
      <w:pPr>
        <w:pStyle w:val="ListBullet"/>
        <w:spacing w:line="360" w:lineRule="auto" w:after="100"/>
        <w:ind w:left="389" w:hanging="259"/>
        <w:jc w:val="both"/>
      </w:pPr>
      <w:r>
        <w:rPr>
          <w:rFonts w:ascii="Times New Roman" w:hAnsi="Times New Roman" w:eastAsia="Times New Roman" w:cs="Times New Roman"/>
          <w:color w:val="000000"/>
          <w:sz w:val="24"/>
        </w:rPr>
        <w:t>To profile Fedfina’s ownership, business model, product portfolio, distribution, strategy, governance and operating capabilities.</w:t>
      </w:r>
    </w:p>
    <w:p>
      <w:pPr>
        <w:pStyle w:val="ListBullet"/>
        <w:spacing w:line="360" w:lineRule="auto" w:after="100"/>
        <w:ind w:left="389" w:hanging="259"/>
        <w:jc w:val="both"/>
      </w:pPr>
      <w:r>
        <w:rPr>
          <w:rFonts w:ascii="Times New Roman" w:hAnsi="Times New Roman" w:eastAsia="Times New Roman" w:cs="Times New Roman"/>
          <w:color w:val="000000"/>
          <w:sz w:val="24"/>
        </w:rPr>
        <w:t>To analyse reported trends in AUM, disbursements, profitability, asset quality, capital, funding and returns across the available study period.</w:t>
      </w:r>
    </w:p>
    <w:p>
      <w:pPr>
        <w:pStyle w:val="ListBullet"/>
        <w:spacing w:line="360" w:lineRule="auto" w:after="100"/>
        <w:ind w:left="389" w:hanging="259"/>
        <w:jc w:val="both"/>
      </w:pPr>
      <w:r>
        <w:rPr>
          <w:rFonts w:ascii="Times New Roman" w:hAnsi="Times New Roman" w:eastAsia="Times New Roman" w:cs="Times New Roman"/>
          <w:color w:val="000000"/>
          <w:sz w:val="24"/>
        </w:rPr>
        <w:t>To interpret FY26 financial statements through common-size analysis and NBFC-appropriate ratios, and to compare the reported FY25 and FY26 position.</w:t>
      </w:r>
    </w:p>
    <w:p>
      <w:pPr>
        <w:pStyle w:val="ListBullet"/>
        <w:spacing w:line="360" w:lineRule="auto" w:after="100"/>
        <w:ind w:left="389" w:hanging="259"/>
        <w:jc w:val="both"/>
      </w:pPr>
      <w:r>
        <w:rPr>
          <w:rFonts w:ascii="Times New Roman" w:hAnsi="Times New Roman" w:eastAsia="Times New Roman" w:cs="Times New Roman"/>
          <w:color w:val="000000"/>
          <w:sz w:val="24"/>
        </w:rPr>
        <w:t>To identify material business, credit, liquidity, market, operational, regulatory, cyber, people and ESG risks disclosed in the supplied material.</w:t>
      </w:r>
    </w:p>
    <w:p>
      <w:pPr>
        <w:pStyle w:val="ListBullet"/>
        <w:spacing w:line="360" w:lineRule="auto" w:after="100"/>
        <w:ind w:left="389" w:hanging="259"/>
        <w:jc w:val="both"/>
      </w:pPr>
      <w:r>
        <w:rPr>
          <w:rFonts w:ascii="Times New Roman" w:hAnsi="Times New Roman" w:eastAsia="Times New Roman" w:cs="Times New Roman"/>
          <w:color w:val="000000"/>
          <w:sz w:val="24"/>
        </w:rPr>
        <w:t>To draw findings and practical recommendations that answer the research questions without making an unsupported investment recommendation.</w:t>
      </w:r>
    </w:p>
    <w:p>
      <w:bookmarkStart w:id="15" w:name="S15"/>
      <w:pPr>
        <w:pStyle w:val="Heading2"/>
      </w:pPr>
      <w:r>
        <w:rPr>
          <w:rFonts w:ascii="Times New Roman" w:hAnsi="Times New Roman" w:eastAsia="Times New Roman" w:cs="Times New Roman"/>
          <w:b/>
          <w:color w:val="000000"/>
          <w:sz w:val="24"/>
        </w:rPr>
        <w:t>1.5 RESEARCH QUESTIONS</w:t>
      </w:r>
      <w:bookmarkEnd w:id="15"/>
    </w:p>
    <w:p>
      <w:pPr>
        <w:pStyle w:val="ListBullet"/>
        <w:spacing w:line="360" w:lineRule="auto" w:after="100"/>
        <w:ind w:left="389" w:hanging="259"/>
        <w:jc w:val="both"/>
      </w:pPr>
      <w:r>
        <w:rPr>
          <w:rFonts w:ascii="Times New Roman" w:hAnsi="Times New Roman" w:eastAsia="Times New Roman" w:cs="Times New Roman"/>
          <w:color w:val="000000"/>
          <w:sz w:val="24"/>
        </w:rPr>
        <w:t>Has AUM growth been accompanied by improved profitability, and what factors contributed to the FY26 recovery?</w:t>
      </w:r>
    </w:p>
    <w:p>
      <w:pPr>
        <w:pStyle w:val="ListBullet"/>
        <w:spacing w:line="360" w:lineRule="auto" w:after="100"/>
        <w:ind w:left="389" w:hanging="259"/>
        <w:jc w:val="both"/>
      </w:pPr>
      <w:r>
        <w:rPr>
          <w:rFonts w:ascii="Times New Roman" w:hAnsi="Times New Roman" w:eastAsia="Times New Roman" w:cs="Times New Roman"/>
          <w:color w:val="000000"/>
          <w:sz w:val="24"/>
        </w:rPr>
        <w:t>Has the shift toward secured lending strengthened the risk profile, and what residual asset-quality concerns remain?</w:t>
      </w:r>
    </w:p>
    <w:p>
      <w:pPr>
        <w:pStyle w:val="ListBullet"/>
        <w:spacing w:line="360" w:lineRule="auto" w:after="100"/>
        <w:ind w:left="389" w:hanging="259"/>
        <w:jc w:val="both"/>
      </w:pPr>
      <w:r>
        <w:rPr>
          <w:rFonts w:ascii="Times New Roman" w:hAnsi="Times New Roman" w:eastAsia="Times New Roman" w:cs="Times New Roman"/>
          <w:color w:val="000000"/>
          <w:sz w:val="24"/>
        </w:rPr>
        <w:t>Are capital and funding indicators adequate for the company’s stated growth ambitions, taking account of the rise in leverage?</w:t>
      </w:r>
    </w:p>
    <w:p>
      <w:pPr>
        <w:pStyle w:val="ListBullet"/>
        <w:spacing w:line="360" w:lineRule="auto" w:after="100"/>
        <w:ind w:left="389" w:hanging="259"/>
        <w:jc w:val="both"/>
      </w:pPr>
      <w:r>
        <w:rPr>
          <w:rFonts w:ascii="Times New Roman" w:hAnsi="Times New Roman" w:eastAsia="Times New Roman" w:cs="Times New Roman"/>
          <w:color w:val="000000"/>
          <w:sz w:val="24"/>
        </w:rPr>
        <w:t>Which operational, regulatory and external risks could challenge the business model, and what mitigants are disclosed?</w:t>
      </w:r>
    </w:p>
    <w:p>
      <w:bookmarkStart w:id="16" w:name="S16"/>
      <w:pPr>
        <w:pStyle w:val="Heading2"/>
      </w:pPr>
      <w:r>
        <w:rPr>
          <w:rFonts w:ascii="Times New Roman" w:hAnsi="Times New Roman" w:eastAsia="Times New Roman" w:cs="Times New Roman"/>
          <w:b/>
          <w:color w:val="000000"/>
          <w:sz w:val="24"/>
        </w:rPr>
        <w:t>1.6 SCOPE OF THE STUDY</w:t>
      </w:r>
      <w:bookmarkEnd w:id="16"/>
    </w:p>
    <w:p>
      <w:pPr/>
      <w:r>
        <w:rPr>
          <w:rFonts w:ascii="Times New Roman" w:hAnsi="Times New Roman" w:eastAsia="Times New Roman" w:cs="Times New Roman"/>
          <w:b w:val="0"/>
          <w:i w:val="0"/>
          <w:color w:val="000000"/>
          <w:sz w:val="24"/>
        </w:rPr>
        <w:t>The subject is Fedbank Financial Services Limited on a standalone basis. FY26, the year ended 31 March 2026, is the principal reference year. Five-year analysis generally covers FY22–FY26; selected indicators are available for FY19–FY26. FY25 and FY26 financial-statement comparisons use the audited statements and notes in the FY26 annual report, with FY25 and FY24 annual reports used to extend the historical series.</w:t>
      </w:r>
    </w:p>
    <w:p>
      <w:pPr/>
      <w:r>
        <w:rPr>
          <w:rFonts w:ascii="Times New Roman" w:hAnsi="Times New Roman" w:eastAsia="Times New Roman" w:cs="Times New Roman"/>
          <w:b w:val="0"/>
          <w:i w:val="0"/>
          <w:color w:val="000000"/>
          <w:sz w:val="24"/>
        </w:rPr>
        <w:t>The scope includes the NBFC and secured-lending context, company profile and products, financial performance, cash flow, asset quality, funding and capital, risk management, ESG, SWOT and evidence-based recommendations. Market capitalisation is used only at the date disclosed in the supplied annual report. The study does not include a live market-price analysis, technical indicators, a DCF valuation, borrower interviews, site visits or a survey.</w:t>
      </w:r>
    </w:p>
    <w:p>
      <w:bookmarkStart w:id="17" w:name="S17"/>
      <w:pPr>
        <w:pStyle w:val="Heading2"/>
      </w:pPr>
      <w:r>
        <w:rPr>
          <w:rFonts w:ascii="Times New Roman" w:hAnsi="Times New Roman" w:eastAsia="Times New Roman" w:cs="Times New Roman"/>
          <w:b/>
          <w:color w:val="000000"/>
          <w:sz w:val="24"/>
        </w:rPr>
        <w:t>1.7 SIGNIFICANCE OF THE STUDY</w:t>
      </w:r>
      <w:bookmarkEnd w:id="17"/>
    </w:p>
    <w:p>
      <w:pPr/>
      <w:r>
        <w:rPr>
          <w:rFonts w:ascii="Times New Roman" w:hAnsi="Times New Roman" w:eastAsia="Times New Roman" w:cs="Times New Roman"/>
          <w:b w:val="0"/>
          <w:i w:val="0"/>
          <w:color w:val="000000"/>
          <w:sz w:val="24"/>
        </w:rPr>
        <w:t>Academically, the project applies financial analysis to an NBFC rather than a non-financial company and demonstrates why asset quality, funding cost, liquidity and capital must be analysed with earnings. For management students, it illustrates how a business model can be evaluated using annual reports and how reported metrics must be reconciled before conclusions are drawn. For lenders and investors, it organises the evidence and highlights monitoring variables; it does not replace due diligence or constitute investment advice.</w:t>
      </w:r>
    </w:p>
    <w:p>
      <w:bookmarkStart w:id="18" w:name="S18"/>
      <w:pPr>
        <w:pStyle w:val="Heading2"/>
      </w:pPr>
      <w:r>
        <w:rPr>
          <w:rFonts w:ascii="Times New Roman" w:hAnsi="Times New Roman" w:eastAsia="Times New Roman" w:cs="Times New Roman"/>
          <w:b/>
          <w:color w:val="000000"/>
          <w:sz w:val="24"/>
        </w:rPr>
        <w:t>1.8 STRUCTURE OF THE REPORT</w:t>
      </w:r>
      <w:bookmarkEnd w:id="18"/>
    </w:p>
    <w:p>
      <w:pPr/>
      <w:r>
        <w:rPr>
          <w:rFonts w:ascii="Times New Roman" w:hAnsi="Times New Roman" w:eastAsia="Times New Roman" w:cs="Times New Roman"/>
          <w:b w:val="0"/>
          <w:i w:val="0"/>
          <w:color w:val="000000"/>
          <w:sz w:val="24"/>
        </w:rPr>
        <w:t>Chapter 1 introduces the research problem, objectives, questions and scope. Chapter 2 reviews the sector and macroeconomic context. Chapter 3 profiles the company, its business model and products. Chapter 4 sets out the research methodology and analytical framework. Chapter 5 presents the main data analysis and interpretation. Chapter 6 summarises findings, answers the research questions and provides recommendations. Chapter 7 records study limitations. Chapter 8 lists references, followed by relevant annexures.</w:t>
      </w:r>
    </w:p>
    <w:p>
      <w:r>
        <w:rPr>
          <w:rFonts w:ascii="Times New Roman" w:hAnsi="Times New Roman" w:eastAsia="Times New Roman" w:cs="Times New Roman"/>
          <w:color w:val="000000"/>
          <w:sz w:val="24"/>
        </w:rPr>
        <w:br w:type="page"/>
      </w:r>
    </w:p>
    <w:p>
      <w:pPr>
        <w:pStyle w:val="ChapterIdentifier"/>
      </w:pPr>
      <w:r>
        <w:rPr>
          <w:rFonts w:ascii="Times New Roman" w:hAnsi="Times New Roman" w:eastAsia="Times New Roman" w:cs="Times New Roman"/>
          <w:b/>
          <w:color w:val="000000"/>
          <w:sz w:val="28"/>
        </w:rPr>
        <w:t>CHAPTER 2</w:t>
      </w:r>
    </w:p>
    <w:p>
      <w:bookmarkStart w:id="19" w:name="Chapter2"/>
      <w:pPr>
        <w:pStyle w:val="Heading1"/>
        <w:pageBreakBefore w:val="0"/>
      </w:pPr>
      <w:r>
        <w:rPr>
          <w:rFonts w:ascii="Times New Roman" w:hAnsi="Times New Roman" w:eastAsia="Times New Roman" w:cs="Times New Roman"/>
          <w:b/>
          <w:color w:val="000000"/>
          <w:sz w:val="28"/>
        </w:rPr>
        <w:t>INDUSTRY AND SECTOR BACKGROUND</w:t>
      </w:r>
      <w:bookmarkEnd w:id="19"/>
    </w:p>
    <w:p>
      <w:bookmarkStart w:id="20" w:name="S21"/>
      <w:pPr>
        <w:pStyle w:val="Heading2"/>
      </w:pPr>
      <w:r>
        <w:rPr>
          <w:rFonts w:ascii="Times New Roman" w:hAnsi="Times New Roman" w:eastAsia="Times New Roman" w:cs="Times New Roman"/>
          <w:b/>
          <w:color w:val="000000"/>
          <w:sz w:val="24"/>
        </w:rPr>
        <w:t>2.1 ROLE OF NBFCS IN THE INDIAN CREDIT SYSTEM</w:t>
      </w:r>
      <w:bookmarkEnd w:id="20"/>
    </w:p>
    <w:p>
      <w:pPr/>
      <w:r>
        <w:rPr>
          <w:rFonts w:ascii="Times New Roman" w:hAnsi="Times New Roman" w:eastAsia="Times New Roman" w:cs="Times New Roman"/>
          <w:b w:val="0"/>
          <w:i w:val="0"/>
          <w:color w:val="000000"/>
          <w:sz w:val="24"/>
        </w:rPr>
        <w:t>NBFCs complement banks by serving selected retail, self-employed and small-business segments through specialised underwriting and distribution. A lender may use branch-based sourcing, collateral appraisal, cash-flow assessment, digital checks, co-lending or portfolio assignment. These models can extend formal credit, but they also expose the lender to funding-market access, collection performance, asset-liability mismatches and regulatory requirements.</w:t>
      </w:r>
    </w:p>
    <w:p>
      <w:pPr/>
      <w:r>
        <w:rPr>
          <w:rFonts w:ascii="Times New Roman" w:hAnsi="Times New Roman" w:eastAsia="Times New Roman" w:cs="Times New Roman"/>
          <w:b w:val="0"/>
          <w:i w:val="0"/>
          <w:color w:val="000000"/>
          <w:sz w:val="24"/>
        </w:rPr>
        <w:t>The Fedfina FY26 Management Discussion and Analysis cites sector estimates placing NBFC assets at approximately ₹45 trillion and sector loan-book growth at 15–17% during FY26. It also cites ICRA and CRISIL estimates regarding the share of retail and MSME lending and projected sector growth. These are presented below as company-cited context, not as independently researched findings of this project.</w:t>
      </w:r>
    </w:p>
    <w:p>
      <w:pPr>
        <w:pStyle w:val="CaptionBlack"/>
        <w:keepNext/>
      </w:pPr>
      <w:r>
        <w:rPr>
          <w:rFonts w:ascii="Times New Roman" w:hAnsi="Times New Roman" w:eastAsia="Times New Roman" w:cs="Times New Roman"/>
          <w:b/>
          <w:color w:val="000000"/>
          <w:sz w:val="22"/>
        </w:rPr>
        <w:t>Table 2.1: Selected sector indicators quoted in the FY26 annual report</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Indicator</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Reported context</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Attribution in company report</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NBFC sector assets, FY26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Approximately ₹45 trillion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Industry rankings / press, as cited in MD&amp;A</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NBFC loan-book growth through FY26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15–17%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Press reports, as cited in MD&amp;A</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Projected NBFC AUM in FY27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Above ₹50 trillion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CRISIL, as cited in MD&amp;A</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Retail and MSME share of NBFC loan books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Approximately 60–65%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ICRA, as cited in MD&amp;A</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Retail credit growth in FY26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19.8%</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RBI / PIB, as cited in MD&amp;A</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Household credit to GDP</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India 42%; China 60%; US 69%; UK 76%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Chairman’s message, FY26 report</w:t>
            </w:r>
          </w:p>
        </w:tc>
      </w:tr>
    </w:tbl>
    <w:p>
      <w:pPr>
        <w:pStyle w:val="SourceNote"/>
      </w:pPr>
      <w:r>
        <w:rPr>
          <w:rFonts w:ascii="Times New Roman" w:hAnsi="Times New Roman" w:eastAsia="Times New Roman" w:cs="Times New Roman"/>
          <w:i/>
          <w:color w:val="000000"/>
          <w:sz w:val="18"/>
        </w:rPr>
        <w:t>Source: Fedbank Financial Services Limited, Annual Report 2025–26, Management Discussion and Analysis and Chairman / MD&amp;CEO messages. Third-party estimates are reproduced as quoted by the company.</w:t>
      </w:r>
    </w:p>
    <w:p>
      <w:pPr/>
      <w:r>
        <w:rPr>
          <w:rFonts w:ascii="Times New Roman" w:hAnsi="Times New Roman" w:eastAsia="Times New Roman" w:cs="Times New Roman"/>
          <w:b w:val="0"/>
          <w:i w:val="0"/>
          <w:color w:val="000000"/>
          <w:sz w:val="24"/>
        </w:rPr>
        <w:t>The figures describe a large and expanding credit market, but they are not a company-specific forecast. The report uses them to frame potential demand; the company’s ability to convert that demand into risk-adjusted earnings remains a separate question.</w:t>
      </w:r>
    </w:p>
    <w:p>
      <w:bookmarkStart w:id="21" w:name="S22"/>
      <w:pPr>
        <w:pStyle w:val="Heading2"/>
      </w:pPr>
      <w:r>
        <w:rPr>
          <w:rFonts w:ascii="Times New Roman" w:hAnsi="Times New Roman" w:eastAsia="Times New Roman" w:cs="Times New Roman"/>
          <w:b/>
          <w:color w:val="000000"/>
          <w:sz w:val="24"/>
        </w:rPr>
        <w:t>2.2 MACROECONOMIC ENVIRONMENT RELEVANT TO FY26</w:t>
      </w:r>
      <w:bookmarkEnd w:id="21"/>
    </w:p>
    <w:p>
      <w:pPr/>
      <w:r>
        <w:rPr>
          <w:rFonts w:ascii="Times New Roman" w:hAnsi="Times New Roman" w:eastAsia="Times New Roman" w:cs="Times New Roman"/>
          <w:b w:val="0"/>
          <w:i w:val="0"/>
          <w:color w:val="000000"/>
          <w:sz w:val="24"/>
        </w:rPr>
        <w:t>The FY26 annual report describes a supportive but changing macroeconomic backdrop: strong reported GDP growth, lower inflation and a decline in the policy rate, alongside a sharp rise in gold prices during calendar 2025. For a secured retail lender, these variables have different channels. Lower rates can reduce refinancing cost and improve mortgage affordability; gold-price appreciation increases nominal collateral values and can raise the rupee value of AUM without an equivalent increase in gold tonnage. A reversal in either direction can therefore affect margins, collateral buffers and borrower demand.</w:t>
      </w:r>
    </w:p>
    <w:p>
      <w:pPr>
        <w:pStyle w:val="CaptionBlack"/>
        <w:keepNext/>
      </w:pPr>
      <w:r>
        <w:rPr>
          <w:rFonts w:ascii="Times New Roman" w:hAnsi="Times New Roman" w:eastAsia="Times New Roman" w:cs="Times New Roman"/>
          <w:b/>
          <w:color w:val="000000"/>
          <w:sz w:val="22"/>
        </w:rPr>
        <w:t>Table 2.2: Selected FY26 macroeconomic indicators cited by the company</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Indicator</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 / prior context</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 context</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Relevance to lender</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Real GDP growth</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7.1% (FY25)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7.7% estimate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Supports formal-credit demand; not a company-specific outcome.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Repo rate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6.25% after February 2025 cut</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5.25% after cumulative 125 bps cuts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Potentially lowers refinancing cost; repricing speed depends on liability mix.</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Inflation</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Around 2% FY average as cited in report</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Can affect real household cash flows and policy settings.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 price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US$2,607/oz at end-2024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US$4,315/oz at end-2025; about 65% increase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Raises nominal collateral value; creates sensitivity to subsequent reversal.</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India gold imports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US$57.9 billion</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US$72.4 billion, +24%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Context for domestic demand, as cited by the company.</w:t>
            </w:r>
          </w:p>
        </w:tc>
      </w:tr>
    </w:tbl>
    <w:p>
      <w:pPr>
        <w:pStyle w:val="SourceNote"/>
      </w:pPr>
      <w:r>
        <w:rPr>
          <w:rFonts w:ascii="Times New Roman" w:hAnsi="Times New Roman" w:eastAsia="Times New Roman" w:cs="Times New Roman"/>
          <w:i/>
          <w:color w:val="000000"/>
          <w:sz w:val="18"/>
        </w:rPr>
        <w:t>Source: Fedbank Financial Services Limited, Annual Report 2025–26, MD&amp;A and Chairman / MD&amp;CEO messages; underlying providers are identified in that report (including MoSPI, RBI, Economic Survey and Ministry of Commerce).</w:t>
      </w:r>
    </w:p>
    <w:p>
      <w:pPr/>
      <w:r>
        <w:rPr>
          <w:rFonts w:ascii="Times New Roman" w:hAnsi="Times New Roman" w:eastAsia="Times New Roman" w:cs="Times New Roman"/>
          <w:b w:val="0"/>
          <w:i w:val="0"/>
          <w:color w:val="000000"/>
          <w:sz w:val="24"/>
        </w:rPr>
        <w:t>The FY26 macro environment supported gold-led growth and a lower cost of funds. Neither effect should be extrapolated automatically: loan growth must be separated from price-driven collateral expansion, while future borrowing costs depend on the rate cycle, credit spreads and the company’s funding mix.</w:t>
      </w:r>
    </w:p>
    <w:p>
      <w:bookmarkStart w:id="22" w:name="S23"/>
      <w:pPr>
        <w:pStyle w:val="Heading2"/>
      </w:pPr>
      <w:r>
        <w:rPr>
          <w:rFonts w:ascii="Times New Roman" w:hAnsi="Times New Roman" w:eastAsia="Times New Roman" w:cs="Times New Roman"/>
          <w:b/>
          <w:color w:val="000000"/>
          <w:sz w:val="24"/>
        </w:rPr>
        <w:t>2.3 GOLD-LOAN INDUSTRY</w:t>
      </w:r>
      <w:bookmarkEnd w:id="22"/>
    </w:p>
    <w:p>
      <w:pPr/>
      <w:r>
        <w:rPr>
          <w:rFonts w:ascii="Times New Roman" w:hAnsi="Times New Roman" w:eastAsia="Times New Roman" w:cs="Times New Roman"/>
          <w:b w:val="0"/>
          <w:i w:val="0"/>
          <w:color w:val="000000"/>
          <w:sz w:val="24"/>
        </w:rPr>
        <w:t>Gold-backed lending is secured by a liquid, familiar household asset and can be originated through branch or doorstep channels. The company’s FY26 report, citing ICRA and the World Gold Council, describes an organised gold-loan market exceeding ₹15 lakh crore, a projected market of about ₹18 lakh crore in FY27, and a market in which banks account for a substantial share. The same report notes a rise in gold prices and a decline in gold demand by volume during calendar 2025, while the value of demand increased.</w:t>
      </w:r>
    </w:p>
    <w:p>
      <w:pPr>
        <w:pStyle w:val="CaptionBlack"/>
        <w:keepNext/>
      </w:pPr>
      <w:r>
        <w:rPr>
          <w:rFonts w:ascii="Times New Roman" w:hAnsi="Times New Roman" w:eastAsia="Times New Roman" w:cs="Times New Roman"/>
          <w:b/>
          <w:color w:val="000000"/>
          <w:sz w:val="22"/>
        </w:rPr>
        <w:t>Table 2.3: Gold-loan market context quoted in the FY26 report</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Indicator</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Value quoted</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Analytical relevance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Organised gold-loan market, FY26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Above ₹15 lakh crore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Large addressable market; estimate is company-cited.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Projected organised market, FY27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Approximately ₹18 lakh crore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Projection, not an observed outcome.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Banks’ share of organised gold loans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Approximately 82%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Shows that NBFCs compete with banks, not only other NBFCs.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Top-four NBFC share of NBFC gold AUM</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81% in March 2025; 90% in March 2022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Indicates a concentrated but changing competitive segment.</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India gold demand, CY2025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Approximately 711 tonnes; volume down about 11%</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Contrasts volume and rupee-value growth.</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 price, CY2025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US$2,607 to US$4,315 per ounce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Price change can materially affect loan size and reported AUM.</w:t>
            </w:r>
          </w:p>
        </w:tc>
      </w:tr>
    </w:tbl>
    <w:p>
      <w:pPr>
        <w:pStyle w:val="SourceNote"/>
      </w:pPr>
      <w:r>
        <w:rPr>
          <w:rFonts w:ascii="Times New Roman" w:hAnsi="Times New Roman" w:eastAsia="Times New Roman" w:cs="Times New Roman"/>
          <w:i/>
          <w:color w:val="000000"/>
          <w:sz w:val="18"/>
        </w:rPr>
        <w:t>Source: Fedbank Financial Services Limited, Annual Report 2025–26, MD&amp;A and sector discussion, quoting ICRA and the World Gold Council.</w:t>
      </w:r>
    </w:p>
    <w:p>
      <w:pPr/>
      <w:r>
        <w:rPr>
          <w:rFonts w:ascii="Times New Roman" w:hAnsi="Times New Roman" w:eastAsia="Times New Roman" w:cs="Times New Roman"/>
          <w:b w:val="0"/>
          <w:i w:val="0"/>
          <w:color w:val="000000"/>
          <w:sz w:val="24"/>
        </w:rPr>
        <w:t>Gold lending offers speed and collateral cover, but a rising gold price can amplify nominal AUM even when physical gold volumes grow more slowly. Credit quality also depends on appraisal, purity checks, custody, LTV maintenance, renewal practices and fair auction procedures.</w:t>
      </w:r>
    </w:p>
    <w:p>
      <w:bookmarkStart w:id="23" w:name="S24"/>
      <w:pPr>
        <w:pStyle w:val="Heading2"/>
      </w:pPr>
      <w:r>
        <w:rPr>
          <w:rFonts w:ascii="Times New Roman" w:hAnsi="Times New Roman" w:eastAsia="Times New Roman" w:cs="Times New Roman"/>
          <w:b/>
          <w:color w:val="000000"/>
          <w:sz w:val="24"/>
        </w:rPr>
        <w:t>2.4 MORTGAGE, HOUSING FINANCE AND MSME CREDIT</w:t>
      </w:r>
      <w:bookmarkEnd w:id="23"/>
    </w:p>
    <w:p>
      <w:pPr/>
      <w:r>
        <w:rPr>
          <w:rFonts w:ascii="Times New Roman" w:hAnsi="Times New Roman" w:eastAsia="Times New Roman" w:cs="Times New Roman"/>
          <w:b w:val="0"/>
          <w:i w:val="0"/>
          <w:color w:val="000000"/>
          <w:sz w:val="24"/>
        </w:rPr>
        <w:t>Loans against property serve both household and business purposes. Medium-ticket loans can be supported by formal income records and property collateral, while small-ticket LAP and affordable housing products often serve self-employed customers whose income is less formal. These products have longer duration than gold loans and require assessment of repayment capacity, title, valuation, end use and collections performance. Their risk profile therefore differs from short-tenor gold lending even when both are secured.</w:t>
      </w:r>
    </w:p>
    <w:p>
      <w:pPr/>
      <w:r>
        <w:rPr>
          <w:rFonts w:ascii="Times New Roman" w:hAnsi="Times New Roman" w:eastAsia="Times New Roman" w:cs="Times New Roman"/>
          <w:b w:val="0"/>
          <w:i w:val="0"/>
          <w:color w:val="000000"/>
          <w:sz w:val="24"/>
        </w:rPr>
        <w:t>The FY26 report cites a large MSME base and a substantial estimated credit gap. The data are useful as context, but the supplied material does not provide a borrower-level or independently estimated credit-demand model. For Fedfina, the relevant analytical question is whether underwriting and collections can scale with mortgage growth while maintaining acceptable vintage performance.</w:t>
      </w:r>
    </w:p>
    <w:p>
      <w:pPr>
        <w:pStyle w:val="CaptionBlack"/>
        <w:keepNext/>
      </w:pPr>
      <w:r>
        <w:rPr>
          <w:rFonts w:ascii="Times New Roman" w:hAnsi="Times New Roman" w:eastAsia="Times New Roman" w:cs="Times New Roman"/>
          <w:b/>
          <w:color w:val="000000"/>
          <w:sz w:val="22"/>
        </w:rPr>
        <w:t>Table 2.4: Selected mortgage segments and company disclosures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Segment</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Typical customer description</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 company metric</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Principal risk to monitor</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Medium-ticket LAP</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Established MSMEs with comparatively formal income records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Average ticket ₹72.4 lakh; origination yield 12.0%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Competition, yield pressure and balance-transfer attrition.</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Small-ticket LAP</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Self-employed borrowers, often with less formal income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Average ticket ₹16.1 lakh; origination yield 15.1%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Collections intensity and early-vintage delinquency.</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Housing loans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First-time or emerging-market home buyers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Included with small-ticket mortgage disclosures in the supplied source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Title, construction, duration and customer repayment risk.</w:t>
            </w:r>
          </w:p>
        </w:tc>
      </w:tr>
    </w:tbl>
    <w:p>
      <w:pPr>
        <w:pStyle w:val="SourceNote"/>
      </w:pPr>
      <w:r>
        <w:rPr>
          <w:rFonts w:ascii="Times New Roman" w:hAnsi="Times New Roman" w:eastAsia="Times New Roman" w:cs="Times New Roman"/>
          <w:i/>
          <w:color w:val="000000"/>
          <w:sz w:val="18"/>
        </w:rPr>
        <w:t>Source: Fedbank Financial Services Limited, Annual Report 2025–26, product disclosures and MD&amp;A; selected MSME context as cited in that report.</w:t>
      </w:r>
    </w:p>
    <w:p>
      <w:pPr/>
      <w:r>
        <w:rPr>
          <w:rFonts w:ascii="Times New Roman" w:hAnsi="Times New Roman" w:eastAsia="Times New Roman" w:cs="Times New Roman"/>
          <w:b w:val="0"/>
          <w:i w:val="0"/>
          <w:color w:val="000000"/>
          <w:sz w:val="24"/>
        </w:rPr>
        <w:t>The higher reported origination yield for smaller-ticket products does not by itself establish higher profitability. Acquisition and servicing costs, credit losses, tenor and capital consumption must be considered alongside yield.</w:t>
      </w:r>
    </w:p>
    <w:p>
      <w:bookmarkStart w:id="24" w:name="S25"/>
      <w:pPr>
        <w:pStyle w:val="Heading2"/>
      </w:pPr>
      <w:r>
        <w:rPr>
          <w:rFonts w:ascii="Times New Roman" w:hAnsi="Times New Roman" w:eastAsia="Times New Roman" w:cs="Times New Roman"/>
          <w:b/>
          <w:color w:val="000000"/>
          <w:sz w:val="24"/>
        </w:rPr>
        <w:t>2.5 REGULATORY ENVIRONMENT</w:t>
      </w:r>
      <w:bookmarkEnd w:id="24"/>
    </w:p>
    <w:p>
      <w:pPr/>
      <w:r>
        <w:rPr>
          <w:rFonts w:ascii="Times New Roman" w:hAnsi="Times New Roman" w:eastAsia="Times New Roman" w:cs="Times New Roman"/>
          <w:b w:val="0"/>
          <w:i w:val="0"/>
          <w:color w:val="000000"/>
          <w:sz w:val="24"/>
        </w:rPr>
        <w:t>NBFCs operate under Reserve Bank of India (RBI) registration, prudential and conduct requirements, with requirements that vary by regulatory layer and activity. The supplied FY26 report identifies Fedfina as a Middle Layer NBFC under the scale-based framework and reports a minimum CRAR requirement of 15% for the relevant layer. The company’s funding, governance, liquidity and reporting processes are therefore part of the operating model, not administrative matters separate from financial performance.</w:t>
      </w:r>
    </w:p>
    <w:p>
      <w:pPr/>
      <w:r>
        <w:rPr>
          <w:rFonts w:ascii="Times New Roman" w:hAnsi="Times New Roman" w:eastAsia="Times New Roman" w:cs="Times New Roman"/>
          <w:b w:val="0"/>
          <w:i w:val="0"/>
          <w:color w:val="000000"/>
          <w:sz w:val="24"/>
        </w:rPr>
        <w:t>The report also summarises RBI directions on lending against gold collateral issued in 2025 and effective from 1 April 2026. The directions include tiered LTV ceilings, maintenance of LTV through the tenor, repayment-capacity assessment for larger tickets, revised renewal and top-up conditions, and requirements around valuation, auction and return of collateral. The summary below follows the supplied research material; the exact application should be checked against the official RBI directions for any operational decision.</w:t>
      </w:r>
    </w:p>
    <w:p>
      <w:pPr>
        <w:pStyle w:val="CaptionBlack"/>
        <w:keepNext/>
      </w:pPr>
      <w:r>
        <w:rPr>
          <w:rFonts w:ascii="Times New Roman" w:hAnsi="Times New Roman" w:eastAsia="Times New Roman" w:cs="Times New Roman"/>
          <w:b/>
          <w:color w:val="000000"/>
          <w:sz w:val="22"/>
        </w:rPr>
        <w:t>Table 2.5: Gold-collateral regulatory changes summarised in the supplied material</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Area</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Direction summarised in the source</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Potential relevance to Fedfina</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LTV limits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Tiered ceilings are described as 85% for loans up to ₹2.5 lakh, 80% for ₹2.5–5 lakh and 75% above ₹5 lakh.</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Portfolio LTV is reported at 60.9%; system monitoring remains necessary through the life of the loan.</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LTV maintenance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The ceiling applies through the tenor; bullet-loan LTV uses the amount due at maturity.</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Requires ongoing collateral-price and renewal controls.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Credit assessment</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Repayment-capacity assessment is required for loans above the specified threshold.</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Adds assessment requirements for higher-ticket gold loans.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Renewal and top-up</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Renewal and top-up conditions are revised, including servicing interest before renewal.</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May change customer rollover behaviour and origination volumes.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Conduct and collateral return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Directions address valuation, customer communication, auction and return of gold after closure.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Customer-protection controls are financially and reputationally material.</w:t>
            </w:r>
          </w:p>
        </w:tc>
      </w:tr>
    </w:tbl>
    <w:p>
      <w:pPr>
        <w:pStyle w:val="SourceNote"/>
      </w:pPr>
      <w:r>
        <w:rPr>
          <w:rFonts w:ascii="Times New Roman" w:hAnsi="Times New Roman" w:eastAsia="Times New Roman" w:cs="Times New Roman"/>
          <w:i/>
          <w:color w:val="000000"/>
          <w:sz w:val="18"/>
        </w:rPr>
        <w:t>Source: Reserve Bank of India, Directions on Lending Against Gold Collateral (June 2025; effective 1 April 2026), as summarised in the supplied Dattaguru research document and Fedfina FY26 report.</w:t>
      </w:r>
    </w:p>
    <w:p>
      <w:pPr/>
      <w:r>
        <w:rPr>
          <w:rFonts w:ascii="Times New Roman" w:hAnsi="Times New Roman" w:eastAsia="Times New Roman" w:cs="Times New Roman"/>
          <w:b w:val="0"/>
          <w:i w:val="0"/>
          <w:color w:val="000000"/>
          <w:sz w:val="24"/>
        </w:rPr>
        <w:t>The rules affect a product that represented about half of FY26 AUM. The company reports a portfolio LTV below the stated ceilings, but a point-in-time average does not replace loan-level monitoring, operational readiness and customer-conduct controls.</w:t>
      </w:r>
    </w:p>
    <w:p>
      <w:bookmarkStart w:id="25" w:name="S26"/>
      <w:pPr>
        <w:pStyle w:val="Heading2"/>
      </w:pPr>
      <w:r>
        <w:rPr>
          <w:rFonts w:ascii="Times New Roman" w:hAnsi="Times New Roman" w:eastAsia="Times New Roman" w:cs="Times New Roman"/>
          <w:b/>
          <w:color w:val="000000"/>
          <w:sz w:val="24"/>
        </w:rPr>
        <w:t>2.6 COMPETITIVE LANDSCAPE AND PORTER’S FIVE FORCES</w:t>
      </w:r>
      <w:bookmarkEnd w:id="25"/>
    </w:p>
    <w:p>
      <w:pPr/>
      <w:r>
        <w:rPr>
          <w:rFonts w:ascii="Times New Roman" w:hAnsi="Times New Roman" w:eastAsia="Times New Roman" w:cs="Times New Roman"/>
          <w:b w:val="0"/>
          <w:i w:val="0"/>
          <w:color w:val="000000"/>
          <w:sz w:val="24"/>
        </w:rPr>
        <w:t>Competition comes from banks, large gold-loan NBFCs, housing finance companies, other NBFCs and local lenders. Fedfina’s competition is product-specific: gold lending is sensitive to customer proximity, appraisal, turnaround time and LTV; mortgage lending is sensitive to pricing, service and refinancing alternatives. The supplied source contains a numerical peer snapshot based on secondary coverage, but the reported bases differ across standalone and consolidated figures and the AUM definitions are not fully comparable. This report therefore does not calculate peer ratios or use those figures as a like-for-like ranking.</w:t>
      </w:r>
    </w:p>
    <w:p>
      <w:pPr>
        <w:pStyle w:val="CaptionBlack"/>
        <w:keepNext/>
      </w:pPr>
      <w:r>
        <w:rPr>
          <w:rFonts w:ascii="Times New Roman" w:hAnsi="Times New Roman" w:eastAsia="Times New Roman" w:cs="Times New Roman"/>
          <w:b/>
          <w:color w:val="000000"/>
          <w:sz w:val="22"/>
        </w:rPr>
        <w:t>Table 2.6: Porter’s Five Forces: researcher assessment</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Force</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Assessment</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Evidence in supplied material</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Implication</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Competitive rivalry</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High</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Banks are cited as holding about 82% of organised gold lending; large NBFCs and mortgage lenders are also active.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Differentiation must come from service, distribution, underwriting and cost discipline, not growth alone.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Threat of new entrants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Moderate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Capital, regulatory compliance, ratings and branch economics are barriers; digital and co-lending channels can lower entry friction.</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Scale and governance matter, but technology may widen competition.</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Borrower bargaining power</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Moderate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Borrowers with limited formal alternatives may have fewer options; prime mortgage customers can refinance.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Retention and transparent pricing are important, particularly in MT LAP.</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Supplier / funder power</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Moderate to high</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The company depends on wholesale funding; it reports 41 lenders and AA+ ratings, but rate and regulatory changes affected funding cost.</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Funding diversity mitigates concentration but does not remove refinancing or repricing risk.</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Threat of substitutes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Moderate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Alternatives include bank credit, unsecured credit, informal finance, sale of gold and overdrafts.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Product demand can move with household liquidity needs and relative pricing.</w:t>
            </w:r>
          </w:p>
        </w:tc>
      </w:tr>
    </w:tbl>
    <w:p>
      <w:pPr>
        <w:pStyle w:val="SourceNote"/>
      </w:pPr>
      <w:r>
        <w:rPr>
          <w:rFonts w:ascii="Times New Roman" w:hAnsi="Times New Roman" w:eastAsia="Times New Roman" w:cs="Times New Roman"/>
          <w:i/>
          <w:color w:val="000000"/>
          <w:sz w:val="18"/>
        </w:rPr>
        <w:t>Source: Researcher assessment based on Fedbank Financial Services Limited, Annual Reports 2024–25 and 2025–26, and the sector indicators cited therein.</w:t>
      </w:r>
    </w:p>
    <w:p>
      <w:pPr/>
      <w:r>
        <w:rPr>
          <w:rFonts w:ascii="Times New Roman" w:hAnsi="Times New Roman" w:eastAsia="Times New Roman" w:cs="Times New Roman"/>
          <w:b w:val="0"/>
          <w:i w:val="0"/>
          <w:color w:val="000000"/>
          <w:sz w:val="24"/>
        </w:rPr>
        <w:t>The industry has attractive access-to-credit themes but competitive returns are not guaranteed. The strongest pressures are established bank and NBFC competition, lender funding costs and the operational expense of serving dispersed borrowers.</w:t>
      </w:r>
    </w:p>
    <w:p>
      <w:bookmarkStart w:id="26" w:name="S27"/>
      <w:pPr>
        <w:pStyle w:val="Heading2"/>
      </w:pPr>
      <w:r>
        <w:rPr>
          <w:rFonts w:ascii="Times New Roman" w:hAnsi="Times New Roman" w:eastAsia="Times New Roman" w:cs="Times New Roman"/>
          <w:b/>
          <w:color w:val="000000"/>
          <w:sz w:val="24"/>
        </w:rPr>
        <w:t>2.7 PESTLE ANALYSIS</w:t>
      </w:r>
      <w:bookmarkEnd w:id="26"/>
    </w:p>
    <w:p>
      <w:pPr>
        <w:pStyle w:val="CaptionBlack"/>
        <w:keepNext/>
      </w:pPr>
      <w:r>
        <w:rPr>
          <w:rFonts w:ascii="Times New Roman" w:hAnsi="Times New Roman" w:eastAsia="Times New Roman" w:cs="Times New Roman"/>
          <w:b/>
          <w:color w:val="000000"/>
          <w:sz w:val="22"/>
        </w:rPr>
        <w:t>Table 2.7: PESTLE factors relevant to Fedfina</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Factor</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Evidence or context in supplied reports</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Possible business / financial implication</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Political / policy</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Policy attention to MSMEs, housing and financial inclusion is discussed in company reports.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Can support demand, while public-policy priorities may also bring new compliance expectations.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Economic</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 report cites GDP growth, lower repo rates and a sharp rise in gold prices.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May support demand and collateral values; rates and gold prices can reverse.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Social</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 is a familiar household asset; the company serves self-employed and emerging borrowers.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Supports secured credit access; fair appraisal, collections and customer communication are essential.</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Technological</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The company reports integrated lending systems, digital servicing and analytics.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Can improve speed and controls, but increases cyber and data-protection exposure.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Legal / regulatory</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Scale-based NBFC regulation and gold-lending directions affect capital, governance and product controls.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Compliance capability is a source of cost and resilience.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Environmental</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The BRSR reports lower Scope 1 and 2 emission intensity and exploration of green-product lending.</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Operational progress is reported; financed-emissions measurement remains a developing area.</w:t>
            </w:r>
          </w:p>
        </w:tc>
      </w:tr>
    </w:tbl>
    <w:p>
      <w:pPr>
        <w:pStyle w:val="SourceNote"/>
      </w:pPr>
      <w:r>
        <w:rPr>
          <w:rFonts w:ascii="Times New Roman" w:hAnsi="Times New Roman" w:eastAsia="Times New Roman" w:cs="Times New Roman"/>
          <w:i/>
          <w:color w:val="000000"/>
          <w:sz w:val="18"/>
        </w:rPr>
        <w:t>Source: Fedbank Financial Services Limited, Annual Report 2025–26, MD&amp;A, Corporate Governance Report and BRSR.</w:t>
      </w:r>
    </w:p>
    <w:p>
      <w:pPr/>
      <w:r>
        <w:rPr>
          <w:rFonts w:ascii="Times New Roman" w:hAnsi="Times New Roman" w:eastAsia="Times New Roman" w:cs="Times New Roman"/>
          <w:b w:val="0"/>
          <w:i w:val="0"/>
          <w:color w:val="000000"/>
          <w:sz w:val="24"/>
        </w:rPr>
        <w:t>The PESTLE review is not a forecast. It identifies external channels that can alter customer demand, operating cost, risk and compliance. The largest near-term financial sensitivities in the supplied data are funding rates, gold collateral values and the execution of new secured lending.</w:t>
      </w:r>
    </w:p>
    <w:p>
      <w:bookmarkStart w:id="27" w:name="S28"/>
      <w:pPr>
        <w:pStyle w:val="Heading2"/>
      </w:pPr>
      <w:r>
        <w:rPr>
          <w:rFonts w:ascii="Times New Roman" w:hAnsi="Times New Roman" w:eastAsia="Times New Roman" w:cs="Times New Roman"/>
          <w:b/>
          <w:color w:val="000000"/>
          <w:sz w:val="24"/>
        </w:rPr>
        <w:t>2.8 INDUSTRY OPPORTUNITIES AND CHALLENGES</w:t>
      </w:r>
      <w:bookmarkEnd w:id="27"/>
    </w:p>
    <w:p>
      <w:pPr/>
      <w:r>
        <w:rPr>
          <w:rFonts w:ascii="Times New Roman" w:hAnsi="Times New Roman" w:eastAsia="Times New Roman" w:cs="Times New Roman"/>
          <w:b w:val="0"/>
          <w:i w:val="0"/>
          <w:color w:val="000000"/>
          <w:sz w:val="24"/>
        </w:rPr>
        <w:t>The company-cited market data point to under-penetrated formal credit, gold-backed borrowing, secured MSME lending, affordable housing, co-lending and digital distribution as potential opportunities. Fedfina’s reported product and branch strategy is aligned with several of these themes. However, sector growth estimates are not a substitute for company-specific evidence of risk-adjusted returns.</w:t>
      </w:r>
    </w:p>
    <w:p>
      <w:pPr/>
      <w:r>
        <w:rPr>
          <w:rFonts w:ascii="Times New Roman" w:hAnsi="Times New Roman" w:eastAsia="Times New Roman" w:cs="Times New Roman"/>
          <w:b w:val="0"/>
          <w:i w:val="0"/>
          <w:color w:val="000000"/>
          <w:sz w:val="24"/>
        </w:rPr>
        <w:t>The corresponding challenges are high competition, shifting regulatory requirements, wholesale funding sensitivity, regional concentration, gold-price volatility, long-duration mortgage risk and the cost of branch-led service. These themes inform the company analysis and the risk assessment in Chapters 3 and 5.</w:t>
      </w:r>
    </w:p>
    <w:p>
      <w:r>
        <w:rPr>
          <w:rFonts w:ascii="Times New Roman" w:hAnsi="Times New Roman" w:eastAsia="Times New Roman" w:cs="Times New Roman"/>
          <w:color w:val="000000"/>
          <w:sz w:val="24"/>
        </w:rPr>
        <w:br w:type="page"/>
      </w:r>
    </w:p>
    <w:p>
      <w:pPr>
        <w:pStyle w:val="ChapterIdentifier"/>
      </w:pPr>
      <w:r>
        <w:rPr>
          <w:rFonts w:ascii="Times New Roman" w:hAnsi="Times New Roman" w:eastAsia="Times New Roman" w:cs="Times New Roman"/>
          <w:b/>
          <w:color w:val="000000"/>
          <w:sz w:val="28"/>
        </w:rPr>
        <w:t>CHAPTER 3</w:t>
      </w:r>
    </w:p>
    <w:p>
      <w:bookmarkStart w:id="28" w:name="Chapter3"/>
      <w:pPr>
        <w:pStyle w:val="Heading1"/>
        <w:pageBreakBefore w:val="0"/>
      </w:pPr>
      <w:r>
        <w:rPr>
          <w:rFonts w:ascii="Times New Roman" w:hAnsi="Times New Roman" w:eastAsia="Times New Roman" w:cs="Times New Roman"/>
          <w:b/>
          <w:color w:val="000000"/>
          <w:sz w:val="28"/>
        </w:rPr>
        <w:t>COMPANY PROFILE, BUSINESS MODEL AND PRODUCTS</w:t>
      </w:r>
      <w:bookmarkEnd w:id="28"/>
    </w:p>
    <w:p>
      <w:bookmarkStart w:id="29" w:name="S31"/>
      <w:pPr>
        <w:pStyle w:val="Heading2"/>
      </w:pPr>
      <w:r>
        <w:rPr>
          <w:rFonts w:ascii="Times New Roman" w:hAnsi="Times New Roman" w:eastAsia="Times New Roman" w:cs="Times New Roman"/>
          <w:b/>
          <w:color w:val="000000"/>
          <w:sz w:val="24"/>
        </w:rPr>
        <w:t>3.1 COMPANY INTRODUCTION AND CORPORATE JOURNEY</w:t>
      </w:r>
      <w:bookmarkEnd w:id="29"/>
    </w:p>
    <w:p>
      <w:pPr/>
      <w:r>
        <w:rPr>
          <w:rFonts w:ascii="Times New Roman" w:hAnsi="Times New Roman" w:eastAsia="Times New Roman" w:cs="Times New Roman"/>
          <w:b w:val="0"/>
          <w:i w:val="0"/>
          <w:color w:val="000000"/>
          <w:sz w:val="24"/>
        </w:rPr>
        <w:t>Fedbank Financial Services Limited was incorporated in 1995 and is headquartered in Mumbai. It is a listed NBFC and a majority-owned subsidiary of The Federal Bank Limited. The company describes its purpose as providing loans to emerging and underserved customers through a secured retail-lending model. Its shares trade on the NSE under the symbol FEDFINA and on the BSE under scrip code 544027; the company completed its IPO and listing in November 2023.</w:t>
      </w:r>
    </w:p>
    <w:p>
      <w:pPr>
        <w:pStyle w:val="CaptionBlack"/>
        <w:keepNext/>
      </w:pPr>
      <w:r>
        <w:rPr>
          <w:rFonts w:ascii="Times New Roman" w:hAnsi="Times New Roman" w:eastAsia="Times New Roman" w:cs="Times New Roman"/>
          <w:b/>
          <w:color w:val="000000"/>
          <w:sz w:val="22"/>
        </w:rPr>
        <w:t>Table 3.1: Selected corporate milestones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Period</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Milestone as reported</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Relevance to the study</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1995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 incorporated.</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Establishes the operating history.</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2010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RBI registration to operate as a non-deposit-taking NBFC.</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Places the business within the NBFC regulatory framework.</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2011–2012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 lending and medium-ticket LAP introduced.</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Begins the secured product mix.</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2018</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True North investment and development of small-ticket lending products.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Capital and product expansion phase.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2021</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Registered office moved to Mumbai; branch network and AUM continued to expand.</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Growth in scale and distribution.</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November 2023</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IPO and listing on NSE and BSE.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Public-market disclosure and equity capital.</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FY25–FY26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Portfolio recalibration and exit from new unsecured business lending.</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Strategic shift toward a more secured portfolio.</w:t>
            </w:r>
          </w:p>
        </w:tc>
      </w:tr>
    </w:tbl>
    <w:p>
      <w:pPr>
        <w:pStyle w:val="SourceNote"/>
      </w:pPr>
      <w:r>
        <w:rPr>
          <w:rFonts w:ascii="Times New Roman" w:hAnsi="Times New Roman" w:eastAsia="Times New Roman" w:cs="Times New Roman"/>
          <w:i/>
          <w:color w:val="000000"/>
          <w:sz w:val="18"/>
        </w:rPr>
        <w:t>Source: Fedbank Financial Services Limited, Annual Reports 2023–24, 2024–25 and 2025–26, company history and Directors’ Reports.</w:t>
      </w:r>
    </w:p>
    <w:p>
      <w:pPr/>
      <w:r>
        <w:rPr>
          <w:rFonts w:ascii="Times New Roman" w:hAnsi="Times New Roman" w:eastAsia="Times New Roman" w:cs="Times New Roman"/>
          <w:b w:val="0"/>
          <w:i w:val="0"/>
          <w:color w:val="000000"/>
          <w:sz w:val="24"/>
        </w:rPr>
        <w:t>The company’s development has involved expansion from distribution activity into a scaled, publicly listed lender. The FY25–FY26 pivot is particularly relevant because it changed product mix, asset quality and capital allocation priorities.</w:t>
      </w:r>
    </w:p>
    <w:p>
      <w:bookmarkStart w:id="30" w:name="S32"/>
      <w:pPr>
        <w:pStyle w:val="Heading2"/>
      </w:pPr>
      <w:r>
        <w:rPr>
          <w:rFonts w:ascii="Times New Roman" w:hAnsi="Times New Roman" w:eastAsia="Times New Roman" w:cs="Times New Roman"/>
          <w:b/>
          <w:color w:val="000000"/>
          <w:sz w:val="24"/>
        </w:rPr>
        <w:t>3.2 PARENTAGE AND SHAREHOLDING STRUCTURE</w:t>
      </w:r>
      <w:bookmarkEnd w:id="30"/>
    </w:p>
    <w:p>
      <w:pPr/>
      <w:r>
        <w:rPr>
          <w:rFonts w:ascii="Times New Roman" w:hAnsi="Times New Roman" w:eastAsia="Times New Roman" w:cs="Times New Roman"/>
          <w:b w:val="0"/>
          <w:i w:val="0"/>
          <w:color w:val="000000"/>
          <w:sz w:val="24"/>
        </w:rPr>
        <w:t>The Federal Bank Limited held 60.79% of Fedfina at 31 March 2026, according to the FY26 Corporate Governance Report. The parent relationship provides an institutional connection and is relevant to funding and brand positioning; it does not make Fedfina a bank or remove its standalone credit and liquidity risks. The company also reported that True North exited during FY26, while public, AIF, insurance and mutual-fund holders made up the balance of the share register.</w:t>
      </w:r>
    </w:p>
    <w:p>
      <w:pPr>
        <w:pStyle w:val="CaptionBlack"/>
        <w:keepNext/>
      </w:pPr>
      <w:r>
        <w:rPr>
          <w:rFonts w:ascii="Times New Roman" w:hAnsi="Times New Roman" w:eastAsia="Times New Roman" w:cs="Times New Roman"/>
          <w:b/>
          <w:color w:val="000000"/>
          <w:sz w:val="22"/>
        </w:rPr>
        <w:t>Figure 3.1: Shareholding pattern at 31 March 2026 (%)</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204535"/>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596128" cy="220453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 2025–26, Report on Corporate Governance.</w:t>
      </w:r>
    </w:p>
    <w:p>
      <w:pPr/>
      <w:r>
        <w:rPr>
          <w:rFonts w:ascii="Times New Roman" w:hAnsi="Times New Roman" w:eastAsia="Times New Roman" w:cs="Times New Roman"/>
          <w:b w:val="0"/>
          <w:i w:val="0"/>
          <w:color w:val="000000"/>
          <w:sz w:val="24"/>
        </w:rPr>
        <w:t>The promoter holding is stable at about three-fifths of equity. The presence of public and institutional shareholders broadens ownership, while the reported exit of True North is a change to monitor in future disclosures.</w:t>
      </w:r>
    </w:p>
    <w:p>
      <w:pPr>
        <w:pStyle w:val="CaptionBlack"/>
        <w:keepNext/>
      </w:pPr>
      <w:r>
        <w:rPr>
          <w:rFonts w:ascii="Times New Roman" w:hAnsi="Times New Roman" w:eastAsia="Times New Roman" w:cs="Times New Roman"/>
          <w:b/>
          <w:color w:val="000000"/>
          <w:sz w:val="22"/>
        </w:rPr>
        <w:t>Table 3.2: Major shareholder categories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Category</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31 March 2026</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31 March 2025</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Federal Bank / promoter group</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60.79%</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61.03%</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Public individuals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15.94%</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14.34%</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Alternate Investment Funds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13.01%</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14.38%</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Insurance companies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3.10%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4.04%</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Mutual funds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2.71%</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2.39%</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Other holders, combined</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4.45%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3.82%</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100.00%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100.00%</w:t>
            </w:r>
          </w:p>
        </w:tc>
      </w:tr>
    </w:tbl>
    <w:p>
      <w:pPr>
        <w:pStyle w:val="SourceNote"/>
      </w:pPr>
      <w:r>
        <w:rPr>
          <w:rFonts w:ascii="Times New Roman" w:hAnsi="Times New Roman" w:eastAsia="Times New Roman" w:cs="Times New Roman"/>
          <w:i/>
          <w:color w:val="000000"/>
          <w:sz w:val="18"/>
        </w:rPr>
        <w:t>Source: Fedbank Financial Services Limited, Annual Report 2025–26, Report on Corporate Governance; figures are reported ownership categories.</w:t>
      </w:r>
    </w:p>
    <w:p>
      <w:pPr/>
      <w:r>
        <w:rPr>
          <w:rFonts w:ascii="Times New Roman" w:hAnsi="Times New Roman" w:eastAsia="Times New Roman" w:cs="Times New Roman"/>
          <w:b w:val="0"/>
          <w:i w:val="0"/>
          <w:color w:val="000000"/>
          <w:sz w:val="24"/>
        </w:rPr>
        <w:t>The Federal Bank remains the controlling shareholder. Changes in AIF and public holdings should be read as ownership movements, not as direct evidence of a change in operating quality.</w:t>
      </w:r>
    </w:p>
    <w:p>
      <w:bookmarkStart w:id="31" w:name="S33"/>
      <w:pPr>
        <w:pStyle w:val="Heading2"/>
      </w:pPr>
      <w:r>
        <w:rPr>
          <w:rFonts w:ascii="Times New Roman" w:hAnsi="Times New Roman" w:eastAsia="Times New Roman" w:cs="Times New Roman"/>
          <w:b/>
          <w:color w:val="000000"/>
          <w:sz w:val="24"/>
        </w:rPr>
        <w:t>3.3 BUSINESS MODEL: SECURED RETAIL LENDING</w:t>
      </w:r>
      <w:bookmarkEnd w:id="31"/>
    </w:p>
    <w:p>
      <w:pPr/>
      <w:r>
        <w:rPr>
          <w:rFonts w:ascii="Times New Roman" w:hAnsi="Times New Roman" w:eastAsia="Times New Roman" w:cs="Times New Roman"/>
          <w:b w:val="0"/>
          <w:i w:val="0"/>
          <w:color w:val="000000"/>
          <w:sz w:val="24"/>
        </w:rPr>
        <w:t>The company describes a “twin-engine” model built around gold loans and mortgage loans. Gold loans are typically shorter-tenor and collateral-led; mortgage products have longer repayment periods and rely more heavily on income assessment, property title and valuation. Combining the products can diversify borrower needs and loan duration, but each product requires distinct risk controls and collections capability.</w:t>
      </w:r>
    </w:p>
    <w:p>
      <w:pPr/>
      <w:r>
        <w:rPr>
          <w:rFonts w:ascii="Times New Roman" w:hAnsi="Times New Roman" w:eastAsia="Times New Roman" w:cs="Times New Roman"/>
          <w:b w:val="0"/>
          <w:i w:val="0"/>
          <w:color w:val="000000"/>
          <w:sz w:val="24"/>
        </w:rPr>
        <w:t>The lending process begins with customer acquisition and KYC, followed by product-specific appraisal, credit assessment, approval, documentation, disbursement, servicing, monitoring and recovery. The FY26 report describes a greater use of in-house sourcing, a business-rule engine for mortgage underwriting and digital servicing tools. These are management disclosures; the study assesses outcomes through reported asset-quality, service and cost indicators rather than assuming that technology alone improves performance.</w:t>
      </w:r>
    </w:p>
    <w:p>
      <w:bookmarkStart w:id="32" w:name="S34"/>
      <w:pPr>
        <w:pStyle w:val="Heading2"/>
      </w:pPr>
      <w:r>
        <w:rPr>
          <w:rFonts w:ascii="Times New Roman" w:hAnsi="Times New Roman" w:eastAsia="Times New Roman" w:cs="Times New Roman"/>
          <w:b/>
          <w:color w:val="000000"/>
          <w:sz w:val="24"/>
        </w:rPr>
        <w:t>3.4 PRODUCT MIX AND STRATEGIC PRIORITIES</w:t>
      </w:r>
      <w:bookmarkEnd w:id="32"/>
    </w:p>
    <w:p>
      <w:pPr/>
      <w:r>
        <w:rPr>
          <w:rFonts w:ascii="Times New Roman" w:hAnsi="Times New Roman" w:eastAsia="Times New Roman" w:cs="Times New Roman"/>
          <w:b w:val="0"/>
          <w:i w:val="0"/>
          <w:color w:val="000000"/>
          <w:sz w:val="24"/>
        </w:rPr>
        <w:t>Fedfina’s product mix shifted toward gold loans between FY24 and FY26. Gold rose from 32.6% to 51.4% of AUM, while mortgage lending remained significant and the unsecured business-loan book was run down. The mix change increases the share of secured assets but also makes gold pricing, LTV and custody controls more important.</w:t>
      </w:r>
    </w:p>
    <w:p>
      <w:pPr>
        <w:pStyle w:val="CaptionBlack"/>
        <w:keepNext/>
      </w:pPr>
      <w:r>
        <w:rPr>
          <w:rFonts w:ascii="Times New Roman" w:hAnsi="Times New Roman" w:eastAsia="Times New Roman" w:cs="Times New Roman"/>
          <w:b/>
          <w:color w:val="000000"/>
          <w:sz w:val="22"/>
        </w:rPr>
        <w:t>Figure 3.2: Product mix of AUM, FY24–FY26 (%)</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4" name="Picture 4"/>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Reports 2023–24, 2024–25 and 2025–26, product and MD&amp;A disclosures.</w:t>
      </w:r>
    </w:p>
    <w:p>
      <w:pPr/>
      <w:r>
        <w:rPr>
          <w:rFonts w:ascii="Times New Roman" w:hAnsi="Times New Roman" w:eastAsia="Times New Roman" w:cs="Times New Roman"/>
          <w:b w:val="0"/>
          <w:i w:val="0"/>
          <w:color w:val="000000"/>
          <w:sz w:val="24"/>
        </w:rPr>
        <w:t>Gold loans became the largest reported product category by FY26. The chart shows the direction of portfolio change; product percentages are company disclosures and are not a substitute for a full AUM-to-balance-sheet reconciliation.</w:t>
      </w:r>
    </w:p>
    <w:p>
      <w:pPr>
        <w:pStyle w:val="CaptionBlack"/>
        <w:keepNext/>
      </w:pPr>
      <w:r>
        <w:rPr>
          <w:rFonts w:ascii="Times New Roman" w:hAnsi="Times New Roman" w:eastAsia="Times New Roman" w:cs="Times New Roman"/>
          <w:b/>
          <w:color w:val="000000"/>
          <w:sz w:val="22"/>
        </w:rPr>
        <w:t>Table 3.3: Reported product mix and FY26 scale</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805"/>
        <w:gridCol w:w="1805"/>
        <w:gridCol w:w="1805"/>
        <w:gridCol w:w="1805"/>
        <w:gridCol w:w="1805"/>
      </w:tblGrid>
      <w:tr>
        <w:trPr>
          <w:cantSplit/>
          <w:tblHeader w:val="true"/>
        </w:trPr>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Product</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FY24 share</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 share</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 AUM / share</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 disbursements</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 loans</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32.6%</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37.2%</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₹10,352 crore / 51.4%</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₹28,326 crore</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Mortgage loans (LAP + housing)</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51.0%</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51.0%</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₹9,362 crore / 46.5%</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Product disbursements reported by type</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Business loans / other</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16.4%</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10.5%</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Legacy on-book business loans about ₹48 crore; other items not fully bridged</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New business-loan originations discontinued / run down</w:t>
            </w:r>
          </w:p>
        </w:tc>
      </w:tr>
    </w:tbl>
    <w:p>
      <w:pPr>
        <w:pStyle w:val="SourceNote"/>
      </w:pPr>
      <w:r>
        <w:rPr>
          <w:rFonts w:ascii="Times New Roman" w:hAnsi="Times New Roman" w:eastAsia="Times New Roman" w:cs="Times New Roman"/>
          <w:i/>
          <w:color w:val="000000"/>
          <w:sz w:val="18"/>
        </w:rPr>
        <w:t>Source: Fedbank Financial Services Limited, Annual Reports 2023–24 to 2025–26, Corporate Overview, MD&amp;A and Directors’ Reports. AUM shares and amounts are company-reported; product data do not fully reconcile to total AUM.</w:t>
      </w:r>
    </w:p>
    <w:p>
      <w:pPr/>
      <w:r>
        <w:rPr>
          <w:rFonts w:ascii="Times New Roman" w:hAnsi="Times New Roman" w:eastAsia="Times New Roman" w:cs="Times New Roman"/>
          <w:b w:val="0"/>
          <w:i w:val="0"/>
          <w:color w:val="000000"/>
          <w:sz w:val="24"/>
        </w:rPr>
        <w:t>The gold share increased materially, while mortgage AUM remained a second pillar. The supplied product amounts do not fully reconcile to the reported total AUM of ₹20,153 crore; the unallocated difference is not estimated in this report.</w:t>
      </w:r>
    </w:p>
    <w:p>
      <w:pPr>
        <w:pStyle w:val="CaptionBlack"/>
        <w:keepNext/>
      </w:pPr>
      <w:r>
        <w:rPr>
          <w:rFonts w:ascii="Times New Roman" w:hAnsi="Times New Roman" w:eastAsia="Times New Roman" w:cs="Times New Roman"/>
          <w:b/>
          <w:color w:val="000000"/>
          <w:sz w:val="22"/>
        </w:rPr>
        <w:t>Figure 3.3: Disbursements by product, FY22–FY26 (₹ crore)</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5" name="Picture 5"/>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 2025–26, five-year product disbursement chart; earlier years cross-checked against prior reports.</w:t>
      </w:r>
    </w:p>
    <w:p>
      <w:pPr/>
      <w:r>
        <w:rPr>
          <w:rFonts w:ascii="Times New Roman" w:hAnsi="Times New Roman" w:eastAsia="Times New Roman" w:cs="Times New Roman"/>
          <w:b w:val="0"/>
          <w:i w:val="0"/>
          <w:color w:val="000000"/>
          <w:sz w:val="24"/>
        </w:rPr>
        <w:t>Gold disbursements accelerated in FY26 and drove the increase in total lending activity. Mortgage disbursements did not follow the same pace, which is consistent with the strategic weighting toward gold and the rebuilding of small-ticket mortgage origination.</w:t>
      </w:r>
    </w:p>
    <w:p>
      <w:bookmarkStart w:id="33" w:name="S35"/>
      <w:pPr>
        <w:pStyle w:val="Heading2"/>
      </w:pPr>
      <w:r>
        <w:rPr>
          <w:rFonts w:ascii="Times New Roman" w:hAnsi="Times New Roman" w:eastAsia="Times New Roman" w:cs="Times New Roman"/>
          <w:b/>
          <w:color w:val="000000"/>
          <w:sz w:val="24"/>
        </w:rPr>
        <w:t>3.5 DISTRIBUTION NETWORK AND GEOGRAPHIC PRESENCE</w:t>
      </w:r>
      <w:bookmarkEnd w:id="33"/>
    </w:p>
    <w:p>
      <w:pPr/>
      <w:r>
        <w:rPr>
          <w:rFonts w:ascii="Times New Roman" w:hAnsi="Times New Roman" w:eastAsia="Times New Roman" w:cs="Times New Roman"/>
          <w:b w:val="0"/>
          <w:i w:val="0"/>
          <w:color w:val="000000"/>
          <w:sz w:val="24"/>
        </w:rPr>
        <w:t>The branch network grew from 359 locations at FY21 to 757 at FY26. At the reporting date, the company disclosed 558 gold-loan branches, 129 MSME hubs and 70 co-located branches. Its network spans 17 states and union territories. The company also reported that 148 branches were opened during FY26; the reported year-end count increased by a net 63 from FY25. Gross openings and net change are different measures, and the supplied report does not provide a complete bridge between them.</w:t>
      </w:r>
    </w:p>
    <w:p>
      <w:pPr>
        <w:pStyle w:val="CaptionBlack"/>
        <w:keepNext/>
      </w:pPr>
      <w:r>
        <w:rPr>
          <w:rFonts w:ascii="Times New Roman" w:hAnsi="Times New Roman" w:eastAsia="Times New Roman" w:cs="Times New Roman"/>
          <w:b/>
          <w:color w:val="000000"/>
          <w:sz w:val="22"/>
        </w:rPr>
        <w:t>Figure 3.4: Branch network by format, FY21–FY26 (number of branches)</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Reports 2023–24, 2024–25 and 2025–26, branch-network disclosures.</w:t>
      </w:r>
    </w:p>
    <w:p>
      <w:pPr/>
      <w:r>
        <w:rPr>
          <w:rFonts w:ascii="Times New Roman" w:hAnsi="Times New Roman" w:eastAsia="Times New Roman" w:cs="Times New Roman"/>
          <w:b w:val="0"/>
          <w:i w:val="0"/>
          <w:color w:val="000000"/>
          <w:sz w:val="24"/>
        </w:rPr>
        <w:t>The network expanded over the period, with gold-loan branches forming the largest format in FY26. The increase supports reach but creates a productivity challenge: costs are incurred before a new branch reaches mature customer and AUM levels.</w:t>
      </w:r>
    </w:p>
    <w:p>
      <w:pPr>
        <w:pStyle w:val="CaptionBlack"/>
        <w:keepNext/>
      </w:pPr>
      <w:r>
        <w:rPr>
          <w:rFonts w:ascii="Times New Roman" w:hAnsi="Times New Roman" w:eastAsia="Times New Roman" w:cs="Times New Roman"/>
          <w:b/>
          <w:color w:val="000000"/>
          <w:sz w:val="22"/>
        </w:rPr>
        <w:t>Table 3.4: Branch network trend and FY26 format</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504"/>
        <w:gridCol w:w="1504"/>
        <w:gridCol w:w="1504"/>
        <w:gridCol w:w="1504"/>
        <w:gridCol w:w="1504"/>
        <w:gridCol w:w="1504"/>
      </w:tblGrid>
      <w:tr>
        <w:trPr>
          <w:cantSplit/>
          <w:tblHeader w:val="true"/>
        </w:trPr>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Year-end</w:t>
            </w:r>
          </w:p>
        </w:tc>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Total branches</w:t>
            </w:r>
          </w:p>
        </w:tc>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Gold-loan branches</w:t>
            </w:r>
          </w:p>
        </w:tc>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MSME hubs</w:t>
            </w:r>
          </w:p>
        </w:tc>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Co-located</w:t>
            </w:r>
          </w:p>
        </w:tc>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States / UTs</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359</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301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58</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516</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407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109</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FY23</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575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437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138</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FY24</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621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438</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183</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694</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484</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757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558</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129</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w:t>
            </w:r>
          </w:p>
        </w:tc>
      </w:tr>
    </w:tbl>
    <w:p>
      <w:pPr>
        <w:pStyle w:val="SourceNote"/>
      </w:pPr>
      <w:r>
        <w:rPr>
          <w:rFonts w:ascii="Times New Roman" w:hAnsi="Times New Roman" w:eastAsia="Times New Roman" w:cs="Times New Roman"/>
          <w:i/>
          <w:color w:val="000000"/>
          <w:sz w:val="18"/>
        </w:rPr>
        <w:t>Source: Fedbank Financial Services Limited, Annual Reports 2023–24, 2024–25 and 2025–26, Directors’ Reports and branch-network disclosures.</w:t>
      </w:r>
    </w:p>
    <w:p>
      <w:pPr/>
      <w:r>
        <w:rPr>
          <w:rFonts w:ascii="Times New Roman" w:hAnsi="Times New Roman" w:eastAsia="Times New Roman" w:cs="Times New Roman"/>
          <w:b w:val="0"/>
          <w:i w:val="0"/>
          <w:color w:val="000000"/>
          <w:sz w:val="24"/>
        </w:rPr>
        <w:t>The network nearly doubled between FY21 and FY26. The FY26 branch-format shift includes co-located outlets; the changes in format definitions should be considered before interpreting the fall in the reported MSME-hub count as a reduction in total reach.</w:t>
      </w:r>
    </w:p>
    <w:p>
      <w:bookmarkStart w:id="34" w:name="S36"/>
      <w:pPr>
        <w:pStyle w:val="Heading2"/>
      </w:pPr>
      <w:r>
        <w:rPr>
          <w:rFonts w:ascii="Times New Roman" w:hAnsi="Times New Roman" w:eastAsia="Times New Roman" w:cs="Times New Roman"/>
          <w:b/>
          <w:color w:val="000000"/>
          <w:sz w:val="24"/>
        </w:rPr>
        <w:t>3.6 CUSTOMER SEGMENTS AND SERVICE INDICATORS</w:t>
      </w:r>
      <w:bookmarkEnd w:id="34"/>
    </w:p>
    <w:p>
      <w:pPr/>
      <w:r>
        <w:rPr>
          <w:rFonts w:ascii="Times New Roman" w:hAnsi="Times New Roman" w:eastAsia="Times New Roman" w:cs="Times New Roman"/>
          <w:b w:val="0"/>
          <w:i w:val="0"/>
          <w:color w:val="000000"/>
          <w:sz w:val="24"/>
        </w:rPr>
        <w:t>Fedfina serves self-employed borrowers, small businesses, households seeking liquidity against gold, and customers seeking property-backed finance. The company reported 3.44 lakh active customers, 455 customers per branch, an 85% positive customer-satisfaction score and 100% resolution of complaints within its stated turnaround time. These service measures are company-reported and are not independently audited customer-survey results in this study.</w:t>
      </w:r>
    </w:p>
    <w:p>
      <w:pPr/>
      <w:r>
        <w:rPr>
          <w:rFonts w:ascii="Times New Roman" w:hAnsi="Times New Roman" w:eastAsia="Times New Roman" w:cs="Times New Roman"/>
          <w:b w:val="0"/>
          <w:i w:val="0"/>
          <w:color w:val="000000"/>
          <w:sz w:val="24"/>
        </w:rPr>
        <w:t>The company also describes a mix of branch service, doorstep gold loans, digital onboarding and automated customer-service requests. Customer reach is a relevant inclusion indicator, but it should be considered with affordability, transparent pricing, grievance resolution, collateral custody and fair recovery practices.</w:t>
      </w:r>
    </w:p>
    <w:p>
      <w:bookmarkStart w:id="35" w:name="S37"/>
      <w:pPr>
        <w:pStyle w:val="Heading2"/>
      </w:pPr>
      <w:r>
        <w:rPr>
          <w:rFonts w:ascii="Times New Roman" w:hAnsi="Times New Roman" w:eastAsia="Times New Roman" w:cs="Times New Roman"/>
          <w:b/>
          <w:color w:val="000000"/>
          <w:sz w:val="24"/>
        </w:rPr>
        <w:t>3.7 HUMAN CAPITAL, TECHNOLOGY AND GOVERNANCE</w:t>
      </w:r>
      <w:bookmarkEnd w:id="35"/>
    </w:p>
    <w:p>
      <w:pPr/>
      <w:r>
        <w:rPr>
          <w:rFonts w:ascii="Times New Roman" w:hAnsi="Times New Roman" w:eastAsia="Times New Roman" w:cs="Times New Roman"/>
          <w:b w:val="0"/>
          <w:i w:val="0"/>
          <w:color w:val="000000"/>
          <w:sz w:val="24"/>
        </w:rPr>
        <w:t>The FY26 annual report describes investment in staff capability, a lending-system integration, a business-rule engine for mortgage underwriting, digital servicing and cybersecurity controls. It reports 5,303 employees at year end and 735 employees added during FY26, alongside voluntary attrition of 35.85%. The scale-up in staff and branches creates execution benefits only if hiring, training and retention keep pace with portfolio growth.</w:t>
      </w:r>
    </w:p>
    <w:p>
      <w:pPr/>
      <w:r>
        <w:rPr>
          <w:rFonts w:ascii="Times New Roman" w:hAnsi="Times New Roman" w:eastAsia="Times New Roman" w:cs="Times New Roman"/>
          <w:b w:val="0"/>
          <w:i w:val="0"/>
          <w:color w:val="000000"/>
          <w:sz w:val="24"/>
        </w:rPr>
        <w:t>Governance disclosures include Board and committee oversight, an Audit Committee, a Risk Management Committee, an IT Strategy Committee, internal audit, a whistle-blower mechanism and an Internal Ombudsman. The FY26 report describes an unmodified statutory audit opinion and no audit qualifications. It also reports a proposal to appoint a joint statutory auditor under the regulatory requirement applicable to the company. These controls mitigate but cannot eliminate operational, compliance or cyber risk.</w:t>
      </w:r>
    </w:p>
    <w:p>
      <w:pPr/>
      <w:r>
        <w:rPr>
          <w:rFonts w:ascii="Times New Roman" w:hAnsi="Times New Roman" w:eastAsia="Times New Roman" w:cs="Times New Roman"/>
          <w:b w:val="0"/>
          <w:i w:val="0"/>
          <w:color w:val="000000"/>
          <w:sz w:val="24"/>
        </w:rPr>
        <w:t>The company disclosed frauds reported to RBI of ₹110 lakh in FY26 and described controls including multi-factor authentication, endpoint protection, vulnerability testing, red-team exercises, vendor-risk management and business continuity planning. The risk relevance rises as digital collections, customer data and doorstep gold lending scale.</w:t>
      </w:r>
    </w:p>
    <w:p>
      <w:bookmarkStart w:id="36" w:name="S38"/>
      <w:pPr>
        <w:pStyle w:val="Heading2"/>
      </w:pPr>
      <w:r>
        <w:rPr>
          <w:rFonts w:ascii="Times New Roman" w:hAnsi="Times New Roman" w:eastAsia="Times New Roman" w:cs="Times New Roman"/>
          <w:b/>
          <w:color w:val="000000"/>
          <w:sz w:val="24"/>
        </w:rPr>
        <w:t>3.8 PRODUCT PORTFOLIO</w:t>
      </w:r>
      <w:bookmarkEnd w:id="36"/>
    </w:p>
    <w:p>
      <w:pPr>
        <w:pStyle w:val="CaptionBlack"/>
        <w:keepNext/>
      </w:pPr>
      <w:r>
        <w:rPr>
          <w:rFonts w:ascii="Times New Roman" w:hAnsi="Times New Roman" w:eastAsia="Times New Roman" w:cs="Times New Roman"/>
          <w:b/>
          <w:color w:val="000000"/>
          <w:sz w:val="22"/>
        </w:rPr>
        <w:t>Table 3.5: FY26 product characteristics disclosed by the company</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805"/>
        <w:gridCol w:w="1805"/>
        <w:gridCol w:w="1805"/>
        <w:gridCol w:w="1805"/>
        <w:gridCol w:w="1805"/>
      </w:tblGrid>
      <w:tr>
        <w:trPr>
          <w:cantSplit/>
          <w:tblHeader w:val="true"/>
        </w:trPr>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Product</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 AUM / share</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Disbursement</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Average ticket</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Selected disclosed feature</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 loans</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₹10,352 crore / 51.4%</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₹28,326 crore</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₹2.7 lakh</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Portfolio LTV 60.9%; gold under custody reported at 12.6 tonnes.</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Medium-ticket LAP</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₹5,570 crore / 27.6%</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₹2,180 crore</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₹72.4 lakh</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Origination yield 12.0%; 81% of mortgage AUM reported with CIBIL above 700.</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Small-ticket LAP and housing</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₹3,792 crore / 18.8%</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₹904 crore</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₹16.1 lakh</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Origination yield 15.1%; 68% of the segment reported with CIBIL above 700; 9% new-to-credit.</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Legacy unsecured business loans</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About ₹48 crore on book</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 new originations reported</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Not stated</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Portfolio assignment / run-down reduced the on-book unsecured exposure.</w:t>
            </w:r>
          </w:p>
        </w:tc>
      </w:tr>
    </w:tbl>
    <w:p>
      <w:pPr>
        <w:pStyle w:val="SourceNote"/>
      </w:pPr>
      <w:r>
        <w:rPr>
          <w:rFonts w:ascii="Times New Roman" w:hAnsi="Times New Roman" w:eastAsia="Times New Roman" w:cs="Times New Roman"/>
          <w:i/>
          <w:color w:val="000000"/>
          <w:sz w:val="18"/>
        </w:rPr>
        <w:t>Source: Fedbank Financial Services Limited, Annual Report 2025–26, product pages, MD&amp;A, Directors’ Report and Note 8. Product AUM rows are not a complete reconciliation to total AUM.</w:t>
      </w:r>
    </w:p>
    <w:p>
      <w:pPr/>
      <w:r>
        <w:rPr>
          <w:rFonts w:ascii="Times New Roman" w:hAnsi="Times New Roman" w:eastAsia="Times New Roman" w:cs="Times New Roman"/>
          <w:b w:val="0"/>
          <w:i w:val="0"/>
          <w:color w:val="000000"/>
          <w:sz w:val="24"/>
        </w:rPr>
        <w:t>Product-level yields, tickets and bureau indicators are not directly comparable across products. Gold lending is collateral-led; mortgage products rely more on repayment capacity, property security and collections. Product profitability is not separately disclosed in the supplied material.</w:t>
      </w:r>
    </w:p>
    <w:p>
      <w:bookmarkStart w:id="37" w:name="S381"/>
      <w:pPr>
        <w:pStyle w:val="Heading3"/>
      </w:pPr>
      <w:r>
        <w:rPr>
          <w:rFonts w:ascii="Times New Roman" w:hAnsi="Times New Roman" w:eastAsia="Times New Roman" w:cs="Times New Roman"/>
          <w:b/>
          <w:color w:val="000000"/>
          <w:sz w:val="23"/>
        </w:rPr>
        <w:t>3.8.1 GOLD LOANS</w:t>
      </w:r>
      <w:bookmarkEnd w:id="37"/>
    </w:p>
    <w:p>
      <w:pPr/>
      <w:r>
        <w:rPr>
          <w:rFonts w:ascii="Times New Roman" w:hAnsi="Times New Roman" w:eastAsia="Times New Roman" w:cs="Times New Roman"/>
          <w:b w:val="0"/>
          <w:i w:val="0"/>
          <w:color w:val="000000"/>
          <w:sz w:val="24"/>
        </w:rPr>
        <w:t>Gold lending became the largest product line in FY26. The company reported AUM of ₹10,352 crore, average ticket size of ₹2.7 lakh and average portfolio LTV of 60.9%. The short-tenor, collateral-backed structure can support liquidity and reduce loss severity, but does not eliminate risk: purity or valuation errors, custody failures, renewal practices, gold-price declines and auction outcomes remain material.</w:t>
      </w:r>
    </w:p>
    <w:p>
      <w:pPr/>
      <w:r>
        <w:rPr>
          <w:rFonts w:ascii="Times New Roman" w:hAnsi="Times New Roman" w:eastAsia="Times New Roman" w:cs="Times New Roman"/>
          <w:b w:val="0"/>
          <w:i w:val="0"/>
          <w:color w:val="000000"/>
          <w:sz w:val="24"/>
        </w:rPr>
        <w:t>The company reported 4,633 gold-loan accounts auctioned in FY26 and ₹44.0 crore realised against the disclosed principal and interest due. Auction activity is a recovery mechanism, not proof that all customers were treated fairly or that all collateral losses were avoided. Clear notice, transparent valuation, accurate records and prompt surplus refunds remain essential.</w:t>
      </w:r>
    </w:p>
    <w:p>
      <w:bookmarkStart w:id="38" w:name="S382"/>
      <w:pPr>
        <w:pStyle w:val="Heading3"/>
      </w:pPr>
      <w:r>
        <w:rPr>
          <w:rFonts w:ascii="Times New Roman" w:hAnsi="Times New Roman" w:eastAsia="Times New Roman" w:cs="Times New Roman"/>
          <w:b/>
          <w:color w:val="000000"/>
          <w:sz w:val="23"/>
        </w:rPr>
        <w:t>3.8.2 MEDIUM-TICKET LAP</w:t>
      </w:r>
      <w:bookmarkEnd w:id="38"/>
    </w:p>
    <w:p>
      <w:pPr/>
      <w:r>
        <w:rPr>
          <w:rFonts w:ascii="Times New Roman" w:hAnsi="Times New Roman" w:eastAsia="Times New Roman" w:cs="Times New Roman"/>
          <w:b w:val="0"/>
          <w:i w:val="0"/>
          <w:color w:val="000000"/>
          <w:sz w:val="24"/>
        </w:rPr>
        <w:t>Medium-ticket LAP serves comparatively established borrowers and was reported at ₹5,570 crore of AUM, with an average ticket of ₹72.4 lakh and an origination yield of 12.0%. The company describes competition and yield pressure in this segment. Borrower bureau quality and self-occupied property collateral are useful indicators, but refinancing attrition and loan-to-value discipline must also be monitored.</w:t>
      </w:r>
    </w:p>
    <w:p>
      <w:bookmarkStart w:id="39" w:name="S383"/>
      <w:pPr>
        <w:pStyle w:val="Heading3"/>
      </w:pPr>
      <w:r>
        <w:rPr>
          <w:rFonts w:ascii="Times New Roman" w:hAnsi="Times New Roman" w:eastAsia="Times New Roman" w:cs="Times New Roman"/>
          <w:b/>
          <w:color w:val="000000"/>
          <w:sz w:val="23"/>
        </w:rPr>
        <w:t>3.8.3 SMALL-TICKET LAP AND HOUSING LOANS</w:t>
      </w:r>
      <w:bookmarkEnd w:id="39"/>
    </w:p>
    <w:p>
      <w:pPr/>
      <w:r>
        <w:rPr>
          <w:rFonts w:ascii="Times New Roman" w:hAnsi="Times New Roman" w:eastAsia="Times New Roman" w:cs="Times New Roman"/>
          <w:b w:val="0"/>
          <w:i w:val="0"/>
          <w:color w:val="000000"/>
          <w:sz w:val="24"/>
        </w:rPr>
        <w:t>Small-ticket LAP and housing products serve customers whose income may be informal or less documented. The FY26 report describes a rebuilt underwriting approach and better performance for newer cohorts than the older book, but does not provide a complete vintage delinquency series. Since mortgage arrears can emerge with a lag, expansion should remain linked to observed cohort performance rather than current aggregate AUM alone.</w:t>
      </w:r>
    </w:p>
    <w:p>
      <w:bookmarkStart w:id="40" w:name="S384"/>
      <w:pPr>
        <w:pStyle w:val="Heading3"/>
      </w:pPr>
      <w:r>
        <w:rPr>
          <w:rFonts w:ascii="Times New Roman" w:hAnsi="Times New Roman" w:eastAsia="Times New Roman" w:cs="Times New Roman"/>
          <w:b/>
          <w:color w:val="000000"/>
          <w:sz w:val="23"/>
        </w:rPr>
        <w:t>3.8.4 EXIT FROM UNSECURED BUSINESS LENDING</w:t>
      </w:r>
      <w:bookmarkEnd w:id="40"/>
    </w:p>
    <w:p>
      <w:pPr/>
      <w:r>
        <w:rPr>
          <w:rFonts w:ascii="Times New Roman" w:hAnsi="Times New Roman" w:eastAsia="Times New Roman" w:cs="Times New Roman"/>
          <w:b w:val="0"/>
          <w:i w:val="0"/>
          <w:color w:val="000000"/>
          <w:sz w:val="24"/>
        </w:rPr>
        <w:t>The company reported that it stopped new originations of unsecured business loans and assigned or ran down the legacy portfolio. The on-book unsecured business-loan balance was reported at about ₹48 crore at 31 March 2026, compared with ₹1,232 crore in FY25. This action increased the secured share of the on-book loan portfolio and reduced exposure to unsecured losses, while also changing the yield and earnings mix.</w:t>
      </w:r>
    </w:p>
    <w:p>
      <w:bookmarkStart w:id="41" w:name="S385"/>
      <w:pPr>
        <w:pStyle w:val="Heading3"/>
      </w:pPr>
      <w:r>
        <w:rPr>
          <w:rFonts w:ascii="Times New Roman" w:hAnsi="Times New Roman" w:eastAsia="Times New Roman" w:cs="Times New Roman"/>
          <w:b/>
          <w:color w:val="000000"/>
          <w:sz w:val="23"/>
        </w:rPr>
        <w:t>3.8.5 CO-LENDING, DIRECT ASSIGNMENT AND OFF-BOOK AUM</w:t>
      </w:r>
      <w:bookmarkEnd w:id="41"/>
    </w:p>
    <w:p>
      <w:pPr>
        <w:pStyle w:val="CaptionBlack"/>
        <w:keepNext/>
      </w:pPr>
      <w:r>
        <w:rPr>
          <w:rFonts w:ascii="Times New Roman" w:hAnsi="Times New Roman" w:eastAsia="Times New Roman" w:cs="Times New Roman"/>
          <w:b/>
          <w:color w:val="000000"/>
          <w:sz w:val="22"/>
        </w:rPr>
        <w:t>Table 3.6: Selected off-book and capital-light indicators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Indicator</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FY24</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Off-book AUM as share of total AUM</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25.1%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12.1%</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Co-lending AUM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522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1,131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2,433</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Sell-down / direct assignment during year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1,461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2,130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2,579</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Direct-assignment balance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Not stated</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2,349</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1,901</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Loans at FVOCI / held for sale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Not stated</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3,444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2,982</w:t>
            </w:r>
          </w:p>
        </w:tc>
      </w:tr>
    </w:tbl>
    <w:p>
      <w:pPr>
        <w:pStyle w:val="SourceNote"/>
      </w:pPr>
      <w:r>
        <w:rPr>
          <w:rFonts w:ascii="Times New Roman" w:hAnsi="Times New Roman" w:eastAsia="Times New Roman" w:cs="Times New Roman"/>
          <w:i/>
          <w:color w:val="000000"/>
          <w:sz w:val="18"/>
        </w:rPr>
        <w:t>Source: Fedbank Financial Services Limited, Annual Reports 2023–24, 2024–25 and 2025–26, Directors’ Reports and Note 8.</w:t>
      </w:r>
    </w:p>
    <w:p>
      <w:pPr/>
      <w:r>
        <w:rPr>
          <w:rFonts w:ascii="Times New Roman" w:hAnsi="Times New Roman" w:eastAsia="Times New Roman" w:cs="Times New Roman"/>
          <w:b w:val="0"/>
          <w:i w:val="0"/>
          <w:color w:val="000000"/>
          <w:sz w:val="24"/>
        </w:rPr>
        <w:t>Co-lending AUM increased while off-book AUM as a share of total AUM declined from the FY25 peak. AUM includes assets beyond the balance-sheet loan line, and the company does not publish a complete bridge; the two measures should not be substituted for one another.</w:t>
      </w:r>
    </w:p>
    <w:p>
      <w:pPr/>
      <w:r>
        <w:rPr>
          <w:rFonts w:ascii="Times New Roman" w:hAnsi="Times New Roman" w:eastAsia="Times New Roman" w:cs="Times New Roman"/>
          <w:b w:val="0"/>
          <w:i w:val="0"/>
          <w:color w:val="000000"/>
          <w:sz w:val="24"/>
        </w:rPr>
        <w:t>The FY26 Corporate Overview reports a ₹7.4 crore direct-assignment income measure, equal to 1.6% of PBT, while Note 26 reports ₹101.98 crore of interest income on direct assignment. The disclosure definitions appear to differ; this report shows both figures where relevant and does not treat them as the same measure.</w:t>
      </w:r>
    </w:p>
    <w:p>
      <w:r>
        <w:rPr>
          <w:rFonts w:ascii="Times New Roman" w:hAnsi="Times New Roman" w:eastAsia="Times New Roman" w:cs="Times New Roman"/>
          <w:color w:val="000000"/>
          <w:sz w:val="24"/>
        </w:rPr>
        <w:br w:type="page"/>
      </w:r>
    </w:p>
    <w:p>
      <w:pPr>
        <w:pStyle w:val="ChapterIdentifier"/>
      </w:pPr>
      <w:r>
        <w:rPr>
          <w:rFonts w:ascii="Times New Roman" w:hAnsi="Times New Roman" w:eastAsia="Times New Roman" w:cs="Times New Roman"/>
          <w:b/>
          <w:color w:val="000000"/>
          <w:sz w:val="28"/>
        </w:rPr>
        <w:t>CHAPTER 4</w:t>
      </w:r>
    </w:p>
    <w:p>
      <w:bookmarkStart w:id="42" w:name="Chapter4"/>
      <w:pPr>
        <w:pStyle w:val="Heading1"/>
        <w:pageBreakBefore w:val="0"/>
      </w:pPr>
      <w:r>
        <w:rPr>
          <w:rFonts w:ascii="Times New Roman" w:hAnsi="Times New Roman" w:eastAsia="Times New Roman" w:cs="Times New Roman"/>
          <w:b/>
          <w:color w:val="000000"/>
          <w:sz w:val="28"/>
        </w:rPr>
        <w:t>RESEARCH METHODOLOGY AND ANALYTICAL FRAMEWORK</w:t>
      </w:r>
      <w:bookmarkEnd w:id="42"/>
    </w:p>
    <w:p>
      <w:bookmarkStart w:id="43" w:name="S41"/>
      <w:pPr>
        <w:pStyle w:val="Heading2"/>
      </w:pPr>
      <w:r>
        <w:rPr>
          <w:rFonts w:ascii="Times New Roman" w:hAnsi="Times New Roman" w:eastAsia="Times New Roman" w:cs="Times New Roman"/>
          <w:b/>
          <w:color w:val="000000"/>
          <w:sz w:val="24"/>
        </w:rPr>
        <w:t>4.1 RESEARCH DESIGN</w:t>
      </w:r>
      <w:bookmarkEnd w:id="43"/>
    </w:p>
    <w:p>
      <w:pPr/>
      <w:r>
        <w:rPr>
          <w:rFonts w:ascii="Times New Roman" w:hAnsi="Times New Roman" w:eastAsia="Times New Roman" w:cs="Times New Roman"/>
          <w:b w:val="0"/>
          <w:i w:val="0"/>
          <w:color w:val="000000"/>
          <w:sz w:val="24"/>
        </w:rPr>
        <w:t>The study is descriptive and analytical. It documents the company, products and sector context from published information, then interprets the disclosed financial and operating data. The design is a single-company longitudinal case study, with selected FY26 comparisons to prior years. It is not an experimental study and does not establish causal relationships between strategy changes and financial outcomes.</w:t>
      </w:r>
    </w:p>
    <w:p>
      <w:pPr/>
      <w:r>
        <w:rPr>
          <w:rFonts w:ascii="Times New Roman" w:hAnsi="Times New Roman" w:eastAsia="Times New Roman" w:cs="Times New Roman"/>
          <w:b w:val="0"/>
          <w:i w:val="0"/>
          <w:color w:val="000000"/>
          <w:sz w:val="24"/>
        </w:rPr>
        <w:t>The conceptual structure follows Economy–Industry–Company analysis. Economy-level factors include interest rates, inflation, gold prices and borrower demand. Industry-level factors include competition, regulation, credit penetration and funding conditions. Company-level analysis covers strategy, product mix, governance, funding, capital, asset quality, profitability and operational execution.</w:t>
      </w:r>
    </w:p>
    <w:p>
      <w:bookmarkStart w:id="44" w:name="S42"/>
      <w:pPr>
        <w:pStyle w:val="Heading2"/>
      </w:pPr>
      <w:r>
        <w:rPr>
          <w:rFonts w:ascii="Times New Roman" w:hAnsi="Times New Roman" w:eastAsia="Times New Roman" w:cs="Times New Roman"/>
          <w:b/>
          <w:color w:val="000000"/>
          <w:sz w:val="24"/>
        </w:rPr>
        <w:t>4.2 NATURE AND SOURCES OF DATA</w:t>
      </w:r>
      <w:bookmarkEnd w:id="44"/>
    </w:p>
    <w:p>
      <w:pPr/>
      <w:r>
        <w:rPr>
          <w:rFonts w:ascii="Times New Roman" w:hAnsi="Times New Roman" w:eastAsia="Times New Roman" w:cs="Times New Roman"/>
          <w:b w:val="0"/>
          <w:i w:val="0"/>
          <w:color w:val="000000"/>
          <w:sz w:val="24"/>
        </w:rPr>
        <w:t>Only secondary data were used. The principal sources are the supplied Fedbank Financial Services Limited annual reports for FY 2023–24, FY 2024–25 and FY 2025–26, including the Corporate Overview, MD&amp;A, Directors’ Reports, Corporate Governance Reports, BRSR and audited Ind AS financial statements and notes. Regulatory provisions and sector statistics are used as described in those reports.</w:t>
      </w:r>
    </w:p>
    <w:p>
      <w:pPr>
        <w:pStyle w:val="CaptionBlack"/>
        <w:keepNext/>
      </w:pPr>
      <w:r>
        <w:rPr>
          <w:rFonts w:ascii="Times New Roman" w:hAnsi="Times New Roman" w:eastAsia="Times New Roman" w:cs="Times New Roman"/>
          <w:b/>
          <w:color w:val="000000"/>
          <w:sz w:val="22"/>
        </w:rPr>
        <w:t>Table 4.1: Data sources and treatment</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Source</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Use in this report</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Treatment</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Annual Report 2025–26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 financial statements, notes, product, risk, governance and ESG data; FY25 comparatives.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Primary source for FY26 and FY25 audited financial figures.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Annual Report 2024–25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FY25 business narrative, asset-quality reset, product mix and historical indicators.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Used to interpret the FY25 reset and extend trends.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Annual Report 2023–24</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 history, FY24 statements, IPO and historical KPIs.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Used for history and selected series through FY24.</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RBI regulatory material cited in company reports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NBFC scale-based requirements and gold-collateral directions.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Summarised for academic context; official directions govern operational application.</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Sector statistics cited in the company reports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NBFC, gold-loan, MSME and macro context.</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Quoted as company-referenced estimates; not independently re-sourced here.</w:t>
            </w:r>
          </w:p>
        </w:tc>
      </w:tr>
    </w:tbl>
    <w:p>
      <w:pPr>
        <w:pStyle w:val="SourceNote"/>
      </w:pPr>
      <w:r>
        <w:rPr>
          <w:rFonts w:ascii="Times New Roman" w:hAnsi="Times New Roman" w:eastAsia="Times New Roman" w:cs="Times New Roman"/>
          <w:i/>
          <w:color w:val="000000"/>
          <w:sz w:val="18"/>
        </w:rPr>
        <w:t>Source: Supplied annual reports of Fedbank Financial Services Limited and regulatory material identified therein.</w:t>
      </w:r>
    </w:p>
    <w:p>
      <w:pPr/>
      <w:r>
        <w:rPr>
          <w:rFonts w:ascii="Times New Roman" w:hAnsi="Times New Roman" w:eastAsia="Times New Roman" w:cs="Times New Roman"/>
          <w:b w:val="0"/>
          <w:i w:val="0"/>
          <w:color w:val="000000"/>
          <w:sz w:val="24"/>
        </w:rPr>
        <w:t>Audited financial statements are preferred for financial amounts. Corporate Overview and management commentary provide useful context but may use rounded, re-based or differently defined KPIs; differences are flagged where material.</w:t>
      </w:r>
    </w:p>
    <w:p>
      <w:bookmarkStart w:id="45" w:name="S43"/>
      <w:pPr>
        <w:pStyle w:val="Heading2"/>
      </w:pPr>
      <w:r>
        <w:rPr>
          <w:rFonts w:ascii="Times New Roman" w:hAnsi="Times New Roman" w:eastAsia="Times New Roman" w:cs="Times New Roman"/>
          <w:b/>
          <w:color w:val="000000"/>
          <w:sz w:val="24"/>
        </w:rPr>
        <w:t>4.3 PERIOD OF STUDY AND UNIT OF ANALYSIS</w:t>
      </w:r>
      <w:bookmarkEnd w:id="45"/>
    </w:p>
    <w:p>
      <w:pPr/>
      <w:r>
        <w:rPr>
          <w:rFonts w:ascii="Times New Roman" w:hAnsi="Times New Roman" w:eastAsia="Times New Roman" w:cs="Times New Roman"/>
          <w:b w:val="0"/>
          <w:i w:val="0"/>
          <w:color w:val="000000"/>
          <w:sz w:val="24"/>
        </w:rPr>
        <w:t>The principal reporting date is 31 March 2026. Trend analysis generally covers FY22–FY26, with FY19–FY26 AUM and PAT series where disclosed. Detailed statement analysis compares FY26 with FY25. All amounts are in Indian rupees; analytical tables generally use ₹ crore, while selected annexure tables retain ₹ lakh to follow the audited statement presentation. One crore equals 100 lakh.</w:t>
      </w:r>
    </w:p>
    <w:p>
      <w:bookmarkStart w:id="46" w:name="S44"/>
      <w:pPr>
        <w:pStyle w:val="Heading2"/>
      </w:pPr>
      <w:r>
        <w:rPr>
          <w:rFonts w:ascii="Times New Roman" w:hAnsi="Times New Roman" w:eastAsia="Times New Roman" w:cs="Times New Roman"/>
          <w:b/>
          <w:color w:val="000000"/>
          <w:sz w:val="24"/>
        </w:rPr>
        <w:t>4.4 DATA COLLECTION AND PROCESSING</w:t>
      </w:r>
      <w:bookmarkEnd w:id="46"/>
    </w:p>
    <w:p>
      <w:pPr/>
      <w:r>
        <w:rPr>
          <w:rFonts w:ascii="Times New Roman" w:hAnsi="Times New Roman" w:eastAsia="Times New Roman" w:cs="Times New Roman"/>
          <w:b w:val="0"/>
          <w:i w:val="0"/>
          <w:color w:val="000000"/>
          <w:sz w:val="24"/>
        </w:rPr>
        <w:t>Reported values were extracted from the company’s annual reports and organised by year, metric, unit and source section. Amounts reported in lakh were divided by 100 when converted into crore. Financial years are aligned to the year ended 31 March. The report distinguishes a company-reported figure from a derived calculation and states the basis for derived ratios where practical.</w:t>
      </w:r>
    </w:p>
    <w:p>
      <w:pPr/>
      <w:r>
        <w:rPr>
          <w:rFonts w:ascii="Times New Roman" w:hAnsi="Times New Roman" w:eastAsia="Times New Roman" w:cs="Times New Roman"/>
          <w:b w:val="0"/>
          <w:i w:val="0"/>
          <w:color w:val="000000"/>
          <w:sz w:val="24"/>
        </w:rPr>
        <w:t>The data were checked for arithmetic consistency, including growth rates, common-size percentages, totals and ratio calculations. Where a company report contains inconsistent values or definitions, both disclosures are identified and no unsupported reconciliation is made. Missing or incomparable data are described as not available or not comparable rather than estimated.</w:t>
      </w:r>
    </w:p>
    <w:p>
      <w:bookmarkStart w:id="47" w:name="S45"/>
      <w:pPr>
        <w:pStyle w:val="Heading2"/>
      </w:pPr>
      <w:r>
        <w:rPr>
          <w:rFonts w:ascii="Times New Roman" w:hAnsi="Times New Roman" w:eastAsia="Times New Roman" w:cs="Times New Roman"/>
          <w:b/>
          <w:color w:val="000000"/>
          <w:sz w:val="24"/>
        </w:rPr>
        <w:t>4.5 SAMPLING AND PRIMARY RESEARCH</w:t>
      </w:r>
      <w:bookmarkEnd w:id="47"/>
    </w:p>
    <w:p>
      <w:pPr/>
      <w:r>
        <w:rPr>
          <w:rFonts w:ascii="Times New Roman" w:hAnsi="Times New Roman" w:eastAsia="Times New Roman" w:cs="Times New Roman"/>
          <w:b w:val="0"/>
          <w:i w:val="0"/>
          <w:color w:val="000000"/>
          <w:sz w:val="24"/>
        </w:rPr>
        <w:t>Sampling is not applicable because this study does not involve a respondent population. No questionnaire, survey, interview, branch visit, customer record or borrower-level dataset was supplied or used. The project is based on public secondary disclosures and therefore does not make claims about customer experience beyond the indicators reported by the company.</w:t>
      </w:r>
    </w:p>
    <w:p>
      <w:bookmarkStart w:id="48" w:name="S46"/>
      <w:pPr>
        <w:pStyle w:val="Heading2"/>
      </w:pPr>
      <w:r>
        <w:rPr>
          <w:rFonts w:ascii="Times New Roman" w:hAnsi="Times New Roman" w:eastAsia="Times New Roman" w:cs="Times New Roman"/>
          <w:b/>
          <w:color w:val="000000"/>
          <w:sz w:val="24"/>
        </w:rPr>
        <w:t>4.6 ANALYTICAL TOOLS AND TECHNIQUES</w:t>
      </w:r>
      <w:bookmarkEnd w:id="48"/>
    </w:p>
    <w:p>
      <w:pPr>
        <w:pStyle w:val="CaptionBlack"/>
        <w:keepNext/>
      </w:pPr>
      <w:r>
        <w:rPr>
          <w:rFonts w:ascii="Times New Roman" w:hAnsi="Times New Roman" w:eastAsia="Times New Roman" w:cs="Times New Roman"/>
          <w:b/>
          <w:color w:val="000000"/>
          <w:sz w:val="22"/>
        </w:rPr>
        <w:t>Table 4.2: Tools applied and their purpose</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Technique</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Application</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Interpretive caution</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Year-on-year and trend analysis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 disbursements, income, costs, PAT, asset quality, capital and returns.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Growth is not sufficient evidence of quality or sustainability.</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CAGR</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Selected multi-year AUM and PAT series.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CAGR smooths volatility and does not describe the path between endpoints.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Common-size analysis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 income statement as a proportion of revenue; balance-sheet composition.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Classification and company definitions govern comparability.</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NBFC ratio analysis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NIM, yield, cost of borrowings, credit cost, GNPA/NNPA, PCR, CRAR, D/E, RoA and RoE.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 methodologies may differ from peer methodologies.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DuPont-style return bridge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Margin, asset utilisation and leverage components of return on equity.</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Financial-company definitions differ from industrial-company DuPont analysis.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Qualitative frameworks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PESTLE, Porter’s Five Forces, SWOT, risk matrix and balanced scorecard.</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Ratings are researcher judgements based on disclosed evidence.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Cash-flow and ALM review</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Operating / investing / financing cash flows and maturity buckets.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Lending growth creates operating cash outflows; interpretation differs from a manufacturer.</w:t>
            </w:r>
          </w:p>
        </w:tc>
      </w:tr>
    </w:tbl>
    <w:p>
      <w:pPr>
        <w:pStyle w:val="SourceNote"/>
      </w:pPr>
      <w:r>
        <w:rPr>
          <w:rFonts w:ascii="Times New Roman" w:hAnsi="Times New Roman" w:eastAsia="Times New Roman" w:cs="Times New Roman"/>
          <w:i/>
          <w:color w:val="000000"/>
          <w:sz w:val="18"/>
        </w:rPr>
        <w:t>Source: Researcher’s application of methods to the supplied annual reports; company-reported metrics are distinguished from derived calculations.</w:t>
      </w:r>
    </w:p>
    <w:p>
      <w:pPr/>
      <w:r>
        <w:rPr>
          <w:rFonts w:ascii="Times New Roman" w:hAnsi="Times New Roman" w:eastAsia="Times New Roman" w:cs="Times New Roman"/>
          <w:b w:val="0"/>
          <w:i w:val="0"/>
          <w:color w:val="000000"/>
          <w:sz w:val="24"/>
        </w:rPr>
        <w:t>The tools are used to explain what changed and why it matters. They are not used to generate unsupported forecasts, target prices or causal claims.</w:t>
      </w:r>
    </w:p>
    <w:p>
      <w:bookmarkStart w:id="49" w:name="S47"/>
      <w:pPr>
        <w:pStyle w:val="Heading2"/>
      </w:pPr>
      <w:r>
        <w:rPr>
          <w:rFonts w:ascii="Times New Roman" w:hAnsi="Times New Roman" w:eastAsia="Times New Roman" w:cs="Times New Roman"/>
          <w:b/>
          <w:color w:val="000000"/>
          <w:sz w:val="24"/>
        </w:rPr>
        <w:t>4.7 FINANCIAL RATIOS AND FORMULAE</w:t>
      </w:r>
      <w:bookmarkEnd w:id="49"/>
    </w:p>
    <w:p>
      <w:pPr>
        <w:pStyle w:val="CaptionBlack"/>
        <w:keepNext/>
      </w:pPr>
      <w:r>
        <w:rPr>
          <w:rFonts w:ascii="Times New Roman" w:hAnsi="Times New Roman" w:eastAsia="Times New Roman" w:cs="Times New Roman"/>
          <w:b/>
          <w:color w:val="000000"/>
          <w:sz w:val="22"/>
        </w:rPr>
        <w:t>Table 4.3: Selected lender-specific measures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Measure</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Formula / basis used</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Purpose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 growth</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(Current AUM ÷ prior-year AUM − 1) × 100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Measures portfolio scale change.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CAGR</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[(Ending value ÷ beginning value)^(1/n) − 1] × 100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Measures compound annual growth over n years.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Cost-to-income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Operating expenses ÷ net operating income, using company presentation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Measures operating efficiency.</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Yield on advances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Interest on loans ÷ average advances, company basis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Measures asset yield.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Spread</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Yield on advances − cost of borrowings, company basis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Indicates lending spread before other costs.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Credit cost</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Company-reported impairment measure relative to average assets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Captures credit-loss charge; methodology is company-defined.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GNPA / NNPA</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Gross / net non-performing loans as reported by company</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Measures impaired-asset levels.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PCR</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Stage 3 provisions ÷ gross Stage 3 loans, company basis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Indicates provision coverage.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CRAR</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Regulatory capital ÷ risk-weighted assets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Measures prudential capital adequacy.</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Debt-to-equity</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borrowings ÷ net worth</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Measures balance-sheet leverage.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RoA / RoE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PAT ÷ average assets / average equity, company basis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Measures return on assets and shareholder capital.</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P/E and P/B</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Market price ÷ EPS; market price ÷ book value per share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Valuation multiples, only when a dated price is available.</w:t>
            </w:r>
          </w:p>
        </w:tc>
      </w:tr>
    </w:tbl>
    <w:p>
      <w:pPr>
        <w:pStyle w:val="SourceNote"/>
      </w:pPr>
      <w:r>
        <w:rPr>
          <w:rFonts w:ascii="Times New Roman" w:hAnsi="Times New Roman" w:eastAsia="Times New Roman" w:cs="Times New Roman"/>
          <w:i/>
          <w:color w:val="000000"/>
          <w:sz w:val="18"/>
        </w:rPr>
        <w:t>Source: Fedbank Financial Services Limited, Annual Report 2025–26, Key Ratios, Directors’ Report and audited financial statements; derived calculations are identified in the relevant section.</w:t>
      </w:r>
    </w:p>
    <w:p>
      <w:pPr/>
      <w:r>
        <w:rPr>
          <w:rFonts w:ascii="Times New Roman" w:hAnsi="Times New Roman" w:eastAsia="Times New Roman" w:cs="Times New Roman"/>
          <w:b w:val="0"/>
          <w:i w:val="0"/>
          <w:color w:val="000000"/>
          <w:sz w:val="24"/>
        </w:rPr>
        <w:t>Current ratio, inventory turnover, industrial operating margin and industrial interest-coverage measures are not applied as generic tests to an NBFC. The measures above are more relevant to a lending company, but remain subject to the company’s definitions.</w:t>
      </w:r>
    </w:p>
    <w:p>
      <w:bookmarkStart w:id="50" w:name="S48"/>
      <w:pPr>
        <w:pStyle w:val="Heading2"/>
      </w:pPr>
      <w:r>
        <w:rPr>
          <w:rFonts w:ascii="Times New Roman" w:hAnsi="Times New Roman" w:eastAsia="Times New Roman" w:cs="Times New Roman"/>
          <w:b/>
          <w:color w:val="000000"/>
          <w:sz w:val="24"/>
        </w:rPr>
        <w:t>4.8 CALCULATION EXAMPLES</w:t>
      </w:r>
      <w:bookmarkEnd w:id="50"/>
    </w:p>
    <w:p>
      <w:pPr/>
      <w:r>
        <w:rPr>
          <w:rFonts w:ascii="Times New Roman" w:hAnsi="Times New Roman" w:eastAsia="Times New Roman" w:cs="Times New Roman"/>
          <w:b w:val="0"/>
          <w:i w:val="0"/>
          <w:color w:val="000000"/>
          <w:sz w:val="24"/>
        </w:rPr>
        <w:t>AUM CAGR, FY22–FY26 (derived): [(₹20,153 crore ÷ ₹6,187 crore)^(1/4) − 1] × 100 = approximately 34.3%. The period contains four annual intervals, from the FY22 closing AUM to FY26 closing AUM.</w:t>
      </w:r>
    </w:p>
    <w:p>
      <w:pPr/>
      <w:r>
        <w:rPr>
          <w:rFonts w:ascii="Times New Roman" w:hAnsi="Times New Roman" w:eastAsia="Times New Roman" w:cs="Times New Roman"/>
          <w:b w:val="0"/>
          <w:i w:val="0"/>
          <w:color w:val="000000"/>
          <w:sz w:val="24"/>
        </w:rPr>
        <w:t>PAT growth in FY26 (derived from reported figures): [(₹343.60 crore − ₹225.18 crore) ÷ ₹225.18 crore] × 100 = approximately 52.6%. This agrees with the reported rounded growth rate.</w:t>
      </w:r>
    </w:p>
    <w:p>
      <w:pPr/>
      <w:r>
        <w:rPr>
          <w:rFonts w:ascii="Times New Roman" w:hAnsi="Times New Roman" w:eastAsia="Times New Roman" w:cs="Times New Roman"/>
          <w:b w:val="0"/>
          <w:i w:val="0"/>
          <w:color w:val="000000"/>
          <w:sz w:val="24"/>
        </w:rPr>
        <w:t>Illustrative FY26 valuation multiples (derived, dated 31 March 2026): implied price = ₹4,642 crore market capitalisation ÷ 37.4206 crore shares = approximately ₹124.05 per share; P/E = ₹124.05 ÷ ₹9.20 basic EPS = approximately 13.5 times; P/B = ₹124.05 ÷ ₹78.19 book value per share = approximately 1.59 times. The implied price is a calculation from reported market capitalisation and closing share count, not a substitute for an exchange closing-price record.</w:t>
      </w:r>
    </w:p>
    <w:p>
      <w:bookmarkStart w:id="51" w:name="S49"/>
      <w:pPr>
        <w:pStyle w:val="Heading2"/>
      </w:pPr>
      <w:r>
        <w:rPr>
          <w:rFonts w:ascii="Times New Roman" w:hAnsi="Times New Roman" w:eastAsia="Times New Roman" w:cs="Times New Roman"/>
          <w:b/>
          <w:color w:val="000000"/>
          <w:sz w:val="24"/>
        </w:rPr>
        <w:t>4.9 RELIABILITY, VERIFICATION AND ETHICS</w:t>
      </w:r>
      <w:bookmarkEnd w:id="51"/>
    </w:p>
    <w:p>
      <w:pPr/>
      <w:r>
        <w:rPr>
          <w:rFonts w:ascii="Times New Roman" w:hAnsi="Times New Roman" w:eastAsia="Times New Roman" w:cs="Times New Roman"/>
          <w:b w:val="0"/>
          <w:i w:val="0"/>
          <w:color w:val="000000"/>
          <w:sz w:val="24"/>
        </w:rPr>
        <w:t>The annual reports are statutory company documents; the FY26 financial statements include an unmodified audit opinion in the supplied report. The project does not re-audit or independently verify the company’s disclosures. Management commentary and third-party sector statistics quoted within the annual report are treated as context, not as audited findings of this study.</w:t>
      </w:r>
    </w:p>
    <w:p>
      <w:pPr/>
      <w:r>
        <w:rPr>
          <w:rFonts w:ascii="Times New Roman" w:hAnsi="Times New Roman" w:eastAsia="Times New Roman" w:cs="Times New Roman"/>
          <w:b w:val="0"/>
          <w:i w:val="0"/>
          <w:color w:val="000000"/>
          <w:sz w:val="24"/>
        </w:rPr>
        <w:t>The report does not fabricate data, survey results, references or market prices. Calculated figures are labelled derived. Forward-looking company targets are presented as management statements, not as the researcher’s forecast. The report is for academic analysis and not investment advice.</w:t>
      </w:r>
    </w:p>
    <w:p>
      <w:bookmarkStart w:id="52" w:name="S410"/>
      <w:pPr>
        <w:pStyle w:val="Heading2"/>
      </w:pPr>
      <w:r>
        <w:rPr>
          <w:rFonts w:ascii="Times New Roman" w:hAnsi="Times New Roman" w:eastAsia="Times New Roman" w:cs="Times New Roman"/>
          <w:b/>
          <w:color w:val="000000"/>
          <w:sz w:val="24"/>
        </w:rPr>
        <w:t>4.10 METHODOLOGICAL LIMITATIONS</w:t>
      </w:r>
      <w:bookmarkEnd w:id="52"/>
    </w:p>
    <w:p>
      <w:pPr>
        <w:pStyle w:val="ListBullet"/>
        <w:spacing w:line="360" w:lineRule="auto" w:after="100"/>
        <w:ind w:left="389" w:hanging="259"/>
        <w:jc w:val="both"/>
      </w:pPr>
      <w:r>
        <w:rPr>
          <w:rFonts w:ascii="Times New Roman" w:hAnsi="Times New Roman" w:eastAsia="Times New Roman" w:cs="Times New Roman"/>
          <w:color w:val="000000"/>
          <w:sz w:val="24"/>
        </w:rPr>
        <w:t>The analysis depends on company definitions and reported classifications; AUM includes off-book or managed exposures that are not identical to balance-sheet loans.</w:t>
      </w:r>
    </w:p>
    <w:p>
      <w:pPr>
        <w:pStyle w:val="ListBullet"/>
        <w:spacing w:line="360" w:lineRule="auto" w:after="100"/>
        <w:ind w:left="389" w:hanging="259"/>
        <w:jc w:val="both"/>
      </w:pPr>
      <w:r>
        <w:rPr>
          <w:rFonts w:ascii="Times New Roman" w:hAnsi="Times New Roman" w:eastAsia="Times New Roman" w:cs="Times New Roman"/>
          <w:color w:val="000000"/>
          <w:sz w:val="24"/>
        </w:rPr>
        <w:t>The FY26 report restates selected historical yield, spread and cost-of-borrowings indicators on a different basis from prior reports; this report uses the FY26 basis for the comparable series and flags the change.</w:t>
      </w:r>
    </w:p>
    <w:p>
      <w:pPr>
        <w:pStyle w:val="ListBullet"/>
        <w:spacing w:line="360" w:lineRule="auto" w:after="100"/>
        <w:ind w:left="389" w:hanging="259"/>
        <w:jc w:val="both"/>
      </w:pPr>
      <w:r>
        <w:rPr>
          <w:rFonts w:ascii="Times New Roman" w:hAnsi="Times New Roman" w:eastAsia="Times New Roman" w:cs="Times New Roman"/>
          <w:color w:val="000000"/>
          <w:sz w:val="24"/>
        </w:rPr>
        <w:t>The company reports differing values for selected measures, including FY26 GNPA and direct-assignment income; the supplied public data do not provide a complete reconciliation.</w:t>
      </w:r>
    </w:p>
    <w:p>
      <w:pPr>
        <w:pStyle w:val="ListBullet"/>
        <w:spacing w:line="360" w:lineRule="auto" w:after="100"/>
        <w:ind w:left="389" w:hanging="259"/>
        <w:jc w:val="both"/>
      </w:pPr>
      <w:r>
        <w:rPr>
          <w:rFonts w:ascii="Times New Roman" w:hAnsi="Times New Roman" w:eastAsia="Times New Roman" w:cs="Times New Roman"/>
          <w:color w:val="000000"/>
          <w:sz w:val="24"/>
        </w:rPr>
        <w:t>Some ratios are not comparable across lenders because product mix, consolidation basis, average-balance methods and definitions differ.</w:t>
      </w:r>
    </w:p>
    <w:p>
      <w:pPr>
        <w:pStyle w:val="ListBullet"/>
        <w:spacing w:line="360" w:lineRule="auto" w:after="100"/>
        <w:ind w:left="389" w:hanging="259"/>
        <w:jc w:val="both"/>
      </w:pPr>
      <w:r>
        <w:rPr>
          <w:rFonts w:ascii="Times New Roman" w:hAnsi="Times New Roman" w:eastAsia="Times New Roman" w:cs="Times New Roman"/>
          <w:color w:val="000000"/>
          <w:sz w:val="24"/>
        </w:rPr>
        <w:t>There are no borrower-level data, interviews, market-price histories or proprietary databases in the supplied material.</w:t>
      </w:r>
    </w:p>
    <w:p>
      <w:r>
        <w:rPr>
          <w:rFonts w:ascii="Times New Roman" w:hAnsi="Times New Roman" w:eastAsia="Times New Roman" w:cs="Times New Roman"/>
          <w:color w:val="000000"/>
          <w:sz w:val="24"/>
        </w:rPr>
        <w:br w:type="page"/>
      </w:r>
    </w:p>
    <w:p>
      <w:pPr>
        <w:pStyle w:val="ChapterIdentifier"/>
      </w:pPr>
      <w:r>
        <w:rPr>
          <w:rFonts w:ascii="Times New Roman" w:hAnsi="Times New Roman" w:eastAsia="Times New Roman" w:cs="Times New Roman"/>
          <w:b/>
          <w:color w:val="000000"/>
          <w:sz w:val="28"/>
        </w:rPr>
        <w:t>CHAPTER 5</w:t>
      </w:r>
    </w:p>
    <w:p>
      <w:bookmarkStart w:id="53" w:name="Chapter5"/>
      <w:pPr>
        <w:pStyle w:val="Heading1"/>
        <w:pageBreakBefore w:val="0"/>
      </w:pPr>
      <w:r>
        <w:rPr>
          <w:rFonts w:ascii="Times New Roman" w:hAnsi="Times New Roman" w:eastAsia="Times New Roman" w:cs="Times New Roman"/>
          <w:b/>
          <w:color w:val="000000"/>
          <w:sz w:val="28"/>
        </w:rPr>
        <w:t>DATA ANALYSIS AND INTERPRETATION</w:t>
      </w:r>
      <w:bookmarkEnd w:id="53"/>
    </w:p>
    <w:p>
      <w:bookmarkStart w:id="54" w:name="S51"/>
      <w:pPr>
        <w:pStyle w:val="Heading2"/>
      </w:pPr>
      <w:r>
        <w:rPr>
          <w:rFonts w:ascii="Times New Roman" w:hAnsi="Times New Roman" w:eastAsia="Times New Roman" w:cs="Times New Roman"/>
          <w:b/>
          <w:color w:val="000000"/>
          <w:sz w:val="24"/>
        </w:rPr>
        <w:t>5.1 ANALYTICAL FRAMEWORK AND CONVENTIONS</w:t>
      </w:r>
      <w:bookmarkEnd w:id="54"/>
    </w:p>
    <w:p>
      <w:pPr/>
      <w:r>
        <w:rPr>
          <w:rFonts w:ascii="Times New Roman" w:hAnsi="Times New Roman" w:eastAsia="Times New Roman" w:cs="Times New Roman"/>
          <w:b w:val="0"/>
          <w:i w:val="0"/>
          <w:color w:val="000000"/>
          <w:sz w:val="24"/>
        </w:rPr>
        <w:t>The analysis begins with the FY25–FY26 financial snapshot, then examines growth, margins, expenses, balance-sheet funding, cash flow, capital, asset quality, returns and valuation. Risk and ESG observations are linked to the financial evidence. Amounts are in ₹ crore unless otherwise stated. Historical yields and funding costs use the FY26 annual report’s restated basis for consistency; reported company ratios are distinguished from researcher-derived calculations.</w:t>
      </w:r>
    </w:p>
    <w:p>
      <w:bookmarkStart w:id="55" w:name="S52"/>
      <w:pPr>
        <w:pStyle w:val="Heading2"/>
      </w:pPr>
      <w:r>
        <w:rPr>
          <w:rFonts w:ascii="Times New Roman" w:hAnsi="Times New Roman" w:eastAsia="Times New Roman" w:cs="Times New Roman"/>
          <w:b/>
          <w:color w:val="000000"/>
          <w:sz w:val="24"/>
        </w:rPr>
        <w:t>5.2 FY25–FY26 FINANCIAL SNAPSHOT</w:t>
      </w:r>
      <w:bookmarkEnd w:id="55"/>
    </w:p>
    <w:p>
      <w:pPr>
        <w:pStyle w:val="CaptionBlack"/>
        <w:keepNext/>
      </w:pPr>
      <w:r>
        <w:rPr>
          <w:rFonts w:ascii="Times New Roman" w:hAnsi="Times New Roman" w:eastAsia="Times New Roman" w:cs="Times New Roman"/>
          <w:b/>
          <w:color w:val="000000"/>
          <w:sz w:val="22"/>
        </w:rPr>
        <w:t>Table 5.1: Selected financial and operating indicators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Metric</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Change / note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 at year end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15,812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20,153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+27.5%</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Disbursements during year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18,787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31,410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About +67%</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interest income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1,070.80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1,229.75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+14.8%</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revenue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2,079.82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2,226.61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+7.1%</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Profit before tax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303.75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461.01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+51.8%</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Profit after tax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225.18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343.60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+52.6%</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Credit cost</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Company-reported</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RoA / RoE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1.82% / 9.39%</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2.44% / 12.62%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Company-reported</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CRAR / Tier I</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21.92% / 18.92%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22.40% / 17.52%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capital up; Tier I down</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Debt-to-equity</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4.03x derived</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4.61x derived</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Leverage increased</w:t>
            </w:r>
          </w:p>
        </w:tc>
      </w:tr>
    </w:tbl>
    <w:p>
      <w:pPr>
        <w:pStyle w:val="SourceNote"/>
      </w:pPr>
      <w:r>
        <w:rPr>
          <w:rFonts w:ascii="Times New Roman" w:hAnsi="Times New Roman" w:eastAsia="Times New Roman" w:cs="Times New Roman"/>
          <w:i/>
          <w:color w:val="000000"/>
          <w:sz w:val="18"/>
        </w:rPr>
        <w:t>Source: Fedbank Financial Services Limited, Annual Report 2025–26, Key Financial Highlights, Directors’ Report and audited financial statements. Derived debt-to-equity equals borrowings divided by net worth.</w:t>
      </w:r>
    </w:p>
    <w:p>
      <w:pPr/>
      <w:r>
        <w:rPr>
          <w:rFonts w:ascii="Times New Roman" w:hAnsi="Times New Roman" w:eastAsia="Times New Roman" w:cs="Times New Roman"/>
          <w:b w:val="0"/>
          <w:i w:val="0"/>
          <w:color w:val="000000"/>
          <w:sz w:val="24"/>
        </w:rPr>
        <w:t>FY26 combined higher AUM, NII and lower impairment with a sharp rise in PAT. Total revenue grew more slowly than profit, showing that expense and credit-cost movements were important contributors. The higher debt-to-equity ratio is a counterweight to the stronger reported returns.</w:t>
      </w:r>
    </w:p>
    <w:p>
      <w:bookmarkStart w:id="56" w:name="S53"/>
      <w:pPr>
        <w:pStyle w:val="Heading2"/>
      </w:pPr>
      <w:r>
        <w:rPr>
          <w:rFonts w:ascii="Times New Roman" w:hAnsi="Times New Roman" w:eastAsia="Times New Roman" w:cs="Times New Roman"/>
          <w:b/>
          <w:color w:val="000000"/>
          <w:sz w:val="24"/>
        </w:rPr>
        <w:t>5.3 AUM, DISBURSEMENTS AND SCALE</w:t>
      </w:r>
      <w:bookmarkEnd w:id="56"/>
    </w:p>
    <w:p>
      <w:pPr/>
      <w:r>
        <w:rPr>
          <w:rFonts w:ascii="Times New Roman" w:hAnsi="Times New Roman" w:eastAsia="Times New Roman" w:cs="Times New Roman"/>
          <w:b w:val="0"/>
          <w:i w:val="0"/>
          <w:color w:val="000000"/>
          <w:sz w:val="24"/>
        </w:rPr>
        <w:t>AUM increased each year from FY22 through FY26. It rose from ₹6,187 crore in FY22 to ₹20,153 crore in FY26, a derived four-year CAGR of 34.3%. The FY26 year-on-year increase was 27.5%, below FY25’s 29.7%, but the absolute addition was larger because the starting base was higher. Disbursements reached ₹31,410 crore in FY26, up about 67% as reported by the company.</w:t>
      </w:r>
    </w:p>
    <w:p>
      <w:pPr>
        <w:pStyle w:val="CaptionBlack"/>
        <w:keepNext/>
      </w:pPr>
      <w:r>
        <w:rPr>
          <w:rFonts w:ascii="Times New Roman" w:hAnsi="Times New Roman" w:eastAsia="Times New Roman" w:cs="Times New Roman"/>
          <w:b/>
          <w:color w:val="000000"/>
          <w:sz w:val="22"/>
        </w:rPr>
        <w:t>Table 5.2: Five-year AUM and branch trend</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Financial year</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AUM (₹ crore)</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YoY AUM growth</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Branches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6,187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27.2%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516</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9,070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46.6%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575</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12,192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34.4%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621</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15,812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29.7%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694</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20,153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27.5%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757</w:t>
            </w:r>
          </w:p>
        </w:tc>
      </w:tr>
    </w:tbl>
    <w:p>
      <w:pPr>
        <w:pStyle w:val="SourceNote"/>
      </w:pPr>
      <w:r>
        <w:rPr>
          <w:rFonts w:ascii="Times New Roman" w:hAnsi="Times New Roman" w:eastAsia="Times New Roman" w:cs="Times New Roman"/>
          <w:i/>
          <w:color w:val="000000"/>
          <w:sz w:val="18"/>
        </w:rPr>
        <w:t>Source: Fedbank Financial Services Limited, Annual Reports 2023–24, 2024–25 and 2025–26, KPI charts and Directors’ Reports; growth rates are derived from reported AUM.</w:t>
      </w:r>
    </w:p>
    <w:p>
      <w:pPr/>
      <w:r>
        <w:rPr>
          <w:rFonts w:ascii="Times New Roman" w:hAnsi="Times New Roman" w:eastAsia="Times New Roman" w:cs="Times New Roman"/>
          <w:b w:val="0"/>
          <w:i w:val="0"/>
          <w:color w:val="000000"/>
          <w:sz w:val="24"/>
        </w:rPr>
        <w:t>AUM scaled rapidly over the five-year period. The declining growth rate after FY23 is not a contraction; the nominal portfolio continued to expand. The key analytical question is whether the growth is supported by stable asset quality, productive branches and adequate capital.</w:t>
      </w:r>
    </w:p>
    <w:p>
      <w:pPr>
        <w:pStyle w:val="CaptionBlack"/>
        <w:keepNext/>
      </w:pPr>
      <w:r>
        <w:rPr>
          <w:rFonts w:ascii="Times New Roman" w:hAnsi="Times New Roman" w:eastAsia="Times New Roman" w:cs="Times New Roman"/>
          <w:b/>
          <w:color w:val="000000"/>
          <w:sz w:val="22"/>
        </w:rPr>
        <w:t>Figure 5.1: Assets under management, FY19–FY26 (₹ crore)</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7" name="Picture 7"/>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Reports 2023–24, 2024–25 and 2025–26, KPI pages.</w:t>
      </w:r>
    </w:p>
    <w:p>
      <w:pPr/>
      <w:r>
        <w:rPr>
          <w:rFonts w:ascii="Times New Roman" w:hAnsi="Times New Roman" w:eastAsia="Times New Roman" w:cs="Times New Roman"/>
          <w:b w:val="0"/>
          <w:i w:val="0"/>
          <w:color w:val="000000"/>
          <w:sz w:val="24"/>
        </w:rPr>
        <w:t>The eight-year series shows substantial scale expansion, including through the pandemic and subsequent recalibration. The longer view supports the conclusion that FY26 growth sits within a longer expansion trajectory, but does not establish that future growth will earn comparable returns.</w:t>
      </w:r>
    </w:p>
    <w:p>
      <w:pPr/>
      <w:r>
        <w:rPr>
          <w:rFonts w:ascii="Times New Roman" w:hAnsi="Times New Roman" w:eastAsia="Times New Roman" w:cs="Times New Roman"/>
          <w:b w:val="0"/>
          <w:i w:val="0"/>
          <w:color w:val="000000"/>
          <w:sz w:val="24"/>
        </w:rPr>
        <w:t>The FY22–FY26 AUM CAGR calculation is: [(20,153 ÷ 6,187)^(1/4) − 1] × 100 = 34.3% (derived). AUM per year-end branch increased from approximately ₹12.0 crore in FY22 to ₹26.6 crore in FY26 (derived); this aggregate measure does not adjust for branch maturity, co-location or product mix.</w:t>
      </w:r>
    </w:p>
    <w:p>
      <w:bookmarkStart w:id="57" w:name="S54"/>
      <w:pPr>
        <w:pStyle w:val="Heading2"/>
      </w:pPr>
      <w:r>
        <w:rPr>
          <w:rFonts w:ascii="Times New Roman" w:hAnsi="Times New Roman" w:eastAsia="Times New Roman" w:cs="Times New Roman"/>
          <w:b/>
          <w:color w:val="000000"/>
          <w:sz w:val="24"/>
        </w:rPr>
        <w:t>5.4 PROFITABILITY TREND</w:t>
      </w:r>
      <w:bookmarkEnd w:id="57"/>
    </w:p>
    <w:p>
      <w:pPr/>
      <w:r>
        <w:rPr>
          <w:rFonts w:ascii="Times New Roman" w:hAnsi="Times New Roman" w:eastAsia="Times New Roman" w:cs="Times New Roman"/>
          <w:b w:val="0"/>
          <w:i w:val="0"/>
          <w:color w:val="000000"/>
          <w:sz w:val="24"/>
        </w:rPr>
        <w:t>PAT increased from ₹103.5 crore in FY22 to ₹343.6 crore in FY26. FY25 was the interruption in this trend: PAT fell to ₹225.2 crore as credit cost rose. FY26 PAT growth of 52.6% recovered the decline and exceeded FY24’s reported level. The derived FY22–FY26 PAT CAGR is approximately 35.0%, but the FY25 drop demonstrates that profit growth is sensitive to impairment and portfolio performance.</w:t>
      </w:r>
    </w:p>
    <w:p>
      <w:pPr>
        <w:pStyle w:val="CaptionBlack"/>
        <w:keepNext/>
      </w:pPr>
      <w:r>
        <w:rPr>
          <w:rFonts w:ascii="Times New Roman" w:hAnsi="Times New Roman" w:eastAsia="Times New Roman" w:cs="Times New Roman"/>
          <w:b/>
          <w:color w:val="000000"/>
          <w:sz w:val="22"/>
        </w:rPr>
        <w:t>Table 5.3: Reported PAT trend</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Financial year</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PAT (₹ crore)</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Year-on-year movement</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103.5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FY23</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180.1</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+74.0% derived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FY24</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244.7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+35.9% derived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225.2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−8.0% reported, rounded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343.6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+52.6% reported</w:t>
            </w:r>
          </w:p>
        </w:tc>
      </w:tr>
    </w:tbl>
    <w:p>
      <w:pPr>
        <w:pStyle w:val="SourceNote"/>
      </w:pPr>
      <w:r>
        <w:rPr>
          <w:rFonts w:ascii="Times New Roman" w:hAnsi="Times New Roman" w:eastAsia="Times New Roman" w:cs="Times New Roman"/>
          <w:i/>
          <w:color w:val="000000"/>
          <w:sz w:val="18"/>
        </w:rPr>
        <w:t>Source: Fedbank Financial Services Limited, Annual Reports 2023–24, 2024–25 and 2025–26, KPI pages and Directors’ Reports; selected growth rates derived.</w:t>
      </w:r>
    </w:p>
    <w:p>
      <w:pPr/>
      <w:r>
        <w:rPr>
          <w:rFonts w:ascii="Times New Roman" w:hAnsi="Times New Roman" w:eastAsia="Times New Roman" w:cs="Times New Roman"/>
          <w:b w:val="0"/>
          <w:i w:val="0"/>
          <w:color w:val="000000"/>
          <w:sz w:val="24"/>
        </w:rPr>
        <w:t>PAT growth was uneven. FY26 is a recovery year following the FY25 reset; the two-year comparison should be interpreted alongside impairment, funding cost, AUM mix and operating expenses rather than as a simple continuation of a smooth earnings trend.</w:t>
      </w:r>
    </w:p>
    <w:p>
      <w:pPr>
        <w:pStyle w:val="CaptionBlack"/>
        <w:keepNext/>
      </w:pPr>
      <w:r>
        <w:rPr>
          <w:rFonts w:ascii="Times New Roman" w:hAnsi="Times New Roman" w:eastAsia="Times New Roman" w:cs="Times New Roman"/>
          <w:b/>
          <w:color w:val="000000"/>
          <w:sz w:val="22"/>
        </w:rPr>
        <w:t>Figure 5.2: Profit after tax, FY19–FY26 (₹ crore)</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8" name="Picture 8"/>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Reports 2023–24, 2024–25 and 2025–26, KPI pages and Directors’ Reports.</w:t>
      </w:r>
    </w:p>
    <w:p>
      <w:pPr/>
      <w:r>
        <w:rPr>
          <w:rFonts w:ascii="Times New Roman" w:hAnsi="Times New Roman" w:eastAsia="Times New Roman" w:cs="Times New Roman"/>
          <w:b w:val="0"/>
          <w:i w:val="0"/>
          <w:color w:val="000000"/>
          <w:sz w:val="24"/>
        </w:rPr>
        <w:t>The chart shows the FY25 decline and FY26 rebound against the longer series. The movement is consistent with a credit-cost cycle and reinforces the need to evaluate recurring income and provisioning together.</w:t>
      </w:r>
    </w:p>
    <w:p>
      <w:bookmarkStart w:id="58" w:name="S55"/>
      <w:pPr>
        <w:pStyle w:val="Heading2"/>
      </w:pPr>
      <w:r>
        <w:rPr>
          <w:rFonts w:ascii="Times New Roman" w:hAnsi="Times New Roman" w:eastAsia="Times New Roman" w:cs="Times New Roman"/>
          <w:b/>
          <w:color w:val="000000"/>
          <w:sz w:val="24"/>
        </w:rPr>
        <w:t>5.5 YIELD, COST OF BORROWINGS AND SPREAD</w:t>
      </w:r>
      <w:bookmarkEnd w:id="58"/>
    </w:p>
    <w:p>
      <w:pPr/>
      <w:r>
        <w:rPr>
          <w:rFonts w:ascii="Times New Roman" w:hAnsi="Times New Roman" w:eastAsia="Times New Roman" w:cs="Times New Roman"/>
          <w:b w:val="0"/>
          <w:i w:val="0"/>
          <w:color w:val="000000"/>
          <w:sz w:val="24"/>
        </w:rPr>
        <w:t>On the FY26 annual report’s basis, yield on advances was 16.7%, cost of borrowings 8.1% and spread 8.6% in FY26. Cost of borrowings rose through FY25 and declined in FY26, while yield eased slightly from its FY25 high. The reported spread was the highest in the five-year series shown in the supplied source. Because the FY26 report restates several prior-year values, the table below follows that report’s common basis rather than combining figures from earlier presentations.</w:t>
      </w:r>
    </w:p>
    <w:p>
      <w:pPr>
        <w:pStyle w:val="CaptionBlack"/>
        <w:keepNext/>
      </w:pPr>
      <w:r>
        <w:rPr>
          <w:rFonts w:ascii="Times New Roman" w:hAnsi="Times New Roman" w:eastAsia="Times New Roman" w:cs="Times New Roman"/>
          <w:b/>
          <w:color w:val="000000"/>
          <w:sz w:val="22"/>
        </w:rPr>
        <w:t>Table 5.4: Five-year yield, cost of borrowings and spread (FY26 report basis)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805"/>
        <w:gridCol w:w="1805"/>
        <w:gridCol w:w="1805"/>
        <w:gridCol w:w="1805"/>
        <w:gridCol w:w="1805"/>
      </w:tblGrid>
      <w:tr>
        <w:trPr>
          <w:cantSplit/>
          <w:tblHeader w:val="true"/>
        </w:trPr>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Year</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Yield</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Cost of borrowings</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Spread</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Cost-to-income</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FY22</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16.0%</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7.8%</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8.2%</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58.4%</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FY23</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16.1%</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7.8%</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8.3%</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58.6%</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FY24</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16.7%</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8.6%</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8.1%</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58.2%</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FY25</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17.1%</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9.0%</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8.2%</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57.6%</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16.7%</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8.1%</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8.6%</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57.2%</w:t>
            </w:r>
          </w:p>
        </w:tc>
      </w:tr>
    </w:tbl>
    <w:p>
      <w:pPr>
        <w:pStyle w:val="SourceNote"/>
      </w:pPr>
      <w:r>
        <w:rPr>
          <w:rFonts w:ascii="Times New Roman" w:hAnsi="Times New Roman" w:eastAsia="Times New Roman" w:cs="Times New Roman"/>
          <w:i/>
          <w:color w:val="000000"/>
          <w:sz w:val="18"/>
        </w:rPr>
        <w:t>Source: Fedbank Financial Services Limited, Annual Report 2025–26, five-year KPI charts; company-reported ratios.</w:t>
      </w:r>
    </w:p>
    <w:p>
      <w:pPr/>
      <w:r>
        <w:rPr>
          <w:rFonts w:ascii="Times New Roman" w:hAnsi="Times New Roman" w:eastAsia="Times New Roman" w:cs="Times New Roman"/>
          <w:b w:val="0"/>
          <w:i w:val="0"/>
          <w:color w:val="000000"/>
          <w:sz w:val="24"/>
        </w:rPr>
        <w:t>The FY26 improvement in spread reflects lower reported funding cost while yield remained high. A spread measure excludes operating expense, credit cost and capital consumption; it should not be treated as a net profitability measure.</w:t>
      </w:r>
    </w:p>
    <w:p>
      <w:pPr>
        <w:pStyle w:val="CaptionBlack"/>
        <w:keepNext/>
      </w:pPr>
      <w:r>
        <w:rPr>
          <w:rFonts w:ascii="Times New Roman" w:hAnsi="Times New Roman" w:eastAsia="Times New Roman" w:cs="Times New Roman"/>
          <w:b/>
          <w:color w:val="000000"/>
          <w:sz w:val="22"/>
        </w:rPr>
        <w:t>Figure 5.3: Yield on advances, cost of borrowings and spread, FY22–FY26 (%)</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9" name="Picture 9"/>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 2025–26, five-year KPI charts; FY26-report basis.</w:t>
      </w:r>
    </w:p>
    <w:p>
      <w:pPr/>
      <w:r>
        <w:rPr>
          <w:rFonts w:ascii="Times New Roman" w:hAnsi="Times New Roman" w:eastAsia="Times New Roman" w:cs="Times New Roman"/>
          <w:b w:val="0"/>
          <w:i w:val="0"/>
          <w:color w:val="000000"/>
          <w:sz w:val="24"/>
        </w:rPr>
        <w:t>The narrowing of the funding-cost line in FY26 helped widen the spread. The sensitivity of this result to future funding repricing, liability mix and asset yield remains a key monitorable.</w:t>
      </w:r>
    </w:p>
    <w:p>
      <w:bookmarkStart w:id="59" w:name="S56"/>
      <w:pPr>
        <w:pStyle w:val="Heading2"/>
      </w:pPr>
      <w:r>
        <w:rPr>
          <w:rFonts w:ascii="Times New Roman" w:hAnsi="Times New Roman" w:eastAsia="Times New Roman" w:cs="Times New Roman"/>
          <w:b/>
          <w:color w:val="000000"/>
          <w:sz w:val="24"/>
        </w:rPr>
        <w:t>5.6 INCOME STATEMENT ANALYSIS</w:t>
      </w:r>
      <w:bookmarkEnd w:id="59"/>
    </w:p>
    <w:p>
      <w:pPr/>
      <w:r>
        <w:rPr>
          <w:rFonts w:ascii="Times New Roman" w:hAnsi="Times New Roman" w:eastAsia="Times New Roman" w:cs="Times New Roman"/>
          <w:b w:val="0"/>
          <w:i w:val="0"/>
          <w:color w:val="000000"/>
          <w:sz w:val="24"/>
        </w:rPr>
        <w:t>Total revenue increased 7.1% to ₹2,226.61 crore in FY26, while NII grew 14.8% to ₹1,229.75 crore. Interest income on loans increased, but fee and commission income and fair-value gains declined. PAT grew faster than revenue because impairment expense fell by 46.7%, finance costs rose by only 3.0%, and total expenses were slightly lower than FY25. This composition indicates a meaningful recovery in credit charges; it should not be interpreted as a recurring 52.6% earnings-growth rate.</w:t>
      </w:r>
    </w:p>
    <w:p>
      <w:pPr>
        <w:pStyle w:val="CaptionBlack"/>
        <w:keepNext/>
      </w:pPr>
      <w:r>
        <w:rPr>
          <w:rFonts w:ascii="Times New Roman" w:hAnsi="Times New Roman" w:eastAsia="Times New Roman" w:cs="Times New Roman"/>
          <w:b/>
          <w:color w:val="000000"/>
          <w:sz w:val="22"/>
        </w:rPr>
        <w:t>Table 5.5: Selected income statement items (₹ crore)</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Item</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Change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Interest income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1,924.58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2,109.07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+9.6%</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interest income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1,070.80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1,229.75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+14.8%</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Fee and other income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155.24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117.54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−24.3%</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revenue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2,079.82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2,226.61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+7.1%</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Finance costs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853.78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879.32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+3.0%</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Impairment on financial instruments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216.36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115.27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−46.7%</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Operating expenses (employee + D&amp;A + other)</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687.43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771.21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+12.2%</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Profit before tax</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303.75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461.01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+51.8%</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Profit after tax</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225.18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343.60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+52.6%</w:t>
            </w:r>
          </w:p>
        </w:tc>
      </w:tr>
    </w:tbl>
    <w:p>
      <w:pPr>
        <w:pStyle w:val="SourceNote"/>
      </w:pPr>
      <w:r>
        <w:rPr>
          <w:rFonts w:ascii="Times New Roman" w:hAnsi="Times New Roman" w:eastAsia="Times New Roman" w:cs="Times New Roman"/>
          <w:i/>
          <w:color w:val="000000"/>
          <w:sz w:val="18"/>
        </w:rPr>
        <w:t>Source: Fedbank Financial Services Limited, Annual Report 2025–26, audited Statement of Profit and Loss and Notes 26, 32–34; ₹ lakh amounts converted to ₹ crore.</w:t>
      </w:r>
    </w:p>
    <w:p>
      <w:pPr/>
      <w:r>
        <w:rPr>
          <w:rFonts w:ascii="Times New Roman" w:hAnsi="Times New Roman" w:eastAsia="Times New Roman" w:cs="Times New Roman"/>
          <w:b w:val="0"/>
          <w:i w:val="0"/>
          <w:color w:val="000000"/>
          <w:sz w:val="24"/>
        </w:rPr>
        <w:t>Net interest income was the strongest recurring revenue driver in the selected lines, while non-interest income declined. The largest favourable P&amp;L movement was lower impairment. Operating expenses increased as the company invested in people and distribution, so future operating leverage remains unproven.</w:t>
      </w:r>
    </w:p>
    <w:p>
      <w:pPr>
        <w:pStyle w:val="CaptionBlack"/>
        <w:keepNext/>
      </w:pPr>
      <w:r>
        <w:rPr>
          <w:rFonts w:ascii="Times New Roman" w:hAnsi="Times New Roman" w:eastAsia="Times New Roman" w:cs="Times New Roman"/>
          <w:b/>
          <w:color w:val="000000"/>
          <w:sz w:val="22"/>
        </w:rPr>
        <w:t>Table 5.6: Interest income by source (₹ crore)</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Source</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Change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Interest on loans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1,735.17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1,967.62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+13.4%</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Income on direct assignment (Note 26)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152.31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101.98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−33.0%</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Interest on investments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19.57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21.75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+11.1%</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Interest on fixed deposits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15.55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16.24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+4.4%</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Interest on security deposit</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−25.3%</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interest income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1,924.58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2,109.07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+9.6%</w:t>
            </w:r>
          </w:p>
        </w:tc>
      </w:tr>
    </w:tbl>
    <w:p>
      <w:pPr>
        <w:pStyle w:val="SourceNote"/>
      </w:pPr>
      <w:r>
        <w:rPr>
          <w:rFonts w:ascii="Times New Roman" w:hAnsi="Times New Roman" w:eastAsia="Times New Roman" w:cs="Times New Roman"/>
          <w:i/>
          <w:color w:val="000000"/>
          <w:sz w:val="18"/>
        </w:rPr>
        <w:t>Source: Fedbank Financial Services Limited, Annual Report 2025–26, Note 26; lakh amounts converted to crore.</w:t>
      </w:r>
    </w:p>
    <w:p>
      <w:pPr/>
      <w:r>
        <w:rPr>
          <w:rFonts w:ascii="Times New Roman" w:hAnsi="Times New Roman" w:eastAsia="Times New Roman" w:cs="Times New Roman"/>
          <w:b w:val="0"/>
          <w:i w:val="0"/>
          <w:color w:val="000000"/>
          <w:sz w:val="24"/>
        </w:rPr>
        <w:t>Interest on loans represented approximately 93.3% of FY26 interest income (derived). Note 26 still records material income on direct assignment, so the narrower Corporate Overview measure of ₹7.4 crore should not be read as the total Note 26 line.</w:t>
      </w:r>
    </w:p>
    <w:p>
      <w:bookmarkStart w:id="60" w:name="S57"/>
      <w:pPr>
        <w:pStyle w:val="Heading2"/>
      </w:pPr>
      <w:r>
        <w:rPr>
          <w:rFonts w:ascii="Times New Roman" w:hAnsi="Times New Roman" w:eastAsia="Times New Roman" w:cs="Times New Roman"/>
          <w:b/>
          <w:color w:val="000000"/>
          <w:sz w:val="24"/>
        </w:rPr>
        <w:t>5.7 EXPENSE STRUCTURE AND OPERATING EFFICIENCY</w:t>
      </w:r>
      <w:bookmarkEnd w:id="60"/>
    </w:p>
    <w:p>
      <w:pPr/>
      <w:r>
        <w:rPr>
          <w:rFonts w:ascii="Times New Roman" w:hAnsi="Times New Roman" w:eastAsia="Times New Roman" w:cs="Times New Roman"/>
          <w:b w:val="0"/>
          <w:i w:val="0"/>
          <w:color w:val="000000"/>
          <w:sz w:val="24"/>
        </w:rPr>
        <w:t>Operating expenses, defined here as employee benefits, depreciation and other operating expenses, increased 12.2% to ₹771.21 crore. AUM grew faster, but branch and staff investment is front-loaded and does not guarantee operating leverage. The reported cost-to-income ratio moved only from 57.58% to 57.23%. AUM per employee rose to ₹3.8 crore as reported, while voluntary attrition remained high at 35.85%.</w:t>
      </w:r>
    </w:p>
    <w:p>
      <w:pPr>
        <w:pStyle w:val="CaptionBlack"/>
        <w:keepNext/>
      </w:pPr>
      <w:r>
        <w:rPr>
          <w:rFonts w:ascii="Times New Roman" w:hAnsi="Times New Roman" w:eastAsia="Times New Roman" w:cs="Times New Roman"/>
          <w:b/>
          <w:color w:val="000000"/>
          <w:sz w:val="22"/>
        </w:rPr>
        <w:t>Figure 5.4: Expense structure, FY25 versus FY26 (₹ crore)</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10" name="Picture 10"/>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 2025–26, Statement of Profit and Loss.</w:t>
      </w:r>
    </w:p>
    <w:p>
      <w:pPr/>
      <w:r>
        <w:rPr>
          <w:rFonts w:ascii="Times New Roman" w:hAnsi="Times New Roman" w:eastAsia="Times New Roman" w:cs="Times New Roman"/>
          <w:b w:val="0"/>
          <w:i w:val="0"/>
          <w:color w:val="000000"/>
          <w:sz w:val="24"/>
        </w:rPr>
        <w:t>Finance costs remain the largest expense line; impairment declined markedly while employee and other expenses rose. This pattern explains why earnings recovered quickly in FY26 but also shows that the cost base continues to expand.</w:t>
      </w:r>
    </w:p>
    <w:p>
      <w:pPr>
        <w:pStyle w:val="CaptionBlack"/>
        <w:keepNext/>
      </w:pPr>
      <w:r>
        <w:rPr>
          <w:rFonts w:ascii="Times New Roman" w:hAnsi="Times New Roman" w:eastAsia="Times New Roman" w:cs="Times New Roman"/>
          <w:b/>
          <w:color w:val="000000"/>
          <w:sz w:val="22"/>
        </w:rPr>
        <w:t>Table 5.7: Operating efficiency indicators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Measure</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Basis / interpretation</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Operating expenses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687.43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771.21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Employee + depreciation + other expenses.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Cost-to-income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57.58%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57.23%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Company-reported; 0.35 percentage-point improvement.</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Opex / average total assets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5.64%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5.12%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Derived using two-point average total assets.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Pre-provision operating profit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Not comparable on one basis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576.1 derived</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 NII + fee and other income less operating expenses.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 per employee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About 3.5 derived</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3.8 reported</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Aggregate productivity proxy; not adjusted for role or tenure.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Voluntary attrition</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Not stated in selected source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35.85%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Company-reported people indicator.</w:t>
            </w:r>
          </w:p>
        </w:tc>
      </w:tr>
    </w:tbl>
    <w:p>
      <w:pPr>
        <w:pStyle w:val="SourceNote"/>
      </w:pPr>
      <w:r>
        <w:rPr>
          <w:rFonts w:ascii="Times New Roman" w:hAnsi="Times New Roman" w:eastAsia="Times New Roman" w:cs="Times New Roman"/>
          <w:i/>
          <w:color w:val="000000"/>
          <w:sz w:val="18"/>
        </w:rPr>
        <w:t>Source: Fedbank Financial Services Limited, Annual Report 2025–26, Directors’ Report, Notes 33–34 and company KPI disclosures; derived ratios are identified.</w:t>
      </w:r>
    </w:p>
    <w:p>
      <w:pPr/>
      <w:r>
        <w:rPr>
          <w:rFonts w:ascii="Times New Roman" w:hAnsi="Times New Roman" w:eastAsia="Times New Roman" w:cs="Times New Roman"/>
          <w:b w:val="0"/>
          <w:i w:val="0"/>
          <w:color w:val="000000"/>
          <w:sz w:val="24"/>
        </w:rPr>
        <w:t>The cost-to-income ratio improved only modestly despite scale growth. This indicates that expansion costs have not yet been fully absorbed by operating leverage. A fair assessment requires branch-vintage productivity and employee-retention data, not only a consolidated ratio.</w:t>
      </w:r>
    </w:p>
    <w:p>
      <w:bookmarkStart w:id="61" w:name="S58"/>
      <w:pPr>
        <w:pStyle w:val="Heading2"/>
      </w:pPr>
      <w:r>
        <w:rPr>
          <w:rFonts w:ascii="Times New Roman" w:hAnsi="Times New Roman" w:eastAsia="Times New Roman" w:cs="Times New Roman"/>
          <w:b/>
          <w:color w:val="000000"/>
          <w:sz w:val="24"/>
        </w:rPr>
        <w:t>5.8 BALANCE SHEET ANALYSIS</w:t>
      </w:r>
      <w:bookmarkEnd w:id="61"/>
    </w:p>
    <w:p>
      <w:pPr/>
      <w:r>
        <w:rPr>
          <w:rFonts w:ascii="Times New Roman" w:hAnsi="Times New Roman" w:eastAsia="Times New Roman" w:cs="Times New Roman"/>
          <w:b w:val="0"/>
          <w:i w:val="0"/>
          <w:color w:val="000000"/>
          <w:sz w:val="24"/>
        </w:rPr>
        <w:t>Total assets increased 27.4% to ₹16,874.78 crore. Net loans were ₹14,318.85 crore and represented about 84.9% of total assets. Cash and cash equivalents rose to ₹1,339.73 crore. Borrowings increased 31.3% to ₹13,484.13 crore, faster than net worth, which grew 14.9% to ₹2,926.10 crore. The balance sheet therefore expanded with a higher contribution from debt funding.</w:t>
      </w:r>
    </w:p>
    <w:p>
      <w:pPr>
        <w:pStyle w:val="CaptionBlack"/>
        <w:keepNext/>
      </w:pPr>
      <w:r>
        <w:rPr>
          <w:rFonts w:ascii="Times New Roman" w:hAnsi="Times New Roman" w:eastAsia="Times New Roman" w:cs="Times New Roman"/>
          <w:b/>
          <w:color w:val="000000"/>
          <w:sz w:val="22"/>
        </w:rPr>
        <w:t>Table 5.8: Selected balance-sheet items (₹ crore)</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Item</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31 March 2025</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31 March 2026</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Change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Cash and cash equivalents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724.60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1,339.73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+84.9%</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Loans, net</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11,646.37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14,318.85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+22.9%</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Investments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404.19</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401.67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−0.6%</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assets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13,249.70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16,874.78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+27.4%</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Debt securities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500.22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1,730.31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+245.9%</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Borrowings other than debt securities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9,292.37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10,837.47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+16.6%</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Subordinated liabilities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476.07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916.35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+92.5%</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borrowings, company disclosure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10,268.66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13,484.13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+31.3%</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worth / equity</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2,547.36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2,926.10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+14.9%</w:t>
            </w:r>
          </w:p>
        </w:tc>
      </w:tr>
    </w:tbl>
    <w:p>
      <w:pPr>
        <w:pStyle w:val="SourceNote"/>
      </w:pPr>
      <w:r>
        <w:rPr>
          <w:rFonts w:ascii="Times New Roman" w:hAnsi="Times New Roman" w:eastAsia="Times New Roman" w:cs="Times New Roman"/>
          <w:i/>
          <w:color w:val="000000"/>
          <w:sz w:val="18"/>
        </w:rPr>
        <w:t>Source: Fedbank Financial Services Limited, Annual Report 2025–26, audited Balance Sheet and Notes 16–18; ₹ lakh amounts converted to ₹ crore.</w:t>
      </w:r>
    </w:p>
    <w:p>
      <w:pPr/>
      <w:r>
        <w:rPr>
          <w:rFonts w:ascii="Times New Roman" w:hAnsi="Times New Roman" w:eastAsia="Times New Roman" w:cs="Times New Roman"/>
          <w:b w:val="0"/>
          <w:i w:val="0"/>
          <w:color w:val="000000"/>
          <w:sz w:val="24"/>
        </w:rPr>
        <w:t>Loans remain the dominant earning asset. Cash grew substantially, providing a liquidity buffer, but leverage rose because borrowings expanded faster than net worth. Balance-sheet analysis should therefore consider ALM and capital together rather than treating cash alone as a complete liquidity measure.</w:t>
      </w:r>
    </w:p>
    <w:p>
      <w:bookmarkStart w:id="62" w:name="S59"/>
      <w:pPr>
        <w:pStyle w:val="Heading2"/>
      </w:pPr>
      <w:r>
        <w:rPr>
          <w:rFonts w:ascii="Times New Roman" w:hAnsi="Times New Roman" w:eastAsia="Times New Roman" w:cs="Times New Roman"/>
          <w:b/>
          <w:color w:val="000000"/>
          <w:sz w:val="24"/>
        </w:rPr>
        <w:t>5.9 CASH FLOW ANALYSIS</w:t>
      </w:r>
      <w:bookmarkEnd w:id="62"/>
    </w:p>
    <w:p>
      <w:pPr/>
      <w:r>
        <w:rPr>
          <w:rFonts w:ascii="Times New Roman" w:hAnsi="Times New Roman" w:eastAsia="Times New Roman" w:cs="Times New Roman"/>
          <w:b w:val="0"/>
          <w:i w:val="0"/>
          <w:color w:val="000000"/>
          <w:sz w:val="24"/>
        </w:rPr>
        <w:t>Cash flow from operating activities was negative in FY25 and FY26. For a lender, loan disbursements and changes in the loan book are classified within operating cash flows; the FY26 cash-flow statement shows a ₹2,811.61 crore increase in loans as a major cash use. The negative operating cash flow should therefore not be interpreted using the same “profit-to-cash” test applied to a manufacturer. Funding inflows and the maturity structure of assets and liabilities are central to interpreting the statement.</w:t>
      </w:r>
    </w:p>
    <w:p>
      <w:pPr>
        <w:pStyle w:val="CaptionBlack"/>
        <w:keepNext/>
      </w:pPr>
      <w:r>
        <w:rPr>
          <w:rFonts w:ascii="Times New Roman" w:hAnsi="Times New Roman" w:eastAsia="Times New Roman" w:cs="Times New Roman"/>
          <w:b/>
          <w:color w:val="000000"/>
          <w:sz w:val="22"/>
        </w:rPr>
        <w:t>Table 5.9: Cash flow summary (₹ crore)</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Cash-flow item</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Interpretation</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cash from / (used in) operating activities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(977.52)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(1,664.16)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Loan growth and working-capital movements dominate.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cash from / (used in) investing activities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329.16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(30.60)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Includes investment and redemption activity.</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cash from financing activities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1,187.42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2,309.89</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Debt securities and borrowings funded asset growth.</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increase in cash</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539.06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615.13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Cash balance increased in both years.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Closing cash and cash equivalents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724.60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1,339.73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Reported balance at year end.</w:t>
            </w:r>
          </w:p>
        </w:tc>
      </w:tr>
    </w:tbl>
    <w:p>
      <w:pPr>
        <w:pStyle w:val="SourceNote"/>
      </w:pPr>
      <w:r>
        <w:rPr>
          <w:rFonts w:ascii="Times New Roman" w:hAnsi="Times New Roman" w:eastAsia="Times New Roman" w:cs="Times New Roman"/>
          <w:i/>
          <w:color w:val="000000"/>
          <w:sz w:val="18"/>
        </w:rPr>
        <w:t>Source: Fedbank Financial Services Limited, Annual Report 2025–26, Statement of Cash Flow for FY26 and FY25 comparatives; ₹ lakh converted to crore.</w:t>
      </w:r>
    </w:p>
    <w:p>
      <w:pPr/>
      <w:r>
        <w:rPr>
          <w:rFonts w:ascii="Times New Roman" w:hAnsi="Times New Roman" w:eastAsia="Times New Roman" w:cs="Times New Roman"/>
          <w:b w:val="0"/>
          <w:i w:val="0"/>
          <w:color w:val="000000"/>
          <w:sz w:val="24"/>
        </w:rPr>
        <w:t>Operating cash outflow reflects the cash-intensive nature of loan-book expansion and was offset by financing inflows. This does not by itself indicate weak earnings quality; the more relevant questions are funding availability, asset collections, maturity matching and the cost of refinancing.</w:t>
      </w:r>
    </w:p>
    <w:p>
      <w:bookmarkStart w:id="63" w:name="S510"/>
      <w:pPr>
        <w:pStyle w:val="Heading2"/>
      </w:pPr>
      <w:r>
        <w:rPr>
          <w:rFonts w:ascii="Times New Roman" w:hAnsi="Times New Roman" w:eastAsia="Times New Roman" w:cs="Times New Roman"/>
          <w:b/>
          <w:color w:val="000000"/>
          <w:sz w:val="24"/>
        </w:rPr>
        <w:t>5.10 FUNDING PROFILE AND ASSET-LIABILITY MANAGEMENT</w:t>
      </w:r>
      <w:bookmarkEnd w:id="63"/>
    </w:p>
    <w:p>
      <w:pPr/>
      <w:r>
        <w:rPr>
          <w:rFonts w:ascii="Times New Roman" w:hAnsi="Times New Roman" w:eastAsia="Times New Roman" w:cs="Times New Roman"/>
          <w:b w:val="0"/>
          <w:i w:val="0"/>
          <w:color w:val="000000"/>
          <w:sz w:val="24"/>
        </w:rPr>
        <w:t>At 31 March 2026, the company reported 41 lenders, AA+/Stable long-term ratings from four agencies and A1+ short-term ratings. Its funding included bank and financial-institution loans, external commercial borrowings, non-convertible debentures, commercial paper and subordinated debt. The USD 250 million ECB programme was reported as fully hedged through cross-currency swaps. Funding diversity reduces reliance on a single source, but it does not remove market-access, maturity or currency-hedging risk.</w:t>
      </w:r>
    </w:p>
    <w:p>
      <w:pPr>
        <w:pStyle w:val="CaptionBlack"/>
        <w:keepNext/>
      </w:pPr>
      <w:r>
        <w:rPr>
          <w:rFonts w:ascii="Times New Roman" w:hAnsi="Times New Roman" w:eastAsia="Times New Roman" w:cs="Times New Roman"/>
          <w:b/>
          <w:color w:val="000000"/>
          <w:sz w:val="22"/>
        </w:rPr>
        <w:t>Table 5.10: Borrowings by instrument group at 31 March 2026</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Funding group</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Amount (₹ crore)</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Share of borrowings</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Risk / note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Bank and financial-institution loans, including demand loans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8,455.11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62.7%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Includes Federal Bank and other lenders.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External commercial borrowings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2,382.36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USD facility; fully hedged as reported.</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Secured NCDs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565.88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Market borrowing.</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Commercial paper</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1,164.43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Short-tenor refinancing exposure.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Subordinated NCDs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916.35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Includes instruments eligible as Tier II capital, subject to terms.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borrowings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13,484.13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100.0%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As reported in notes; grouped amounts are derived sums.</w:t>
            </w:r>
          </w:p>
        </w:tc>
      </w:tr>
    </w:tbl>
    <w:p>
      <w:pPr>
        <w:pStyle w:val="SourceNote"/>
      </w:pPr>
      <w:r>
        <w:rPr>
          <w:rFonts w:ascii="Times New Roman" w:hAnsi="Times New Roman" w:eastAsia="Times New Roman" w:cs="Times New Roman"/>
          <w:i/>
          <w:color w:val="000000"/>
          <w:sz w:val="18"/>
        </w:rPr>
        <w:t>Source: Fedbank Financial Services Limited, Annual Report 2025–26, Notes 16–18 and Directors’ Report; grouped categories and percentages are derived from reported instruments.</w:t>
      </w:r>
    </w:p>
    <w:p>
      <w:pPr/>
      <w:r>
        <w:rPr>
          <w:rFonts w:ascii="Times New Roman" w:hAnsi="Times New Roman" w:eastAsia="Times New Roman" w:cs="Times New Roman"/>
          <w:b w:val="0"/>
          <w:i w:val="0"/>
          <w:color w:val="000000"/>
          <w:sz w:val="24"/>
        </w:rPr>
        <w:t>Bank and financial-institution loans form the majority of funding, while ECB and commercial-paper balances increased substantially. The company reports hedging the ECB exposure; continued hedge effectiveness and refinancing access remain important.</w:t>
      </w:r>
    </w:p>
    <w:p>
      <w:pPr>
        <w:pStyle w:val="CaptionBlack"/>
        <w:keepNext/>
      </w:pPr>
      <w:r>
        <w:rPr>
          <w:rFonts w:ascii="Times New Roman" w:hAnsi="Times New Roman" w:eastAsia="Times New Roman" w:cs="Times New Roman"/>
          <w:b/>
          <w:color w:val="000000"/>
          <w:sz w:val="22"/>
        </w:rPr>
        <w:t>Figure 5.5: Borrowings by instrument at 31 March 2026 (₹ crore)</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289325"/>
            <wp:docPr id="11" name="Picture 11"/>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596128" cy="228932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 2025–26, Notes 16–18 and funding disclosures.</w:t>
      </w:r>
    </w:p>
    <w:p>
      <w:pPr/>
      <w:r>
        <w:rPr>
          <w:rFonts w:ascii="Times New Roman" w:hAnsi="Times New Roman" w:eastAsia="Times New Roman" w:cs="Times New Roman"/>
          <w:b w:val="0"/>
          <w:i w:val="0"/>
          <w:color w:val="000000"/>
          <w:sz w:val="24"/>
        </w:rPr>
        <w:t>The chart illustrates a diversified funding stack but also a material wholesale-funding dependence. Commercial paper is short-dated and should be assessed with liquidity buffers, lender commitments and maturity management.</w:t>
      </w:r>
    </w:p>
    <w:p>
      <w:pPr>
        <w:pStyle w:val="CaptionBlack"/>
        <w:keepNext/>
      </w:pPr>
      <w:r>
        <w:rPr>
          <w:rFonts w:ascii="Times New Roman" w:hAnsi="Times New Roman" w:eastAsia="Times New Roman" w:cs="Times New Roman"/>
          <w:b/>
          <w:color w:val="000000"/>
          <w:sz w:val="22"/>
        </w:rPr>
        <w:t>Table 5.11: Selected structural liquidity buckets at 31 March 2026 (₹ crore)</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Maturity bucket</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Advances</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Borrowings</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Gap</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 days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330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(247)</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8–14 days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15–31 days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249</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(107)</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 months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445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(229)</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 months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601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(421)</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3–6 months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653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1,369</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(716)</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6–12 months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7,721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2,253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5,468</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 years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1,984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6,409</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(4,425)</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3–5 years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1,982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1,325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657</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Over 5 years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1,341</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488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852</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14,319</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13,484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835</w:t>
            </w:r>
          </w:p>
        </w:tc>
      </w:tr>
    </w:tbl>
    <w:p>
      <w:pPr>
        <w:pStyle w:val="SourceNote"/>
      </w:pPr>
      <w:r>
        <w:rPr>
          <w:rFonts w:ascii="Times New Roman" w:hAnsi="Times New Roman" w:eastAsia="Times New Roman" w:cs="Times New Roman"/>
          <w:i/>
          <w:color w:val="000000"/>
          <w:sz w:val="18"/>
        </w:rPr>
        <w:t>Source: Fedbank Financial Services Limited, Annual Report 2025–26, Note 48, structural liquidity statement. Figures may differ slightly due to rounding.</w:t>
      </w:r>
    </w:p>
    <w:p>
      <w:pPr/>
      <w:r>
        <w:rPr>
          <w:rFonts w:ascii="Times New Roman" w:hAnsi="Times New Roman" w:eastAsia="Times New Roman" w:cs="Times New Roman"/>
          <w:b w:val="0"/>
          <w:i w:val="0"/>
          <w:color w:val="000000"/>
          <w:sz w:val="24"/>
        </w:rPr>
        <w:t>The maturity profile shows negative gaps in the shortest buckets and a large inflow gap in 6–12 months, followed by a negative 1–3 year bucket. The cumulative profile is reported as positive by one year, but individual short-term and medium-term mismatches require continued ALCO monitoring and stress testing.</w:t>
      </w:r>
    </w:p>
    <w:p>
      <w:pPr>
        <w:pStyle w:val="CaptionBlack"/>
        <w:keepNext/>
      </w:pPr>
      <w:r>
        <w:rPr>
          <w:rFonts w:ascii="Times New Roman" w:hAnsi="Times New Roman" w:eastAsia="Times New Roman" w:cs="Times New Roman"/>
          <w:b/>
          <w:color w:val="000000"/>
          <w:sz w:val="22"/>
        </w:rPr>
        <w:t>Figure 5.6: Cumulative maturity of advances and borrowings, 31 March 2026 (₹ crore)</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12" name="Picture 12"/>
            <wp:cNvGraphicFramePr>
              <a:graphicFrameLocks noChangeAspect="1"/>
            </wp:cNvGraphicFramePr>
            <a:graphic>
              <a:graphicData uri="http://schemas.openxmlformats.org/drawingml/2006/picture">
                <pic:pic>
                  <pic:nvPicPr>
                    <pic:cNvPr id="0" name="image17.png"/>
                    <pic:cNvPicPr/>
                  </pic:nvPicPr>
                  <pic:blipFill>
                    <a:blip r:embed="rId22"/>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 2025–26, Note 48, maturity profile.</w:t>
      </w:r>
    </w:p>
    <w:p>
      <w:pPr/>
      <w:r>
        <w:rPr>
          <w:rFonts w:ascii="Times New Roman" w:hAnsi="Times New Roman" w:eastAsia="Times New Roman" w:cs="Times New Roman"/>
          <w:b w:val="0"/>
          <w:i w:val="0"/>
          <w:color w:val="000000"/>
          <w:sz w:val="24"/>
        </w:rPr>
        <w:t>The chart makes the timing mismatch visible: the portfolio has substantial advance maturities within 6–12 months, while liabilities are concentrated in the 1–3 year bucket. The reported liquidity position should be assessed under behavioural and stress assumptions as well as contractual maturities.</w:t>
      </w:r>
    </w:p>
    <w:p>
      <w:bookmarkStart w:id="64" w:name="S511"/>
      <w:pPr>
        <w:pStyle w:val="Heading2"/>
      </w:pPr>
      <w:r>
        <w:rPr>
          <w:rFonts w:ascii="Times New Roman" w:hAnsi="Times New Roman" w:eastAsia="Times New Roman" w:cs="Times New Roman"/>
          <w:b/>
          <w:color w:val="000000"/>
          <w:sz w:val="24"/>
        </w:rPr>
        <w:t>5.11 CAPITAL ADEQUACY AND LEVERAGE</w:t>
      </w:r>
      <w:bookmarkEnd w:id="64"/>
    </w:p>
    <w:p>
      <w:pPr/>
      <w:r>
        <w:rPr>
          <w:rFonts w:ascii="Times New Roman" w:hAnsi="Times New Roman" w:eastAsia="Times New Roman" w:cs="Times New Roman"/>
          <w:b w:val="0"/>
          <w:i w:val="0"/>
          <w:color w:val="000000"/>
          <w:sz w:val="24"/>
        </w:rPr>
        <w:t>CRAR increased from 21.92% in FY25 to 22.40% in FY26, above the 15% minimum stated for the relevant NBFC layer. The composition changed: Tier I fell from 18.92% to 17.52%, while Tier II rose from 3.00% to 4.88%, supported by subordinated borrowing. Debt-to-equity increased from about 4.03x to 4.61x on the derived borrowings-to-net-worth basis. Total capital remains above the regulatory minimum, but the falling Tier I ratio and higher leverage warrant monitoring as the balance sheet grows.</w:t>
      </w:r>
    </w:p>
    <w:p>
      <w:pPr>
        <w:pStyle w:val="CaptionBlack"/>
        <w:keepNext/>
      </w:pPr>
      <w:r>
        <w:rPr>
          <w:rFonts w:ascii="Times New Roman" w:hAnsi="Times New Roman" w:eastAsia="Times New Roman" w:cs="Times New Roman"/>
          <w:b/>
          <w:color w:val="000000"/>
          <w:sz w:val="22"/>
        </w:rPr>
        <w:t>Table 5.12: Capital and leverage indicators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Indicator</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Interpretation</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CRAR</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21.92%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22.40%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Above 15% stated minimum.</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Tier I capital ratio</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18.92%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17.52%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Declined by 1.40 percentage points.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Tier II capital ratio</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3.00%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4.88%</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Increased with subordinated debt.</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worth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2,547.36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2,926.10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+14.9%.</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Borrowings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10,268.66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13,484.13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+31.3%.</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Debt-to-equity, derived</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4.03x</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4.61x</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Borrowings ÷ net worth.</w:t>
            </w:r>
          </w:p>
        </w:tc>
      </w:tr>
    </w:tbl>
    <w:p>
      <w:pPr>
        <w:pStyle w:val="SourceNote"/>
      </w:pPr>
      <w:r>
        <w:rPr>
          <w:rFonts w:ascii="Times New Roman" w:hAnsi="Times New Roman" w:eastAsia="Times New Roman" w:cs="Times New Roman"/>
          <w:i/>
          <w:color w:val="000000"/>
          <w:sz w:val="18"/>
        </w:rPr>
        <w:t>Source: Fedbank Financial Services Limited, Annual Report 2025–26, Directors’ Report, Note 48 and audited financial statements; D/E derived.</w:t>
      </w:r>
    </w:p>
    <w:p>
      <w:pPr/>
      <w:r>
        <w:rPr>
          <w:rFonts w:ascii="Times New Roman" w:hAnsi="Times New Roman" w:eastAsia="Times New Roman" w:cs="Times New Roman"/>
          <w:b w:val="0"/>
          <w:i w:val="0"/>
          <w:color w:val="000000"/>
          <w:sz w:val="24"/>
        </w:rPr>
        <w:t>Total capital adequacy strengthened modestly, but this was accompanied by a lower Tier I share and rising leverage. Capital planning should consider the pace of AUM growth, retained earnings, risk weights, asset quality and the availability and cost of future funding.</w:t>
      </w:r>
    </w:p>
    <w:p>
      <w:pPr>
        <w:pStyle w:val="CaptionBlack"/>
        <w:keepNext/>
      </w:pPr>
      <w:r>
        <w:rPr>
          <w:rFonts w:ascii="Times New Roman" w:hAnsi="Times New Roman" w:eastAsia="Times New Roman" w:cs="Times New Roman"/>
          <w:b/>
          <w:color w:val="000000"/>
          <w:sz w:val="22"/>
        </w:rPr>
        <w:t>Figure 5.7: Capital adequacy (%) and book value per share (₹), FY22–FY26</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13" name="Picture 13"/>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Reports 2023–24, 2024–25 and 2025–26, KPI charts and Directors’ Reports.</w:t>
      </w:r>
    </w:p>
    <w:p>
      <w:pPr/>
      <w:r>
        <w:rPr>
          <w:rFonts w:ascii="Times New Roman" w:hAnsi="Times New Roman" w:eastAsia="Times New Roman" w:cs="Times New Roman"/>
          <w:b w:val="0"/>
          <w:i w:val="0"/>
          <w:color w:val="000000"/>
          <w:sz w:val="24"/>
        </w:rPr>
        <w:t>CRAR remained above the reported minimum across the series, while book value per share increased. The capital measure is a regulatory ratio; book-value growth does not remove the need to monitor risk-weighted assets and leverage.</w:t>
      </w:r>
    </w:p>
    <w:p>
      <w:bookmarkStart w:id="65" w:name="S512"/>
      <w:pPr>
        <w:pStyle w:val="Heading2"/>
      </w:pPr>
      <w:r>
        <w:rPr>
          <w:rFonts w:ascii="Times New Roman" w:hAnsi="Times New Roman" w:eastAsia="Times New Roman" w:cs="Times New Roman"/>
          <w:b/>
          <w:color w:val="000000"/>
          <w:sz w:val="24"/>
        </w:rPr>
        <w:t>5.12 ASSET QUALITY AND EXPECTED CREDIT LOSS</w:t>
      </w:r>
      <w:bookmarkEnd w:id="65"/>
    </w:p>
    <w:p>
      <w:pPr/>
      <w:r>
        <w:rPr>
          <w:rFonts w:ascii="Times New Roman" w:hAnsi="Times New Roman" w:eastAsia="Times New Roman" w:cs="Times New Roman"/>
          <w:b w:val="0"/>
          <w:i w:val="0"/>
          <w:color w:val="000000"/>
          <w:sz w:val="24"/>
        </w:rPr>
        <w:t>The FY26 report shows improvement in Stage 2 and Stage 3 loans at amortised cost: their combined share declined from 7.4% of the book in FY25 to 3.5% in FY26. The company reported credit cost of 0.8% for FY26 against 1.8% in FY25. Provision coverage declined from 40.0% to 32.3%, partly in the context of write-offs and ARC sales. New mortgage cohorts remain relatively unseasoned, so the aggregate improvement should be tested against vintage performance in subsequent reporting periods.</w:t>
      </w:r>
    </w:p>
    <w:p>
      <w:pPr>
        <w:pStyle w:val="CaptionBlack"/>
        <w:keepNext/>
      </w:pPr>
      <w:r>
        <w:rPr>
          <w:rFonts w:ascii="Times New Roman" w:hAnsi="Times New Roman" w:eastAsia="Times New Roman" w:cs="Times New Roman"/>
          <w:b/>
          <w:color w:val="000000"/>
          <w:sz w:val="22"/>
        </w:rPr>
        <w:t>Figure 5.8: Asset quality: GNPA, NNPA and provision coverage, FY22–FY26 (%)</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14" name="Picture 14"/>
            <wp:cNvGraphicFramePr>
              <a:graphicFrameLocks noChangeAspect="1"/>
            </wp:cNvGraphicFramePr>
            <a:graphic>
              <a:graphicData uri="http://schemas.openxmlformats.org/drawingml/2006/picture">
                <pic:pic>
                  <pic:nvPicPr>
                    <pic:cNvPr id="0" name="image11.png"/>
                    <pic:cNvPicPr/>
                  </pic:nvPicPr>
                  <pic:blipFill>
                    <a:blip r:embed="rId24"/>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Reports 2023–24, 2024–25 and 2025–26, KPI charts and FY26 Key Highlights.</w:t>
      </w:r>
    </w:p>
    <w:p>
      <w:pPr/>
      <w:r>
        <w:rPr>
          <w:rFonts w:ascii="Times New Roman" w:hAnsi="Times New Roman" w:eastAsia="Times New Roman" w:cs="Times New Roman"/>
          <w:b w:val="0"/>
          <w:i w:val="0"/>
          <w:color w:val="000000"/>
          <w:sz w:val="24"/>
        </w:rPr>
        <w:t>The reported series shows a FY25 rise in stress and a lower credit-cost result in FY26. The FY26 GNPA measure differs across sections of the same annual report: 1.9% in highlights and 2.2% in the five-year chart. Both are disclosed in this report without an assumed reconciliation.</w:t>
      </w:r>
    </w:p>
    <w:p>
      <w:pPr>
        <w:pStyle w:val="CaptionBlack"/>
        <w:keepNext/>
      </w:pPr>
      <w:r>
        <w:rPr>
          <w:rFonts w:ascii="Times New Roman" w:hAnsi="Times New Roman" w:eastAsia="Times New Roman" w:cs="Times New Roman"/>
          <w:b/>
          <w:color w:val="000000"/>
          <w:sz w:val="22"/>
        </w:rPr>
        <w:t>Table 5.13: Stage-wise loans at amortised cost (₹ crore)</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805"/>
        <w:gridCol w:w="1805"/>
        <w:gridCol w:w="1805"/>
        <w:gridCol w:w="1805"/>
        <w:gridCol w:w="1805"/>
      </w:tblGrid>
      <w:tr>
        <w:trPr>
          <w:cantSplit/>
          <w:tblHeader w:val="true"/>
        </w:trPr>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Stage</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31 Mar 2025</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Share of book</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31 Mar 2026</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Share of book</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Stage 1 – performing</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7,772.98</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92.6%</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11,122.45</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96.5%</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Stage 2 – significant increase in credit risk</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426.37</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5.1%</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222.25</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Stage 3 – credit-impaired</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194.75</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178.78</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amortised-cost loans</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8,394.10</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100.0%</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11,523.48</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100.0%</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Loans at FVOCI / held for sale</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3,444.32</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Not in above denominator</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2,982.00</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Not in above denominator</w:t>
            </w:r>
          </w:p>
        </w:tc>
      </w:tr>
    </w:tbl>
    <w:p>
      <w:pPr>
        <w:pStyle w:val="SourceNote"/>
      </w:pPr>
      <w:r>
        <w:rPr>
          <w:rFonts w:ascii="Times New Roman" w:hAnsi="Times New Roman" w:eastAsia="Times New Roman" w:cs="Times New Roman"/>
          <w:i/>
          <w:color w:val="000000"/>
          <w:sz w:val="18"/>
        </w:rPr>
        <w:t>Source: Fedbank Financial Services Limited, Annual Report 2025–26, Note 8; ₹ lakh converted to ₹ crore and percentages reported / derived.</w:t>
      </w:r>
    </w:p>
    <w:p>
      <w:pPr/>
      <w:r>
        <w:rPr>
          <w:rFonts w:ascii="Times New Roman" w:hAnsi="Times New Roman" w:eastAsia="Times New Roman" w:cs="Times New Roman"/>
          <w:b w:val="0"/>
          <w:i w:val="0"/>
          <w:color w:val="000000"/>
          <w:sz w:val="24"/>
        </w:rPr>
        <w:t>Stage 2 loans fell from 5.1% to 1.9% of amortised-cost loans and Stage 3 from 2.3% to 1.6%. FVOCI loans are disclosed separately and should not be included in the amortised-cost denominator without an explicit reconciliation.</w:t>
      </w:r>
    </w:p>
    <w:p>
      <w:pPr>
        <w:pStyle w:val="CaptionBlack"/>
        <w:keepNext/>
      </w:pPr>
      <w:r>
        <w:rPr>
          <w:rFonts w:ascii="Times New Roman" w:hAnsi="Times New Roman" w:eastAsia="Times New Roman" w:cs="Times New Roman"/>
          <w:b/>
          <w:color w:val="000000"/>
          <w:sz w:val="22"/>
        </w:rPr>
        <w:t>Figure 5.9: Stage classification of loans at amortised cost, 31 March 2025 vs 31 March 2026 (% of loans)</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1950166"/>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5596128" cy="1950166"/>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 2025–26, Note 8; shares derived from reported balances.</w:t>
      </w:r>
    </w:p>
    <w:p>
      <w:pPr/>
      <w:r>
        <w:rPr>
          <w:rFonts w:ascii="Times New Roman" w:hAnsi="Times New Roman" w:eastAsia="Times New Roman" w:cs="Times New Roman"/>
          <w:b w:val="0"/>
          <w:i w:val="0"/>
          <w:color w:val="000000"/>
          <w:sz w:val="24"/>
        </w:rPr>
        <w:t>The chart shows a larger Stage 1 share and smaller Stage 2 and Stage 3 shares in FY26. Because the portfolio grew, absolute balances and cohort-level movement should also be considered; a lower share does not mean all underlying risk has disappeared.</w:t>
      </w:r>
    </w:p>
    <w:p>
      <w:pPr>
        <w:pStyle w:val="CaptionBlack"/>
        <w:keepNext/>
      </w:pPr>
      <w:r>
        <w:rPr>
          <w:rFonts w:ascii="Times New Roman" w:hAnsi="Times New Roman" w:eastAsia="Times New Roman" w:cs="Times New Roman"/>
          <w:b/>
          <w:color w:val="000000"/>
          <w:sz w:val="22"/>
        </w:rPr>
        <w:t>Table 5.14: Selected credit-impaired-loan movements (₹ crore)</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Movement</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Gross credit-impaired loans, opening</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164.57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238.88</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Additions during the year</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195.23</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227.13</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Reductions: upgrades, recoveries and sales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114.09</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105.90</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Write-offs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6.83</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88.17</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Gross credit-impaired loans, closing</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238.88</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271.94</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NPA accounts sold to ARCs: principal</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16.90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104.90</w:t>
            </w:r>
          </w:p>
        </w:tc>
      </w:tr>
    </w:tbl>
    <w:p>
      <w:pPr>
        <w:pStyle w:val="SourceNote"/>
      </w:pPr>
      <w:r>
        <w:rPr>
          <w:rFonts w:ascii="Times New Roman" w:hAnsi="Times New Roman" w:eastAsia="Times New Roman" w:cs="Times New Roman"/>
          <w:i/>
          <w:color w:val="000000"/>
          <w:sz w:val="18"/>
        </w:rPr>
        <w:t>Source: Fedbank Financial Services Limited, Annual Report 2025–26, Note 48.09 and related impairment notes; lakh amounts converted to crore.</w:t>
      </w:r>
    </w:p>
    <w:p>
      <w:pPr/>
      <w:r>
        <w:rPr>
          <w:rFonts w:ascii="Times New Roman" w:hAnsi="Times New Roman" w:eastAsia="Times New Roman" w:cs="Times New Roman"/>
          <w:b w:val="0"/>
          <w:i w:val="0"/>
          <w:color w:val="000000"/>
          <w:sz w:val="24"/>
        </w:rPr>
        <w:t>Despite lower stage ratios and reported credit cost, additions to impaired loans remained material and write-offs and ARC sales increased. These movements underline why reported NPA ratios should be interpreted alongside recoveries, write-offs and additions.</w:t>
      </w:r>
    </w:p>
    <w:p>
      <w:bookmarkStart w:id="66" w:name="S513"/>
      <w:pPr>
        <w:pStyle w:val="Heading2"/>
      </w:pPr>
      <w:r>
        <w:rPr>
          <w:rFonts w:ascii="Times New Roman" w:hAnsi="Times New Roman" w:eastAsia="Times New Roman" w:cs="Times New Roman"/>
          <w:b/>
          <w:color w:val="000000"/>
          <w:sz w:val="24"/>
        </w:rPr>
        <w:t>5.13 DUPONT-STYLE RETURN DECOMPOSITION</w:t>
      </w:r>
      <w:bookmarkEnd w:id="66"/>
    </w:p>
    <w:p>
      <w:pPr/>
      <w:r>
        <w:rPr>
          <w:rFonts w:ascii="Times New Roman" w:hAnsi="Times New Roman" w:eastAsia="Times New Roman" w:cs="Times New Roman"/>
          <w:b w:val="0"/>
          <w:i w:val="0"/>
          <w:color w:val="000000"/>
          <w:sz w:val="24"/>
        </w:rPr>
        <w:t>For a lender, return on equity is shaped by profit generation, asset utilisation and leverage. A simple two-point average calculation gives FY26 average assets of approximately ₹15,062 crore and average equity of approximately ₹2,737 crore. Using total revenue of ₹2,226.61 crore, PAT of ₹343.60 crore and those average balances, the derived relationship is: net margin of about 15.4% × asset turnover of about 0.148 × leverage of about 5.50 = approximately 12.6% RoE.</w:t>
      </w:r>
    </w:p>
    <w:p>
      <w:pPr>
        <w:pStyle w:val="CaptionBlack"/>
        <w:keepNext/>
      </w:pPr>
      <w:r>
        <w:rPr>
          <w:rFonts w:ascii="Times New Roman" w:hAnsi="Times New Roman" w:eastAsia="Times New Roman" w:cs="Times New Roman"/>
          <w:b/>
          <w:color w:val="000000"/>
          <w:sz w:val="22"/>
        </w:rPr>
        <w:t>Table 5.15: FY26 return bridge using two-point average balances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Component</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Calculation</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 result</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profit margin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PAT ÷ total revenue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15.4% derived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Asset turnover</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revenue ÷ average total assets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0.148x derived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Financial leverage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Average total assets ÷ average equity</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5.50x derived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DuPont-style RoE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Margin × asset turnover × leverage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12.6% derived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Company-reported RoE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 methodology</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12.62%</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Company-reported RoA</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 methodology</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2.44%</w:t>
            </w:r>
          </w:p>
        </w:tc>
      </w:tr>
    </w:tbl>
    <w:p>
      <w:pPr>
        <w:pStyle w:val="SourceNote"/>
      </w:pPr>
      <w:r>
        <w:rPr>
          <w:rFonts w:ascii="Times New Roman" w:hAnsi="Times New Roman" w:eastAsia="Times New Roman" w:cs="Times New Roman"/>
          <w:i/>
          <w:color w:val="000000"/>
          <w:sz w:val="18"/>
        </w:rPr>
        <w:t>Source: Researcher calculation from Fedbank Financial Services Limited, Annual Report 2025–26, audited Statement of Profit and Loss and Balance Sheets; the company reports RoA/RoE using its own methodology.</w:t>
      </w:r>
    </w:p>
    <w:p>
      <w:pPr/>
      <w:r>
        <w:rPr>
          <w:rFonts w:ascii="Times New Roman" w:hAnsi="Times New Roman" w:eastAsia="Times New Roman" w:cs="Times New Roman"/>
          <w:b w:val="0"/>
          <w:i w:val="0"/>
          <w:color w:val="000000"/>
          <w:sz w:val="24"/>
        </w:rPr>
        <w:t>The derived RoE is close to the reported RoE. Leverage materially magnifies shareholder returns, so a higher RoE is not unambiguously positive unless asset quality and funding remain controlled. The derived two-point RoA differs from the reported figure because the company’s averaging and ratio methodology are not identical.</w:t>
      </w:r>
    </w:p>
    <w:p>
      <w:pPr>
        <w:pStyle w:val="CaptionBlack"/>
        <w:keepNext/>
      </w:pPr>
      <w:r>
        <w:rPr>
          <w:rFonts w:ascii="Times New Roman" w:hAnsi="Times New Roman" w:eastAsia="Times New Roman" w:cs="Times New Roman"/>
          <w:b/>
          <w:color w:val="000000"/>
          <w:sz w:val="22"/>
        </w:rPr>
        <w:t>Figure 5.10: Return on assets and return on equity, FY22–FY26 (%)</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2119745"/>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5596128" cy="2119745"/>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Reports 2023–24, 2024–25 and 2025–26, KPI charts.</w:t>
      </w:r>
    </w:p>
    <w:p>
      <w:pPr/>
      <w:r>
        <w:rPr>
          <w:rFonts w:ascii="Times New Roman" w:hAnsi="Times New Roman" w:eastAsia="Times New Roman" w:cs="Times New Roman"/>
          <w:b w:val="0"/>
          <w:i w:val="0"/>
          <w:color w:val="000000"/>
          <w:sz w:val="24"/>
        </w:rPr>
        <w:t>Reported returns fell in FY25 and recovered in FY26. RoE remains below the FY23 peak in the supplied series; the recovery should be sustained through subsequent credit and funding cycles before being treated as a normalised level.</w:t>
      </w:r>
    </w:p>
    <w:p>
      <w:bookmarkStart w:id="67" w:name="S514"/>
      <w:pPr>
        <w:pStyle w:val="Heading2"/>
      </w:pPr>
      <w:r>
        <w:rPr>
          <w:rFonts w:ascii="Times New Roman" w:hAnsi="Times New Roman" w:eastAsia="Times New Roman" w:cs="Times New Roman"/>
          <w:b/>
          <w:color w:val="000000"/>
          <w:sz w:val="24"/>
        </w:rPr>
        <w:t>5.14 PER-SHARE INDICATORS AND DATED VALUATION PERSPECTIVE</w:t>
      </w:r>
      <w:bookmarkEnd w:id="67"/>
    </w:p>
    <w:p>
      <w:pPr/>
      <w:r>
        <w:rPr>
          <w:rFonts w:ascii="Times New Roman" w:hAnsi="Times New Roman" w:eastAsia="Times New Roman" w:cs="Times New Roman"/>
          <w:b w:val="0"/>
          <w:i w:val="0"/>
          <w:color w:val="000000"/>
          <w:sz w:val="24"/>
        </w:rPr>
        <w:t>FY26 basic EPS was ₹9.20 and book value per share was ₹78.19. The annual report disclosed market capitalisation of ₹4,642 crore at 31 March 2026. Using closing shares of 37.4206 crore gives a derived implied price of approximately ₹124.05 per share and illustrative P/E and P/B ratios of approximately 13.5x and 1.59x respectively. This is a dated calculation based on reported market capitalisation and shares, not a live market quotation or a target valuation.</w:t>
      </w:r>
    </w:p>
    <w:p>
      <w:pPr>
        <w:pStyle w:val="CaptionBlack"/>
        <w:keepNext/>
      </w:pPr>
      <w:r>
        <w:rPr>
          <w:rFonts w:ascii="Times New Roman" w:hAnsi="Times New Roman" w:eastAsia="Times New Roman" w:cs="Times New Roman"/>
          <w:b/>
          <w:color w:val="000000"/>
          <w:sz w:val="22"/>
        </w:rPr>
        <w:t>Table 5.16: Per-share and valuation indicators as at 31 March 2026</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Measure</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Value</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Basis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Equity shares outstanding</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37.4206 crore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Reported at year end.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Basic EPS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₹9.20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Reported.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Book value per share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₹78.19</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Reported.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Market capitalisation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₹4,642 crore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Reported by company as at 31 March 2026.</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Implied price per share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About ₹124.05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Market capitalisation ÷ shares; derived.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About 13.5x</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Implied price ÷ basic EPS; derived.</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P/B</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About 1.59x</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Implied price ÷ book value per share; derived.</w:t>
            </w:r>
          </w:p>
        </w:tc>
      </w:tr>
    </w:tbl>
    <w:p>
      <w:pPr>
        <w:pStyle w:val="SourceNote"/>
      </w:pPr>
      <w:r>
        <w:rPr>
          <w:rFonts w:ascii="Times New Roman" w:hAnsi="Times New Roman" w:eastAsia="Times New Roman" w:cs="Times New Roman"/>
          <w:i/>
          <w:color w:val="000000"/>
          <w:sz w:val="18"/>
        </w:rPr>
        <w:t>Source: Fedbank Financial Services Limited, Annual Report 2025–26, inside cover, Directors’ Report and Corporate Governance Report; implied price and multiples derived.</w:t>
      </w:r>
    </w:p>
    <w:p>
      <w:pPr/>
      <w:r>
        <w:rPr>
          <w:rFonts w:ascii="Times New Roman" w:hAnsi="Times New Roman" w:eastAsia="Times New Roman" w:cs="Times New Roman"/>
          <w:b w:val="0"/>
          <w:i w:val="0"/>
          <w:color w:val="000000"/>
          <w:sz w:val="24"/>
        </w:rPr>
        <w:t>The multiples are tied to one historical date and are not a recommendation. The supplied material does not include a verified price series, peer valuation basis or explicit forecast assumptions; a target price and technical analysis are therefore not presented.</w:t>
      </w:r>
    </w:p>
    <w:p>
      <w:bookmarkStart w:id="68" w:name="S515"/>
      <w:pPr>
        <w:pStyle w:val="Heading2"/>
      </w:pPr>
      <w:r>
        <w:rPr>
          <w:rFonts w:ascii="Times New Roman" w:hAnsi="Times New Roman" w:eastAsia="Times New Roman" w:cs="Times New Roman"/>
          <w:b/>
          <w:color w:val="000000"/>
          <w:sz w:val="24"/>
        </w:rPr>
        <w:t>5.15 DISCLOSURE RECONCILIATION AND DATA INTEGRITY</w:t>
      </w:r>
      <w:bookmarkEnd w:id="68"/>
    </w:p>
    <w:p>
      <w:pPr>
        <w:pStyle w:val="CaptionBlack"/>
        <w:keepNext/>
      </w:pPr>
      <w:r>
        <w:rPr>
          <w:rFonts w:ascii="Times New Roman" w:hAnsi="Times New Roman" w:eastAsia="Times New Roman" w:cs="Times New Roman"/>
          <w:b/>
          <w:color w:val="000000"/>
          <w:sz w:val="22"/>
        </w:rPr>
        <w:t>Table 5.17: Material differences in supplied disclosures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Metric</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Disclosure A</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Disclosure B</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Treatment in this report</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 GNPA</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 in Key Highlights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 in the five-year KPI chart</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Both values are noted; no unsupported reconciliation is made.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Direct-assignment income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₹7.4 crore / 1.6% of PBT in Corporate Overview</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₹101.98 crore in Note 26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Likely different definitions; both are distinguished.</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 vs on-book loans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 ₹20,153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loans ₹14,318.85 crore; gross on-book loans differ from AUM</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 full bridge is published in the supplied reports; measures are not equated.</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Product AUM sum</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Reported product amounts / shares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Do not fully sum to total AUM / 100%</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Residual is not estimated or allocated.</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Branch openings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 reports 148 new branches opened in FY26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Year-end network moved from 694 to 757, a net increase of 63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Gross openings and net count change are treated as separate measures.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Historical yield series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 report restates earlier years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FY24 / FY25 reports show differing values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 report basis is used for the comparable five-year series.</w:t>
            </w:r>
          </w:p>
        </w:tc>
      </w:tr>
    </w:tbl>
    <w:p>
      <w:pPr>
        <w:pStyle w:val="SourceNote"/>
      </w:pPr>
      <w:r>
        <w:rPr>
          <w:rFonts w:ascii="Times New Roman" w:hAnsi="Times New Roman" w:eastAsia="Times New Roman" w:cs="Times New Roman"/>
          <w:i/>
          <w:color w:val="000000"/>
          <w:sz w:val="18"/>
        </w:rPr>
        <w:t>Source: Fedbank Financial Services Limited, Annual Report 2025–26, Corporate Overview, Key Highlights, KPI charts, Note 26, Note 8 and Directors’ Report; prior-year annual reports for restated comparisons.</w:t>
      </w:r>
    </w:p>
    <w:p>
      <w:pPr/>
      <w:r>
        <w:rPr>
          <w:rFonts w:ascii="Times New Roman" w:hAnsi="Times New Roman" w:eastAsia="Times New Roman" w:cs="Times New Roman"/>
          <w:b w:val="0"/>
          <w:i w:val="0"/>
          <w:color w:val="000000"/>
          <w:sz w:val="24"/>
        </w:rPr>
        <w:t>The identified differences do not invalidate the audited financial statements, but they limit precise cross-section comparisons. Transparent disclosure of definitions and reconciliations would improve the usability of future company reporting.</w:t>
      </w:r>
    </w:p>
    <w:p>
      <w:bookmarkStart w:id="69" w:name="S516"/>
      <w:pPr>
        <w:pStyle w:val="Heading2"/>
      </w:pPr>
      <w:r>
        <w:rPr>
          <w:rFonts w:ascii="Times New Roman" w:hAnsi="Times New Roman" w:eastAsia="Times New Roman" w:cs="Times New Roman"/>
          <w:b/>
          <w:color w:val="000000"/>
          <w:sz w:val="24"/>
        </w:rPr>
        <w:t>5.16 CONSOLIDATED RISK ANALYSIS</w:t>
      </w:r>
      <w:bookmarkEnd w:id="69"/>
    </w:p>
    <w:p>
      <w:pPr/>
      <w:r>
        <w:rPr>
          <w:rFonts w:ascii="Times New Roman" w:hAnsi="Times New Roman" w:eastAsia="Times New Roman" w:cs="Times New Roman"/>
          <w:b w:val="0"/>
          <w:i w:val="0"/>
          <w:color w:val="000000"/>
          <w:sz w:val="24"/>
        </w:rPr>
        <w:t>The risk assessment combines the company’s disclosed risk architecture with financial and operating indicators. Likelihood and impact ratings below are the researcher’s qualitative judgements based on the supplied FY26 evidence; they are not probability estimates issued by management.</w:t>
      </w:r>
    </w:p>
    <w:p>
      <w:pPr>
        <w:pStyle w:val="CaptionBlack"/>
        <w:keepNext/>
      </w:pPr>
      <w:r>
        <w:rPr>
          <w:rFonts w:ascii="Times New Roman" w:hAnsi="Times New Roman" w:eastAsia="Times New Roman" w:cs="Times New Roman"/>
          <w:b/>
          <w:color w:val="000000"/>
          <w:sz w:val="22"/>
        </w:rPr>
        <w:t>Table 5.18: Researcher-assessed risk matrix</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805"/>
        <w:gridCol w:w="1805"/>
        <w:gridCol w:w="1805"/>
        <w:gridCol w:w="1805"/>
        <w:gridCol w:w="1805"/>
      </w:tblGrid>
      <w:tr>
        <w:trPr>
          <w:cantSplit/>
          <w:tblHeader w:val="true"/>
        </w:trPr>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Risk</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Likelihood</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Impact</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Evidence in FY26 disclosures</w:t>
            </w:r>
          </w:p>
        </w:tc>
        <w:tc>
          <w:tcPr>
            <w:tcW w:type="dxa" w:w="1806"/>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Mitigants / monitorables</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Gold-price and collateral risk</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High</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 was 51.4% of AUM; gold price rose sharply in CY2025; LTV reported at 60.9%.</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Daily price monitoring, LTV distribution, auction outcomes and tonnage growth.</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Small-ticket mortgage vintage risk</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High</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FY25 stress was followed by rebuilding; new cohorts are not fully seasoned.</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Vintage delinquency, early-bucket collections and product-level credit cost.</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Leverage and Tier I pressure</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High</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 derived at 4.61x; Tier I 17.52%, down from 18.92%.</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Capital planning, risk-weighted growth and retained-earnings trajectory.</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Liquidity / refinancing risk</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Low to medium</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High</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Wholesale funding, short-term borrowing and maturity mismatches; cash ₹1,339.73 crore.</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ALCO stress tests, committed facilities, maturity diversification and cash buffers.</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Cyber and data-protection risk</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High</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Digital channels and customer-data systems are scaling; frauds reported at ₹110 lakh.</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MFA, endpoint controls, testing, vendor-risk and incident reporting.</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Regulatory / conduct risk</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High</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 directions effective from 1 April 2026; auctions and collateral custody are conduct-sensitive.</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LTV monitoring, customer notices, grievance resolution and audit testing.</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Branch productivity and people risk</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148 new branches reported; voluntary attrition 35.85%; C/I 57.23%.</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Cohort productivity, training, retention and incentive alignment.</w:t>
            </w:r>
          </w:p>
        </w:tc>
      </w:tr>
      <w:tr>
        <w:trPr>
          <w:cantSplit/>
        </w:trPr>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Geographic concentration</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Medium</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Top five states represented 75.1% of AUM in FY26.</w:t>
            </w:r>
          </w:p>
        </w:tc>
        <w:tc>
          <w:tcPr>
            <w:tcW w:type="dxa" w:w="1806"/>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Regional limits, state-level early-warning indicators and diversified growth.</w:t>
            </w:r>
          </w:p>
        </w:tc>
      </w:tr>
    </w:tbl>
    <w:p>
      <w:pPr>
        <w:pStyle w:val="SourceNote"/>
      </w:pPr>
      <w:r>
        <w:rPr>
          <w:rFonts w:ascii="Times New Roman" w:hAnsi="Times New Roman" w:eastAsia="Times New Roman" w:cs="Times New Roman"/>
          <w:i/>
          <w:color w:val="000000"/>
          <w:sz w:val="18"/>
        </w:rPr>
        <w:t>Source: Researcher assessment based on Fedbank Financial Services Limited, Annual Report 2025–26, MD&amp;A, Notes 8 and 48, Corporate Governance Report and BRSR.</w:t>
      </w:r>
    </w:p>
    <w:p>
      <w:pPr/>
      <w:r>
        <w:rPr>
          <w:rFonts w:ascii="Times New Roman" w:hAnsi="Times New Roman" w:eastAsia="Times New Roman" w:cs="Times New Roman"/>
          <w:b w:val="0"/>
          <w:i w:val="0"/>
          <w:color w:val="000000"/>
          <w:sz w:val="24"/>
        </w:rPr>
        <w:t>The most material downside channels are a combination of gold-price movement, new-vintage credit performance and leverage. The company reports several mitigants, but their effectiveness should be assessed through subsequent data rather than assumed from policy existence alone.</w:t>
      </w:r>
    </w:p>
    <w:p>
      <w:bookmarkStart w:id="70" w:name="S517"/>
      <w:pPr>
        <w:pStyle w:val="Heading2"/>
      </w:pPr>
      <w:r>
        <w:rPr>
          <w:rFonts w:ascii="Times New Roman" w:hAnsi="Times New Roman" w:eastAsia="Times New Roman" w:cs="Times New Roman"/>
          <w:b/>
          <w:color w:val="000000"/>
          <w:sz w:val="24"/>
        </w:rPr>
        <w:t>5.17 ENVIRONMENTAL, SOCIAL AND GOVERNANCE PROFILE</w:t>
      </w:r>
      <w:bookmarkEnd w:id="70"/>
    </w:p>
    <w:p>
      <w:pPr>
        <w:pStyle w:val="CaptionBlack"/>
        <w:keepNext/>
      </w:pPr>
      <w:r>
        <w:rPr>
          <w:rFonts w:ascii="Times New Roman" w:hAnsi="Times New Roman" w:eastAsia="Times New Roman" w:cs="Times New Roman"/>
          <w:b/>
          <w:color w:val="000000"/>
          <w:sz w:val="22"/>
        </w:rPr>
        <w:t>Table 5.19: Selected ESG and stakeholder indicators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Dimension</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Financial / business relevance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Scope 1 and 2 emission intensity (tCO₂e per ₹ crore turnover)</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3.93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2.96</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Reported reduction of about 25%; operational efficiency and disclosure relevance.</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Third-party water withdrawal (kilolitres)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77,509</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89,432</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Operational resource measure; intensity and context should accompany totals.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Women in workforce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15.7%</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Workforce representation; company target for women in senior management is described in BRSR.</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Voluntary attrition</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Not stated in selected FY25 figure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35.85%</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Retention risk in branch, collections and credit functions.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CSR expenditure (₹ crore)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4.73</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5.84</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Community programmes; outcome reporting is relevant.</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Customer satisfaction / complaints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Not stated on the same basis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85% positive / 100% resolved within TAT</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Customer conduct and reputation; company-reported measures.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Audit / regulatory qualifications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Nil reported</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Nil reported</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Governance indicator; three BSE filing fines are separately disclosed.</w:t>
            </w:r>
          </w:p>
        </w:tc>
      </w:tr>
    </w:tbl>
    <w:p>
      <w:pPr>
        <w:pStyle w:val="SourceNote"/>
      </w:pPr>
      <w:r>
        <w:rPr>
          <w:rFonts w:ascii="Times New Roman" w:hAnsi="Times New Roman" w:eastAsia="Times New Roman" w:cs="Times New Roman"/>
          <w:i/>
          <w:color w:val="000000"/>
          <w:sz w:val="18"/>
        </w:rPr>
        <w:t>Source: Fedbank Financial Services Limited, Annual Report 2024–25 and Annual Report 2025–26, BRSR, Corporate Governance Report and Directors’ Report.</w:t>
      </w:r>
    </w:p>
    <w:p>
      <w:pPr/>
      <w:r>
        <w:rPr>
          <w:rFonts w:ascii="Times New Roman" w:hAnsi="Times New Roman" w:eastAsia="Times New Roman" w:cs="Times New Roman"/>
          <w:b w:val="0"/>
          <w:i w:val="0"/>
          <w:color w:val="000000"/>
          <w:sz w:val="24"/>
        </w:rPr>
        <w:t>The company reports progress in operational emissions and customer-service measures, alongside high voluntary attrition and material cyber and customer-conduct exposure. ESG is financially relevant through operational resilience, compliance, employee capability and reputational risk.</w:t>
      </w:r>
    </w:p>
    <w:p>
      <w:bookmarkStart w:id="71" w:name="S518"/>
      <w:pPr>
        <w:pStyle w:val="Heading2"/>
      </w:pPr>
      <w:r>
        <w:rPr>
          <w:rFonts w:ascii="Times New Roman" w:hAnsi="Times New Roman" w:eastAsia="Times New Roman" w:cs="Times New Roman"/>
          <w:b/>
          <w:color w:val="000000"/>
          <w:sz w:val="24"/>
        </w:rPr>
        <w:t>5.18 SWOT ANALYSIS</w:t>
      </w:r>
      <w:bookmarkEnd w:id="71"/>
    </w:p>
    <w:p>
      <w:pPr>
        <w:pStyle w:val="CaptionBlack"/>
        <w:keepNext/>
      </w:pPr>
      <w:r>
        <w:rPr>
          <w:rFonts w:ascii="Times New Roman" w:hAnsi="Times New Roman" w:eastAsia="Times New Roman" w:cs="Times New Roman"/>
          <w:b/>
          <w:color w:val="000000"/>
          <w:sz w:val="22"/>
        </w:rPr>
        <w:t>Table 5.20: SWOT summary</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257"/>
        <w:gridCol w:w="2257"/>
        <w:gridCol w:w="2257"/>
        <w:gridCol w:w="2257"/>
      </w:tblGrid>
      <w:tr>
        <w:trPr>
          <w:cantSplit/>
          <w:tblHeader w:val="true"/>
        </w:trPr>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Strengths</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Weaknesses</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Opportunities</w:t>
            </w:r>
          </w:p>
        </w:tc>
        <w:tc>
          <w:tcPr>
            <w:tcW w:type="dxa" w:w="2257"/>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Threats</w:t>
            </w:r>
          </w:p>
        </w:tc>
      </w:tr>
      <w:tr>
        <w:trPr>
          <w:cantSplit/>
        </w:trPr>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 Federal Bank promoter holding of 60.79%.</w:t>
              <w:br/>
              <w:t>• 98.9% secured AUM as reported.</w:t>
              <w:br/>
              <w:t>• AA+/Stable ratings from four agencies and 41 lenders.</w:t>
              <w:br/>
              <w:t>• Gold and mortgage lending provide different product tenors.</w:t>
              <w:br/>
              <w:t>• FY26 recovery in PAT and reported credit cost.</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 D/E increased to about 4.61x derived.</w:t>
              <w:br/>
              <w:t>• Tier I ratio declined to 17.52%.</w:t>
              <w:br/>
              <w:t>• Cost-to-income remained about 57%.</w:t>
              <w:br/>
              <w:t>• FY25 exposed collection weakness.</w:t>
              <w:br/>
              <w:t>• High voluntary attrition and unseasoned branches.</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 Formal-credit and secured MSME demand.</w:t>
              <w:br/>
              <w:t>• Gold-loan market and co-lending channels.</w:t>
              <w:br/>
              <w:t>• Digital underwriting and servicing.</w:t>
              <w:br/>
              <w:t>• Cross-sell across the customer base.</w:t>
              <w:br/>
              <w:t>• Branch productivity as new cohorts mature.</w:t>
            </w:r>
          </w:p>
        </w:tc>
        <w:tc>
          <w:tcPr>
            <w:tcW w:type="dxa" w:w="2257"/>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 Gold-price reversal and auction loss.</w:t>
              <w:br/>
              <w:t>• Bank and NBFC competition.</w:t>
              <w:br/>
              <w:t>• New mortgage vintage stress.</w:t>
              <w:br/>
              <w:t>• Refinancing, rates and regulatory change.</w:t>
              <w:br/>
              <w:t>• Cyber, data privacy, employee and conduct risk.</w:t>
            </w:r>
          </w:p>
        </w:tc>
      </w:tr>
    </w:tbl>
    <w:p>
      <w:pPr>
        <w:pStyle w:val="SourceNote"/>
      </w:pPr>
      <w:r>
        <w:rPr>
          <w:rFonts w:ascii="Times New Roman" w:hAnsi="Times New Roman" w:eastAsia="Times New Roman" w:cs="Times New Roman"/>
          <w:i/>
          <w:color w:val="000000"/>
          <w:sz w:val="18"/>
        </w:rPr>
        <w:t>Source: Researcher synthesis of the FY26 annual report, prior-year annual reports and the analysis in this report.</w:t>
      </w:r>
    </w:p>
    <w:p>
      <w:pPr/>
      <w:r>
        <w:rPr>
          <w:rFonts w:ascii="Times New Roman" w:hAnsi="Times New Roman" w:eastAsia="Times New Roman" w:cs="Times New Roman"/>
          <w:b w:val="0"/>
          <w:i w:val="0"/>
          <w:color w:val="000000"/>
          <w:sz w:val="24"/>
        </w:rPr>
        <w:t>The strengths and opportunities align around secured retail lending and institutional funding. The weaknesses and threats cluster around operating leverage, gold concentration, new-vintage credit performance and increasing leverage; recommendations therefore focus on measurable control and disclosure rather than generic expansion.</w:t>
      </w:r>
    </w:p>
    <w:p>
      <w:bookmarkStart w:id="72" w:name="S519"/>
      <w:pPr>
        <w:pStyle w:val="Heading2"/>
      </w:pPr>
      <w:r>
        <w:rPr>
          <w:rFonts w:ascii="Times New Roman" w:hAnsi="Times New Roman" w:eastAsia="Times New Roman" w:cs="Times New Roman"/>
          <w:b/>
          <w:color w:val="000000"/>
          <w:sz w:val="24"/>
        </w:rPr>
        <w:t>5.19 QUALITATIVE SCENARIO AND MONITORING FRAMEWORK</w:t>
      </w:r>
      <w:bookmarkEnd w:id="72"/>
    </w:p>
    <w:p>
      <w:pPr/>
      <w:r>
        <w:rPr>
          <w:rFonts w:ascii="Times New Roman" w:hAnsi="Times New Roman" w:eastAsia="Times New Roman" w:cs="Times New Roman"/>
          <w:b w:val="0"/>
          <w:i w:val="0"/>
          <w:color w:val="000000"/>
          <w:sz w:val="24"/>
        </w:rPr>
        <w:t>The following scenarios are qualitative stress paths, not forecasts. No projected PAT, AUM or share price is calculated because the supplied material does not establish a forecast model or the assumptions necessary to produce one.</w:t>
      </w:r>
    </w:p>
    <w:p>
      <w:pPr>
        <w:pStyle w:val="CaptionBlack"/>
        <w:keepNext/>
      </w:pPr>
      <w:r>
        <w:rPr>
          <w:rFonts w:ascii="Times New Roman" w:hAnsi="Times New Roman" w:eastAsia="Times New Roman" w:cs="Times New Roman"/>
          <w:b/>
          <w:color w:val="000000"/>
          <w:sz w:val="22"/>
        </w:rPr>
        <w:t>Table 5.21: Scenario drivers and indicators to monitor</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Scenario</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Potential transmission channel</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Evidence-based monitor</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Stable conditions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 prices and funding costs remain broadly supportive; branch cohorts mature.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 growth alongside gold tonnage, credit cost, cost-to-income and branch productivity.</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Gold-price correction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Collateral coverage tightens; new borrowing demand may slow; auction recovery becomes more sensitive.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LTV distribution, top-up / renewal trends, auction volumes, shortfalls and gold tonnage.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Mortgage stress re-emerges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Small-ticket arrears rise with a lag; collections costs and provisions increase.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Vintage 30+ / 90+ days past due, Stage 2 share, cure rates and product credit cost.</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Funding-cost reversal</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Floating liabilities reprice; spreads can narrow and refinancing costs rise.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Cost of borrowings, fixed/floating mix, lender concentration and ALM gaps.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Operational or cyber event</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Service disruption, fraud, data loss or regulatory response may create financial and reputational costs.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Fraud incidents, cyber events, recovery time, complaint rates and audit closure.</w:t>
            </w:r>
          </w:p>
        </w:tc>
      </w:tr>
    </w:tbl>
    <w:p>
      <w:pPr>
        <w:pStyle w:val="SourceNote"/>
      </w:pPr>
      <w:r>
        <w:rPr>
          <w:rFonts w:ascii="Times New Roman" w:hAnsi="Times New Roman" w:eastAsia="Times New Roman" w:cs="Times New Roman"/>
          <w:i/>
          <w:color w:val="000000"/>
          <w:sz w:val="18"/>
        </w:rPr>
        <w:t>Source: Researcher-constructed qualitative scenarios based on reported FY26 exposures; not company guidance or financial forecasts.</w:t>
      </w:r>
    </w:p>
    <w:p>
      <w:pPr/>
      <w:r>
        <w:rPr>
          <w:rFonts w:ascii="Times New Roman" w:hAnsi="Times New Roman" w:eastAsia="Times New Roman" w:cs="Times New Roman"/>
          <w:b w:val="0"/>
          <w:i w:val="0"/>
          <w:color w:val="000000"/>
          <w:sz w:val="24"/>
        </w:rPr>
        <w:t>The framework converts the principal risks into observable indicators without inventing future financial figures. It can be updated when the company publishes FY27 operating and financial disclosures.</w:t>
      </w:r>
    </w:p>
    <w:p>
      <w:r>
        <w:rPr>
          <w:rFonts w:ascii="Times New Roman" w:hAnsi="Times New Roman" w:eastAsia="Times New Roman" w:cs="Times New Roman"/>
          <w:color w:val="000000"/>
          <w:sz w:val="24"/>
        </w:rPr>
        <w:br w:type="page"/>
      </w:r>
    </w:p>
    <w:p>
      <w:pPr>
        <w:pStyle w:val="ChapterIdentifier"/>
      </w:pPr>
      <w:r>
        <w:rPr>
          <w:rFonts w:ascii="Times New Roman" w:hAnsi="Times New Roman" w:eastAsia="Times New Roman" w:cs="Times New Roman"/>
          <w:b/>
          <w:color w:val="000000"/>
          <w:sz w:val="28"/>
        </w:rPr>
        <w:t>CHAPTER 6</w:t>
      </w:r>
    </w:p>
    <w:p>
      <w:bookmarkStart w:id="73" w:name="Chapter6"/>
      <w:pPr>
        <w:pStyle w:val="Heading1"/>
        <w:pageBreakBefore w:val="0"/>
      </w:pPr>
      <w:r>
        <w:rPr>
          <w:rFonts w:ascii="Times New Roman" w:hAnsi="Times New Roman" w:eastAsia="Times New Roman" w:cs="Times New Roman"/>
          <w:b/>
          <w:color w:val="000000"/>
          <w:sz w:val="28"/>
        </w:rPr>
        <w:t>FINDINGS, CONCLUSION AND SUGGESTIONS</w:t>
      </w:r>
      <w:bookmarkEnd w:id="73"/>
    </w:p>
    <w:p>
      <w:bookmarkStart w:id="74" w:name="S61"/>
      <w:pPr>
        <w:pStyle w:val="Heading2"/>
      </w:pPr>
      <w:r>
        <w:rPr>
          <w:rFonts w:ascii="Times New Roman" w:hAnsi="Times New Roman" w:eastAsia="Times New Roman" w:cs="Times New Roman"/>
          <w:b/>
          <w:color w:val="000000"/>
          <w:sz w:val="24"/>
        </w:rPr>
        <w:t>6.1 MAJOR FINDINGS</w:t>
      </w:r>
      <w:bookmarkEnd w:id="74"/>
    </w:p>
    <w:p>
      <w:pPr>
        <w:spacing w:after="120"/>
        <w:ind w:left="259" w:hanging="259"/>
      </w:pPr>
      <w:r>
        <w:rPr>
          <w:rFonts w:ascii="Times New Roman" w:hAnsi="Times New Roman" w:eastAsia="Times New Roman" w:cs="Times New Roman"/>
          <w:b/>
          <w:color w:val="000000"/>
          <w:sz w:val="24"/>
        </w:rPr>
        <w:t xml:space="preserve">Finding 1. </w:t>
      </w:r>
      <w:r>
        <w:rPr>
          <w:rFonts w:ascii="Times New Roman" w:hAnsi="Times New Roman" w:eastAsia="Times New Roman" w:cs="Times New Roman"/>
          <w:color w:val="000000"/>
          <w:sz w:val="24"/>
        </w:rPr>
        <w:t>Fedfina achieved sustained scale growth: AUM increased from ₹6,187 crore in FY22 to ₹20,153 crore in FY26, a derived CAGR of 34.3%.</w:t>
      </w:r>
    </w:p>
    <w:p>
      <w:pPr>
        <w:spacing w:after="120"/>
        <w:ind w:left="259" w:hanging="259"/>
      </w:pPr>
      <w:r>
        <w:rPr>
          <w:rFonts w:ascii="Times New Roman" w:hAnsi="Times New Roman" w:eastAsia="Times New Roman" w:cs="Times New Roman"/>
          <w:b/>
          <w:color w:val="000000"/>
          <w:sz w:val="24"/>
        </w:rPr>
        <w:t xml:space="preserve">Finding 2. </w:t>
      </w:r>
      <w:r>
        <w:rPr>
          <w:rFonts w:ascii="Times New Roman" w:hAnsi="Times New Roman" w:eastAsia="Times New Roman" w:cs="Times New Roman"/>
          <w:color w:val="000000"/>
          <w:sz w:val="24"/>
        </w:rPr>
        <w:t>FY26 was a recovery year after the FY25 reset. PAT increased 52.6% to ₹343.60 crore, supported by higher NII and lower impairment; the pace of profit growth exceeded revenue growth.</w:t>
      </w:r>
    </w:p>
    <w:p>
      <w:pPr>
        <w:spacing w:after="120"/>
        <w:ind w:left="259" w:hanging="259"/>
      </w:pPr>
      <w:r>
        <w:rPr>
          <w:rFonts w:ascii="Times New Roman" w:hAnsi="Times New Roman" w:eastAsia="Times New Roman" w:cs="Times New Roman"/>
          <w:b/>
          <w:color w:val="000000"/>
          <w:sz w:val="24"/>
        </w:rPr>
        <w:t xml:space="preserve">Finding 3. </w:t>
      </w:r>
      <w:r>
        <w:rPr>
          <w:rFonts w:ascii="Times New Roman" w:hAnsi="Times New Roman" w:eastAsia="Times New Roman" w:cs="Times New Roman"/>
          <w:color w:val="000000"/>
          <w:sz w:val="24"/>
        </w:rPr>
        <w:t>The portfolio became more secured. The company reported secured AUM of 98.9%, gold loans at 51.4% of AUM and a substantial reduction in on-book unsecured business loans.</w:t>
      </w:r>
    </w:p>
    <w:p>
      <w:pPr>
        <w:spacing w:after="120"/>
        <w:ind w:left="259" w:hanging="259"/>
      </w:pPr>
      <w:r>
        <w:rPr>
          <w:rFonts w:ascii="Times New Roman" w:hAnsi="Times New Roman" w:eastAsia="Times New Roman" w:cs="Times New Roman"/>
          <w:b/>
          <w:color w:val="000000"/>
          <w:sz w:val="24"/>
        </w:rPr>
        <w:t xml:space="preserve">Finding 4. </w:t>
      </w:r>
      <w:r>
        <w:rPr>
          <w:rFonts w:ascii="Times New Roman" w:hAnsi="Times New Roman" w:eastAsia="Times New Roman" w:cs="Times New Roman"/>
          <w:color w:val="000000"/>
          <w:sz w:val="24"/>
        </w:rPr>
        <w:t>Asset-quality measures improved in FY26, including lower Stage 2 and Stage 3 shares and reported credit cost of 0.8%; however, additions to impaired loans remained material and the GNPA disclosure differs across report sections.</w:t>
      </w:r>
    </w:p>
    <w:p>
      <w:pPr>
        <w:spacing w:after="120"/>
        <w:ind w:left="259" w:hanging="259"/>
      </w:pPr>
      <w:r>
        <w:rPr>
          <w:rFonts w:ascii="Times New Roman" w:hAnsi="Times New Roman" w:eastAsia="Times New Roman" w:cs="Times New Roman"/>
          <w:b/>
          <w:color w:val="000000"/>
          <w:sz w:val="24"/>
        </w:rPr>
        <w:t xml:space="preserve">Finding 5. </w:t>
      </w:r>
      <w:r>
        <w:rPr>
          <w:rFonts w:ascii="Times New Roman" w:hAnsi="Times New Roman" w:eastAsia="Times New Roman" w:cs="Times New Roman"/>
          <w:color w:val="000000"/>
          <w:sz w:val="24"/>
        </w:rPr>
        <w:t>Capital adequacy was 22.4%, above the stated 15% minimum, but Tier I fell to 17.52% and derived debt-to-equity rose to 4.61x.</w:t>
      </w:r>
    </w:p>
    <w:p>
      <w:pPr>
        <w:spacing w:after="120"/>
        <w:ind w:left="259" w:hanging="259"/>
      </w:pPr>
      <w:r>
        <w:rPr>
          <w:rFonts w:ascii="Times New Roman" w:hAnsi="Times New Roman" w:eastAsia="Times New Roman" w:cs="Times New Roman"/>
          <w:b/>
          <w:color w:val="000000"/>
          <w:sz w:val="24"/>
        </w:rPr>
        <w:t xml:space="preserve">Finding 6. </w:t>
      </w:r>
      <w:r>
        <w:rPr>
          <w:rFonts w:ascii="Times New Roman" w:hAnsi="Times New Roman" w:eastAsia="Times New Roman" w:cs="Times New Roman"/>
          <w:color w:val="000000"/>
          <w:sz w:val="24"/>
        </w:rPr>
        <w:t>The cost of borrowings declined on the company’s reported basis and spread widened to 8.6%, while cost-to-income improved only marginally to 57.23%.</w:t>
      </w:r>
    </w:p>
    <w:p>
      <w:pPr>
        <w:spacing w:after="120"/>
        <w:ind w:left="259" w:hanging="259"/>
      </w:pPr>
      <w:r>
        <w:rPr>
          <w:rFonts w:ascii="Times New Roman" w:hAnsi="Times New Roman" w:eastAsia="Times New Roman" w:cs="Times New Roman"/>
          <w:b/>
          <w:color w:val="000000"/>
          <w:sz w:val="24"/>
        </w:rPr>
        <w:t xml:space="preserve">Finding 7. </w:t>
      </w:r>
      <w:r>
        <w:rPr>
          <w:rFonts w:ascii="Times New Roman" w:hAnsi="Times New Roman" w:eastAsia="Times New Roman" w:cs="Times New Roman"/>
          <w:color w:val="000000"/>
          <w:sz w:val="24"/>
        </w:rPr>
        <w:t>Funding sources were diversified, and cash increased, but operating cash flow remained negative because loan growth is a major operating cash use; the maturity profile includes negative short buckets and a 1–3 year gap.</w:t>
      </w:r>
    </w:p>
    <w:p>
      <w:pPr>
        <w:spacing w:after="120"/>
        <w:ind w:left="259" w:hanging="259"/>
      </w:pPr>
      <w:r>
        <w:rPr>
          <w:rFonts w:ascii="Times New Roman" w:hAnsi="Times New Roman" w:eastAsia="Times New Roman" w:cs="Times New Roman"/>
          <w:b/>
          <w:color w:val="000000"/>
          <w:sz w:val="24"/>
        </w:rPr>
        <w:t xml:space="preserve">Finding 8. </w:t>
      </w:r>
      <w:r>
        <w:rPr>
          <w:rFonts w:ascii="Times New Roman" w:hAnsi="Times New Roman" w:eastAsia="Times New Roman" w:cs="Times New Roman"/>
          <w:color w:val="000000"/>
          <w:sz w:val="24"/>
        </w:rPr>
        <w:t>The company reports improvements in technology, collections and customer-service controls, but high attrition, cyber exposure, gold concentration and the productivity of new branches remain important monitoring issues.</w:t>
      </w:r>
    </w:p>
    <w:p>
      <w:pPr>
        <w:spacing w:after="120"/>
        <w:ind w:left="259" w:hanging="259"/>
      </w:pPr>
      <w:r>
        <w:rPr>
          <w:rFonts w:ascii="Times New Roman" w:hAnsi="Times New Roman" w:eastAsia="Times New Roman" w:cs="Times New Roman"/>
          <w:b/>
          <w:color w:val="000000"/>
          <w:sz w:val="24"/>
        </w:rPr>
        <w:t xml:space="preserve">Finding 9. </w:t>
      </w:r>
      <w:r>
        <w:rPr>
          <w:rFonts w:ascii="Times New Roman" w:hAnsi="Times New Roman" w:eastAsia="Times New Roman" w:cs="Times New Roman"/>
          <w:color w:val="000000"/>
          <w:sz w:val="24"/>
        </w:rPr>
        <w:t>Selected company disclosures are not fully reconciled, especially AUM versus on-book loans, GNPA and direct-assignment income. These issues limit exact cross-section comparisons.</w:t>
      </w:r>
    </w:p>
    <w:p>
      <w:bookmarkStart w:id="75" w:name="S62"/>
      <w:pPr>
        <w:pStyle w:val="Heading2"/>
      </w:pPr>
      <w:r>
        <w:rPr>
          <w:rFonts w:ascii="Times New Roman" w:hAnsi="Times New Roman" w:eastAsia="Times New Roman" w:cs="Times New Roman"/>
          <w:b/>
          <w:color w:val="000000"/>
          <w:sz w:val="24"/>
        </w:rPr>
        <w:t>6.2 ANSWERS TO RESEARCH QUESTIONS AND WORKING HYPOTHESIS</w:t>
      </w:r>
      <w:bookmarkEnd w:id="75"/>
    </w:p>
    <w:p>
      <w:pPr>
        <w:pStyle w:val="CaptionBlack"/>
        <w:keepNext/>
      </w:pPr>
      <w:r>
        <w:rPr>
          <w:rFonts w:ascii="Times New Roman" w:hAnsi="Times New Roman" w:eastAsia="Times New Roman" w:cs="Times New Roman"/>
          <w:b/>
          <w:color w:val="000000"/>
          <w:sz w:val="22"/>
        </w:rPr>
        <w:t>Table 6.1: Research questions and answers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4514"/>
        <w:gridCol w:w="4514"/>
      </w:tblGrid>
      <w:tr>
        <w:trPr>
          <w:cantSplit/>
          <w:tblHeader w:val="true"/>
        </w:trPr>
        <w:tc>
          <w:tcPr>
            <w:tcW w:type="dxa" w:w="4514"/>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Research question</w:t>
            </w:r>
          </w:p>
        </w:tc>
        <w:tc>
          <w:tcPr>
            <w:tcW w:type="dxa" w:w="4514"/>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Answer based on the analysis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Has growth been accompanied by improved profitability?</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 FY26, yes: PAT, NII, RoA and RoE rose from FY25. The recovery was supported by lower impairment and funding costs as well as NII growth; sustainability is not yet proven.</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Has the secured shift strengthened the risk profile?</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The reported secured share increased and on-book unsecured lending fell sharply. This lowers unsecured exposure but does not remove gold-price, collateral-custody, mortgage-vintage or collection risk.</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Are capital and funding adequate for growth?</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CRAR is above the stated regulatory minimum and multiple funding channels are reported. Rising leverage and a lower Tier I ratio create a reason to monitor capital headroom and maturity management.</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What risks could challenge the plan?</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Gold-price reversal, mortgage-vintage stress, funding repricing, cyber incidents, regulation, attrition and branch productivity are the principal risks identified.</w:t>
            </w:r>
          </w:p>
        </w:tc>
      </w:tr>
    </w:tbl>
    <w:p>
      <w:pPr>
        <w:pStyle w:val="SourceNote"/>
      </w:pPr>
      <w:r>
        <w:rPr>
          <w:rFonts w:ascii="Times New Roman" w:hAnsi="Times New Roman" w:eastAsia="Times New Roman" w:cs="Times New Roman"/>
          <w:i/>
          <w:color w:val="000000"/>
          <w:sz w:val="18"/>
        </w:rPr>
        <w:t>Source: Researcher synthesis of Chapters 2–5 and the supplied FY24–FY26 annual reports.</w:t>
      </w:r>
    </w:p>
    <w:p>
      <w:pPr/>
      <w:r>
        <w:rPr>
          <w:rFonts w:ascii="Times New Roman" w:hAnsi="Times New Roman" w:eastAsia="Times New Roman" w:cs="Times New Roman"/>
          <w:b w:val="0"/>
          <w:i w:val="0"/>
          <w:color w:val="000000"/>
          <w:sz w:val="24"/>
        </w:rPr>
        <w:t>The answers are conditional and reflect information available through FY26 disclosures. The project does not establish causal effects or make a forward-looking investment call.</w:t>
      </w:r>
    </w:p>
    <w:p>
      <w:pPr/>
      <w:r>
        <w:rPr>
          <w:rFonts w:ascii="Times New Roman" w:hAnsi="Times New Roman" w:eastAsia="Times New Roman" w:cs="Times New Roman"/>
          <w:b w:val="0"/>
          <w:i w:val="0"/>
          <w:color w:val="000000"/>
          <w:sz w:val="24"/>
        </w:rPr>
        <w:t>Working hypothesis: A higher secured share of AUM, combined with stronger operating discipline, supports more sustainable profitability, subject to credit-cost and funding-cost control. The FY26 evidence is consistent with this hypothesis: the secured share rose, credit cost declined and profitability improved. It is supported with qualifications rather than proven. The FY26 observation period is short, newer loan vintages remain unseasoned, leverage increased, and some disclosures require reconciliation.</w:t>
      </w:r>
    </w:p>
    <w:p>
      <w:bookmarkStart w:id="76" w:name="S63"/>
      <w:pPr>
        <w:pStyle w:val="Heading2"/>
      </w:pPr>
      <w:r>
        <w:rPr>
          <w:rFonts w:ascii="Times New Roman" w:hAnsi="Times New Roman" w:eastAsia="Times New Roman" w:cs="Times New Roman"/>
          <w:b/>
          <w:color w:val="000000"/>
          <w:sz w:val="24"/>
        </w:rPr>
        <w:t>6.3 CONCLUSION</w:t>
      </w:r>
      <w:bookmarkEnd w:id="76"/>
    </w:p>
    <w:p>
      <w:pPr/>
      <w:r>
        <w:rPr>
          <w:rFonts w:ascii="Times New Roman" w:hAnsi="Times New Roman" w:eastAsia="Times New Roman" w:cs="Times New Roman"/>
          <w:b w:val="0"/>
          <w:i w:val="0"/>
          <w:color w:val="000000"/>
          <w:sz w:val="24"/>
        </w:rPr>
        <w:t>The fundamental analysis indicates that Fedfina entered FY26 with a larger, more secured portfolio and reported a material recovery in earnings after the FY25 reset. AUM and PAT have grown substantially over the available multi-year period. The gold-and-mortgage model provides two secured lending engines, and the company reports multiple funding sources, AA+/Stable ratings and CRAR above the stated regulatory minimum.</w:t>
      </w:r>
    </w:p>
    <w:p>
      <w:pPr/>
      <w:r>
        <w:rPr>
          <w:rFonts w:ascii="Times New Roman" w:hAnsi="Times New Roman" w:eastAsia="Times New Roman" w:cs="Times New Roman"/>
          <w:b w:val="0"/>
          <w:i w:val="0"/>
          <w:color w:val="000000"/>
          <w:sz w:val="24"/>
        </w:rPr>
        <w:t>The findings do not support an unconditional conclusion that the FY26 level of profitability is permanent. PAT grew faster than revenue largely in a year when impairment declined, while operating costs continued to rise and cost-to-income moved only slightly. Leverage increased and Tier I capital declined. The book also became more exposed to gold prices, and the quality of newer mortgage cohorts will only be observable with time.</w:t>
      </w:r>
    </w:p>
    <w:p>
      <w:pPr/>
      <w:r>
        <w:rPr>
          <w:rFonts w:ascii="Times New Roman" w:hAnsi="Times New Roman" w:eastAsia="Times New Roman" w:cs="Times New Roman"/>
          <w:b w:val="0"/>
          <w:i w:val="0"/>
          <w:color w:val="000000"/>
          <w:sz w:val="24"/>
        </w:rPr>
        <w:t>Accordingly, the research problem is answered as follows: FY26 performance reflects a credible recovery and a strategic shift toward secured lending, but the sustainability of growth and returns depends on disciplined collections, branch productivity, risk-sensitive capital planning, resilient funding and consistent public disclosure. Future results should be assessed against these conditions rather than extrapolated from one year.</w:t>
      </w:r>
    </w:p>
    <w:p>
      <w:bookmarkStart w:id="77" w:name="S64"/>
      <w:pPr>
        <w:pStyle w:val="Heading2"/>
      </w:pPr>
      <w:r>
        <w:rPr>
          <w:rFonts w:ascii="Times New Roman" w:hAnsi="Times New Roman" w:eastAsia="Times New Roman" w:cs="Times New Roman"/>
          <w:b/>
          <w:color w:val="000000"/>
          <w:sz w:val="24"/>
        </w:rPr>
        <w:t>6.4 SUGGESTIONS AND RECOMMENDATIONS</w:t>
      </w:r>
      <w:bookmarkEnd w:id="77"/>
    </w:p>
    <w:p>
      <w:pPr>
        <w:pStyle w:val="CaptionBlack"/>
        <w:keepNext/>
      </w:pPr>
      <w:r>
        <w:rPr>
          <w:rFonts w:ascii="Times New Roman" w:hAnsi="Times New Roman" w:eastAsia="Times New Roman" w:cs="Times New Roman"/>
          <w:b/>
          <w:color w:val="000000"/>
          <w:sz w:val="22"/>
        </w:rPr>
        <w:t>Table 6.2: Evidence-based recommendations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Recommendation</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Evidence from this study</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Expected benefit / monitoring indicator</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Track productivity by branch cohort, format and vintage before prioritising additional expansion.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757 branches at FY26; 148 openings reported; cost-to-income 57.23%; year-end network grew by a net 63.</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Identify branch break-even and AUM productivity; distinguish gross openings, closures and co-locations.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Publish product- and vintage-level delinquency data, especially for small-ticket LAP.</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FY25 collections stress; FY26 improvement with unseasoned newer cohorts.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Earlier identification of credit deterioration; track Stage 2, 30+/90+ delinquency and cure rates.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Report gold tonnage, AUM per gram and LTV distribution alongside rupee AUM growth.</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Gold AUM grew sharply as the gold price rose; average LTV is not a distribution.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Separate volume from price effects and monitor collateral headroom and auction outcomes.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Reconcile AUM, on-book loans, off-book balances and product-level totals in investor disclosures.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 net loans and product-level figures do not fully bridge in the supplied reports.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Improve comparability and support a more reliable assessment of capital and earnings.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Standardise GNPA and direct-assignment definitions across report sections.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FY26 GNPA is stated as 1.9% and 2.2%; Note 26 DA income differs from the Corporate Overview measure.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Reduce interpretation risk; disclose scope, denominator, inclusion/exclusion and reconciliation.</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Maintain forward-looking capital and funding stress tests as leverage rises.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CRAR 22.40%; Tier I 17.52%; D/E 4.61x derived; ALM bucket mismatches.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Preserve resilience under growth, rate, gold-price and refinancing stress.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Align branch and sales incentives with loan-vintage quality and customer conduct.</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In-house sourcing and branch expansion are growing; FY25 highlighted collection weakness.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Support responsible growth by linking incentives to portfolio performance and complaint outcomes.</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Continue cyber, fraud and employee-retention controls with measurable reporting.</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₹110 lakh frauds reported; digital channels scale; voluntary attrition 35.85%.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Improve operational resilience, staff continuity and stakeholder confidence.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Report ESG and inclusion outcomes, not only activity counts.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Emission intensity declined; customer, CSR and workforce indicators are reported.</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Connect sustainability activity to customer, employee and operating outcomes.</w:t>
            </w:r>
          </w:p>
        </w:tc>
      </w:tr>
    </w:tbl>
    <w:p>
      <w:pPr>
        <w:pStyle w:val="SourceNote"/>
      </w:pPr>
      <w:r>
        <w:rPr>
          <w:rFonts w:ascii="Times New Roman" w:hAnsi="Times New Roman" w:eastAsia="Times New Roman" w:cs="Times New Roman"/>
          <w:i/>
          <w:color w:val="000000"/>
          <w:sz w:val="18"/>
        </w:rPr>
        <w:t>Source: Recommendations are the researcher’s synthesis of findings from the supplied FY24–FY26 annual reports; no external forecast is assumed.</w:t>
      </w:r>
    </w:p>
    <w:p>
      <w:pPr/>
      <w:r>
        <w:rPr>
          <w:rFonts w:ascii="Times New Roman" w:hAnsi="Times New Roman" w:eastAsia="Times New Roman" w:cs="Times New Roman"/>
          <w:b w:val="0"/>
          <w:i w:val="0"/>
          <w:color w:val="000000"/>
          <w:sz w:val="24"/>
        </w:rPr>
        <w:t>Each recommendation responds to a disclosed issue or an analytical limitation. The expected benefit is improved monitoring, transparency or risk control, not a guaranteed financial outcome.</w:t>
      </w:r>
    </w:p>
    <w:p>
      <w:bookmarkStart w:id="78" w:name="S65"/>
      <w:pPr>
        <w:pStyle w:val="Heading2"/>
      </w:pPr>
      <w:r>
        <w:rPr>
          <w:rFonts w:ascii="Times New Roman" w:hAnsi="Times New Roman" w:eastAsia="Times New Roman" w:cs="Times New Roman"/>
          <w:b/>
          <w:color w:val="000000"/>
          <w:sz w:val="24"/>
        </w:rPr>
        <w:t>6.5 LEARNING OUTCOMES</w:t>
      </w:r>
      <w:bookmarkEnd w:id="78"/>
    </w:p>
    <w:p>
      <w:pPr>
        <w:pStyle w:val="ListBullet"/>
        <w:spacing w:line="360" w:lineRule="auto" w:after="100"/>
        <w:ind w:left="389" w:hanging="259"/>
        <w:jc w:val="both"/>
      </w:pPr>
      <w:r>
        <w:rPr>
          <w:rFonts w:ascii="Times New Roman" w:hAnsi="Times New Roman" w:eastAsia="Times New Roman" w:cs="Times New Roman"/>
          <w:color w:val="000000"/>
          <w:sz w:val="24"/>
        </w:rPr>
        <w:t>Applied lender-specific analysis rather than relying on industrial-company ratios that are not meaningful for an NBFC.</w:t>
      </w:r>
    </w:p>
    <w:p>
      <w:pPr>
        <w:pStyle w:val="ListBullet"/>
        <w:spacing w:line="360" w:lineRule="auto" w:after="100"/>
        <w:ind w:left="389" w:hanging="259"/>
        <w:jc w:val="both"/>
      </w:pPr>
      <w:r>
        <w:rPr>
          <w:rFonts w:ascii="Times New Roman" w:hAnsi="Times New Roman" w:eastAsia="Times New Roman" w:cs="Times New Roman"/>
          <w:color w:val="000000"/>
          <w:sz w:val="24"/>
        </w:rPr>
        <w:t>Practised extracting and reconciling multi-year financial and operating information from annual reports and audited notes.</w:t>
      </w:r>
    </w:p>
    <w:p>
      <w:pPr>
        <w:pStyle w:val="ListBullet"/>
        <w:spacing w:line="360" w:lineRule="auto" w:after="100"/>
        <w:ind w:left="389" w:hanging="259"/>
        <w:jc w:val="both"/>
      </w:pPr>
      <w:r>
        <w:rPr>
          <w:rFonts w:ascii="Times New Roman" w:hAnsi="Times New Roman" w:eastAsia="Times New Roman" w:cs="Times New Roman"/>
          <w:color w:val="000000"/>
          <w:sz w:val="24"/>
        </w:rPr>
        <w:t>Linked AUM growth, profit, cash flow, asset quality, funding and capital to strategic and operational decisions.</w:t>
      </w:r>
    </w:p>
    <w:p>
      <w:pPr>
        <w:pStyle w:val="ListBullet"/>
        <w:spacing w:line="360" w:lineRule="auto" w:after="100"/>
        <w:ind w:left="389" w:hanging="259"/>
        <w:jc w:val="both"/>
      </w:pPr>
      <w:r>
        <w:rPr>
          <w:rFonts w:ascii="Times New Roman" w:hAnsi="Times New Roman" w:eastAsia="Times New Roman" w:cs="Times New Roman"/>
          <w:color w:val="000000"/>
          <w:sz w:val="24"/>
        </w:rPr>
        <w:t>Distinguished reported facts from derived calculations, company statements, researcher judgements and unavailable information.</w:t>
      </w:r>
    </w:p>
    <w:p>
      <w:r>
        <w:rPr>
          <w:rFonts w:ascii="Times New Roman" w:hAnsi="Times New Roman" w:eastAsia="Times New Roman" w:cs="Times New Roman"/>
          <w:color w:val="000000"/>
          <w:sz w:val="24"/>
        </w:rPr>
        <w:br w:type="page"/>
      </w:r>
    </w:p>
    <w:p>
      <w:pPr>
        <w:pStyle w:val="ChapterIdentifier"/>
      </w:pPr>
      <w:r>
        <w:rPr>
          <w:rFonts w:ascii="Times New Roman" w:hAnsi="Times New Roman" w:eastAsia="Times New Roman" w:cs="Times New Roman"/>
          <w:b/>
          <w:color w:val="000000"/>
          <w:sz w:val="28"/>
        </w:rPr>
        <w:t>CHAPTER 7</w:t>
      </w:r>
    </w:p>
    <w:p>
      <w:bookmarkStart w:id="79" w:name="Chapter7"/>
      <w:pPr>
        <w:pStyle w:val="Heading1"/>
        <w:pageBreakBefore w:val="0"/>
      </w:pPr>
      <w:r>
        <w:rPr>
          <w:rFonts w:ascii="Times New Roman" w:hAnsi="Times New Roman" w:eastAsia="Times New Roman" w:cs="Times New Roman"/>
          <w:b/>
          <w:color w:val="000000"/>
          <w:sz w:val="28"/>
        </w:rPr>
        <w:t>LIMITATIONS OF THE STUDY</w:t>
      </w:r>
      <w:bookmarkEnd w:id="79"/>
    </w:p>
    <w:p>
      <w:bookmarkStart w:id="80" w:name="S71"/>
      <w:pPr>
        <w:pStyle w:val="Heading2"/>
      </w:pPr>
      <w:r>
        <w:rPr>
          <w:rFonts w:ascii="Times New Roman" w:hAnsi="Times New Roman" w:eastAsia="Times New Roman" w:cs="Times New Roman"/>
          <w:b/>
          <w:color w:val="000000"/>
          <w:sz w:val="24"/>
        </w:rPr>
        <w:t>7.1 LIMITATIONS</w:t>
      </w:r>
      <w:bookmarkEnd w:id="80"/>
    </w:p>
    <w:p>
      <w:pPr/>
      <w:r>
        <w:rPr>
          <w:rFonts w:ascii="Times New Roman" w:hAnsi="Times New Roman" w:eastAsia="Times New Roman" w:cs="Times New Roman"/>
          <w:b w:val="0"/>
          <w:i w:val="0"/>
          <w:color w:val="000000"/>
          <w:sz w:val="24"/>
        </w:rPr>
        <w:t>The findings should be read within the following genuine limitations:</w:t>
      </w:r>
    </w:p>
    <w:p>
      <w:pPr>
        <w:pStyle w:val="ListBullet"/>
        <w:spacing w:line="360" w:lineRule="auto" w:after="100"/>
        <w:ind w:left="389" w:hanging="259"/>
        <w:jc w:val="both"/>
      </w:pPr>
      <w:r>
        <w:rPr>
          <w:rFonts w:ascii="Times New Roman" w:hAnsi="Times New Roman" w:eastAsia="Times New Roman" w:cs="Times New Roman"/>
          <w:color w:val="000000"/>
          <w:sz w:val="24"/>
        </w:rPr>
        <w:t>The study is based on secondary information in three company annual reports and material identified within them. There are no interviews, borrower-level records, branch visits, survey results or proprietary databases.</w:t>
      </w:r>
    </w:p>
    <w:p>
      <w:pPr>
        <w:pStyle w:val="ListBullet"/>
        <w:spacing w:line="360" w:lineRule="auto" w:after="100"/>
        <w:ind w:left="389" w:hanging="259"/>
        <w:jc w:val="both"/>
      </w:pPr>
      <w:r>
        <w:rPr>
          <w:rFonts w:ascii="Times New Roman" w:hAnsi="Times New Roman" w:eastAsia="Times New Roman" w:cs="Times New Roman"/>
          <w:color w:val="000000"/>
          <w:sz w:val="24"/>
        </w:rPr>
        <w:t>AUM is company-defined and includes managed or off-book activity. It is not identical to the balance-sheet loan line; a complete bridge was not available in the supplied material.</w:t>
      </w:r>
    </w:p>
    <w:p>
      <w:pPr>
        <w:pStyle w:val="ListBullet"/>
        <w:spacing w:line="360" w:lineRule="auto" w:after="100"/>
        <w:ind w:left="389" w:hanging="259"/>
        <w:jc w:val="both"/>
      </w:pPr>
      <w:r>
        <w:rPr>
          <w:rFonts w:ascii="Times New Roman" w:hAnsi="Times New Roman" w:eastAsia="Times New Roman" w:cs="Times New Roman"/>
          <w:color w:val="000000"/>
          <w:sz w:val="24"/>
        </w:rPr>
        <w:t>The FY26 report restates selected historical KPIs on a revised basis. This report uses the FY26 basis for the comparable yield, spread and borrowing-cost series and flags the change.</w:t>
      </w:r>
    </w:p>
    <w:p>
      <w:pPr>
        <w:pStyle w:val="ListBullet"/>
        <w:spacing w:line="360" w:lineRule="auto" w:after="100"/>
        <w:ind w:left="389" w:hanging="259"/>
        <w:jc w:val="both"/>
      </w:pPr>
      <w:r>
        <w:rPr>
          <w:rFonts w:ascii="Times New Roman" w:hAnsi="Times New Roman" w:eastAsia="Times New Roman" w:cs="Times New Roman"/>
          <w:color w:val="000000"/>
          <w:sz w:val="24"/>
        </w:rPr>
        <w:t>The company presents differing values for FY26 GNPA and direct-assignment income in separate sections. The project reports those differences without an unsupported reconciliation.</w:t>
      </w:r>
    </w:p>
    <w:p>
      <w:pPr>
        <w:pStyle w:val="ListBullet"/>
        <w:spacing w:line="360" w:lineRule="auto" w:after="100"/>
        <w:ind w:left="389" w:hanging="259"/>
        <w:jc w:val="both"/>
      </w:pPr>
      <w:r>
        <w:rPr>
          <w:rFonts w:ascii="Times New Roman" w:hAnsi="Times New Roman" w:eastAsia="Times New Roman" w:cs="Times New Roman"/>
          <w:color w:val="000000"/>
          <w:sz w:val="24"/>
        </w:rPr>
        <w:t>Sector estimates are quoted through the company’s MD&amp;A and were not independently re-sourced. They provide context, not an independent industry forecast.</w:t>
      </w:r>
    </w:p>
    <w:p>
      <w:pPr>
        <w:pStyle w:val="ListBullet"/>
        <w:spacing w:line="360" w:lineRule="auto" w:after="100"/>
        <w:ind w:left="389" w:hanging="259"/>
        <w:jc w:val="both"/>
      </w:pPr>
      <w:r>
        <w:rPr>
          <w:rFonts w:ascii="Times New Roman" w:hAnsi="Times New Roman" w:eastAsia="Times New Roman" w:cs="Times New Roman"/>
          <w:color w:val="000000"/>
          <w:sz w:val="24"/>
        </w:rPr>
        <w:t>The peer data in the supplied working material are not fully comparable across standalone / consolidated bases and definitions. No peer valuation or peer-ratio conclusion is drawn.</w:t>
      </w:r>
    </w:p>
    <w:p>
      <w:pPr>
        <w:pStyle w:val="ListBullet"/>
        <w:spacing w:line="360" w:lineRule="auto" w:after="100"/>
        <w:ind w:left="389" w:hanging="259"/>
        <w:jc w:val="both"/>
      </w:pPr>
      <w:r>
        <w:rPr>
          <w:rFonts w:ascii="Times New Roman" w:hAnsi="Times New Roman" w:eastAsia="Times New Roman" w:cs="Times New Roman"/>
          <w:color w:val="000000"/>
          <w:sz w:val="24"/>
        </w:rPr>
        <w:t>Market capitalisation is available only at 31 March 2026 in the supplied material. No live price history, technical indicators, target price or current valuation recommendation is provided.</w:t>
      </w:r>
    </w:p>
    <w:p>
      <w:pPr>
        <w:pStyle w:val="ListBullet"/>
        <w:spacing w:line="360" w:lineRule="auto" w:after="100"/>
        <w:ind w:left="389" w:hanging="259"/>
        <w:jc w:val="both"/>
      </w:pPr>
      <w:r>
        <w:rPr>
          <w:rFonts w:ascii="Times New Roman" w:hAnsi="Times New Roman" w:eastAsia="Times New Roman" w:cs="Times New Roman"/>
          <w:color w:val="000000"/>
          <w:sz w:val="24"/>
        </w:rPr>
        <w:t>The research period ends with FY26 disclosures. Later operating developments may change the assessment; company targets and scenarios are not treated as guaranteed outcomes.</w:t>
      </w:r>
    </w:p>
    <w:p>
      <w:pPr/>
      <w:r>
        <w:rPr>
          <w:rFonts w:ascii="Times New Roman" w:hAnsi="Times New Roman" w:eastAsia="Times New Roman" w:cs="Times New Roman"/>
          <w:b w:val="0"/>
          <w:i w:val="0"/>
          <w:color w:val="000000"/>
          <w:sz w:val="24"/>
        </w:rPr>
        <w:t>These limitations do not prevent the report from assessing disclosed multi-year trends and strategic changes. They do require the conclusion to remain conditional and to avoid precision beyond the data supplied.</w:t>
      </w:r>
    </w:p>
    <w:p>
      <w:r>
        <w:rPr>
          <w:rFonts w:ascii="Times New Roman" w:hAnsi="Times New Roman" w:eastAsia="Times New Roman" w:cs="Times New Roman"/>
          <w:color w:val="000000"/>
          <w:sz w:val="24"/>
        </w:rPr>
        <w:br w:type="page"/>
      </w:r>
    </w:p>
    <w:p>
      <w:pPr>
        <w:pStyle w:val="ChapterIdentifier"/>
      </w:pPr>
      <w:r>
        <w:rPr>
          <w:rFonts w:ascii="Times New Roman" w:hAnsi="Times New Roman" w:eastAsia="Times New Roman" w:cs="Times New Roman"/>
          <w:b/>
          <w:color w:val="000000"/>
          <w:sz w:val="28"/>
        </w:rPr>
        <w:t>CHAPTER 8</w:t>
      </w:r>
    </w:p>
    <w:p>
      <w:bookmarkStart w:id="81" w:name="Chapter8"/>
      <w:pPr>
        <w:pStyle w:val="Heading1"/>
        <w:pageBreakBefore w:val="0"/>
      </w:pPr>
      <w:r>
        <w:rPr>
          <w:rFonts w:ascii="Times New Roman" w:hAnsi="Times New Roman" w:eastAsia="Times New Roman" w:cs="Times New Roman"/>
          <w:b/>
          <w:color w:val="000000"/>
          <w:sz w:val="28"/>
        </w:rPr>
        <w:t>REFERENCE AND BIBLIOGRAPHY</w:t>
      </w:r>
      <w:bookmarkEnd w:id="81"/>
    </w:p>
    <w:p>
      <w:bookmarkStart w:id="82" w:name="S81"/>
      <w:pPr>
        <w:pStyle w:val="Heading2"/>
      </w:pPr>
      <w:r>
        <w:rPr>
          <w:rFonts w:ascii="Times New Roman" w:hAnsi="Times New Roman" w:eastAsia="Times New Roman" w:cs="Times New Roman"/>
          <w:b/>
          <w:color w:val="000000"/>
          <w:sz w:val="24"/>
        </w:rPr>
        <w:t>8.1 COMPANY ANNUAL REPORTS</w:t>
      </w:r>
      <w:bookmarkEnd w:id="82"/>
    </w:p>
    <w:p>
      <w:pPr>
        <w:pStyle w:val="ListBullet"/>
        <w:spacing w:line="360" w:lineRule="auto" w:after="100"/>
        <w:ind w:left="389" w:hanging="259"/>
        <w:jc w:val="both"/>
      </w:pPr>
      <w:r>
        <w:rPr>
          <w:rFonts w:ascii="Times New Roman" w:hAnsi="Times New Roman" w:eastAsia="Times New Roman" w:cs="Times New Roman"/>
          <w:color w:val="000000"/>
          <w:sz w:val="24"/>
        </w:rPr>
        <w:t>Fedbank Financial Services Limited. Annual Report 2023–24. Mumbai: Fedbank Financial Services Limited.</w:t>
      </w:r>
    </w:p>
    <w:p>
      <w:pPr>
        <w:pStyle w:val="ListBullet"/>
        <w:spacing w:line="360" w:lineRule="auto" w:after="100"/>
        <w:ind w:left="389" w:hanging="259"/>
        <w:jc w:val="both"/>
      </w:pPr>
      <w:r>
        <w:rPr>
          <w:rFonts w:ascii="Times New Roman" w:hAnsi="Times New Roman" w:eastAsia="Times New Roman" w:cs="Times New Roman"/>
          <w:color w:val="000000"/>
          <w:sz w:val="24"/>
        </w:rPr>
        <w:t>Fedbank Financial Services Limited. Annual Report 2024–25. Mumbai: Fedbank Financial Services Limited.</w:t>
      </w:r>
    </w:p>
    <w:p>
      <w:pPr>
        <w:pStyle w:val="ListBullet"/>
        <w:spacing w:line="360" w:lineRule="auto" w:after="100"/>
        <w:ind w:left="389" w:hanging="259"/>
        <w:jc w:val="both"/>
      </w:pPr>
      <w:r>
        <w:rPr>
          <w:rFonts w:ascii="Times New Roman" w:hAnsi="Times New Roman" w:eastAsia="Times New Roman" w:cs="Times New Roman"/>
          <w:color w:val="000000"/>
          <w:sz w:val="24"/>
        </w:rPr>
        <w:t>Fedbank Financial Services Limited. Annual Report 2025–26. Mumbai: Fedbank Financial Services Limited.</w:t>
      </w:r>
    </w:p>
    <w:p>
      <w:bookmarkStart w:id="83" w:name="S82"/>
      <w:pPr>
        <w:pStyle w:val="Heading2"/>
      </w:pPr>
      <w:r>
        <w:rPr>
          <w:rFonts w:ascii="Times New Roman" w:hAnsi="Times New Roman" w:eastAsia="Times New Roman" w:cs="Times New Roman"/>
          <w:b/>
          <w:color w:val="000000"/>
          <w:sz w:val="24"/>
        </w:rPr>
        <w:t>8.2 REGULATORY AND OFFICIAL MATERIAL</w:t>
      </w:r>
      <w:bookmarkEnd w:id="83"/>
    </w:p>
    <w:p>
      <w:pPr>
        <w:pStyle w:val="ListBullet"/>
        <w:spacing w:line="360" w:lineRule="auto" w:after="100"/>
        <w:ind w:left="389" w:hanging="259"/>
        <w:jc w:val="both"/>
      </w:pPr>
      <w:r>
        <w:rPr>
          <w:rFonts w:ascii="Times New Roman" w:hAnsi="Times New Roman" w:eastAsia="Times New Roman" w:cs="Times New Roman"/>
          <w:color w:val="000000"/>
          <w:sz w:val="24"/>
        </w:rPr>
        <w:t>Reserve Bank of India. Directions on Lending Against Gold Collateral, issued June 2025 and effective 1 April 2026, as identified in the supplied research material.</w:t>
      </w:r>
    </w:p>
    <w:p>
      <w:pPr>
        <w:pStyle w:val="ListBullet"/>
        <w:spacing w:line="360" w:lineRule="auto" w:after="100"/>
        <w:ind w:left="389" w:hanging="259"/>
        <w:jc w:val="both"/>
      </w:pPr>
      <w:r>
        <w:rPr>
          <w:rFonts w:ascii="Times New Roman" w:hAnsi="Times New Roman" w:eastAsia="Times New Roman" w:cs="Times New Roman"/>
          <w:color w:val="000000"/>
          <w:sz w:val="24"/>
        </w:rPr>
        <w:t>Reserve Bank of India. Scale-based regulatory framework and directions applicable to NBFCs, as referenced in Fedbank Financial Services Limited, Annual Report 2025–26.</w:t>
      </w:r>
    </w:p>
    <w:p>
      <w:pPr>
        <w:pStyle w:val="ListBullet"/>
        <w:spacing w:line="360" w:lineRule="auto" w:after="100"/>
        <w:ind w:left="389" w:hanging="259"/>
        <w:jc w:val="both"/>
      </w:pPr>
      <w:r>
        <w:rPr>
          <w:rFonts w:ascii="Times New Roman" w:hAnsi="Times New Roman" w:eastAsia="Times New Roman" w:cs="Times New Roman"/>
          <w:color w:val="000000"/>
          <w:sz w:val="24"/>
        </w:rPr>
        <w:t>Reserve Bank of India regulatory provisions on NBFCs, digital lending, co-lending and fraud-risk management, as cited in the company annual reports and supplied research material.</w:t>
      </w:r>
    </w:p>
    <w:p>
      <w:bookmarkStart w:id="84" w:name="S83"/>
      <w:pPr>
        <w:pStyle w:val="Heading2"/>
      </w:pPr>
      <w:r>
        <w:rPr>
          <w:rFonts w:ascii="Times New Roman" w:hAnsi="Times New Roman" w:eastAsia="Times New Roman" w:cs="Times New Roman"/>
          <w:b/>
          <w:color w:val="000000"/>
          <w:sz w:val="24"/>
        </w:rPr>
        <w:t>8.3 INDUSTRY AND MARKET DATA</w:t>
      </w:r>
      <w:bookmarkEnd w:id="84"/>
    </w:p>
    <w:p>
      <w:pPr/>
      <w:r>
        <w:rPr>
          <w:rFonts w:ascii="Times New Roman" w:hAnsi="Times New Roman" w:eastAsia="Times New Roman" w:cs="Times New Roman"/>
          <w:b w:val="0"/>
          <w:i w:val="0"/>
          <w:color w:val="000000"/>
          <w:sz w:val="24"/>
        </w:rPr>
        <w:t>Sector, macroeconomic, gold-demand, MSME and credit-market estimates in this report are cited through the relevant sections of Fedbank Financial Services Limited, Annual Report 2025–26. The company report attributes selected figures to MoSPI, RBI / PIB, the Economic Survey, Ministry of Commerce, ICRA, CRISIL and the World Gold Council. These underlying publications were not separately supplied for independent page-by-page verification and are therefore not presented as independently re-sourced findings here.</w:t>
      </w:r>
    </w:p>
    <w:p>
      <w:bookmarkStart w:id="85" w:name="S84"/>
      <w:pPr>
        <w:pStyle w:val="Heading2"/>
      </w:pPr>
      <w:r>
        <w:rPr>
          <w:rFonts w:ascii="Times New Roman" w:hAnsi="Times New Roman" w:eastAsia="Times New Roman" w:cs="Times New Roman"/>
          <w:b/>
          <w:color w:val="000000"/>
          <w:sz w:val="24"/>
        </w:rPr>
        <w:t>8.4 CITATION CONVENTION</w:t>
      </w:r>
      <w:bookmarkEnd w:id="85"/>
    </w:p>
    <w:p>
      <w:pPr/>
      <w:r>
        <w:rPr>
          <w:rFonts w:ascii="Times New Roman" w:hAnsi="Times New Roman" w:eastAsia="Times New Roman" w:cs="Times New Roman"/>
          <w:b w:val="0"/>
          <w:i w:val="0"/>
          <w:color w:val="000000"/>
          <w:sz w:val="24"/>
        </w:rPr>
        <w:t>Table and figure source lines identify the annual report section, financial statement or note used. Amounts converted from lakh to crore are stated as converted; author calculations are labelled derived. Where the company’s own sections disclose different values or definitions, the report cites both and explains the treatment. No unverified URL, publication page number or market quotation has been added.</w:t>
      </w:r>
    </w:p>
    <w:p>
      <w:r>
        <w:rPr>
          <w:rFonts w:ascii="Times New Roman" w:hAnsi="Times New Roman" w:eastAsia="Times New Roman" w:cs="Times New Roman"/>
          <w:color w:val="000000"/>
          <w:sz w:val="24"/>
        </w:rPr>
        <w:br w:type="page"/>
      </w:r>
    </w:p>
    <w:p>
      <w:pPr>
        <w:pStyle w:val="Heading1"/>
      </w:pPr>
      <w:r>
        <w:rPr>
          <w:rFonts w:ascii="Times New Roman" w:hAnsi="Times New Roman" w:eastAsia="Times New Roman" w:cs="Times New Roman"/>
          <w:b/>
          <w:color w:val="000000"/>
          <w:sz w:val="28"/>
        </w:rPr>
        <w:t>ANNEXURE A – SUMMARISED BALANCE SHEET</w:t>
      </w:r>
    </w:p>
    <w:p>
      <w:pPr>
        <w:pStyle w:val="FrontBody"/>
      </w:pPr>
      <w:r>
        <w:rPr>
          <w:rFonts w:ascii="Times New Roman" w:hAnsi="Times New Roman" w:eastAsia="Times New Roman" w:cs="Times New Roman"/>
          <w:b w:val="0"/>
          <w:i w:val="0"/>
          <w:color w:val="000000"/>
          <w:sz w:val="24"/>
        </w:rPr>
        <w:t>Amounts are in ₹ crore unless otherwise stated. The summary retains selected audited statement lines to support the analysis in Chapter 5.</w:t>
      </w:r>
    </w:p>
    <w:p>
      <w:pPr>
        <w:pStyle w:val="CaptionBlack"/>
        <w:keepNext/>
      </w:pPr>
      <w:r>
        <w:rPr>
          <w:rFonts w:ascii="Times New Roman" w:hAnsi="Times New Roman" w:eastAsia="Times New Roman" w:cs="Times New Roman"/>
          <w:b/>
          <w:color w:val="000000"/>
          <w:sz w:val="22"/>
        </w:rPr>
        <w:t>Table A.1: Selected balance-sheet lines at 31 March 2025 and 31 March 2026</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Particulars</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31 Mar 2025</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31 Mar 2026</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Cash and cash equivalents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724.60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1,339.73</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Other bank balances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110.09</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51.22</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Loans, net</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11,646.37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14,318.85</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Investments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404.19</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401.67</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Other financial assets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86.71</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207.36</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financial assets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12,991.85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16,563.52</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non-financial assets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257.85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311.26</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assets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13,249.70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16,874.78</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Debt securities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500.22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1,730.31</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Borrowings other than debt securities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9,292.37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10,837.47</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Subordinated liabilities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476.07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916.35</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financial liabilities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10,651.02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13,900.35</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equity / net worth</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2,547.36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2,926.10</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liabilities and equity</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13,249.70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16,874.78</w:t>
            </w:r>
          </w:p>
        </w:tc>
      </w:tr>
    </w:tbl>
    <w:p>
      <w:pPr>
        <w:pStyle w:val="SourceNote"/>
      </w:pPr>
      <w:r>
        <w:rPr>
          <w:rFonts w:ascii="Times New Roman" w:hAnsi="Times New Roman" w:eastAsia="Times New Roman" w:cs="Times New Roman"/>
          <w:i/>
          <w:color w:val="000000"/>
          <w:sz w:val="18"/>
        </w:rPr>
        <w:t>Source: Fedbank Financial Services Limited, Annual Report 2025–26, audited Balance Sheet and Notes; ₹ lakh converted to crore.</w:t>
      </w:r>
    </w:p>
    <w:p>
      <w:pPr/>
      <w:r>
        <w:rPr>
          <w:rFonts w:ascii="Times New Roman" w:hAnsi="Times New Roman" w:eastAsia="Times New Roman" w:cs="Times New Roman"/>
          <w:b w:val="0"/>
          <w:i w:val="0"/>
          <w:color w:val="000000"/>
          <w:sz w:val="24"/>
        </w:rPr>
        <w:t>Loans remain the principal asset, while total borrowings expanded faster than equity. Totals are stated as reported, subject to rounding in conversion.</w:t>
      </w:r>
    </w:p>
    <w:p>
      <w:r>
        <w:rPr>
          <w:rFonts w:ascii="Times New Roman" w:hAnsi="Times New Roman" w:eastAsia="Times New Roman" w:cs="Times New Roman"/>
          <w:color w:val="000000"/>
          <w:sz w:val="24"/>
        </w:rPr>
        <w:br w:type="page"/>
      </w:r>
    </w:p>
    <w:p>
      <w:pPr>
        <w:pStyle w:val="Heading1"/>
      </w:pPr>
      <w:r>
        <w:rPr>
          <w:rFonts w:ascii="Times New Roman" w:hAnsi="Times New Roman" w:eastAsia="Times New Roman" w:cs="Times New Roman"/>
          <w:b/>
          <w:color w:val="000000"/>
          <w:sz w:val="28"/>
        </w:rPr>
        <w:t>ANNEXURE B – SUMMARISED STATEMENT OF PROFIT AND LOSS</w:t>
      </w:r>
    </w:p>
    <w:p>
      <w:pPr>
        <w:pStyle w:val="FrontBody"/>
      </w:pPr>
      <w:r>
        <w:rPr>
          <w:rFonts w:ascii="Times New Roman" w:hAnsi="Times New Roman" w:eastAsia="Times New Roman" w:cs="Times New Roman"/>
          <w:b w:val="0"/>
          <w:i w:val="0"/>
          <w:color w:val="000000"/>
          <w:sz w:val="24"/>
        </w:rPr>
        <w:t>Amounts are in ₹ crore. This annexure provides a more detailed view than the selected analytical table in Chapter 5.</w:t>
      </w:r>
    </w:p>
    <w:p>
      <w:pPr>
        <w:pStyle w:val="CaptionBlack"/>
        <w:keepNext/>
      </w:pPr>
      <w:r>
        <w:rPr>
          <w:rFonts w:ascii="Times New Roman" w:hAnsi="Times New Roman" w:eastAsia="Times New Roman" w:cs="Times New Roman"/>
          <w:b/>
          <w:color w:val="000000"/>
          <w:sz w:val="22"/>
        </w:rPr>
        <w:t>Table B.1: Statement of Profit and Loss, FY25 and FY26</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Particulars</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FY25</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Interest income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1,924.58</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2,109.07</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Fee and commission income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111.71</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96.69</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gain on fair-value changes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25.58</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17.84</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Revenue from operations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2,061.87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2,223.60</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Other income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17.95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3.01</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income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2,079.82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2,226.61</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Finance costs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853.78</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879.32</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Fee and commission expense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18.50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(0.20)</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Impairment on financial instruments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216.36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115.27</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Employee benefits expense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390.30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443.93</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Depreciation and amortisation</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48.85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54.47</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Other expenses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248.28</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272.81</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expenses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1,776.07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1,765.60</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Profit before tax</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303.75</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461.01</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Current tax</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101.69</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121.07</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Deferred tax credit</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(23.12)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(3.66)</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Profit after tax</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225.18</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343.60</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Other comprehensive income, net</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41.59</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15.02</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comprehensive income</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266.77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358.62</w:t>
            </w:r>
          </w:p>
        </w:tc>
      </w:tr>
    </w:tbl>
    <w:p>
      <w:pPr>
        <w:pStyle w:val="SourceNote"/>
      </w:pPr>
      <w:r>
        <w:rPr>
          <w:rFonts w:ascii="Times New Roman" w:hAnsi="Times New Roman" w:eastAsia="Times New Roman" w:cs="Times New Roman"/>
          <w:i/>
          <w:color w:val="000000"/>
          <w:sz w:val="18"/>
        </w:rPr>
        <w:t>Source: Fedbank Financial Services Limited, Annual Report 2025–26, audited Statement of Profit and Loss; ₹ lakh converted to crore.</w:t>
      </w:r>
    </w:p>
    <w:p>
      <w:pPr/>
      <w:r>
        <w:rPr>
          <w:rFonts w:ascii="Times New Roman" w:hAnsi="Times New Roman" w:eastAsia="Times New Roman" w:cs="Times New Roman"/>
          <w:b w:val="0"/>
          <w:i w:val="0"/>
          <w:color w:val="000000"/>
          <w:sz w:val="24"/>
        </w:rPr>
        <w:t>The recovery in profit after tax is larger than the increase in revenue and reflects lower impairment as well as operating movements. The statement is presented for support; interpretations are in Chapter 5.</w:t>
      </w:r>
    </w:p>
    <w:p>
      <w:r>
        <w:rPr>
          <w:rFonts w:ascii="Times New Roman" w:hAnsi="Times New Roman" w:eastAsia="Times New Roman" w:cs="Times New Roman"/>
          <w:color w:val="000000"/>
          <w:sz w:val="24"/>
        </w:rPr>
        <w:br w:type="page"/>
      </w:r>
    </w:p>
    <w:p>
      <w:pPr>
        <w:pStyle w:val="Heading1"/>
      </w:pPr>
      <w:r>
        <w:rPr>
          <w:rFonts w:ascii="Times New Roman" w:hAnsi="Times New Roman" w:eastAsia="Times New Roman" w:cs="Times New Roman"/>
          <w:b/>
          <w:color w:val="000000"/>
          <w:sz w:val="28"/>
        </w:rPr>
        <w:t>ANNEXURE C – BRANCH NETWORK BY STATE / UNION TERRITORY</w:t>
      </w:r>
    </w:p>
    <w:p>
      <w:pPr>
        <w:pStyle w:val="CaptionBlack"/>
        <w:keepNext/>
      </w:pPr>
      <w:r>
        <w:rPr>
          <w:rFonts w:ascii="Times New Roman" w:hAnsi="Times New Roman" w:eastAsia="Times New Roman" w:cs="Times New Roman"/>
          <w:b/>
          <w:color w:val="000000"/>
          <w:sz w:val="22"/>
        </w:rPr>
        <w:t>Table C.1: Branch network by location at 31 March 2026</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504"/>
        <w:gridCol w:w="1504"/>
        <w:gridCol w:w="1504"/>
        <w:gridCol w:w="1504"/>
        <w:gridCol w:w="1504"/>
        <w:gridCol w:w="1504"/>
      </w:tblGrid>
      <w:tr>
        <w:trPr>
          <w:cantSplit/>
          <w:tblHeader w:val="true"/>
        </w:trPr>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State / Union Territory</w:t>
            </w:r>
          </w:p>
        </w:tc>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MSME hubs</w:t>
            </w:r>
          </w:p>
        </w:tc>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Gold branches</w:t>
            </w:r>
          </w:p>
        </w:tc>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Co-located</w:t>
            </w:r>
          </w:p>
        </w:tc>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Total</w:t>
            </w:r>
          </w:p>
        </w:tc>
        <w:tc>
          <w:tcPr>
            <w:tcW w:type="dxa" w:w="1505"/>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Share</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Maharashtra</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18.6%</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Gujarat</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136</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18.0%</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Karnataka</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12.5%</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Tamil Nadu</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26</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11.9%</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Andhra Pradesh</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7.5%</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Delhi NCR</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46</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6.1%</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Telangana</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5.5%</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Rajasthan</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19</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34</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4.5%</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Haryana</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4.2%</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Uttar Pradesh</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9</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4.2%</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Madhya Pradesh</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2.6%</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Punjab</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Uttarakhand</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Goa</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0.7%</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Pondicherry</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0.4%</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Dadra &amp; Nagar Haveli (UT)</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0.3%</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Chandigarh</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0.1%</w:t>
            </w:r>
          </w:p>
        </w:tc>
      </w:tr>
      <w:tr>
        <w:trPr>
          <w:cantSplit/>
        </w:trPr>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129</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558</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70</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757</w:t>
            </w:r>
          </w:p>
        </w:tc>
        <w:tc>
          <w:tcPr>
            <w:tcW w:type="dxa" w:w="1505"/>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100.0%</w:t>
            </w:r>
          </w:p>
        </w:tc>
      </w:tr>
    </w:tbl>
    <w:p>
      <w:pPr>
        <w:pStyle w:val="SourceNote"/>
      </w:pPr>
      <w:r>
        <w:rPr>
          <w:rFonts w:ascii="Times New Roman" w:hAnsi="Times New Roman" w:eastAsia="Times New Roman" w:cs="Times New Roman"/>
          <w:i/>
          <w:color w:val="000000"/>
          <w:sz w:val="18"/>
        </w:rPr>
        <w:t>Source: Fedbank Financial Services Limited, Annual Report 2025–26, Directors’ Report, branch-network table; state shares are company-reported / rounded.</w:t>
      </w:r>
    </w:p>
    <w:p>
      <w:pPr/>
      <w:r>
        <w:rPr>
          <w:rFonts w:ascii="Times New Roman" w:hAnsi="Times New Roman" w:eastAsia="Times New Roman" w:cs="Times New Roman"/>
          <w:b w:val="0"/>
          <w:i w:val="0"/>
          <w:color w:val="000000"/>
          <w:sz w:val="24"/>
        </w:rPr>
        <w:t>Maharashtra and Gujarat together account for over one-third of the reported network. The source reports the geographic mix; the analysis of AUM concentration is separately shown in Figure C.1.</w:t>
      </w:r>
    </w:p>
    <w:p>
      <w:pPr>
        <w:pStyle w:val="CaptionBlack"/>
        <w:keepNext/>
      </w:pPr>
      <w:r>
        <w:rPr>
          <w:rFonts w:ascii="Times New Roman" w:hAnsi="Times New Roman" w:eastAsia="Times New Roman" w:cs="Times New Roman"/>
          <w:b/>
          <w:color w:val="000000"/>
          <w:sz w:val="22"/>
        </w:rPr>
        <w:t>Figure C.1: Share of AUM in top five states, FY21–FY26 (%)</w:t>
      </w:r>
    </w:p>
    <w:p>
      <w:pPr>
        <w:keepNext/>
        <w:spacing w:before="0" w:after="60"/>
        <w:jc w:val="center"/>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596128" cy="1865376"/>
            <wp:docPr id="17" name="Picture 17"/>
            <wp:cNvGraphicFramePr>
              <a:graphicFrameLocks noChangeAspect="1"/>
            </wp:cNvGraphicFramePr>
            <a:graphic>
              <a:graphicData uri="http://schemas.openxmlformats.org/drawingml/2006/picture">
                <pic:pic>
                  <pic:nvPicPr>
                    <pic:cNvPr id="0" name="image18.png"/>
                    <pic:cNvPicPr/>
                  </pic:nvPicPr>
                  <pic:blipFill>
                    <a:blip r:embed="rId27"/>
                    <a:stretch>
                      <a:fillRect/>
                    </a:stretch>
                  </pic:blipFill>
                  <pic:spPr>
                    <a:xfrm>
                      <a:off x="0" y="0"/>
                      <a:ext cx="5596128" cy="1865376"/>
                    </a:xfrm>
                    <a:prstGeom prst="rect"/>
                  </pic:spPr>
                </pic:pic>
              </a:graphicData>
            </a:graphic>
          </wp:inline>
        </w:drawing>
      </w:r>
    </w:p>
    <w:p>
      <w:pPr>
        <w:pStyle w:val="SourceNote"/>
        <w:keepNext/>
      </w:pPr>
      <w:r>
        <w:rPr>
          <w:rFonts w:ascii="Times New Roman" w:hAnsi="Times New Roman" w:eastAsia="Times New Roman" w:cs="Times New Roman"/>
          <w:i/>
          <w:color w:val="000000"/>
          <w:sz w:val="18"/>
        </w:rPr>
        <w:t>Source: Fedbank Financial Services Limited, Annual Reports 2023–24, 2024–25 and 2025–26, geographic concentration disclosures.</w:t>
      </w:r>
    </w:p>
    <w:p>
      <w:pPr/>
      <w:r>
        <w:rPr>
          <w:rFonts w:ascii="Times New Roman" w:hAnsi="Times New Roman" w:eastAsia="Times New Roman" w:cs="Times New Roman"/>
          <w:b w:val="0"/>
          <w:i w:val="0"/>
          <w:color w:val="000000"/>
          <w:sz w:val="24"/>
        </w:rPr>
        <w:t>The top-five-state share declined from 85.1% in FY21 to 75.1% in FY26, indicating gradual diversification. A three-quarter concentration in five states still leaves performance exposed to regional economic conditions.</w:t>
      </w:r>
    </w:p>
    <w:p>
      <w:r>
        <w:rPr>
          <w:rFonts w:ascii="Times New Roman" w:hAnsi="Times New Roman" w:eastAsia="Times New Roman" w:cs="Times New Roman"/>
          <w:color w:val="000000"/>
          <w:sz w:val="24"/>
        </w:rPr>
        <w:br w:type="page"/>
      </w:r>
    </w:p>
    <w:p>
      <w:pPr>
        <w:pStyle w:val="Heading1"/>
      </w:pPr>
      <w:r>
        <w:rPr>
          <w:rFonts w:ascii="Times New Roman" w:hAnsi="Times New Roman" w:eastAsia="Times New Roman" w:cs="Times New Roman"/>
          <w:b/>
          <w:color w:val="000000"/>
          <w:sz w:val="28"/>
        </w:rPr>
        <w:t>ANNEXURE D – FUNDING AND DEBT INSTRUMENTS</w:t>
      </w:r>
    </w:p>
    <w:p>
      <w:pPr>
        <w:pStyle w:val="CaptionBlack"/>
        <w:keepNext/>
      </w:pPr>
      <w:r>
        <w:rPr>
          <w:rFonts w:ascii="Times New Roman" w:hAnsi="Times New Roman" w:eastAsia="Times New Roman" w:cs="Times New Roman"/>
          <w:b/>
          <w:color w:val="000000"/>
          <w:sz w:val="22"/>
        </w:rPr>
        <w:t>Table D.1: Borrowings by instrument at 31 March 2026 (₹ crore)</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Instrument</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Amount</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Share</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Bank term loans, non-related parties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5,682.11</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42.1%</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Term loan from Federal Bank</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1,064.13</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7.9%</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External commercial borrowings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2,382.36</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17.7%</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Loans from other financial institutions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865.57</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6.4%</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Loans repayable on demand – banks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783.30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5.8%</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Loans repayable on demand – Federal Bank</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60.00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0.4%</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Secured NCDs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565.88</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4.2%</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Commercial paper</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1,164.43</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8.6%</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Subordinated NCDs – Federal Bank</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246.12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Subordinated NCDs – other holders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670.23</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5.0%</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borrowings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13,484.13</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100.0%</w:t>
            </w:r>
          </w:p>
        </w:tc>
      </w:tr>
    </w:tbl>
    <w:p>
      <w:pPr>
        <w:pStyle w:val="SourceNote"/>
      </w:pPr>
      <w:r>
        <w:rPr>
          <w:rFonts w:ascii="Times New Roman" w:hAnsi="Times New Roman" w:eastAsia="Times New Roman" w:cs="Times New Roman"/>
          <w:i/>
          <w:color w:val="000000"/>
          <w:sz w:val="18"/>
        </w:rPr>
        <w:t>Source: Fedbank Financial Services Limited, Annual Report 2025–26, Notes 16–18; amounts converted from ₹ lakh to ₹ crore.</w:t>
      </w:r>
    </w:p>
    <w:p>
      <w:pPr/>
      <w:r>
        <w:rPr>
          <w:rFonts w:ascii="Times New Roman" w:hAnsi="Times New Roman" w:eastAsia="Times New Roman" w:cs="Times New Roman"/>
          <w:b w:val="0"/>
          <w:i w:val="0"/>
          <w:color w:val="000000"/>
          <w:sz w:val="24"/>
        </w:rPr>
        <w:t>The instrument mix is diversified across bank and institutional loans, ECB, NCDs and commercial paper. ECB hedging and CP rollover remain important treasury controls.</w:t>
      </w:r>
    </w:p>
    <w:p>
      <w:pPr>
        <w:pStyle w:val="CaptionBlack"/>
        <w:keepNext/>
      </w:pPr>
      <w:r>
        <w:rPr>
          <w:rFonts w:ascii="Times New Roman" w:hAnsi="Times New Roman" w:eastAsia="Times New Roman" w:cs="Times New Roman"/>
          <w:b/>
          <w:color w:val="000000"/>
          <w:sz w:val="22"/>
        </w:rPr>
        <w:t>Table D.2: Selected debt and rating disclosures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4514"/>
        <w:gridCol w:w="4514"/>
      </w:tblGrid>
      <w:tr>
        <w:trPr>
          <w:cantSplit/>
          <w:tblHeader w:val="true"/>
        </w:trPr>
        <w:tc>
          <w:tcPr>
            <w:tcW w:type="dxa" w:w="4514"/>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Item</w:t>
            </w:r>
          </w:p>
        </w:tc>
        <w:tc>
          <w:tcPr>
            <w:tcW w:type="dxa" w:w="4514"/>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FY26 disclosure</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Commercial paper</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₹1,164 crore outstanding (net of discount); A1+ short-term rating reported.</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External commercial borrowing</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USD 250 million programme; carrying amount ₹2,382 crore; fully hedged as reported.</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NCDs issued in FY26</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₹200 crore secured reset-rate NCD and ₹450 crore subordinated Tier II NCDs, as reported.</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Shareholder borrowing limit</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₹18,000 crore; total borrowings of ₹13,484 crore at year end.</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Credit ratings</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AA+/Stable long-term and A1+ short-term ratings from CARE, CRISIL, ICRA and India Ratings.</w:t>
            </w:r>
          </w:p>
        </w:tc>
      </w:tr>
    </w:tbl>
    <w:p>
      <w:pPr>
        <w:pStyle w:val="SourceNote"/>
      </w:pPr>
      <w:r>
        <w:rPr>
          <w:rFonts w:ascii="Times New Roman" w:hAnsi="Times New Roman" w:eastAsia="Times New Roman" w:cs="Times New Roman"/>
          <w:i/>
          <w:color w:val="000000"/>
          <w:sz w:val="18"/>
        </w:rPr>
        <w:t>Source: Fedbank Financial Services Limited, Annual Report 2025–26, Directors’ Report, Notes 16–18 and Corporate Governance Report.</w:t>
      </w:r>
    </w:p>
    <w:p>
      <w:pPr/>
      <w:r>
        <w:rPr>
          <w:rFonts w:ascii="Times New Roman" w:hAnsi="Times New Roman" w:eastAsia="Times New Roman" w:cs="Times New Roman"/>
          <w:b w:val="0"/>
          <w:i w:val="0"/>
          <w:color w:val="000000"/>
          <w:sz w:val="24"/>
        </w:rPr>
        <w:t>These disclosures support the funding analysis but do not substitute for maturity, covenant and hedge-note review by a lender or investor.</w:t>
      </w:r>
    </w:p>
    <w:p>
      <w:r>
        <w:rPr>
          <w:rFonts w:ascii="Times New Roman" w:hAnsi="Times New Roman" w:eastAsia="Times New Roman" w:cs="Times New Roman"/>
          <w:color w:val="000000"/>
          <w:sz w:val="24"/>
        </w:rPr>
        <w:br w:type="page"/>
      </w:r>
    </w:p>
    <w:p>
      <w:pPr>
        <w:pStyle w:val="Heading1"/>
      </w:pPr>
      <w:r>
        <w:rPr>
          <w:rFonts w:ascii="Times New Roman" w:hAnsi="Times New Roman" w:eastAsia="Times New Roman" w:cs="Times New Roman"/>
          <w:b/>
          <w:color w:val="000000"/>
          <w:sz w:val="28"/>
        </w:rPr>
        <w:t>ANNEXURE E – SHAREHOLDING AND SELECTED COMPANY FACTS</w:t>
      </w:r>
    </w:p>
    <w:p>
      <w:pPr>
        <w:pStyle w:val="CaptionBlack"/>
        <w:keepNext/>
      </w:pPr>
      <w:r>
        <w:rPr>
          <w:rFonts w:ascii="Times New Roman" w:hAnsi="Times New Roman" w:eastAsia="Times New Roman" w:cs="Times New Roman"/>
          <w:b/>
          <w:color w:val="000000"/>
          <w:sz w:val="22"/>
        </w:rPr>
        <w:t>Table E.1: Shareholding categories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009"/>
        <w:gridCol w:w="3009"/>
        <w:gridCol w:w="3009"/>
      </w:tblGrid>
      <w:tr>
        <w:trPr>
          <w:cantSplit/>
          <w:tblHeader w:val="true"/>
        </w:trPr>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Category</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31 March 2025</w:t>
            </w:r>
          </w:p>
        </w:tc>
        <w:tc>
          <w:tcPr>
            <w:tcW w:type="dxa" w:w="3010"/>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31 March 2026</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Federal Bank / promoter group</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61.03%</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60.79%</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Public individuals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14.34%</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15.94%</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Alternate Investment Funds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14.38%</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13.01%</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Insurance companies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4.04%</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3.10%</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Mutual funds</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2.39%</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2.71%</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Other categories combined</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3.82%</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4.45%</w:t>
            </w:r>
          </w:p>
        </w:tc>
      </w:tr>
      <w:tr>
        <w:trPr>
          <w:cantSplit/>
        </w:trPr>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100.00%</w:t>
            </w:r>
          </w:p>
        </w:tc>
        <w:tc>
          <w:tcPr>
            <w:tcW w:type="dxa" w:w="3010"/>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100.00%</w:t>
            </w:r>
          </w:p>
        </w:tc>
      </w:tr>
    </w:tbl>
    <w:p>
      <w:pPr>
        <w:pStyle w:val="SourceNote"/>
      </w:pPr>
      <w:r>
        <w:rPr>
          <w:rFonts w:ascii="Times New Roman" w:hAnsi="Times New Roman" w:eastAsia="Times New Roman" w:cs="Times New Roman"/>
          <w:i/>
          <w:color w:val="000000"/>
          <w:sz w:val="18"/>
        </w:rPr>
        <w:t>Source: Fedbank Financial Services Limited, Annual Report 2025–26, Report on Corporate Governance.</w:t>
      </w:r>
    </w:p>
    <w:p>
      <w:pPr/>
      <w:r>
        <w:rPr>
          <w:rFonts w:ascii="Times New Roman" w:hAnsi="Times New Roman" w:eastAsia="Times New Roman" w:cs="Times New Roman"/>
          <w:b w:val="0"/>
          <w:i w:val="0"/>
          <w:color w:val="000000"/>
          <w:sz w:val="24"/>
        </w:rPr>
        <w:t>The promoter remains the majority shareholder. This table aggregates smaller categories for readability; the detailed corporate-governance filing contains the full category list.</w:t>
      </w:r>
    </w:p>
    <w:p>
      <w:pPr>
        <w:pStyle w:val="CaptionBlack"/>
        <w:keepNext/>
      </w:pPr>
      <w:r>
        <w:rPr>
          <w:rFonts w:ascii="Times New Roman" w:hAnsi="Times New Roman" w:eastAsia="Times New Roman" w:cs="Times New Roman"/>
          <w:b/>
          <w:color w:val="000000"/>
          <w:sz w:val="22"/>
        </w:rPr>
        <w:t>Table E.2: Selected company facts as at / during FY26</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4514"/>
        <w:gridCol w:w="4514"/>
      </w:tblGrid>
      <w:tr>
        <w:trPr>
          <w:cantSplit/>
          <w:tblHeader w:val="true"/>
        </w:trPr>
        <w:tc>
          <w:tcPr>
            <w:tcW w:type="dxa" w:w="4514"/>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Particular</w:t>
            </w:r>
          </w:p>
        </w:tc>
        <w:tc>
          <w:tcPr>
            <w:tcW w:type="dxa" w:w="4514"/>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Disclosure</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NSE symbol / BSE code</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FEDFINA / 544027</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Promoter</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The Federal Bank Limited; 60.79% at 31 March 2026.</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 / secured share</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₹20,153 crore / 98.9% as reported.</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PAT / EPS</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₹343.60 crore / ₹9.20 basic EPS.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Branches / states and UTs</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757 / 17.</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Market capitalisation</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₹4,642 crore at 31 March 2026.</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Dividend</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 dividend recommended for FY26, as reported.</w:t>
            </w:r>
          </w:p>
        </w:tc>
      </w:tr>
    </w:tbl>
    <w:p>
      <w:pPr>
        <w:pStyle w:val="SourceNote"/>
      </w:pPr>
      <w:r>
        <w:rPr>
          <w:rFonts w:ascii="Times New Roman" w:hAnsi="Times New Roman" w:eastAsia="Times New Roman" w:cs="Times New Roman"/>
          <w:i/>
          <w:color w:val="000000"/>
          <w:sz w:val="18"/>
        </w:rPr>
        <w:t>Source: Fedbank Financial Services Limited, Annual Report 2025–26, inside cover, Key Highlights, Directors’ Report and Corporate Governance Report.</w:t>
      </w:r>
    </w:p>
    <w:p>
      <w:pPr/>
      <w:r>
        <w:rPr>
          <w:rFonts w:ascii="Times New Roman" w:hAnsi="Times New Roman" w:eastAsia="Times New Roman" w:cs="Times New Roman"/>
          <w:b w:val="0"/>
          <w:i w:val="0"/>
          <w:color w:val="000000"/>
          <w:sz w:val="24"/>
        </w:rPr>
        <w:t>These facts are included for identification. They should not be interpreted as current market data after the stated reporting date.</w:t>
      </w:r>
    </w:p>
    <w:p>
      <w:r>
        <w:rPr>
          <w:rFonts w:ascii="Times New Roman" w:hAnsi="Times New Roman" w:eastAsia="Times New Roman" w:cs="Times New Roman"/>
          <w:color w:val="000000"/>
          <w:sz w:val="24"/>
        </w:rPr>
        <w:br w:type="page"/>
      </w:r>
    </w:p>
    <w:p>
      <w:pPr>
        <w:pStyle w:val="Heading1"/>
      </w:pPr>
      <w:r>
        <w:rPr>
          <w:rFonts w:ascii="Times New Roman" w:hAnsi="Times New Roman" w:eastAsia="Times New Roman" w:cs="Times New Roman"/>
          <w:b/>
          <w:color w:val="000000"/>
          <w:sz w:val="28"/>
        </w:rPr>
        <w:t>ANNEXURE F – FORMULA SHEET AND GLOSSARY</w:t>
      </w:r>
    </w:p>
    <w:p>
      <w:pPr>
        <w:pStyle w:val="CaptionBlack"/>
        <w:keepNext/>
      </w:pPr>
      <w:r>
        <w:rPr>
          <w:rFonts w:ascii="Times New Roman" w:hAnsi="Times New Roman" w:eastAsia="Times New Roman" w:cs="Times New Roman"/>
          <w:b/>
          <w:color w:val="000000"/>
          <w:sz w:val="22"/>
        </w:rPr>
        <w:t>Table F.1: Formula sheet</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4514"/>
        <w:gridCol w:w="4514"/>
      </w:tblGrid>
      <w:tr>
        <w:trPr>
          <w:cantSplit/>
          <w:tblHeader w:val="true"/>
        </w:trPr>
        <w:tc>
          <w:tcPr>
            <w:tcW w:type="dxa" w:w="4514"/>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Metric</w:t>
            </w:r>
          </w:p>
        </w:tc>
        <w:tc>
          <w:tcPr>
            <w:tcW w:type="dxa" w:w="4514"/>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Formula / explanation</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 growth</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(Current-year AUM ÷ prior-year AUM − 1) × 100.</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CAGR</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[(Ending value ÷ beginning value)^(1 ÷ number of years) − 1] × 100.</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Net interest income</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Interest income less interest / finance expense as defined in the company statement.</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Spread</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Yield on advances less cost of borrowings, using company methodology.</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Cost-to-income</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Operating expenses divided by net operating income, as disclosed / defined by company.</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Credit cost</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Company-defined impairment charge relative to average assets.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Provision coverage ratio</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Stage 3 provisions divided by gross Stage 3 loans, company basis.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Debt-to-equity</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Total borrowings divided by net worth; derived ratio in this report.</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CRAR</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Eligible regulatory capital divided by risk-weighted assets.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RoA / RoE</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PAT divided by average total assets / average equity, subject to company methodology.</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P/E / P/B</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Market price divided by EPS / book value per share. A dated price is required.</w:t>
            </w:r>
          </w:p>
        </w:tc>
      </w:tr>
    </w:tbl>
    <w:p>
      <w:pPr>
        <w:pStyle w:val="SourceNote"/>
      </w:pPr>
      <w:r>
        <w:rPr>
          <w:rFonts w:ascii="Times New Roman" w:hAnsi="Times New Roman" w:eastAsia="Times New Roman" w:cs="Times New Roman"/>
          <w:i/>
          <w:color w:val="000000"/>
          <w:sz w:val="18"/>
        </w:rPr>
        <w:t>Source: Definitions are based on Fedbank Financial Services Limited, Annual Report 2025–26, Key Ratios, Directors’ Report and this report’s calculation conventions.</w:t>
      </w:r>
    </w:p>
    <w:p>
      <w:pPr/>
      <w:r>
        <w:rPr>
          <w:rFonts w:ascii="Times New Roman" w:hAnsi="Times New Roman" w:eastAsia="Times New Roman" w:cs="Times New Roman"/>
          <w:b w:val="0"/>
          <w:i w:val="0"/>
          <w:color w:val="000000"/>
          <w:sz w:val="24"/>
        </w:rPr>
        <w:t>The formula sheet distinguishes lender-specific measures from conventional industrial ratios. Definitions should be checked against the relevant company report before comparing with another lender.</w:t>
      </w:r>
    </w:p>
    <w:p>
      <w:pPr>
        <w:pStyle w:val="CaptionBlack"/>
        <w:keepNext/>
      </w:pPr>
      <w:r>
        <w:rPr>
          <w:rFonts w:ascii="Times New Roman" w:hAnsi="Times New Roman" w:eastAsia="Times New Roman" w:cs="Times New Roman"/>
          <w:b/>
          <w:color w:val="000000"/>
          <w:sz w:val="22"/>
        </w:rPr>
        <w:t>Table F.2: Selected glossary</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4514"/>
        <w:gridCol w:w="4514"/>
      </w:tblGrid>
      <w:tr>
        <w:trPr>
          <w:cantSplit/>
          <w:tblHeader w:val="true"/>
        </w:trPr>
        <w:tc>
          <w:tcPr>
            <w:tcW w:type="dxa" w:w="4514"/>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Term</w:t>
            </w:r>
          </w:p>
        </w:tc>
        <w:tc>
          <w:tcPr>
            <w:tcW w:type="dxa" w:w="4514"/>
            <w:vAlign w:val="center"/>
            <w:tcMar>
              <w:top w:w="65" w:type="dxa"/>
              <w:start w:w="85" w:type="dxa"/>
              <w:bottom w:w="65" w:type="dxa"/>
              <w:end w:w="85" w:type="dxa"/>
            </w:tcMar>
          </w:tcPr>
          <w:p>
            <w:pPr>
              <w:pStyle w:val="SmallTable"/>
              <w:spacing w:line="240" w:lineRule="auto" w:before="0" w:after="0"/>
              <w:jc w:val="center"/>
            </w:pPr>
            <w:r>
              <w:rPr>
                <w:rFonts w:ascii="Times New Roman" w:hAnsi="Times New Roman" w:eastAsia="Times New Roman" w:cs="Times New Roman"/>
                <w:b/>
                <w:color w:val="000000"/>
                <w:sz w:val="18"/>
              </w:rPr>
              <w:t>Meaning</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AUM</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Assets under management; a company-defined measure that may include on-book and off-book exposures.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ALM</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Asset-liability management; monitoring cash-flow and maturity mismatches.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Co-lending</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A lending arrangement in which an NBFC and a bank jointly fund eligible loans, subject to applicable RBI requirements.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Direct assignment</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Transfer of a pool of loans to an assignee, with servicing and income recognition governed by transaction terms.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ECL</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Expected credit loss provision under the applicable accounting framework.</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FVOCI</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Fair value through other comprehensive income classification for eligible financial assets.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GNPA / NNPA</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Gross / net non-performing assets, as defined by the company and applicable regulatory norms.</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LTV</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Loan-to-value ratio; loan exposure relative to the assessed collateral value.</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NCD / CP</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Non-convertible debenture / commercial paper.</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PCR</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Provision coverage ratio.</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Stage 1 / 2 / 3</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Performing / significant increase in credit risk / credit-impaired categories under the expected-credit-loss framework.</w:t>
            </w:r>
          </w:p>
        </w:tc>
      </w:tr>
      <w:tr>
        <w:trPr>
          <w:cantSplit/>
        </w:trPr>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SARFAESI</w:t>
            </w:r>
          </w:p>
        </w:tc>
        <w:tc>
          <w:tcPr>
            <w:tcW w:type="dxa" w:w="4514"/>
            <w:vAlign w:val="center"/>
            <w:tcMar>
              <w:top w:w="65" w:type="dxa"/>
              <w:start w:w="85" w:type="dxa"/>
              <w:bottom w:w="65" w:type="dxa"/>
              <w:end w:w="85" w:type="dxa"/>
            </w:tcMar>
          </w:tcPr>
          <w:p>
            <w:pPr>
              <w:pStyle w:val="SmallTable"/>
              <w:spacing w:line="240" w:lineRule="auto" w:before="0" w:after="0"/>
              <w:jc w:val="left"/>
            </w:pPr>
            <w:r>
              <w:rPr>
                <w:rFonts w:ascii="Times New Roman" w:hAnsi="Times New Roman" w:eastAsia="Times New Roman" w:cs="Times New Roman"/>
                <w:b w:val="0"/>
                <w:color w:val="000000"/>
                <w:sz w:val="18"/>
              </w:rPr>
              <w:t>Securitisation and Reconstruction of Financial Assets and Enforcement of Security Interest Act.</w:t>
            </w:r>
          </w:p>
        </w:tc>
      </w:tr>
    </w:tbl>
    <w:p>
      <w:pPr>
        <w:pStyle w:val="SourceNote"/>
      </w:pPr>
      <w:r>
        <w:rPr>
          <w:rFonts w:ascii="Times New Roman" w:hAnsi="Times New Roman" w:eastAsia="Times New Roman" w:cs="Times New Roman"/>
          <w:i/>
          <w:color w:val="000000"/>
          <w:sz w:val="18"/>
        </w:rPr>
        <w:t>Source: Definitions follow terms used in the supplied company reports and applicable Indian financial reporting / regulatory usage.</w:t>
      </w:r>
    </w:p>
    <w:p>
      <w:pPr/>
      <w:r>
        <w:rPr>
          <w:rFonts w:ascii="Times New Roman" w:hAnsi="Times New Roman" w:eastAsia="Times New Roman" w:cs="Times New Roman"/>
          <w:b w:val="0"/>
          <w:i w:val="0"/>
          <w:color w:val="000000"/>
          <w:sz w:val="24"/>
        </w:rPr>
        <w:t>The glossary is intended to support reading of the analytical chapters; it does not replace formal statutory or regulatory definitions.</w:t>
      </w:r>
    </w:p>
    <w:sectPr w:rsidR="00FC693F" w:rsidRPr="0006063C" w:rsidSect="00034616">
      <w:footerReference w:type="default" r:id="rId9"/>
      <w:footerReference w:type="first" r:id="rId10"/>
      <w:pgSz w:w="11906" w:h="16838"/>
      <w:pgMar w:top="1296" w:right="1440" w:bottom="1296" w:left="1440" w:header="504" w:footer="518" w:gutter="0"/>
      <w:pgBorders w:offsetFrom="page" w:display="allPages">
        <w:top w:val="single" w:sz="8" w:space="18" w:color="000000"/>
        <w:left w:val="single" w:sz="8" w:space="18" w:color="000000"/>
        <w:bottom w:val="single" w:sz="8" w:space="18" w:color="000000"/>
        <w:right w:val="single" w:sz="8" w:space="18" w:color="000000"/>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Page"/>
      <w:jc w:val="center"/>
    </w:pPr>
    <w:r>
      <w:rPr>
        <w:rFonts w:ascii="Times New Roman" w:hAnsi="Times New Roman" w:eastAsia="Times New Roman" w:cs="Times New Roman"/>
        <w:color w:val="000000"/>
        <w:sz w:val="18"/>
      </w:rPr>
      <w:fldChar w:fldCharType="begin" w:dirty="true"/>
    </w:r>
    <w:r>
      <w:rPr>
        <w:rFonts w:ascii="Times New Roman" w:hAnsi="Times New Roman" w:eastAsia="Times New Roman" w:cs="Times New Roman"/>
        <w:color w:val="000000"/>
        <w:sz w:val="18"/>
      </w:rPr>
      <w:instrText xml:space="preserve"> PAGE </w:instrText>
    </w:r>
    <w:r>
      <w:rPr>
        <w:rFonts w:ascii="Times New Roman" w:hAnsi="Times New Roman" w:eastAsia="Times New Roman" w:cs="Times New Roman"/>
        <w:color w:val="000000"/>
        <w:sz w:val="18"/>
      </w:rPr>
      <w:fldChar w:fldCharType="separate"/>
    </w:r>
    <w:r>
      <w:rPr>
        <w:rFonts w:ascii="Times New Roman" w:hAnsi="Times New Roman" w:eastAsia="Times New Roman" w:cs="Times New Roman"/>
        <w:color w:val="000000"/>
        <w:sz w:val="18"/>
      </w:rPr>
      <w:t>2</w:t>
    </w:r>
    <w:r>
      <w:rPr>
        <w:rFonts w:ascii="Times New Roman" w:hAnsi="Times New Roman" w:eastAsia="Times New Roman" w:cs="Times New Roman"/>
        <w:color w:val="000000"/>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6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320" w:line="240" w:lineRule="auto"/>
      <w:jc w:val="center"/>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jc w:val="left"/>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jc w:val="left"/>
      <w:outlineLvl w:val="2"/>
    </w:pPr>
    <w:rPr>
      <w:rFonts w:asciiTheme="majorHAnsi" w:eastAsiaTheme="majorEastAsia" w:hAnsiTheme="majorHAnsi" w:cstheme="majorBidi"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basedOn w:val="Normal"/>
    <w:pPr>
      <w:spacing w:before="0" w:after="240" w:line="240" w:lineRule="auto"/>
      <w:jc w:val="center"/>
    </w:pPr>
    <w:rPr>
      <w:rFonts w:ascii="Times New Roman" w:hAnsi="Times New Roman" w:eastAsia="Times New Roman" w:cs="Times New Roman"/>
      <w:b/>
      <w:i w:val="0"/>
      <w:color w:val="000000"/>
      <w:sz w:val="28"/>
    </w:rPr>
  </w:style>
  <w:style w:type="paragraph" w:customStyle="1" w:styleId="ChapterIdentifier">
    <w:name w:val="Chapter Identifier"/>
    <w:basedOn w:val="Normal"/>
    <w:pPr>
      <w:spacing w:before="0" w:after="100" w:line="240" w:lineRule="auto"/>
      <w:jc w:val="center"/>
    </w:pPr>
    <w:rPr>
      <w:rFonts w:ascii="Times New Roman" w:hAnsi="Times New Roman" w:eastAsia="Times New Roman" w:cs="Times New Roman"/>
      <w:b/>
      <w:i w:val="0"/>
      <w:color w:val="000000"/>
      <w:sz w:val="28"/>
    </w:rPr>
  </w:style>
  <w:style w:type="paragraph" w:customStyle="1" w:styleId="CaptionBlack">
    <w:name w:val="Caption Black"/>
    <w:basedOn w:val="Normal"/>
    <w:pPr>
      <w:spacing w:before="140" w:after="100" w:line="240" w:lineRule="auto"/>
      <w:jc w:val="center"/>
    </w:pPr>
    <w:rPr>
      <w:rFonts w:ascii="Times New Roman" w:hAnsi="Times New Roman" w:eastAsia="Times New Roman" w:cs="Times New Roman"/>
      <w:b/>
      <w:i w:val="0"/>
      <w:color w:val="000000"/>
      <w:sz w:val="22"/>
    </w:rPr>
  </w:style>
  <w:style w:type="paragraph" w:customStyle="1" w:styleId="SourceNote">
    <w:name w:val="Source Note"/>
    <w:basedOn w:val="Normal"/>
    <w:pPr>
      <w:spacing w:before="40" w:after="100" w:line="240" w:lineRule="auto"/>
      <w:jc w:val="left"/>
    </w:pPr>
    <w:rPr>
      <w:rFonts w:ascii="Times New Roman" w:hAnsi="Times New Roman" w:eastAsia="Times New Roman" w:cs="Times New Roman"/>
      <w:b w:val="0"/>
      <w:i/>
      <w:color w:val="000000"/>
      <w:sz w:val="18"/>
    </w:rPr>
  </w:style>
  <w:style w:type="paragraph" w:customStyle="1" w:styleId="SmallTable">
    <w:name w:val="Small Table"/>
    <w:basedOn w:val="Normal"/>
    <w:pPr>
      <w:spacing w:before="0" w:after="0" w:line="240" w:lineRule="auto"/>
      <w:jc w:val="left"/>
    </w:pPr>
    <w:rPr>
      <w:rFonts w:ascii="Times New Roman" w:hAnsi="Times New Roman" w:eastAsia="Times New Roman" w:cs="Times New Roman"/>
      <w:b w:val="0"/>
      <w:i w:val="0"/>
      <w:color w:val="000000"/>
      <w:sz w:val="18"/>
    </w:rPr>
  </w:style>
  <w:style w:type="paragraph" w:customStyle="1" w:styleId="CoverLine">
    <w:name w:val="Cover Line"/>
    <w:basedOn w:val="Normal"/>
    <w:pPr>
      <w:spacing w:before="0" w:after="80" w:line="240" w:lineRule="auto"/>
      <w:jc w:val="center"/>
    </w:pPr>
    <w:rPr>
      <w:rFonts w:ascii="Times New Roman" w:hAnsi="Times New Roman" w:eastAsia="Times New Roman" w:cs="Times New Roman"/>
      <w:b w:val="0"/>
      <w:i w:val="0"/>
      <w:color w:val="000000"/>
      <w:sz w:val="24"/>
    </w:rPr>
  </w:style>
  <w:style w:type="paragraph" w:customStyle="1" w:styleId="FrontBody">
    <w:name w:val="Front Body"/>
    <w:basedOn w:val="Normal"/>
    <w:pPr>
      <w:spacing w:before="0" w:after="160" w:line="360" w:lineRule="auto"/>
      <w:jc w:val="both"/>
    </w:pPr>
    <w:rPr>
      <w:rFonts w:ascii="Times New Roman" w:hAnsi="Times New Roman" w:eastAsia="Times New Roman" w:cs="Times New Roman"/>
      <w:b w:val="0"/>
      <w:i w:val="0"/>
      <w:color w:val="000000"/>
      <w:sz w:val="24"/>
    </w:rPr>
  </w:style>
  <w:style w:type="paragraph" w:customStyle="1" w:styleId="FooterPage">
    <w:name w:val="Footer Page"/>
    <w:basedOn w:val="Normal"/>
    <w:pPr>
      <w:spacing w:before="0" w:after="0" w:line="240" w:lineRule="auto"/>
      <w:jc w:val="center"/>
    </w:pPr>
    <w:rPr>
      <w:rFonts w:ascii="Times New Roman" w:hAnsi="Times New Roman" w:eastAsia="Times New Roman" w:cs="Times New Roman"/>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 Analysis of Fedbank Financial Services Limited</dc:title>
  <dc:subject>MMS Finance Black Book Project Report</dc:subject>
  <dc:creator>Dattaguru Kallapa Patil</dc:creator>
  <cp:keywords>MMS Finance, Fedbank Financial Services, fundamental analysis, NBFC, black book</cp:keywords>
  <dc:description>Prepared from supplied Fedfina research material and annual reports; formatting follows the supplied Debt Market Black Book.</dc:description>
  <cp:lastModifiedBy/>
  <cp:revision>1</cp:revision>
  <dcterms:created xsi:type="dcterms:W3CDTF">2013-12-23T23:15:00Z</dcterms:created>
  <dcterms:modified xsi:type="dcterms:W3CDTF">2013-12-23T23:15:00Z</dcterms:modified>
  <cp:category/>
</cp:coreProperties>
</file>