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373F" w:rsidRDefault="007F373F">
      <w:pPr>
        <w:spacing w:after="0" w:line="360" w:lineRule="auto"/>
        <w:jc w:val="center"/>
        <w:rPr>
          <w:sz w:val="22"/>
        </w:rPr>
      </w:pPr>
    </w:p>
    <w:p w:rsidR="007F373F" w:rsidRDefault="00000000">
      <w:pPr>
        <w:spacing w:after="0" w:line="360" w:lineRule="auto"/>
        <w:jc w:val="center"/>
      </w:pPr>
      <w:r>
        <w:rPr>
          <w:b/>
          <w:bCs/>
          <w:sz w:val="28"/>
          <w:szCs w:val="28"/>
        </w:rPr>
        <w:t>SUMMER INTERNSHIP REPORT ON</w:t>
      </w:r>
    </w:p>
    <w:p w:rsidR="007F373F" w:rsidRDefault="00000000">
      <w:pPr>
        <w:spacing w:after="0" w:line="360" w:lineRule="auto"/>
        <w:jc w:val="center"/>
      </w:pPr>
      <w:r>
        <w:rPr>
          <w:b/>
          <w:bCs/>
          <w:sz w:val="28"/>
          <w:szCs w:val="28"/>
        </w:rPr>
        <w:t>FUNDAMENTAL ANALYSIS OF</w:t>
      </w:r>
    </w:p>
    <w:p w:rsidR="007F373F" w:rsidRDefault="00000000">
      <w:pPr>
        <w:spacing w:after="0" w:line="360" w:lineRule="auto"/>
        <w:jc w:val="center"/>
      </w:pPr>
      <w:r>
        <w:rPr>
          <w:b/>
          <w:bCs/>
          <w:sz w:val="28"/>
          <w:szCs w:val="28"/>
        </w:rPr>
        <w:t>FEDBANK FINANCIAL SERVICES LIMITED</w:t>
      </w:r>
    </w:p>
    <w:p w:rsidR="007F373F" w:rsidRDefault="00000000">
      <w:pPr>
        <w:spacing w:after="0" w:line="360" w:lineRule="auto"/>
        <w:jc w:val="center"/>
      </w:pPr>
      <w:r>
        <w:rPr>
          <w:b/>
          <w:bCs/>
          <w:sz w:val="28"/>
          <w:szCs w:val="28"/>
        </w:rPr>
        <w:t>Submitted in partial fulfilment for the award of the degree of</w:t>
      </w:r>
    </w:p>
    <w:p w:rsidR="007F373F" w:rsidRDefault="00000000">
      <w:pPr>
        <w:spacing w:after="0" w:line="360" w:lineRule="auto"/>
        <w:jc w:val="center"/>
      </w:pPr>
      <w:r>
        <w:rPr>
          <w:b/>
          <w:bCs/>
          <w:sz w:val="28"/>
          <w:szCs w:val="28"/>
        </w:rPr>
        <w:t>MASTER OF MANAGEMENT STUDIES</w:t>
      </w:r>
    </w:p>
    <w:p w:rsidR="007F373F" w:rsidRDefault="00000000">
      <w:pPr>
        <w:spacing w:after="0" w:line="360" w:lineRule="auto"/>
        <w:jc w:val="center"/>
      </w:pPr>
      <w:r>
        <w:rPr>
          <w:b/>
          <w:bCs/>
          <w:sz w:val="28"/>
          <w:szCs w:val="28"/>
        </w:rPr>
        <w:t>FINANCE</w:t>
      </w:r>
    </w:p>
    <w:p w:rsidR="007F373F" w:rsidRDefault="007F373F">
      <w:pPr>
        <w:spacing w:after="0" w:line="240" w:lineRule="auto"/>
        <w:jc w:val="center"/>
        <w:rPr>
          <w:b/>
          <w:sz w:val="30"/>
        </w:rPr>
      </w:pPr>
    </w:p>
    <w:p w:rsidR="007F373F" w:rsidRDefault="007F373F">
      <w:pPr>
        <w:spacing w:after="0" w:line="240" w:lineRule="auto"/>
        <w:jc w:val="center"/>
        <w:rPr>
          <w:b/>
          <w:sz w:val="30"/>
        </w:rPr>
      </w:pPr>
    </w:p>
    <w:p w:rsidR="007F373F" w:rsidRDefault="00000000">
      <w:pPr>
        <w:spacing w:after="0" w:line="240" w:lineRule="auto"/>
        <w:jc w:val="center"/>
      </w:pPr>
      <w:r>
        <w:rPr>
          <w:b/>
          <w:bCs/>
          <w:sz w:val="28"/>
          <w:szCs w:val="28"/>
        </w:rPr>
        <w:t>UNIVERSITY OF MUMBAI</w:t>
      </w:r>
    </w:p>
    <w:p w:rsidR="007F373F" w:rsidRDefault="007F373F">
      <w:pPr>
        <w:spacing w:after="0" w:line="240" w:lineRule="auto"/>
        <w:jc w:val="center"/>
        <w:rPr>
          <w:b/>
          <w:sz w:val="28"/>
        </w:rPr>
      </w:pPr>
    </w:p>
    <w:p w:rsidR="007F373F" w:rsidRDefault="00000000">
      <w:pPr>
        <w:spacing w:after="0" w:line="360" w:lineRule="auto"/>
        <w:ind w:left="1500"/>
        <w:jc w:val="center"/>
      </w:pPr>
      <w:r>
        <w:rPr>
          <w:b/>
          <w:bCs/>
          <w:sz w:val="28"/>
          <w:szCs w:val="28"/>
        </w:rPr>
        <w:t>Submitted by</w:t>
      </w:r>
    </w:p>
    <w:p w:rsidR="007F373F" w:rsidRDefault="00000000">
      <w:pPr>
        <w:spacing w:after="0" w:line="360" w:lineRule="auto"/>
        <w:jc w:val="center"/>
      </w:pPr>
      <w:r>
        <w:rPr>
          <w:b/>
          <w:bCs/>
          <w:sz w:val="28"/>
          <w:szCs w:val="28"/>
        </w:rPr>
        <w:t>DATTAGURU KALLAPA PATIL</w:t>
      </w:r>
    </w:p>
    <w:p w:rsidR="007F373F" w:rsidRDefault="00000000">
      <w:pPr>
        <w:spacing w:after="0" w:line="360" w:lineRule="auto"/>
        <w:jc w:val="center"/>
      </w:pPr>
      <w:r>
        <w:rPr>
          <w:b/>
          <w:bCs/>
          <w:sz w:val="28"/>
          <w:szCs w:val="28"/>
        </w:rPr>
        <w:t>ROLL NO: M-16144</w:t>
      </w:r>
    </w:p>
    <w:p w:rsidR="007F373F" w:rsidRDefault="007F373F">
      <w:pPr>
        <w:spacing w:after="0" w:line="240" w:lineRule="auto"/>
        <w:jc w:val="center"/>
        <w:rPr>
          <w:b/>
          <w:sz w:val="30"/>
        </w:rPr>
      </w:pPr>
    </w:p>
    <w:p w:rsidR="007F373F" w:rsidRDefault="007F373F">
      <w:pPr>
        <w:spacing w:after="0" w:line="240" w:lineRule="auto"/>
        <w:jc w:val="center"/>
        <w:rPr>
          <w:b/>
          <w:sz w:val="30"/>
        </w:rPr>
      </w:pPr>
    </w:p>
    <w:p w:rsidR="007F373F" w:rsidRDefault="00000000">
      <w:pPr>
        <w:spacing w:after="0" w:line="240" w:lineRule="auto"/>
        <w:jc w:val="center"/>
      </w:pPr>
      <w:r>
        <w:rPr>
          <w:b/>
          <w:bCs/>
          <w:sz w:val="28"/>
          <w:szCs w:val="28"/>
        </w:rPr>
        <w:t>2026-2027</w:t>
      </w:r>
    </w:p>
    <w:p w:rsidR="007F373F" w:rsidRDefault="007F373F">
      <w:pPr>
        <w:spacing w:after="0" w:line="240" w:lineRule="auto"/>
        <w:jc w:val="center"/>
        <w:rPr>
          <w:b/>
          <w:sz w:val="30"/>
        </w:rPr>
      </w:pPr>
    </w:p>
    <w:p w:rsidR="007F373F" w:rsidRDefault="007F373F">
      <w:pPr>
        <w:spacing w:after="0" w:line="240" w:lineRule="auto"/>
        <w:jc w:val="center"/>
        <w:rPr>
          <w:b/>
          <w:sz w:val="30"/>
        </w:rPr>
      </w:pPr>
    </w:p>
    <w:p w:rsidR="007F373F" w:rsidRDefault="00000000">
      <w:pPr>
        <w:spacing w:after="0" w:line="360" w:lineRule="auto"/>
        <w:jc w:val="center"/>
      </w:pPr>
      <w:r>
        <w:rPr>
          <w:b/>
          <w:bCs/>
          <w:sz w:val="28"/>
          <w:szCs w:val="28"/>
        </w:rPr>
        <w:t>Under The Guidance of</w:t>
      </w:r>
    </w:p>
    <w:p w:rsidR="007F373F" w:rsidRDefault="00000000">
      <w:pPr>
        <w:spacing w:after="0" w:line="360" w:lineRule="auto"/>
        <w:jc w:val="center"/>
      </w:pPr>
      <w:r>
        <w:rPr>
          <w:b/>
          <w:bCs/>
          <w:sz w:val="28"/>
          <w:szCs w:val="28"/>
        </w:rPr>
        <w:t>DR. RAHUL N. WADEKAR</w:t>
      </w:r>
    </w:p>
    <w:p w:rsidR="007F373F" w:rsidRDefault="00000000">
      <w:pPr>
        <w:spacing w:after="0" w:line="360" w:lineRule="auto"/>
        <w:jc w:val="center"/>
      </w:pPr>
      <w:r>
        <w:rPr>
          <w:b/>
          <w:bCs/>
          <w:sz w:val="28"/>
          <w:szCs w:val="28"/>
        </w:rPr>
        <w:t>DR. PRASAD SUPEKAR</w:t>
      </w:r>
    </w:p>
    <w:p w:rsidR="007F373F" w:rsidRDefault="007F373F">
      <w:pPr>
        <w:spacing w:after="0" w:line="240" w:lineRule="auto"/>
        <w:jc w:val="center"/>
        <w:rPr>
          <w:b/>
          <w:sz w:val="20"/>
        </w:rPr>
      </w:pPr>
    </w:p>
    <w:p w:rsidR="007F373F" w:rsidRDefault="00000000">
      <w:pPr>
        <w:spacing w:after="60" w:line="240" w:lineRule="auto"/>
        <w:jc w:val="center"/>
      </w:pPr>
      <w:r>
        <w:rPr>
          <w:noProof/>
        </w:rPr>
        <w:drawing>
          <wp:inline distT="0" distB="0" distL="0" distR="0">
            <wp:extent cx="1485900" cy="1308100"/>
            <wp:effectExtent l="0" t="0" r="0" b="0"/>
            <wp:docPr id="901" name="D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DES logo"/>
                    <pic:cNvPicPr/>
                  </pic:nvPicPr>
                  <pic:blipFill>
                    <a:blip r:embed="rId8"/>
                    <a:stretch>
                      <a:fillRect/>
                    </a:stretch>
                  </pic:blipFill>
                  <pic:spPr>
                    <a:xfrm>
                      <a:off x="0" y="0"/>
                      <a:ext cx="1485900" cy="1308100"/>
                    </a:xfrm>
                    <a:prstGeom prst="rect">
                      <a:avLst/>
                    </a:prstGeom>
                  </pic:spPr>
                </pic:pic>
              </a:graphicData>
            </a:graphic>
          </wp:inline>
        </w:drawing>
      </w:r>
    </w:p>
    <w:p w:rsidR="007F373F" w:rsidRDefault="00000000">
      <w:pPr>
        <w:spacing w:before="100" w:after="0" w:line="240" w:lineRule="auto"/>
        <w:jc w:val="center"/>
      </w:pPr>
      <w:r>
        <w:rPr>
          <w:b/>
          <w:bCs/>
          <w:sz w:val="28"/>
          <w:szCs w:val="28"/>
        </w:rPr>
        <w:t>DES’S NAVINCHANDRA MEHTA INSTITUTE OF TECHNOLOGY</w:t>
      </w:r>
      <w:r>
        <w:rPr>
          <w:b/>
          <w:sz w:val="28"/>
        </w:rPr>
        <w:br/>
      </w:r>
      <w:r>
        <w:rPr>
          <w:b/>
          <w:bCs/>
          <w:sz w:val="28"/>
          <w:szCs w:val="28"/>
        </w:rPr>
        <w:t>AND DEVELOPMENT, MUMBAI – 400028</w:t>
      </w:r>
    </w:p>
    <w:p w:rsidR="007F373F" w:rsidRDefault="00000000">
      <w:pPr>
        <w:pageBreakBefore/>
        <w:spacing w:after="0" w:line="240" w:lineRule="auto"/>
        <w:ind w:left="300"/>
        <w:jc w:val="left"/>
      </w:pPr>
      <w:r>
        <w:rPr>
          <w:noProof/>
        </w:rPr>
        <w:lastRenderedPageBreak/>
        <w:drawing>
          <wp:inline distT="0" distB="0" distL="0" distR="0">
            <wp:extent cx="4953000" cy="1104900"/>
            <wp:effectExtent l="0" t="0" r="0" b="0"/>
            <wp:docPr id="902" name="NMITD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NMITD banner"/>
                    <pic:cNvPicPr/>
                  </pic:nvPicPr>
                  <pic:blipFill>
                    <a:blip r:embed="rId9"/>
                    <a:stretch>
                      <a:fillRect/>
                    </a:stretch>
                  </pic:blipFill>
                  <pic:spPr>
                    <a:xfrm>
                      <a:off x="0" y="0"/>
                      <a:ext cx="4953000" cy="1104900"/>
                    </a:xfrm>
                    <a:prstGeom prst="rect">
                      <a:avLst/>
                    </a:prstGeom>
                  </pic:spPr>
                </pic:pic>
              </a:graphicData>
            </a:graphic>
          </wp:inline>
        </w:drawing>
      </w:r>
    </w:p>
    <w:p w:rsidR="007F373F" w:rsidRDefault="00000000">
      <w:pPr>
        <w:spacing w:before="560" w:after="140" w:line="240" w:lineRule="auto"/>
        <w:jc w:val="center"/>
      </w:pPr>
      <w:r>
        <w:rPr>
          <w:b/>
          <w:bCs/>
          <w:sz w:val="28"/>
          <w:szCs w:val="28"/>
          <w:u w:val="single"/>
        </w:rPr>
        <w:t>CERTIFICATE</w:t>
      </w:r>
    </w:p>
    <w:p w:rsidR="007F373F" w:rsidRDefault="00000000">
      <w:pPr>
        <w:spacing w:after="0" w:line="360" w:lineRule="auto"/>
        <w:ind w:left="1080" w:right="290"/>
      </w:pPr>
      <w:r>
        <w:t xml:space="preserve">This is to certify that the summer internship report titled “Fundamental Analysis of Fedbank Financial Services Limited” submitted in partial fulfilment for MMS Degree Examination (Finance specialisation) of the University of Mumbai by </w:t>
      </w:r>
      <w:r>
        <w:rPr>
          <w:b/>
          <w:bCs/>
        </w:rPr>
        <w:t>Mr. Dattaguru Kallapa Patil</w:t>
      </w:r>
      <w:r>
        <w:t xml:space="preserve"> (Roll No. M-16144) is a record of Research work carried out by the student during the academic year </w:t>
      </w:r>
      <w:r>
        <w:rPr>
          <w:b/>
          <w:bCs/>
        </w:rPr>
        <w:t>2026 to 2027</w:t>
      </w:r>
      <w:r>
        <w:t xml:space="preserve"> under my guidance, and has been found satisfactory. The project work is original, is based on published information of the company and the sector, and has not been submitted earlier for the award of any degree, diploma or associateship of any other University/Institute.</w:t>
      </w:r>
    </w:p>
    <w:p w:rsidR="007F373F" w:rsidRDefault="007F373F">
      <w:pPr>
        <w:spacing w:after="0" w:line="360" w:lineRule="auto"/>
        <w:jc w:val="center"/>
      </w:pPr>
    </w:p>
    <w:tbl>
      <w:tblPr>
        <w:tblW w:w="8300" w:type="dxa"/>
        <w:tblInd w:w="1080" w:type="dxa"/>
        <w:tblLayout w:type="fixed"/>
        <w:tblCellMar>
          <w:left w:w="0" w:type="dxa"/>
          <w:right w:w="0" w:type="dxa"/>
        </w:tblCellMar>
        <w:tblLook w:val="04A0" w:firstRow="1" w:lastRow="0" w:firstColumn="1" w:lastColumn="0" w:noHBand="0" w:noVBand="1"/>
      </w:tblPr>
      <w:tblGrid>
        <w:gridCol w:w="2800"/>
        <w:gridCol w:w="2340"/>
        <w:gridCol w:w="3160"/>
      </w:tblGrid>
      <w:tr w:rsidR="007F373F">
        <w:trPr>
          <w:trHeight w:hRule="exact" w:val="2400"/>
        </w:trPr>
        <w:tc>
          <w:tcPr>
            <w:tcW w:w="2800" w:type="dxa"/>
            <w:tcBorders>
              <w:top w:val="nil"/>
              <w:left w:val="nil"/>
              <w:bottom w:val="nil"/>
              <w:right w:val="nil"/>
            </w:tcBorders>
            <w:vAlign w:val="bottom"/>
          </w:tcPr>
          <w:p w:rsidR="007F373F" w:rsidRDefault="00000000">
            <w:pPr>
              <w:spacing w:after="0" w:line="240" w:lineRule="auto"/>
              <w:jc w:val="left"/>
            </w:pPr>
            <w:r>
              <w:rPr>
                <w:b/>
                <w:bCs/>
              </w:rPr>
              <w:t>---------------------------</w:t>
            </w:r>
          </w:p>
        </w:tc>
        <w:tc>
          <w:tcPr>
            <w:tcW w:w="2340" w:type="dxa"/>
            <w:tcBorders>
              <w:top w:val="single" w:sz="4" w:space="0" w:color="000000"/>
              <w:left w:val="single" w:sz="4" w:space="0" w:color="000000"/>
              <w:bottom w:val="single" w:sz="4" w:space="0" w:color="000000"/>
              <w:right w:val="single" w:sz="4" w:space="0" w:color="000000"/>
            </w:tcBorders>
            <w:tcMar>
              <w:left w:w="160" w:type="dxa"/>
            </w:tcMar>
          </w:tcPr>
          <w:p w:rsidR="007F373F" w:rsidRDefault="00000000">
            <w:pPr>
              <w:spacing w:after="0" w:line="240" w:lineRule="auto"/>
              <w:jc w:val="left"/>
            </w:pPr>
            <w:r>
              <w:rPr>
                <w:rFonts w:ascii="Calibri" w:hAnsi="Calibri" w:cs="Calibri"/>
                <w:sz w:val="22"/>
                <w:szCs w:val="22"/>
              </w:rPr>
              <w:t>COLLEGE STAMP HERE</w:t>
            </w:r>
          </w:p>
        </w:tc>
        <w:tc>
          <w:tcPr>
            <w:tcW w:w="3160" w:type="dxa"/>
            <w:tcBorders>
              <w:top w:val="nil"/>
              <w:left w:val="nil"/>
              <w:bottom w:val="nil"/>
              <w:right w:val="nil"/>
            </w:tcBorders>
            <w:vAlign w:val="bottom"/>
          </w:tcPr>
          <w:p w:rsidR="007F373F" w:rsidRDefault="00000000">
            <w:pPr>
              <w:spacing w:after="0" w:line="240" w:lineRule="auto"/>
              <w:ind w:left="440"/>
              <w:jc w:val="left"/>
            </w:pPr>
            <w:r>
              <w:rPr>
                <w:b/>
                <w:bCs/>
              </w:rPr>
              <w:t>---------------------------</w:t>
            </w:r>
          </w:p>
        </w:tc>
      </w:tr>
    </w:tbl>
    <w:p w:rsidR="007F373F" w:rsidRDefault="00000000">
      <w:pPr>
        <w:tabs>
          <w:tab w:val="center" w:pos="7720"/>
        </w:tabs>
        <w:spacing w:before="160" w:after="0" w:line="360" w:lineRule="auto"/>
        <w:ind w:left="1080"/>
        <w:jc w:val="left"/>
      </w:pPr>
      <w:r>
        <w:rPr>
          <w:b/>
          <w:bCs/>
        </w:rPr>
        <w:tab/>
        <w:t>Dr. Rahul N. Wadekar</w:t>
      </w:r>
    </w:p>
    <w:p w:rsidR="007F373F" w:rsidRDefault="00000000">
      <w:pPr>
        <w:tabs>
          <w:tab w:val="center" w:pos="7720"/>
        </w:tabs>
        <w:spacing w:after="0" w:line="360" w:lineRule="auto"/>
        <w:ind w:left="1080"/>
        <w:jc w:val="left"/>
      </w:pPr>
      <w:r>
        <w:rPr>
          <w:b/>
          <w:bCs/>
        </w:rPr>
        <w:t>Dr. Rasika Mallya</w:t>
      </w:r>
      <w:r>
        <w:rPr>
          <w:b/>
          <w:bCs/>
        </w:rPr>
        <w:tab/>
        <w:t>Dr. Prasad Supekar</w:t>
      </w:r>
    </w:p>
    <w:p w:rsidR="007F373F" w:rsidRDefault="00000000">
      <w:pPr>
        <w:tabs>
          <w:tab w:val="center" w:pos="7720"/>
        </w:tabs>
        <w:spacing w:after="0" w:line="360" w:lineRule="auto"/>
        <w:ind w:left="1080"/>
        <w:jc w:val="left"/>
      </w:pPr>
      <w:r>
        <w:rPr>
          <w:b/>
          <w:bCs/>
        </w:rPr>
        <w:t>DIRECTOR</w:t>
      </w:r>
      <w:r>
        <w:rPr>
          <w:b/>
          <w:bCs/>
        </w:rPr>
        <w:tab/>
        <w:t>PROJECT GUIDES</w:t>
      </w:r>
    </w:p>
    <w:p w:rsidR="007F373F" w:rsidRDefault="00000000">
      <w:pPr>
        <w:pBdr>
          <w:top w:val="single" w:sz="6" w:space="4" w:color="000000"/>
        </w:pBdr>
        <w:spacing w:before="1000" w:after="0" w:line="240" w:lineRule="auto"/>
        <w:ind w:left="3480" w:right="3150"/>
        <w:jc w:val="center"/>
      </w:pPr>
      <w:r>
        <w:rPr>
          <w:b/>
          <w:bCs/>
        </w:rPr>
        <w:t>EXTERNAL EXAMINER</w:t>
      </w:r>
    </w:p>
    <w:p w:rsidR="007F373F" w:rsidRDefault="00AD19DE">
      <w:pPr>
        <w:pageBreakBefore/>
        <w:spacing w:before="3200" w:after="240" w:line="360" w:lineRule="auto"/>
        <w:jc w:val="center"/>
      </w:pPr>
      <w:r>
        <w:rPr>
          <w:noProof/>
        </w:rPr>
        <w:lastRenderedPageBreak/>
        <w:drawing>
          <wp:anchor distT="0" distB="0" distL="114300" distR="114300" simplePos="0" relativeHeight="251658240" behindDoc="0" locked="0" layoutInCell="1" allowOverlap="1">
            <wp:simplePos x="0" y="0"/>
            <wp:positionH relativeFrom="column">
              <wp:posOffset>-209550</wp:posOffset>
            </wp:positionH>
            <wp:positionV relativeFrom="paragraph">
              <wp:posOffset>-285750</wp:posOffset>
            </wp:positionV>
            <wp:extent cx="6648450" cy="9217685"/>
            <wp:effectExtent l="0" t="0" r="0" b="2540"/>
            <wp:wrapNone/>
            <wp:docPr id="186642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28240" name="Picture 1866428240"/>
                    <pic:cNvPicPr/>
                  </pic:nvPicPr>
                  <pic:blipFill rotWithShape="1">
                    <a:blip r:embed="rId10"/>
                    <a:srcRect l="2296" t="5049" b="18755"/>
                    <a:stretch>
                      <a:fillRect/>
                    </a:stretch>
                  </pic:blipFill>
                  <pic:spPr bwMode="auto">
                    <a:xfrm>
                      <a:off x="0" y="0"/>
                      <a:ext cx="6648450" cy="9217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bCs/>
          <w:u w:val="single"/>
        </w:rPr>
        <w:t>EXPERIENCE / RELIEVING CERTIFICATE</w:t>
      </w:r>
    </w:p>
    <w:p w:rsidR="007F373F" w:rsidRDefault="00000000">
      <w:pPr>
        <w:spacing w:after="0" w:line="360" w:lineRule="auto"/>
        <w:jc w:val="center"/>
      </w:pPr>
      <w:r>
        <w:rPr>
          <w:i/>
          <w:iCs/>
          <w:color w:val="7F7F7F"/>
        </w:rPr>
        <w:t>[ Paste the scanned image of your internship / experience certificate on this page ]</w:t>
      </w:r>
    </w:p>
    <w:p w:rsidR="007F373F" w:rsidRDefault="00000000">
      <w:pPr>
        <w:spacing w:after="0" w:line="300" w:lineRule="auto"/>
        <w:jc w:val="center"/>
      </w:pPr>
      <w:r>
        <w:rPr>
          <w:i/>
          <w:iCs/>
          <w:color w:val="7F7F7F"/>
          <w:sz w:val="20"/>
          <w:szCs w:val="20"/>
        </w:rPr>
        <w:t>(In the reference report this page holds the scanned certificate issued by the host organisation.)</w:t>
      </w:r>
    </w:p>
    <w:p w:rsidR="007F373F" w:rsidRDefault="00000000">
      <w:pPr>
        <w:pageBreakBefore/>
        <w:spacing w:before="1300" w:after="300" w:line="360" w:lineRule="auto"/>
        <w:ind w:right="1670"/>
        <w:jc w:val="center"/>
      </w:pPr>
      <w:r>
        <w:rPr>
          <w:sz w:val="22"/>
          <w:szCs w:val="22"/>
          <w:u w:val="single"/>
        </w:rPr>
        <w:lastRenderedPageBreak/>
        <w:t>DECLARATION</w:t>
      </w:r>
    </w:p>
    <w:p w:rsidR="007F373F" w:rsidRDefault="00000000">
      <w:pPr>
        <w:spacing w:line="360" w:lineRule="auto"/>
        <w:ind w:left="360" w:right="290"/>
      </w:pPr>
      <w:r>
        <w:t>I hereby declare that this project report, submitted to DES’s Navinchandra Mehta Institute of Technology and Development in partial fulfilment of the requirements for the award of the degree of Master of Management Studies (Finance) of the University of Mumbai, is my bona fide work. It has not been submitted to any other University or Institute for the award of any degree, diploma or certificate, nor has it been published anywhere before.</w:t>
      </w:r>
    </w:p>
    <w:p w:rsidR="007F373F" w:rsidRDefault="00000000">
      <w:pPr>
        <w:spacing w:line="360" w:lineRule="auto"/>
        <w:ind w:left="360" w:right="290"/>
      </w:pPr>
      <w:r>
        <w:t>The analysis has been prepared purely for academic purposes from publicly available information, principally the Annual Reports of Fedbank Financial Services Limited for the financial years 2023–24, 2024–25 and 2025–26, together with regulatory material of the Reserve Bank of India and publicly reported results of peer companies. Every figure used in the report is traceable to one of these sources; where a figure has been computed by me from reported numbers it is marked as “derived”. No figure has been estimated, assumed or fabricated.</w:t>
      </w:r>
    </w:p>
    <w:p w:rsidR="007F373F" w:rsidRDefault="00000000">
      <w:pPr>
        <w:spacing w:line="360" w:lineRule="auto"/>
        <w:ind w:left="360" w:right="290"/>
      </w:pPr>
      <w:r>
        <w:t>The report does not constitute investment advice, a credit opinion or a valuation, and the views expressed are my own and do not represent the views of the company, its parent or the Institute.</w:t>
      </w:r>
    </w:p>
    <w:p w:rsidR="007F373F" w:rsidRDefault="00000000">
      <w:pPr>
        <w:tabs>
          <w:tab w:val="left" w:pos="6560"/>
        </w:tabs>
        <w:spacing w:before="500" w:after="0" w:line="360" w:lineRule="auto"/>
        <w:ind w:left="360"/>
        <w:jc w:val="left"/>
      </w:pPr>
      <w:r>
        <w:t>Name : Dattaguru Kallapa Patil</w:t>
      </w:r>
      <w:r>
        <w:tab/>
        <w:t>Signature</w:t>
      </w:r>
    </w:p>
    <w:p w:rsidR="007F373F" w:rsidRDefault="00000000">
      <w:pPr>
        <w:tabs>
          <w:tab w:val="left" w:pos="6560"/>
        </w:tabs>
        <w:spacing w:after="0" w:line="360" w:lineRule="auto"/>
        <w:ind w:left="360"/>
        <w:jc w:val="left"/>
      </w:pPr>
      <w:r>
        <w:t>Roll No. M-16144</w:t>
      </w:r>
      <w:r>
        <w:tab/>
        <w:t>(Dattaguru Kallapa Patil)</w:t>
      </w:r>
    </w:p>
    <w:p w:rsidR="007F373F" w:rsidRDefault="00000000">
      <w:pPr>
        <w:pageBreakBefore/>
        <w:spacing w:after="240" w:line="240" w:lineRule="auto"/>
        <w:jc w:val="center"/>
      </w:pPr>
      <w:r>
        <w:rPr>
          <w:b/>
          <w:bCs/>
          <w:sz w:val="28"/>
          <w:szCs w:val="28"/>
          <w:u w:val="single"/>
        </w:rPr>
        <w:lastRenderedPageBreak/>
        <w:t>ACKNOWLEDGEMENT</w:t>
      </w:r>
    </w:p>
    <w:p w:rsidR="007F373F" w:rsidRDefault="00000000">
      <w:pPr>
        <w:spacing w:after="240" w:line="360" w:lineRule="auto"/>
        <w:ind w:left="-300" w:right="-200"/>
        <w:jc w:val="center"/>
      </w:pPr>
      <w:r>
        <w:rPr>
          <w:sz w:val="28"/>
          <w:szCs w:val="28"/>
        </w:rPr>
        <w:t>I express my sincere gratitude to my project guides, Dr. Rahul N. Wadekar and Dr. Prasad Supekar, for their continuous guidance, critical feedback and encouragement throughout the preparation of this report. Their insistence that every claim be supported by a disclosed number has shaped the discipline with which this report has been written.</w:t>
      </w:r>
    </w:p>
    <w:p w:rsidR="007F373F" w:rsidRDefault="00000000">
      <w:pPr>
        <w:spacing w:after="240" w:line="360" w:lineRule="auto"/>
        <w:ind w:left="-300" w:right="-200"/>
        <w:jc w:val="center"/>
      </w:pPr>
      <w:r>
        <w:rPr>
          <w:sz w:val="28"/>
          <w:szCs w:val="28"/>
        </w:rPr>
        <w:t>I thank Dr. Rasika Mallya, Director, DES’s Navinchandra Mehta Institute of Technology and Development, and all faculty members of the Finance specialisation for providing the academic environment, library resources and database access required for this work. I am also grateful to the Institute’s library staff for help with locating regulatory circulars and rating-agency publications.</w:t>
      </w:r>
    </w:p>
    <w:p w:rsidR="007F373F" w:rsidRDefault="00000000">
      <w:pPr>
        <w:spacing w:after="240" w:line="360" w:lineRule="auto"/>
        <w:ind w:left="-300" w:right="-200"/>
        <w:jc w:val="center"/>
      </w:pPr>
      <w:r>
        <w:rPr>
          <w:sz w:val="28"/>
          <w:szCs w:val="28"/>
        </w:rPr>
        <w:t>The project would not have been possible without the detailed public disclosures of Fedbank Financial Services Limited. The Corporate Overview, Management Discussion and Analysis, Directors’ Report, Corporate Governance Report, Business Responsibility and Sustainability Report and the audited financial statements for FY 2023–24, FY 2024–25 and FY 2025–26 have been the backbone of this analysis. I acknowledge the company, its Board and its statutory auditors as the source of the data used.</w:t>
      </w:r>
    </w:p>
    <w:p w:rsidR="007F373F" w:rsidRDefault="00000000">
      <w:pPr>
        <w:spacing w:after="240" w:line="360" w:lineRule="auto"/>
        <w:ind w:left="-300" w:right="-200"/>
        <w:jc w:val="center"/>
      </w:pPr>
      <w:r>
        <w:rPr>
          <w:sz w:val="28"/>
          <w:szCs w:val="28"/>
        </w:rPr>
        <w:t>I thank the Reserve Bank of India, the Securities and Exchange Board of India, the Ministry of Statistics and Programme Implementation and the credit-rating agencies whose publications are cited in the sector chapters. Finally, I thank my family and classmates for their patience and support during the summer internship period.</w:t>
      </w:r>
    </w:p>
    <w:p w:rsidR="007F373F" w:rsidRDefault="00000000">
      <w:pPr>
        <w:spacing w:before="120" w:after="0" w:line="360" w:lineRule="auto"/>
        <w:ind w:left="-300" w:right="-200"/>
        <w:jc w:val="right"/>
      </w:pPr>
      <w:r>
        <w:rPr>
          <w:b/>
          <w:bCs/>
          <w:sz w:val="28"/>
          <w:szCs w:val="28"/>
        </w:rPr>
        <w:t>Dattaguru Kallapa Patil</w:t>
      </w:r>
    </w:p>
    <w:p w:rsidR="007F373F" w:rsidRDefault="00000000">
      <w:pPr>
        <w:spacing w:after="0" w:line="360" w:lineRule="auto"/>
        <w:ind w:left="-300" w:right="-200"/>
        <w:jc w:val="right"/>
      </w:pPr>
      <w:r>
        <w:rPr>
          <w:i/>
          <w:iCs/>
        </w:rPr>
        <w:t>Roll No. M-16144  |  MMS (Finance) 2026–27</w:t>
      </w:r>
    </w:p>
    <w:p w:rsidR="007F373F" w:rsidRDefault="00000000">
      <w:pPr>
        <w:pageBreakBefore/>
        <w:spacing w:after="240" w:line="240" w:lineRule="auto"/>
        <w:jc w:val="center"/>
      </w:pPr>
      <w:r>
        <w:rPr>
          <w:b/>
          <w:bCs/>
          <w:sz w:val="28"/>
          <w:szCs w:val="28"/>
          <w:u w:val="single"/>
        </w:rPr>
        <w:lastRenderedPageBreak/>
        <w:t>EXECUTIVE SUMMARY</w:t>
      </w:r>
    </w:p>
    <w:p w:rsidR="007F373F" w:rsidRDefault="00000000">
      <w:pPr>
        <w:spacing w:after="160" w:line="320" w:lineRule="auto"/>
        <w:ind w:left="-300" w:right="-200"/>
        <w:jc w:val="center"/>
      </w:pPr>
      <w:r>
        <w:t>This report presents a fundamental analysis of Fedbank Financial Services Limited (“Fedfina”), a Mumbai-headquartered, NSE/BSE-listed non-banking financial company (NBFC) and a 60.79%-owned subsidiary of The Federal Bank Limited. The study follows the Economy–Industry–Company (E-I-C) approach: it first describes the Indian NBFC sector, the gold-loan and mortgage markets and the regulatory framework; then the organisation, its products and distribution; and finally its five-year financial performance, risk profile and strategic position. The analysis draws on the company’s annual reports for FY 2023–24, FY 2024–25 and FY 2025–26, which together provide a continuous eight-year series for key indicators.</w:t>
      </w:r>
    </w:p>
    <w:tbl>
      <w:tblPr>
        <w:tblW w:w="0" w:type="auto"/>
        <w:jc w:val="center"/>
        <w:tblCellMar>
          <w:top w:w="40" w:type="dxa"/>
          <w:left w:w="60" w:type="dxa"/>
          <w:bottom w:w="40" w:type="dxa"/>
          <w:right w:w="60" w:type="dxa"/>
        </w:tblCellMar>
        <w:tblLook w:val="04A0" w:firstRow="1" w:lastRow="0" w:firstColumn="1" w:lastColumn="0" w:noHBand="0" w:noVBand="1"/>
      </w:tblPr>
      <w:tblGrid>
        <w:gridCol w:w="2436"/>
        <w:gridCol w:w="2436"/>
        <w:gridCol w:w="2436"/>
        <w:gridCol w:w="2436"/>
      </w:tblGrid>
      <w:tr w:rsidR="007F373F">
        <w:trPr>
          <w:jc w:val="center"/>
        </w:trPr>
        <w:tc>
          <w:tcPr>
            <w:tcW w:w="2436" w:type="dxa"/>
          </w:tcPr>
          <w:p w:rsidR="007F373F" w:rsidRDefault="00000000">
            <w:pPr>
              <w:spacing w:after="0"/>
              <w:jc w:val="center"/>
            </w:pPr>
            <w:r>
              <w:rPr>
                <w:b/>
                <w:sz w:val="26"/>
              </w:rPr>
              <w:t>₹20,153 cr</w:t>
            </w:r>
          </w:p>
          <w:p w:rsidR="007F373F" w:rsidRDefault="00000000">
            <w:pPr>
              <w:spacing w:after="0"/>
              <w:jc w:val="center"/>
            </w:pPr>
            <w:r>
              <w:rPr>
                <w:sz w:val="18"/>
              </w:rPr>
              <w:t>AUM, 31 Mar 2026 (+27.5% YoY)</w:t>
            </w:r>
          </w:p>
        </w:tc>
        <w:tc>
          <w:tcPr>
            <w:tcW w:w="2436" w:type="dxa"/>
          </w:tcPr>
          <w:p w:rsidR="007F373F" w:rsidRDefault="00000000">
            <w:pPr>
              <w:spacing w:after="0"/>
              <w:jc w:val="center"/>
            </w:pPr>
            <w:r>
              <w:rPr>
                <w:b/>
                <w:sz w:val="26"/>
              </w:rPr>
              <w:t>₹343.6 cr</w:t>
            </w:r>
          </w:p>
          <w:p w:rsidR="007F373F" w:rsidRDefault="00000000">
            <w:pPr>
              <w:spacing w:after="0"/>
              <w:jc w:val="center"/>
            </w:pPr>
            <w:r>
              <w:rPr>
                <w:sz w:val="18"/>
              </w:rPr>
              <w:t>PAT FY26 (+52.6% YoY)</w:t>
            </w:r>
          </w:p>
        </w:tc>
        <w:tc>
          <w:tcPr>
            <w:tcW w:w="2436" w:type="dxa"/>
          </w:tcPr>
          <w:p w:rsidR="007F373F" w:rsidRDefault="00000000">
            <w:pPr>
              <w:spacing w:after="0"/>
              <w:jc w:val="center"/>
            </w:pPr>
            <w:r>
              <w:rPr>
                <w:b/>
                <w:sz w:val="26"/>
              </w:rPr>
              <w:t>98.9%</w:t>
            </w:r>
          </w:p>
          <w:p w:rsidR="007F373F" w:rsidRDefault="00000000">
            <w:pPr>
              <w:spacing w:after="0"/>
              <w:jc w:val="center"/>
            </w:pPr>
            <w:r>
              <w:rPr>
                <w:sz w:val="18"/>
              </w:rPr>
              <w:t>Secured share of AUM</w:t>
            </w:r>
          </w:p>
        </w:tc>
        <w:tc>
          <w:tcPr>
            <w:tcW w:w="2436" w:type="dxa"/>
          </w:tcPr>
          <w:p w:rsidR="007F373F" w:rsidRDefault="00000000">
            <w:pPr>
              <w:spacing w:after="0"/>
              <w:jc w:val="center"/>
            </w:pPr>
            <w:r>
              <w:rPr>
                <w:b/>
                <w:sz w:val="26"/>
              </w:rPr>
              <w:t>2.4% / 12.6%</w:t>
            </w:r>
          </w:p>
          <w:p w:rsidR="007F373F" w:rsidRDefault="00000000">
            <w:pPr>
              <w:spacing w:after="0"/>
              <w:jc w:val="center"/>
            </w:pPr>
            <w:r>
              <w:rPr>
                <w:sz w:val="18"/>
              </w:rPr>
              <w:t>RoA / RoE FY26</w:t>
            </w:r>
          </w:p>
        </w:tc>
      </w:tr>
      <w:tr w:rsidR="007F373F">
        <w:trPr>
          <w:jc w:val="center"/>
        </w:trPr>
        <w:tc>
          <w:tcPr>
            <w:tcW w:w="2436" w:type="dxa"/>
          </w:tcPr>
          <w:p w:rsidR="007F373F" w:rsidRDefault="00000000">
            <w:pPr>
              <w:spacing w:after="0"/>
              <w:jc w:val="center"/>
            </w:pPr>
            <w:r>
              <w:rPr>
                <w:b/>
                <w:sz w:val="26"/>
              </w:rPr>
              <w:t>1.9% / 1.3%</w:t>
            </w:r>
          </w:p>
          <w:p w:rsidR="007F373F" w:rsidRDefault="00000000">
            <w:pPr>
              <w:spacing w:after="0"/>
              <w:jc w:val="center"/>
            </w:pPr>
            <w:r>
              <w:rPr>
                <w:sz w:val="18"/>
              </w:rPr>
              <w:t>GNPA / NNPA</w:t>
            </w:r>
          </w:p>
        </w:tc>
        <w:tc>
          <w:tcPr>
            <w:tcW w:w="2436" w:type="dxa"/>
          </w:tcPr>
          <w:p w:rsidR="007F373F" w:rsidRDefault="00000000">
            <w:pPr>
              <w:spacing w:after="0"/>
              <w:jc w:val="center"/>
            </w:pPr>
            <w:r>
              <w:rPr>
                <w:b/>
                <w:sz w:val="26"/>
              </w:rPr>
              <w:t>0.8%</w:t>
            </w:r>
          </w:p>
          <w:p w:rsidR="007F373F" w:rsidRDefault="00000000">
            <w:pPr>
              <w:spacing w:after="0"/>
              <w:jc w:val="center"/>
            </w:pPr>
            <w:r>
              <w:rPr>
                <w:sz w:val="18"/>
              </w:rPr>
              <w:t>Credit cost (FY25: 1.8%)</w:t>
            </w:r>
          </w:p>
        </w:tc>
        <w:tc>
          <w:tcPr>
            <w:tcW w:w="2436" w:type="dxa"/>
          </w:tcPr>
          <w:p w:rsidR="007F373F" w:rsidRDefault="00000000">
            <w:pPr>
              <w:spacing w:after="0"/>
              <w:jc w:val="center"/>
            </w:pPr>
            <w:r>
              <w:rPr>
                <w:b/>
                <w:sz w:val="26"/>
              </w:rPr>
              <w:t>22.4%</w:t>
            </w:r>
          </w:p>
          <w:p w:rsidR="007F373F" w:rsidRDefault="00000000">
            <w:pPr>
              <w:spacing w:after="0"/>
              <w:jc w:val="center"/>
            </w:pPr>
            <w:r>
              <w:rPr>
                <w:sz w:val="18"/>
              </w:rPr>
              <w:t>Capital adequacy (Tier I 17.5%)</w:t>
            </w:r>
          </w:p>
        </w:tc>
        <w:tc>
          <w:tcPr>
            <w:tcW w:w="2436" w:type="dxa"/>
          </w:tcPr>
          <w:p w:rsidR="007F373F" w:rsidRDefault="00000000">
            <w:pPr>
              <w:spacing w:after="0"/>
              <w:jc w:val="center"/>
            </w:pPr>
            <w:r>
              <w:rPr>
                <w:b/>
                <w:sz w:val="26"/>
              </w:rPr>
              <w:t>757</w:t>
            </w:r>
          </w:p>
          <w:p w:rsidR="007F373F" w:rsidRDefault="00000000">
            <w:pPr>
              <w:spacing w:after="0"/>
              <w:jc w:val="center"/>
            </w:pPr>
            <w:r>
              <w:rPr>
                <w:sz w:val="18"/>
              </w:rPr>
              <w:t>Branches in 17 states/UTs</w:t>
            </w:r>
          </w:p>
        </w:tc>
      </w:tr>
    </w:tbl>
    <w:p w:rsidR="007F373F" w:rsidRDefault="00000000">
      <w:pPr>
        <w:spacing w:before="120" w:after="40" w:line="320" w:lineRule="auto"/>
        <w:ind w:left="-300" w:right="-200"/>
        <w:jc w:val="center"/>
      </w:pPr>
      <w:r>
        <w:t>Key findings. Fedfina’s AUM has grown from ₹2,019 crore in FY19 to ₹20,153 crore in FY26 and PAT from ₹36 crore to ₹344 crore. Over the five years FY22–FY26 AUM compounded at 34.3% and PAT at 35.0% (derived). FY25 was a year of reset – profit fell 8% as small-ticket LAP delinquencies forced higher provisioning and the unsecured business-loan book was run down – and FY26 was the year of recovery: net interest income rose 15% to ₹1,230 crore, credit cost fell by 93 basis points, and PAT rose 53%. Gold loans were the growth engine (AUM +76% to ₹10,352 crore, now 51.4% of AUM), the unsecured book was fully assigned, and 148 branches were added.</w:t>
      </w:r>
    </w:p>
    <w:p w:rsidR="007F373F" w:rsidRDefault="00000000">
      <w:pPr>
        <w:spacing w:before="120" w:after="40" w:line="320" w:lineRule="auto"/>
        <w:ind w:left="-300" w:right="-200"/>
        <w:jc w:val="center"/>
      </w:pPr>
      <w:r>
        <w:t>Risks. The report identifies leverage (debt-equity 4.6x, up from 4.0x), the maturing of 148 young branches, gold-price sensitivity, the still-stabilising small-ticket LAP book, the April 2026 RBI gold-lending directions, competition from banks (82% of the organised gold-loan market) and cyber/operational risk as the principal watch-points. The company’s AA+/Stable ratings from four agencies, diversified 41-lender funding base, fully hedged USD 250 million ECB programme and conservative 60.9% gold LTV are the main mitigants.</w:t>
      </w:r>
    </w:p>
    <w:p w:rsidR="007F373F" w:rsidRDefault="00000000">
      <w:pPr>
        <w:spacing w:before="120" w:after="40" w:line="320" w:lineRule="auto"/>
        <w:ind w:left="-300" w:right="-200"/>
        <w:jc w:val="center"/>
      </w:pPr>
      <w:r>
        <w:t>Conclusion. Fedfina has a credible, now fully secured growth platform with improving earnings quality (direct-assignment income is down to 1.6% of PBT from 21.7%). The sustainability of the recovery depends on keeping credit cost below 1%, converting new-branch capacity into productivity, and preserving capital as leverage rises. The report offers recommendations on growth, risk governance and sustainability and answers four research questions on growth-profitability, risk profile, capitalisation and external risks.</w:t>
      </w:r>
    </w:p>
    <w:p w:rsidR="007F373F" w:rsidRDefault="00000000">
      <w:pPr>
        <w:pStyle w:val="Heading1"/>
        <w:pageBreakBefore/>
      </w:pPr>
      <w:r>
        <w:lastRenderedPageBreak/>
        <w:t>Table of Contents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518"/>
        <w:gridCol w:w="7040"/>
        <w:gridCol w:w="1173"/>
      </w:tblGrid>
      <w:tr w:rsidR="007F373F">
        <w:trPr>
          <w:jc w:val="center"/>
        </w:trPr>
        <w:tc>
          <w:tcPr>
            <w:tcW w:w="1518" w:type="dxa"/>
          </w:tcPr>
          <w:p w:rsidR="007F373F" w:rsidRDefault="00000000">
            <w:pPr>
              <w:spacing w:after="0"/>
              <w:jc w:val="left"/>
            </w:pPr>
            <w:r>
              <w:rPr>
                <w:b/>
                <w:sz w:val="20"/>
              </w:rPr>
              <w:t>Section</w:t>
            </w:r>
          </w:p>
        </w:tc>
        <w:tc>
          <w:tcPr>
            <w:tcW w:w="7040" w:type="dxa"/>
          </w:tcPr>
          <w:p w:rsidR="007F373F" w:rsidRDefault="00000000">
            <w:pPr>
              <w:spacing w:after="0"/>
              <w:jc w:val="left"/>
            </w:pPr>
            <w:r>
              <w:rPr>
                <w:b/>
                <w:sz w:val="20"/>
              </w:rPr>
              <w:t>Contents</w:t>
            </w:r>
          </w:p>
        </w:tc>
        <w:tc>
          <w:tcPr>
            <w:tcW w:w="1173" w:type="dxa"/>
          </w:tcPr>
          <w:p w:rsidR="007F373F" w:rsidRDefault="00000000">
            <w:pPr>
              <w:spacing w:after="0"/>
              <w:jc w:val="left"/>
            </w:pPr>
            <w:r>
              <w:rPr>
                <w:b/>
                <w:sz w:val="20"/>
              </w:rPr>
              <w:t>Pages</w:t>
            </w:r>
          </w:p>
        </w:tc>
      </w:tr>
      <w:tr w:rsidR="007F373F">
        <w:trPr>
          <w:jc w:val="center"/>
        </w:trPr>
        <w:tc>
          <w:tcPr>
            <w:tcW w:w="1518" w:type="dxa"/>
          </w:tcPr>
          <w:p w:rsidR="007F373F" w:rsidRDefault="00000000">
            <w:pPr>
              <w:spacing w:after="0"/>
              <w:jc w:val="left"/>
            </w:pPr>
            <w:r>
              <w:rPr>
                <w:sz w:val="20"/>
              </w:rPr>
              <w:t>Front matter</w:t>
            </w:r>
          </w:p>
        </w:tc>
        <w:tc>
          <w:tcPr>
            <w:tcW w:w="7040" w:type="dxa"/>
          </w:tcPr>
          <w:p w:rsidR="007F373F" w:rsidRDefault="00000000">
            <w:pPr>
              <w:spacing w:after="0"/>
              <w:jc w:val="left"/>
            </w:pPr>
            <w:r>
              <w:rPr>
                <w:sz w:val="20"/>
              </w:rPr>
              <w:t>Certificate, Declaration, Acknowledgement, Executive Summary, Contents, Lists</w:t>
            </w:r>
          </w:p>
        </w:tc>
        <w:tc>
          <w:tcPr>
            <w:tcW w:w="1173" w:type="dxa"/>
          </w:tcPr>
          <w:p w:rsidR="007F373F" w:rsidRDefault="00000000">
            <w:pPr>
              <w:spacing w:after="0"/>
              <w:jc w:val="left"/>
            </w:pPr>
            <w:r>
              <w:rPr>
                <w:sz w:val="20"/>
              </w:rPr>
              <w:t>2 – 9</w:t>
            </w:r>
          </w:p>
        </w:tc>
      </w:tr>
      <w:tr w:rsidR="007F373F">
        <w:trPr>
          <w:jc w:val="center"/>
        </w:trPr>
        <w:tc>
          <w:tcPr>
            <w:tcW w:w="1518" w:type="dxa"/>
          </w:tcPr>
          <w:p w:rsidR="007F373F" w:rsidRDefault="00000000">
            <w:pPr>
              <w:spacing w:after="0"/>
              <w:jc w:val="left"/>
            </w:pPr>
            <w:r>
              <w:rPr>
                <w:sz w:val="20"/>
              </w:rPr>
              <w:t>Chapter 1</w:t>
            </w:r>
          </w:p>
        </w:tc>
        <w:tc>
          <w:tcPr>
            <w:tcW w:w="7040" w:type="dxa"/>
          </w:tcPr>
          <w:p w:rsidR="007F373F" w:rsidRDefault="00000000">
            <w:pPr>
              <w:spacing w:after="0"/>
              <w:jc w:val="left"/>
            </w:pPr>
            <w:r>
              <w:rPr>
                <w:sz w:val="20"/>
              </w:rPr>
              <w:t>Introduction and study design: need, objectives, scope, research questions, methodology, data sources, limitations</w:t>
            </w:r>
          </w:p>
        </w:tc>
        <w:tc>
          <w:tcPr>
            <w:tcW w:w="1173" w:type="dxa"/>
          </w:tcPr>
          <w:p w:rsidR="007F373F" w:rsidRDefault="00000000">
            <w:pPr>
              <w:spacing w:after="0"/>
              <w:jc w:val="left"/>
            </w:pPr>
            <w:r>
              <w:rPr>
                <w:sz w:val="20"/>
              </w:rPr>
              <w:t>10 – 23</w:t>
            </w:r>
          </w:p>
        </w:tc>
      </w:tr>
      <w:tr w:rsidR="007F373F">
        <w:trPr>
          <w:jc w:val="center"/>
        </w:trPr>
        <w:tc>
          <w:tcPr>
            <w:tcW w:w="1518" w:type="dxa"/>
          </w:tcPr>
          <w:p w:rsidR="007F373F" w:rsidRDefault="00000000">
            <w:pPr>
              <w:spacing w:after="0"/>
              <w:jc w:val="left"/>
            </w:pPr>
            <w:r>
              <w:rPr>
                <w:sz w:val="20"/>
              </w:rPr>
              <w:t>Chapter 2</w:t>
            </w:r>
          </w:p>
        </w:tc>
        <w:tc>
          <w:tcPr>
            <w:tcW w:w="7040" w:type="dxa"/>
          </w:tcPr>
          <w:p w:rsidR="007F373F" w:rsidRDefault="00000000">
            <w:pPr>
              <w:spacing w:after="0"/>
              <w:jc w:val="left"/>
            </w:pPr>
            <w:r>
              <w:rPr>
                <w:sz w:val="20"/>
              </w:rPr>
              <w:t>Sector analysis: Indian NBFC sector, macro-economy, gold-loan and mortgage markets, MSME credit gap, regulation, competition, Porter and PESTLE</w:t>
            </w:r>
          </w:p>
        </w:tc>
        <w:tc>
          <w:tcPr>
            <w:tcW w:w="1173" w:type="dxa"/>
          </w:tcPr>
          <w:p w:rsidR="007F373F" w:rsidRDefault="00000000">
            <w:pPr>
              <w:spacing w:after="0"/>
              <w:jc w:val="left"/>
            </w:pPr>
            <w:r>
              <w:rPr>
                <w:sz w:val="20"/>
              </w:rPr>
              <w:t>24 – 44</w:t>
            </w:r>
          </w:p>
        </w:tc>
      </w:tr>
      <w:tr w:rsidR="007F373F">
        <w:trPr>
          <w:jc w:val="center"/>
        </w:trPr>
        <w:tc>
          <w:tcPr>
            <w:tcW w:w="1518" w:type="dxa"/>
          </w:tcPr>
          <w:p w:rsidR="007F373F" w:rsidRDefault="00000000">
            <w:pPr>
              <w:spacing w:after="0"/>
              <w:jc w:val="left"/>
            </w:pPr>
            <w:r>
              <w:rPr>
                <w:sz w:val="20"/>
              </w:rPr>
              <w:t>Chapter 3</w:t>
            </w:r>
          </w:p>
        </w:tc>
        <w:tc>
          <w:tcPr>
            <w:tcW w:w="7040" w:type="dxa"/>
          </w:tcPr>
          <w:p w:rsidR="007F373F" w:rsidRDefault="00000000">
            <w:pPr>
              <w:spacing w:after="0"/>
              <w:jc w:val="left"/>
            </w:pPr>
            <w:r>
              <w:rPr>
                <w:sz w:val="20"/>
              </w:rPr>
              <w:t>Company analysis: history, parentage and shareholding, vision, business model, Fedfina 2.0, distribution, customers, people, technology, governance, listing and ratings</w:t>
            </w:r>
          </w:p>
        </w:tc>
        <w:tc>
          <w:tcPr>
            <w:tcW w:w="1173" w:type="dxa"/>
          </w:tcPr>
          <w:p w:rsidR="007F373F" w:rsidRDefault="00000000">
            <w:pPr>
              <w:spacing w:after="0"/>
              <w:jc w:val="left"/>
            </w:pPr>
            <w:r>
              <w:rPr>
                <w:sz w:val="20"/>
              </w:rPr>
              <w:t>45 – 66</w:t>
            </w:r>
          </w:p>
        </w:tc>
      </w:tr>
      <w:tr w:rsidR="007F373F">
        <w:trPr>
          <w:jc w:val="center"/>
        </w:trPr>
        <w:tc>
          <w:tcPr>
            <w:tcW w:w="1518" w:type="dxa"/>
          </w:tcPr>
          <w:p w:rsidR="007F373F" w:rsidRDefault="00000000">
            <w:pPr>
              <w:spacing w:after="0"/>
              <w:jc w:val="left"/>
            </w:pPr>
            <w:r>
              <w:rPr>
                <w:sz w:val="20"/>
              </w:rPr>
              <w:t>Chapter 4</w:t>
            </w:r>
          </w:p>
        </w:tc>
        <w:tc>
          <w:tcPr>
            <w:tcW w:w="7040" w:type="dxa"/>
          </w:tcPr>
          <w:p w:rsidR="007F373F" w:rsidRDefault="00000000">
            <w:pPr>
              <w:spacing w:after="0"/>
              <w:jc w:val="left"/>
            </w:pPr>
            <w:r>
              <w:rPr>
                <w:sz w:val="20"/>
              </w:rPr>
              <w:t>Product analysis: gold loans, medium-ticket LAP, small-ticket LAP and housing loans, exit from unsecured lending, co-lending and direct assignment, product economics</w:t>
            </w:r>
          </w:p>
        </w:tc>
        <w:tc>
          <w:tcPr>
            <w:tcW w:w="1173" w:type="dxa"/>
          </w:tcPr>
          <w:p w:rsidR="007F373F" w:rsidRDefault="00000000">
            <w:pPr>
              <w:spacing w:after="0"/>
              <w:jc w:val="left"/>
            </w:pPr>
            <w:r>
              <w:rPr>
                <w:sz w:val="20"/>
              </w:rPr>
              <w:t>67 – 79</w:t>
            </w:r>
          </w:p>
        </w:tc>
      </w:tr>
      <w:tr w:rsidR="007F373F">
        <w:trPr>
          <w:jc w:val="center"/>
        </w:trPr>
        <w:tc>
          <w:tcPr>
            <w:tcW w:w="1518" w:type="dxa"/>
          </w:tcPr>
          <w:p w:rsidR="007F373F" w:rsidRDefault="00000000">
            <w:pPr>
              <w:spacing w:after="0"/>
              <w:jc w:val="left"/>
            </w:pPr>
            <w:r>
              <w:rPr>
                <w:sz w:val="20"/>
              </w:rPr>
              <w:t>Chapter 5</w:t>
            </w:r>
          </w:p>
        </w:tc>
        <w:tc>
          <w:tcPr>
            <w:tcW w:w="7040" w:type="dxa"/>
          </w:tcPr>
          <w:p w:rsidR="007F373F" w:rsidRDefault="00000000">
            <w:pPr>
              <w:spacing w:after="0"/>
              <w:jc w:val="left"/>
            </w:pPr>
            <w:r>
              <w:rPr>
                <w:sz w:val="20"/>
              </w:rPr>
              <w:t>Financial analysis: framework, FY25–FY26 snapshot, five-year trends, income statement, costs, balance sheet, funding, capital, asset quality, returns, per-share and valuation</w:t>
            </w:r>
          </w:p>
        </w:tc>
        <w:tc>
          <w:tcPr>
            <w:tcW w:w="1173" w:type="dxa"/>
          </w:tcPr>
          <w:p w:rsidR="007F373F" w:rsidRDefault="00000000">
            <w:pPr>
              <w:spacing w:after="0"/>
              <w:jc w:val="left"/>
            </w:pPr>
            <w:r>
              <w:rPr>
                <w:sz w:val="20"/>
              </w:rPr>
              <w:t>80 – 104</w:t>
            </w:r>
          </w:p>
        </w:tc>
      </w:tr>
      <w:tr w:rsidR="007F373F">
        <w:trPr>
          <w:jc w:val="center"/>
        </w:trPr>
        <w:tc>
          <w:tcPr>
            <w:tcW w:w="1518" w:type="dxa"/>
          </w:tcPr>
          <w:p w:rsidR="007F373F" w:rsidRDefault="00000000">
            <w:pPr>
              <w:spacing w:after="0"/>
              <w:jc w:val="left"/>
            </w:pPr>
            <w:r>
              <w:rPr>
                <w:sz w:val="20"/>
              </w:rPr>
              <w:t>Chapter 6</w:t>
            </w:r>
          </w:p>
        </w:tc>
        <w:tc>
          <w:tcPr>
            <w:tcW w:w="7040" w:type="dxa"/>
          </w:tcPr>
          <w:p w:rsidR="007F373F" w:rsidRDefault="00000000">
            <w:pPr>
              <w:spacing w:after="0"/>
              <w:jc w:val="left"/>
            </w:pPr>
            <w:r>
              <w:rPr>
                <w:sz w:val="20"/>
              </w:rPr>
              <w:t>Risk analysis: architecture, credit, liquidity/ALM, market, operational and cyber, regulatory and reputational, collections, risk matrix, ESG</w:t>
            </w:r>
          </w:p>
        </w:tc>
        <w:tc>
          <w:tcPr>
            <w:tcW w:w="1173" w:type="dxa"/>
          </w:tcPr>
          <w:p w:rsidR="007F373F" w:rsidRDefault="00000000">
            <w:pPr>
              <w:spacing w:after="0"/>
              <w:jc w:val="left"/>
            </w:pPr>
            <w:r>
              <w:rPr>
                <w:sz w:val="20"/>
              </w:rPr>
              <w:t>105 – 121</w:t>
            </w:r>
          </w:p>
        </w:tc>
      </w:tr>
      <w:tr w:rsidR="007F373F">
        <w:trPr>
          <w:jc w:val="center"/>
        </w:trPr>
        <w:tc>
          <w:tcPr>
            <w:tcW w:w="1518" w:type="dxa"/>
          </w:tcPr>
          <w:p w:rsidR="007F373F" w:rsidRDefault="00000000">
            <w:pPr>
              <w:spacing w:after="0"/>
              <w:jc w:val="left"/>
            </w:pPr>
            <w:r>
              <w:rPr>
                <w:sz w:val="20"/>
              </w:rPr>
              <w:t>Chapter 7</w:t>
            </w:r>
          </w:p>
        </w:tc>
        <w:tc>
          <w:tcPr>
            <w:tcW w:w="7040" w:type="dxa"/>
          </w:tcPr>
          <w:p w:rsidR="007F373F" w:rsidRDefault="00000000">
            <w:pPr>
              <w:spacing w:after="0"/>
              <w:jc w:val="left"/>
            </w:pPr>
            <w:r>
              <w:rPr>
                <w:sz w:val="20"/>
              </w:rPr>
              <w:t>SWOT, investment case, scenarios, balanced scorecard and recommendations</w:t>
            </w:r>
          </w:p>
        </w:tc>
        <w:tc>
          <w:tcPr>
            <w:tcW w:w="1173" w:type="dxa"/>
          </w:tcPr>
          <w:p w:rsidR="007F373F" w:rsidRDefault="00000000">
            <w:pPr>
              <w:spacing w:after="0"/>
              <w:jc w:val="left"/>
            </w:pPr>
            <w:r>
              <w:rPr>
                <w:sz w:val="20"/>
              </w:rPr>
              <w:t>122 – 137</w:t>
            </w:r>
          </w:p>
        </w:tc>
      </w:tr>
      <w:tr w:rsidR="007F373F">
        <w:trPr>
          <w:jc w:val="center"/>
        </w:trPr>
        <w:tc>
          <w:tcPr>
            <w:tcW w:w="1518" w:type="dxa"/>
          </w:tcPr>
          <w:p w:rsidR="007F373F" w:rsidRDefault="00000000">
            <w:pPr>
              <w:spacing w:after="0"/>
              <w:jc w:val="left"/>
            </w:pPr>
            <w:r>
              <w:rPr>
                <w:sz w:val="20"/>
              </w:rPr>
              <w:t>Chapter 8</w:t>
            </w:r>
          </w:p>
        </w:tc>
        <w:tc>
          <w:tcPr>
            <w:tcW w:w="7040" w:type="dxa"/>
          </w:tcPr>
          <w:p w:rsidR="007F373F" w:rsidRDefault="00000000">
            <w:pPr>
              <w:spacing w:after="0"/>
              <w:jc w:val="left"/>
            </w:pPr>
            <w:r>
              <w:rPr>
                <w:sz w:val="20"/>
              </w:rPr>
              <w:t>Key findings, hypothesis testing, conclusion, limitations and bibliography</w:t>
            </w:r>
          </w:p>
        </w:tc>
        <w:tc>
          <w:tcPr>
            <w:tcW w:w="1173" w:type="dxa"/>
          </w:tcPr>
          <w:p w:rsidR="007F373F" w:rsidRDefault="00000000">
            <w:pPr>
              <w:spacing w:after="0"/>
              <w:jc w:val="left"/>
            </w:pPr>
            <w:r>
              <w:rPr>
                <w:sz w:val="20"/>
              </w:rPr>
              <w:t>138 – 146</w:t>
            </w:r>
          </w:p>
        </w:tc>
      </w:tr>
      <w:tr w:rsidR="007F373F">
        <w:trPr>
          <w:jc w:val="center"/>
        </w:trPr>
        <w:tc>
          <w:tcPr>
            <w:tcW w:w="1518" w:type="dxa"/>
          </w:tcPr>
          <w:p w:rsidR="007F373F" w:rsidRDefault="00000000">
            <w:pPr>
              <w:spacing w:after="0"/>
              <w:jc w:val="left"/>
            </w:pPr>
            <w:r>
              <w:rPr>
                <w:sz w:val="20"/>
              </w:rPr>
              <w:t>Appendices</w:t>
            </w:r>
          </w:p>
        </w:tc>
        <w:tc>
          <w:tcPr>
            <w:tcW w:w="7040" w:type="dxa"/>
          </w:tcPr>
          <w:p w:rsidR="007F373F" w:rsidRDefault="00000000">
            <w:pPr>
              <w:spacing w:after="0"/>
              <w:jc w:val="left"/>
            </w:pPr>
            <w:r>
              <w:rPr>
                <w:sz w:val="20"/>
              </w:rPr>
              <w:t>A Balance sheet; B Profit and loss; C Branch network by state; D Debt instruments; E Shareholding; F Glossary and formulae; G Viva preparation; H Checklist and data notes</w:t>
            </w:r>
          </w:p>
        </w:tc>
        <w:tc>
          <w:tcPr>
            <w:tcW w:w="1173" w:type="dxa"/>
          </w:tcPr>
          <w:p w:rsidR="007F373F" w:rsidRDefault="00000000">
            <w:pPr>
              <w:spacing w:after="0"/>
              <w:jc w:val="left"/>
            </w:pPr>
            <w:r>
              <w:rPr>
                <w:sz w:val="20"/>
              </w:rPr>
              <w:t>147 – 162</w:t>
            </w:r>
          </w:p>
        </w:tc>
      </w:tr>
    </w:tbl>
    <w:p w:rsidR="007F373F" w:rsidRDefault="007F373F">
      <w:pPr>
        <w:spacing w:after="40"/>
      </w:pPr>
    </w:p>
    <w:p w:rsidR="007F373F" w:rsidRDefault="00000000">
      <w:r>
        <w:rPr>
          <w:i/>
          <w:sz w:val="21"/>
        </w:rPr>
        <w:t>Page numbers refer to the printed page sequence of this document (cover page = 1). Each major section of the report begins on a new page.</w:t>
      </w:r>
    </w:p>
    <w:p w:rsidR="007F373F" w:rsidRDefault="00000000">
      <w:pPr>
        <w:pStyle w:val="Heading1"/>
        <w:pageBreakBefore/>
      </w:pPr>
      <w:r>
        <w:lastRenderedPageBreak/>
        <w:t>List of Tables, Figures and Abbreviations</w:t>
      </w:r>
    </w:p>
    <w:p w:rsidR="007F373F" w:rsidRDefault="00000000">
      <w:pPr>
        <w:pStyle w:val="Heading2"/>
      </w:pPr>
      <w:r>
        <w:t>Principal tables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690"/>
        <w:gridCol w:w="4141"/>
        <w:gridCol w:w="690"/>
        <w:gridCol w:w="4141"/>
      </w:tblGrid>
      <w:tr w:rsidR="007F373F">
        <w:trPr>
          <w:jc w:val="center"/>
        </w:trPr>
        <w:tc>
          <w:tcPr>
            <w:tcW w:w="690" w:type="dxa"/>
          </w:tcPr>
          <w:p w:rsidR="007F373F" w:rsidRDefault="00000000">
            <w:pPr>
              <w:spacing w:after="0"/>
              <w:jc w:val="left"/>
            </w:pPr>
            <w:r>
              <w:rPr>
                <w:b/>
                <w:sz w:val="20"/>
              </w:rPr>
              <w:t>No.</w:t>
            </w:r>
          </w:p>
        </w:tc>
        <w:tc>
          <w:tcPr>
            <w:tcW w:w="4141" w:type="dxa"/>
          </w:tcPr>
          <w:p w:rsidR="007F373F" w:rsidRDefault="00000000">
            <w:pPr>
              <w:spacing w:after="0"/>
              <w:jc w:val="left"/>
            </w:pPr>
            <w:r>
              <w:rPr>
                <w:b/>
                <w:sz w:val="20"/>
              </w:rPr>
              <w:t>Table</w:t>
            </w:r>
          </w:p>
        </w:tc>
        <w:tc>
          <w:tcPr>
            <w:tcW w:w="690" w:type="dxa"/>
          </w:tcPr>
          <w:p w:rsidR="007F373F" w:rsidRDefault="00000000">
            <w:pPr>
              <w:spacing w:after="0"/>
              <w:jc w:val="left"/>
            </w:pPr>
            <w:r>
              <w:rPr>
                <w:b/>
                <w:sz w:val="20"/>
              </w:rPr>
              <w:t>No.</w:t>
            </w:r>
          </w:p>
        </w:tc>
        <w:tc>
          <w:tcPr>
            <w:tcW w:w="4141" w:type="dxa"/>
          </w:tcPr>
          <w:p w:rsidR="007F373F" w:rsidRDefault="00000000">
            <w:pPr>
              <w:spacing w:after="0"/>
              <w:jc w:val="left"/>
            </w:pPr>
            <w:r>
              <w:rPr>
                <w:b/>
                <w:sz w:val="20"/>
              </w:rPr>
              <w:t>Table</w:t>
            </w:r>
          </w:p>
        </w:tc>
      </w:tr>
      <w:tr w:rsidR="007F373F">
        <w:trPr>
          <w:jc w:val="center"/>
        </w:trPr>
        <w:tc>
          <w:tcPr>
            <w:tcW w:w="690" w:type="dxa"/>
          </w:tcPr>
          <w:p w:rsidR="007F373F" w:rsidRDefault="00000000">
            <w:pPr>
              <w:spacing w:after="0"/>
              <w:jc w:val="left"/>
            </w:pPr>
            <w:r>
              <w:rPr>
                <w:sz w:val="20"/>
              </w:rPr>
              <w:t>T1</w:t>
            </w:r>
          </w:p>
        </w:tc>
        <w:tc>
          <w:tcPr>
            <w:tcW w:w="4141" w:type="dxa"/>
          </w:tcPr>
          <w:p w:rsidR="007F373F" w:rsidRDefault="00000000">
            <w:pPr>
              <w:spacing w:after="0"/>
              <w:jc w:val="left"/>
            </w:pPr>
            <w:r>
              <w:rPr>
                <w:sz w:val="20"/>
              </w:rPr>
              <w:t>Sector datapoints FY26</w:t>
            </w:r>
          </w:p>
        </w:tc>
        <w:tc>
          <w:tcPr>
            <w:tcW w:w="690" w:type="dxa"/>
          </w:tcPr>
          <w:p w:rsidR="007F373F" w:rsidRDefault="00000000">
            <w:pPr>
              <w:spacing w:after="0"/>
              <w:jc w:val="left"/>
            </w:pPr>
            <w:r>
              <w:rPr>
                <w:sz w:val="20"/>
              </w:rPr>
              <w:t>T9</w:t>
            </w:r>
          </w:p>
        </w:tc>
        <w:tc>
          <w:tcPr>
            <w:tcW w:w="4141" w:type="dxa"/>
          </w:tcPr>
          <w:p w:rsidR="007F373F" w:rsidRDefault="00000000">
            <w:pPr>
              <w:spacing w:after="0"/>
              <w:jc w:val="left"/>
            </w:pPr>
            <w:r>
              <w:rPr>
                <w:sz w:val="20"/>
              </w:rPr>
              <w:t>Income statement FY25 vs FY26</w:t>
            </w:r>
          </w:p>
        </w:tc>
      </w:tr>
      <w:tr w:rsidR="007F373F">
        <w:trPr>
          <w:jc w:val="center"/>
        </w:trPr>
        <w:tc>
          <w:tcPr>
            <w:tcW w:w="690" w:type="dxa"/>
          </w:tcPr>
          <w:p w:rsidR="007F373F" w:rsidRDefault="00000000">
            <w:pPr>
              <w:spacing w:after="0"/>
              <w:jc w:val="left"/>
            </w:pPr>
            <w:r>
              <w:rPr>
                <w:sz w:val="20"/>
              </w:rPr>
              <w:t>T2</w:t>
            </w:r>
          </w:p>
        </w:tc>
        <w:tc>
          <w:tcPr>
            <w:tcW w:w="4141" w:type="dxa"/>
          </w:tcPr>
          <w:p w:rsidR="007F373F" w:rsidRDefault="00000000">
            <w:pPr>
              <w:spacing w:after="0"/>
              <w:jc w:val="left"/>
            </w:pPr>
            <w:r>
              <w:rPr>
                <w:sz w:val="20"/>
              </w:rPr>
              <w:t>RBI gold-lending directions 2025</w:t>
            </w:r>
          </w:p>
        </w:tc>
        <w:tc>
          <w:tcPr>
            <w:tcW w:w="690" w:type="dxa"/>
          </w:tcPr>
          <w:p w:rsidR="007F373F" w:rsidRDefault="00000000">
            <w:pPr>
              <w:spacing w:after="0"/>
              <w:jc w:val="left"/>
            </w:pPr>
            <w:r>
              <w:rPr>
                <w:sz w:val="20"/>
              </w:rPr>
              <w:t>T10</w:t>
            </w:r>
          </w:p>
        </w:tc>
        <w:tc>
          <w:tcPr>
            <w:tcW w:w="4141" w:type="dxa"/>
          </w:tcPr>
          <w:p w:rsidR="007F373F" w:rsidRDefault="00000000">
            <w:pPr>
              <w:spacing w:after="0"/>
              <w:jc w:val="left"/>
            </w:pPr>
            <w:r>
              <w:rPr>
                <w:sz w:val="20"/>
              </w:rPr>
              <w:t>Expense structure and cost ratios</w:t>
            </w:r>
          </w:p>
        </w:tc>
      </w:tr>
      <w:tr w:rsidR="007F373F">
        <w:trPr>
          <w:jc w:val="center"/>
        </w:trPr>
        <w:tc>
          <w:tcPr>
            <w:tcW w:w="690" w:type="dxa"/>
          </w:tcPr>
          <w:p w:rsidR="007F373F" w:rsidRDefault="00000000">
            <w:pPr>
              <w:spacing w:after="0"/>
              <w:jc w:val="left"/>
            </w:pPr>
            <w:r>
              <w:rPr>
                <w:sz w:val="20"/>
              </w:rPr>
              <w:t>T3</w:t>
            </w:r>
          </w:p>
        </w:tc>
        <w:tc>
          <w:tcPr>
            <w:tcW w:w="4141" w:type="dxa"/>
          </w:tcPr>
          <w:p w:rsidR="007F373F" w:rsidRDefault="00000000">
            <w:pPr>
              <w:spacing w:after="0"/>
              <w:jc w:val="left"/>
            </w:pPr>
            <w:r>
              <w:rPr>
                <w:sz w:val="20"/>
              </w:rPr>
              <w:t>Peer snapshot FY26</w:t>
            </w:r>
          </w:p>
        </w:tc>
        <w:tc>
          <w:tcPr>
            <w:tcW w:w="690" w:type="dxa"/>
          </w:tcPr>
          <w:p w:rsidR="007F373F" w:rsidRDefault="00000000">
            <w:pPr>
              <w:spacing w:after="0"/>
              <w:jc w:val="left"/>
            </w:pPr>
            <w:r>
              <w:rPr>
                <w:sz w:val="20"/>
              </w:rPr>
              <w:t>T11</w:t>
            </w:r>
          </w:p>
        </w:tc>
        <w:tc>
          <w:tcPr>
            <w:tcW w:w="4141" w:type="dxa"/>
          </w:tcPr>
          <w:p w:rsidR="007F373F" w:rsidRDefault="00000000">
            <w:pPr>
              <w:spacing w:after="0"/>
              <w:jc w:val="left"/>
            </w:pPr>
            <w:r>
              <w:rPr>
                <w:sz w:val="20"/>
              </w:rPr>
              <w:t>Balance sheet composition</w:t>
            </w:r>
          </w:p>
        </w:tc>
      </w:tr>
      <w:tr w:rsidR="007F373F">
        <w:trPr>
          <w:jc w:val="center"/>
        </w:trPr>
        <w:tc>
          <w:tcPr>
            <w:tcW w:w="690" w:type="dxa"/>
          </w:tcPr>
          <w:p w:rsidR="007F373F" w:rsidRDefault="00000000">
            <w:pPr>
              <w:spacing w:after="0"/>
              <w:jc w:val="left"/>
            </w:pPr>
            <w:r>
              <w:rPr>
                <w:sz w:val="20"/>
              </w:rPr>
              <w:t>T4</w:t>
            </w:r>
          </w:p>
        </w:tc>
        <w:tc>
          <w:tcPr>
            <w:tcW w:w="4141" w:type="dxa"/>
          </w:tcPr>
          <w:p w:rsidR="007F373F" w:rsidRDefault="00000000">
            <w:pPr>
              <w:spacing w:after="0"/>
              <w:jc w:val="left"/>
            </w:pPr>
            <w:r>
              <w:rPr>
                <w:sz w:val="20"/>
              </w:rPr>
              <w:t>Corporate journey 1995–2026</w:t>
            </w:r>
          </w:p>
        </w:tc>
        <w:tc>
          <w:tcPr>
            <w:tcW w:w="690" w:type="dxa"/>
          </w:tcPr>
          <w:p w:rsidR="007F373F" w:rsidRDefault="00000000">
            <w:pPr>
              <w:spacing w:after="0"/>
              <w:jc w:val="left"/>
            </w:pPr>
            <w:r>
              <w:rPr>
                <w:sz w:val="20"/>
              </w:rPr>
              <w:t>T12</w:t>
            </w:r>
          </w:p>
        </w:tc>
        <w:tc>
          <w:tcPr>
            <w:tcW w:w="4141" w:type="dxa"/>
          </w:tcPr>
          <w:p w:rsidR="007F373F" w:rsidRDefault="00000000">
            <w:pPr>
              <w:spacing w:after="0"/>
              <w:jc w:val="left"/>
            </w:pPr>
            <w:r>
              <w:rPr>
                <w:sz w:val="20"/>
              </w:rPr>
              <w:t>Borrowing composition and ALM buckets</w:t>
            </w:r>
          </w:p>
        </w:tc>
      </w:tr>
      <w:tr w:rsidR="007F373F">
        <w:trPr>
          <w:jc w:val="center"/>
        </w:trPr>
        <w:tc>
          <w:tcPr>
            <w:tcW w:w="690" w:type="dxa"/>
          </w:tcPr>
          <w:p w:rsidR="007F373F" w:rsidRDefault="00000000">
            <w:pPr>
              <w:spacing w:after="0"/>
              <w:jc w:val="left"/>
            </w:pPr>
            <w:r>
              <w:rPr>
                <w:sz w:val="20"/>
              </w:rPr>
              <w:t>T5</w:t>
            </w:r>
          </w:p>
        </w:tc>
        <w:tc>
          <w:tcPr>
            <w:tcW w:w="4141" w:type="dxa"/>
          </w:tcPr>
          <w:p w:rsidR="007F373F" w:rsidRDefault="00000000">
            <w:pPr>
              <w:spacing w:after="0"/>
              <w:jc w:val="left"/>
            </w:pPr>
            <w:r>
              <w:rPr>
                <w:sz w:val="20"/>
              </w:rPr>
              <w:t>Fedfina 2.0 commitments vs delivery</w:t>
            </w:r>
          </w:p>
        </w:tc>
        <w:tc>
          <w:tcPr>
            <w:tcW w:w="690" w:type="dxa"/>
          </w:tcPr>
          <w:p w:rsidR="007F373F" w:rsidRDefault="00000000">
            <w:pPr>
              <w:spacing w:after="0"/>
              <w:jc w:val="left"/>
            </w:pPr>
            <w:r>
              <w:rPr>
                <w:sz w:val="20"/>
              </w:rPr>
              <w:t>T13</w:t>
            </w:r>
          </w:p>
        </w:tc>
        <w:tc>
          <w:tcPr>
            <w:tcW w:w="4141" w:type="dxa"/>
          </w:tcPr>
          <w:p w:rsidR="007F373F" w:rsidRDefault="00000000">
            <w:pPr>
              <w:spacing w:after="0"/>
              <w:jc w:val="left"/>
            </w:pPr>
            <w:r>
              <w:rPr>
                <w:sz w:val="20"/>
              </w:rPr>
              <w:t>Capital adequacy FY25–FY26</w:t>
            </w:r>
          </w:p>
        </w:tc>
      </w:tr>
      <w:tr w:rsidR="007F373F">
        <w:trPr>
          <w:jc w:val="center"/>
        </w:trPr>
        <w:tc>
          <w:tcPr>
            <w:tcW w:w="690" w:type="dxa"/>
          </w:tcPr>
          <w:p w:rsidR="007F373F" w:rsidRDefault="00000000">
            <w:pPr>
              <w:spacing w:after="0"/>
              <w:jc w:val="left"/>
            </w:pPr>
            <w:r>
              <w:rPr>
                <w:sz w:val="20"/>
              </w:rPr>
              <w:t>T6</w:t>
            </w:r>
          </w:p>
        </w:tc>
        <w:tc>
          <w:tcPr>
            <w:tcW w:w="4141" w:type="dxa"/>
          </w:tcPr>
          <w:p w:rsidR="007F373F" w:rsidRDefault="00000000">
            <w:pPr>
              <w:spacing w:after="0"/>
              <w:jc w:val="left"/>
            </w:pPr>
            <w:r>
              <w:rPr>
                <w:sz w:val="20"/>
              </w:rPr>
              <w:t>Product key numbers FY26</w:t>
            </w:r>
          </w:p>
        </w:tc>
        <w:tc>
          <w:tcPr>
            <w:tcW w:w="690" w:type="dxa"/>
          </w:tcPr>
          <w:p w:rsidR="007F373F" w:rsidRDefault="00000000">
            <w:pPr>
              <w:spacing w:after="0"/>
              <w:jc w:val="left"/>
            </w:pPr>
            <w:r>
              <w:rPr>
                <w:sz w:val="20"/>
              </w:rPr>
              <w:t>T14</w:t>
            </w:r>
          </w:p>
        </w:tc>
        <w:tc>
          <w:tcPr>
            <w:tcW w:w="4141" w:type="dxa"/>
          </w:tcPr>
          <w:p w:rsidR="007F373F" w:rsidRDefault="00000000">
            <w:pPr>
              <w:spacing w:after="0"/>
              <w:jc w:val="left"/>
            </w:pPr>
            <w:r>
              <w:rPr>
                <w:sz w:val="20"/>
              </w:rPr>
              <w:t>Stage-wise loans and impaired-loan movement</w:t>
            </w:r>
          </w:p>
        </w:tc>
      </w:tr>
      <w:tr w:rsidR="007F373F">
        <w:trPr>
          <w:jc w:val="center"/>
        </w:trPr>
        <w:tc>
          <w:tcPr>
            <w:tcW w:w="690" w:type="dxa"/>
          </w:tcPr>
          <w:p w:rsidR="007F373F" w:rsidRDefault="00000000">
            <w:pPr>
              <w:spacing w:after="0"/>
              <w:jc w:val="left"/>
            </w:pPr>
            <w:r>
              <w:rPr>
                <w:sz w:val="20"/>
              </w:rPr>
              <w:t>T7</w:t>
            </w:r>
          </w:p>
        </w:tc>
        <w:tc>
          <w:tcPr>
            <w:tcW w:w="4141" w:type="dxa"/>
          </w:tcPr>
          <w:p w:rsidR="007F373F" w:rsidRDefault="00000000">
            <w:pPr>
              <w:spacing w:after="0"/>
              <w:jc w:val="left"/>
            </w:pPr>
            <w:r>
              <w:rPr>
                <w:sz w:val="20"/>
              </w:rPr>
              <w:t>Directors’ Report highlights FY23–FY26</w:t>
            </w:r>
          </w:p>
        </w:tc>
        <w:tc>
          <w:tcPr>
            <w:tcW w:w="690" w:type="dxa"/>
          </w:tcPr>
          <w:p w:rsidR="007F373F" w:rsidRDefault="00000000">
            <w:pPr>
              <w:spacing w:after="0"/>
              <w:jc w:val="left"/>
            </w:pPr>
            <w:r>
              <w:rPr>
                <w:sz w:val="20"/>
              </w:rPr>
              <w:t>T15</w:t>
            </w:r>
          </w:p>
        </w:tc>
        <w:tc>
          <w:tcPr>
            <w:tcW w:w="4141" w:type="dxa"/>
          </w:tcPr>
          <w:p w:rsidR="007F373F" w:rsidRDefault="00000000">
            <w:pPr>
              <w:spacing w:after="0"/>
              <w:jc w:val="left"/>
            </w:pPr>
            <w:r>
              <w:rPr>
                <w:sz w:val="20"/>
              </w:rPr>
              <w:t>Risk matrix; SWOT; scorecard</w:t>
            </w:r>
          </w:p>
        </w:tc>
      </w:tr>
      <w:tr w:rsidR="007F373F">
        <w:trPr>
          <w:jc w:val="center"/>
        </w:trPr>
        <w:tc>
          <w:tcPr>
            <w:tcW w:w="690" w:type="dxa"/>
          </w:tcPr>
          <w:p w:rsidR="007F373F" w:rsidRDefault="00000000">
            <w:pPr>
              <w:spacing w:after="0"/>
              <w:jc w:val="left"/>
            </w:pPr>
            <w:r>
              <w:rPr>
                <w:sz w:val="20"/>
              </w:rPr>
              <w:t>T8</w:t>
            </w:r>
          </w:p>
        </w:tc>
        <w:tc>
          <w:tcPr>
            <w:tcW w:w="4141" w:type="dxa"/>
          </w:tcPr>
          <w:p w:rsidR="007F373F" w:rsidRDefault="00000000">
            <w:pPr>
              <w:spacing w:after="0"/>
              <w:jc w:val="left"/>
            </w:pPr>
            <w:r>
              <w:rPr>
                <w:sz w:val="20"/>
              </w:rPr>
              <w:t>Eight-year KPI series FY19–FY26</w:t>
            </w:r>
          </w:p>
        </w:tc>
        <w:tc>
          <w:tcPr>
            <w:tcW w:w="690" w:type="dxa"/>
          </w:tcPr>
          <w:p w:rsidR="007F373F" w:rsidRDefault="00000000">
            <w:pPr>
              <w:spacing w:after="0"/>
              <w:jc w:val="left"/>
            </w:pPr>
            <w:r>
              <w:rPr>
                <w:sz w:val="20"/>
              </w:rPr>
              <w:t>T16</w:t>
            </w:r>
          </w:p>
        </w:tc>
        <w:tc>
          <w:tcPr>
            <w:tcW w:w="4141" w:type="dxa"/>
          </w:tcPr>
          <w:p w:rsidR="007F373F" w:rsidRDefault="00000000">
            <w:pPr>
              <w:spacing w:after="0"/>
              <w:jc w:val="left"/>
            </w:pPr>
            <w:r>
              <w:rPr>
                <w:sz w:val="20"/>
              </w:rPr>
              <w:t>Appendices A–E (statements, branches, NCDs, shareholding)</w:t>
            </w:r>
          </w:p>
        </w:tc>
      </w:tr>
    </w:tbl>
    <w:p w:rsidR="007F373F" w:rsidRDefault="007F373F">
      <w:pPr>
        <w:spacing w:after="40"/>
      </w:pPr>
    </w:p>
    <w:p w:rsidR="007F373F" w:rsidRDefault="00000000">
      <w:pPr>
        <w:pStyle w:val="Heading2"/>
      </w:pPr>
      <w:r>
        <w:t>Principal figures</w:t>
      </w:r>
    </w:p>
    <w:p w:rsidR="007F373F" w:rsidRDefault="00000000">
      <w:r>
        <w:rPr>
          <w:sz w:val="21"/>
        </w:rPr>
        <w:t>F1 AUM FY19–FY26; F2 PAT FY19–FY26; F3 product mix FY24–FY26; F4 RoA and RoE; F5 yield, cost of borrowings and spread; F6 GNPA, NNPA and PCR; F7 CRAR and book value; F8 borrowings by instrument; F9 branch network by format; F10 disbursements by product; F11 stage classification; F12 shareholding pattern; F13 top-five-state concentration; F14 expense structure; F15 structural liquidity; F16 revenue, PAT and margin.</w:t>
      </w:r>
    </w:p>
    <w:p w:rsidR="007F373F" w:rsidRDefault="00000000">
      <w:pPr>
        <w:pStyle w:val="Heading2"/>
      </w:pPr>
      <w:r>
        <w:t>Abbreviations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242"/>
        <w:gridCol w:w="3589"/>
        <w:gridCol w:w="1518"/>
        <w:gridCol w:w="3313"/>
      </w:tblGrid>
      <w:tr w:rsidR="007F373F">
        <w:trPr>
          <w:jc w:val="center"/>
        </w:trPr>
        <w:tc>
          <w:tcPr>
            <w:tcW w:w="1242" w:type="dxa"/>
          </w:tcPr>
          <w:p w:rsidR="007F373F" w:rsidRDefault="00000000">
            <w:pPr>
              <w:spacing w:after="0"/>
              <w:jc w:val="left"/>
            </w:pPr>
            <w:r>
              <w:rPr>
                <w:b/>
                <w:sz w:val="19"/>
              </w:rPr>
              <w:t>Term</w:t>
            </w:r>
          </w:p>
        </w:tc>
        <w:tc>
          <w:tcPr>
            <w:tcW w:w="3589" w:type="dxa"/>
          </w:tcPr>
          <w:p w:rsidR="007F373F" w:rsidRDefault="00000000">
            <w:pPr>
              <w:spacing w:after="0"/>
              <w:jc w:val="left"/>
            </w:pPr>
            <w:r>
              <w:rPr>
                <w:b/>
                <w:sz w:val="19"/>
              </w:rPr>
              <w:t>Meaning</w:t>
            </w:r>
          </w:p>
        </w:tc>
        <w:tc>
          <w:tcPr>
            <w:tcW w:w="1518" w:type="dxa"/>
          </w:tcPr>
          <w:p w:rsidR="007F373F" w:rsidRDefault="00000000">
            <w:pPr>
              <w:spacing w:after="0"/>
              <w:jc w:val="left"/>
            </w:pPr>
            <w:r>
              <w:rPr>
                <w:b/>
                <w:sz w:val="19"/>
              </w:rPr>
              <w:t>Term</w:t>
            </w:r>
          </w:p>
        </w:tc>
        <w:tc>
          <w:tcPr>
            <w:tcW w:w="3313" w:type="dxa"/>
          </w:tcPr>
          <w:p w:rsidR="007F373F" w:rsidRDefault="00000000">
            <w:pPr>
              <w:spacing w:after="0"/>
              <w:jc w:val="left"/>
            </w:pPr>
            <w:r>
              <w:rPr>
                <w:b/>
                <w:sz w:val="19"/>
              </w:rPr>
              <w:t>Meaning</w:t>
            </w:r>
          </w:p>
        </w:tc>
      </w:tr>
      <w:tr w:rsidR="007F373F">
        <w:trPr>
          <w:jc w:val="center"/>
        </w:trPr>
        <w:tc>
          <w:tcPr>
            <w:tcW w:w="1242" w:type="dxa"/>
          </w:tcPr>
          <w:p w:rsidR="007F373F" w:rsidRDefault="00000000">
            <w:pPr>
              <w:spacing w:after="0"/>
              <w:jc w:val="left"/>
            </w:pPr>
            <w:r>
              <w:rPr>
                <w:sz w:val="19"/>
              </w:rPr>
              <w:t>AUM</w:t>
            </w:r>
          </w:p>
        </w:tc>
        <w:tc>
          <w:tcPr>
            <w:tcW w:w="3589" w:type="dxa"/>
          </w:tcPr>
          <w:p w:rsidR="007F373F" w:rsidRDefault="00000000">
            <w:pPr>
              <w:spacing w:after="0"/>
              <w:jc w:val="left"/>
            </w:pPr>
            <w:r>
              <w:rPr>
                <w:sz w:val="19"/>
              </w:rPr>
              <w:t>Assets under management (on-book + co-lent/assigned)</w:t>
            </w:r>
          </w:p>
        </w:tc>
        <w:tc>
          <w:tcPr>
            <w:tcW w:w="1518" w:type="dxa"/>
          </w:tcPr>
          <w:p w:rsidR="007F373F" w:rsidRDefault="00000000">
            <w:pPr>
              <w:spacing w:after="0"/>
              <w:jc w:val="left"/>
            </w:pPr>
            <w:r>
              <w:rPr>
                <w:sz w:val="19"/>
              </w:rPr>
              <w:t>LTV</w:t>
            </w:r>
          </w:p>
        </w:tc>
        <w:tc>
          <w:tcPr>
            <w:tcW w:w="3313" w:type="dxa"/>
          </w:tcPr>
          <w:p w:rsidR="007F373F" w:rsidRDefault="00000000">
            <w:pPr>
              <w:spacing w:after="0"/>
              <w:jc w:val="left"/>
            </w:pPr>
            <w:r>
              <w:rPr>
                <w:sz w:val="19"/>
              </w:rPr>
              <w:t>Loan-to-value ratio</w:t>
            </w:r>
          </w:p>
        </w:tc>
      </w:tr>
      <w:tr w:rsidR="007F373F">
        <w:trPr>
          <w:jc w:val="center"/>
        </w:trPr>
        <w:tc>
          <w:tcPr>
            <w:tcW w:w="1242" w:type="dxa"/>
          </w:tcPr>
          <w:p w:rsidR="007F373F" w:rsidRDefault="00000000">
            <w:pPr>
              <w:spacing w:after="0"/>
              <w:jc w:val="left"/>
            </w:pPr>
            <w:r>
              <w:rPr>
                <w:sz w:val="19"/>
              </w:rPr>
              <w:t>AUF</w:t>
            </w:r>
          </w:p>
        </w:tc>
        <w:tc>
          <w:tcPr>
            <w:tcW w:w="3589" w:type="dxa"/>
          </w:tcPr>
          <w:p w:rsidR="007F373F" w:rsidRDefault="00000000">
            <w:pPr>
              <w:spacing w:after="0"/>
              <w:jc w:val="left"/>
            </w:pPr>
            <w:r>
              <w:rPr>
                <w:sz w:val="19"/>
              </w:rPr>
              <w:t>Assets under finance (on-book)</w:t>
            </w:r>
          </w:p>
        </w:tc>
        <w:tc>
          <w:tcPr>
            <w:tcW w:w="1518" w:type="dxa"/>
          </w:tcPr>
          <w:p w:rsidR="007F373F" w:rsidRDefault="00000000">
            <w:pPr>
              <w:spacing w:after="0"/>
              <w:jc w:val="left"/>
            </w:pPr>
            <w:r>
              <w:rPr>
                <w:sz w:val="19"/>
              </w:rPr>
              <w:t>MT LAP / ST LAP</w:t>
            </w:r>
          </w:p>
        </w:tc>
        <w:tc>
          <w:tcPr>
            <w:tcW w:w="3313" w:type="dxa"/>
          </w:tcPr>
          <w:p w:rsidR="007F373F" w:rsidRDefault="00000000">
            <w:pPr>
              <w:spacing w:after="0"/>
              <w:jc w:val="left"/>
            </w:pPr>
            <w:r>
              <w:rPr>
                <w:sz w:val="19"/>
              </w:rPr>
              <w:t>Medium- / small-ticket loan against property</w:t>
            </w:r>
          </w:p>
        </w:tc>
      </w:tr>
      <w:tr w:rsidR="007F373F">
        <w:trPr>
          <w:jc w:val="center"/>
        </w:trPr>
        <w:tc>
          <w:tcPr>
            <w:tcW w:w="1242" w:type="dxa"/>
          </w:tcPr>
          <w:p w:rsidR="007F373F" w:rsidRDefault="00000000">
            <w:pPr>
              <w:spacing w:after="0"/>
              <w:jc w:val="left"/>
            </w:pPr>
            <w:r>
              <w:rPr>
                <w:sz w:val="19"/>
              </w:rPr>
              <w:t>BRE</w:t>
            </w:r>
          </w:p>
        </w:tc>
        <w:tc>
          <w:tcPr>
            <w:tcW w:w="3589" w:type="dxa"/>
          </w:tcPr>
          <w:p w:rsidR="007F373F" w:rsidRDefault="00000000">
            <w:pPr>
              <w:spacing w:after="0"/>
              <w:jc w:val="left"/>
            </w:pPr>
            <w:r>
              <w:rPr>
                <w:sz w:val="19"/>
              </w:rPr>
              <w:t>Business rule engine</w:t>
            </w:r>
          </w:p>
        </w:tc>
        <w:tc>
          <w:tcPr>
            <w:tcW w:w="1518" w:type="dxa"/>
          </w:tcPr>
          <w:p w:rsidR="007F373F" w:rsidRDefault="00000000">
            <w:pPr>
              <w:spacing w:after="0"/>
              <w:jc w:val="left"/>
            </w:pPr>
            <w:r>
              <w:rPr>
                <w:sz w:val="19"/>
              </w:rPr>
              <w:t>NCD / CP</w:t>
            </w:r>
          </w:p>
        </w:tc>
        <w:tc>
          <w:tcPr>
            <w:tcW w:w="3313" w:type="dxa"/>
          </w:tcPr>
          <w:p w:rsidR="007F373F" w:rsidRDefault="00000000">
            <w:pPr>
              <w:spacing w:after="0"/>
              <w:jc w:val="left"/>
            </w:pPr>
            <w:r>
              <w:rPr>
                <w:sz w:val="19"/>
              </w:rPr>
              <w:t>Non-convertible debenture / commercial paper</w:t>
            </w:r>
          </w:p>
        </w:tc>
      </w:tr>
      <w:tr w:rsidR="007F373F">
        <w:trPr>
          <w:jc w:val="center"/>
        </w:trPr>
        <w:tc>
          <w:tcPr>
            <w:tcW w:w="1242" w:type="dxa"/>
          </w:tcPr>
          <w:p w:rsidR="007F373F" w:rsidRDefault="00000000">
            <w:pPr>
              <w:spacing w:after="0"/>
              <w:jc w:val="left"/>
            </w:pPr>
            <w:r>
              <w:rPr>
                <w:sz w:val="19"/>
              </w:rPr>
              <w:t>CRAR</w:t>
            </w:r>
          </w:p>
        </w:tc>
        <w:tc>
          <w:tcPr>
            <w:tcW w:w="3589" w:type="dxa"/>
          </w:tcPr>
          <w:p w:rsidR="007F373F" w:rsidRDefault="00000000">
            <w:pPr>
              <w:spacing w:after="0"/>
              <w:jc w:val="left"/>
            </w:pPr>
            <w:r>
              <w:rPr>
                <w:sz w:val="19"/>
              </w:rPr>
              <w:t>Capital to risk-weighted assets ratio</w:t>
            </w:r>
          </w:p>
        </w:tc>
        <w:tc>
          <w:tcPr>
            <w:tcW w:w="1518" w:type="dxa"/>
          </w:tcPr>
          <w:p w:rsidR="007F373F" w:rsidRDefault="00000000">
            <w:pPr>
              <w:spacing w:after="0"/>
              <w:jc w:val="left"/>
            </w:pPr>
            <w:r>
              <w:rPr>
                <w:sz w:val="19"/>
              </w:rPr>
              <w:t>NII / NIM</w:t>
            </w:r>
          </w:p>
        </w:tc>
        <w:tc>
          <w:tcPr>
            <w:tcW w:w="3313" w:type="dxa"/>
          </w:tcPr>
          <w:p w:rsidR="007F373F" w:rsidRDefault="00000000">
            <w:pPr>
              <w:spacing w:after="0"/>
              <w:jc w:val="left"/>
            </w:pPr>
            <w:r>
              <w:rPr>
                <w:sz w:val="19"/>
              </w:rPr>
              <w:t>Net interest income / net interest margin</w:t>
            </w:r>
          </w:p>
        </w:tc>
      </w:tr>
      <w:tr w:rsidR="007F373F">
        <w:trPr>
          <w:jc w:val="center"/>
        </w:trPr>
        <w:tc>
          <w:tcPr>
            <w:tcW w:w="1242" w:type="dxa"/>
          </w:tcPr>
          <w:p w:rsidR="007F373F" w:rsidRDefault="00000000">
            <w:pPr>
              <w:spacing w:after="0"/>
              <w:jc w:val="left"/>
            </w:pPr>
            <w:r>
              <w:rPr>
                <w:sz w:val="19"/>
              </w:rPr>
              <w:t>DA</w:t>
            </w:r>
          </w:p>
        </w:tc>
        <w:tc>
          <w:tcPr>
            <w:tcW w:w="3589" w:type="dxa"/>
          </w:tcPr>
          <w:p w:rsidR="007F373F" w:rsidRDefault="00000000">
            <w:pPr>
              <w:spacing w:after="0"/>
              <w:jc w:val="left"/>
            </w:pPr>
            <w:r>
              <w:rPr>
                <w:sz w:val="19"/>
              </w:rPr>
              <w:t>Direct assignment (portfolio sell-down)</w:t>
            </w:r>
          </w:p>
        </w:tc>
        <w:tc>
          <w:tcPr>
            <w:tcW w:w="1518" w:type="dxa"/>
          </w:tcPr>
          <w:p w:rsidR="007F373F" w:rsidRDefault="00000000">
            <w:pPr>
              <w:spacing w:after="0"/>
              <w:jc w:val="left"/>
            </w:pPr>
            <w:r>
              <w:rPr>
                <w:sz w:val="19"/>
              </w:rPr>
              <w:t>NNPA / GNPA</w:t>
            </w:r>
          </w:p>
        </w:tc>
        <w:tc>
          <w:tcPr>
            <w:tcW w:w="3313" w:type="dxa"/>
          </w:tcPr>
          <w:p w:rsidR="007F373F" w:rsidRDefault="00000000">
            <w:pPr>
              <w:spacing w:after="0"/>
              <w:jc w:val="left"/>
            </w:pPr>
            <w:r>
              <w:rPr>
                <w:sz w:val="19"/>
              </w:rPr>
              <w:t>Net / gross non-performing assets</w:t>
            </w:r>
          </w:p>
        </w:tc>
      </w:tr>
      <w:tr w:rsidR="007F373F">
        <w:trPr>
          <w:jc w:val="center"/>
        </w:trPr>
        <w:tc>
          <w:tcPr>
            <w:tcW w:w="1242" w:type="dxa"/>
          </w:tcPr>
          <w:p w:rsidR="007F373F" w:rsidRDefault="00000000">
            <w:pPr>
              <w:spacing w:after="0"/>
              <w:jc w:val="left"/>
            </w:pPr>
            <w:r>
              <w:rPr>
                <w:sz w:val="19"/>
              </w:rPr>
              <w:t>DSGL</w:t>
            </w:r>
          </w:p>
        </w:tc>
        <w:tc>
          <w:tcPr>
            <w:tcW w:w="3589" w:type="dxa"/>
          </w:tcPr>
          <w:p w:rsidR="007F373F" w:rsidRDefault="00000000">
            <w:pPr>
              <w:spacing w:after="0"/>
              <w:jc w:val="left"/>
            </w:pPr>
            <w:r>
              <w:rPr>
                <w:sz w:val="19"/>
              </w:rPr>
              <w:t>Doorstep gold loan</w:t>
            </w:r>
          </w:p>
        </w:tc>
        <w:tc>
          <w:tcPr>
            <w:tcW w:w="1518" w:type="dxa"/>
          </w:tcPr>
          <w:p w:rsidR="007F373F" w:rsidRDefault="00000000">
            <w:pPr>
              <w:spacing w:after="0"/>
              <w:jc w:val="left"/>
            </w:pPr>
            <w:r>
              <w:rPr>
                <w:sz w:val="19"/>
              </w:rPr>
              <w:t>PCR</w:t>
            </w:r>
          </w:p>
        </w:tc>
        <w:tc>
          <w:tcPr>
            <w:tcW w:w="3313" w:type="dxa"/>
          </w:tcPr>
          <w:p w:rsidR="007F373F" w:rsidRDefault="00000000">
            <w:pPr>
              <w:spacing w:after="0"/>
              <w:jc w:val="left"/>
            </w:pPr>
            <w:r>
              <w:rPr>
                <w:sz w:val="19"/>
              </w:rPr>
              <w:t>Provision coverage ratio</w:t>
            </w:r>
          </w:p>
        </w:tc>
      </w:tr>
      <w:tr w:rsidR="007F373F">
        <w:trPr>
          <w:jc w:val="center"/>
        </w:trPr>
        <w:tc>
          <w:tcPr>
            <w:tcW w:w="1242" w:type="dxa"/>
          </w:tcPr>
          <w:p w:rsidR="007F373F" w:rsidRDefault="00000000">
            <w:pPr>
              <w:spacing w:after="0"/>
              <w:jc w:val="left"/>
            </w:pPr>
            <w:r>
              <w:rPr>
                <w:sz w:val="19"/>
              </w:rPr>
              <w:t>ECB</w:t>
            </w:r>
          </w:p>
        </w:tc>
        <w:tc>
          <w:tcPr>
            <w:tcW w:w="3589" w:type="dxa"/>
          </w:tcPr>
          <w:p w:rsidR="007F373F" w:rsidRDefault="00000000">
            <w:pPr>
              <w:spacing w:after="0"/>
              <w:jc w:val="left"/>
            </w:pPr>
            <w:r>
              <w:rPr>
                <w:sz w:val="19"/>
              </w:rPr>
              <w:t>External commercial borrowing</w:t>
            </w:r>
          </w:p>
        </w:tc>
        <w:tc>
          <w:tcPr>
            <w:tcW w:w="1518" w:type="dxa"/>
          </w:tcPr>
          <w:p w:rsidR="007F373F" w:rsidRDefault="00000000">
            <w:pPr>
              <w:spacing w:after="0"/>
              <w:jc w:val="left"/>
            </w:pPr>
            <w:r>
              <w:rPr>
                <w:sz w:val="19"/>
              </w:rPr>
              <w:t>PPOP</w:t>
            </w:r>
          </w:p>
        </w:tc>
        <w:tc>
          <w:tcPr>
            <w:tcW w:w="3313" w:type="dxa"/>
          </w:tcPr>
          <w:p w:rsidR="007F373F" w:rsidRDefault="00000000">
            <w:pPr>
              <w:spacing w:after="0"/>
              <w:jc w:val="left"/>
            </w:pPr>
            <w:r>
              <w:rPr>
                <w:sz w:val="19"/>
              </w:rPr>
              <w:t>Pre-provision operating profit</w:t>
            </w:r>
          </w:p>
        </w:tc>
      </w:tr>
      <w:tr w:rsidR="007F373F">
        <w:trPr>
          <w:jc w:val="center"/>
        </w:trPr>
        <w:tc>
          <w:tcPr>
            <w:tcW w:w="1242" w:type="dxa"/>
          </w:tcPr>
          <w:p w:rsidR="007F373F" w:rsidRDefault="00000000">
            <w:pPr>
              <w:spacing w:after="0"/>
              <w:jc w:val="left"/>
            </w:pPr>
            <w:r>
              <w:rPr>
                <w:sz w:val="19"/>
              </w:rPr>
              <w:t>ECL</w:t>
            </w:r>
          </w:p>
        </w:tc>
        <w:tc>
          <w:tcPr>
            <w:tcW w:w="3589" w:type="dxa"/>
          </w:tcPr>
          <w:p w:rsidR="007F373F" w:rsidRDefault="00000000">
            <w:pPr>
              <w:spacing w:after="0"/>
              <w:jc w:val="left"/>
            </w:pPr>
            <w:r>
              <w:rPr>
                <w:sz w:val="19"/>
              </w:rPr>
              <w:t>Expected credit loss (Ind AS 109)</w:t>
            </w:r>
          </w:p>
        </w:tc>
        <w:tc>
          <w:tcPr>
            <w:tcW w:w="1518" w:type="dxa"/>
          </w:tcPr>
          <w:p w:rsidR="007F373F" w:rsidRDefault="00000000">
            <w:pPr>
              <w:spacing w:after="0"/>
              <w:jc w:val="left"/>
            </w:pPr>
            <w:r>
              <w:rPr>
                <w:sz w:val="19"/>
              </w:rPr>
              <w:t>RoA / RoE</w:t>
            </w:r>
          </w:p>
        </w:tc>
        <w:tc>
          <w:tcPr>
            <w:tcW w:w="3313" w:type="dxa"/>
          </w:tcPr>
          <w:p w:rsidR="007F373F" w:rsidRDefault="00000000">
            <w:pPr>
              <w:spacing w:after="0"/>
              <w:jc w:val="left"/>
            </w:pPr>
            <w:r>
              <w:rPr>
                <w:sz w:val="19"/>
              </w:rPr>
              <w:t>Return on (average) assets / equity</w:t>
            </w:r>
          </w:p>
        </w:tc>
      </w:tr>
      <w:tr w:rsidR="007F373F">
        <w:trPr>
          <w:jc w:val="center"/>
        </w:trPr>
        <w:tc>
          <w:tcPr>
            <w:tcW w:w="1242" w:type="dxa"/>
          </w:tcPr>
          <w:p w:rsidR="007F373F" w:rsidRDefault="00000000">
            <w:pPr>
              <w:spacing w:after="0"/>
              <w:jc w:val="left"/>
            </w:pPr>
            <w:r>
              <w:rPr>
                <w:sz w:val="19"/>
              </w:rPr>
              <w:t>EWS</w:t>
            </w:r>
          </w:p>
        </w:tc>
        <w:tc>
          <w:tcPr>
            <w:tcW w:w="3589" w:type="dxa"/>
          </w:tcPr>
          <w:p w:rsidR="007F373F" w:rsidRDefault="00000000">
            <w:pPr>
              <w:spacing w:after="0"/>
              <w:jc w:val="left"/>
            </w:pPr>
            <w:r>
              <w:rPr>
                <w:sz w:val="19"/>
              </w:rPr>
              <w:t>Early-warning signal</w:t>
            </w:r>
          </w:p>
        </w:tc>
        <w:tc>
          <w:tcPr>
            <w:tcW w:w="1518" w:type="dxa"/>
          </w:tcPr>
          <w:p w:rsidR="007F373F" w:rsidRDefault="00000000">
            <w:pPr>
              <w:spacing w:after="0"/>
              <w:jc w:val="left"/>
            </w:pPr>
            <w:r>
              <w:rPr>
                <w:sz w:val="19"/>
              </w:rPr>
              <w:t>SBR</w:t>
            </w:r>
          </w:p>
        </w:tc>
        <w:tc>
          <w:tcPr>
            <w:tcW w:w="3313" w:type="dxa"/>
          </w:tcPr>
          <w:p w:rsidR="007F373F" w:rsidRDefault="00000000">
            <w:pPr>
              <w:spacing w:after="0"/>
              <w:jc w:val="left"/>
            </w:pPr>
            <w:r>
              <w:rPr>
                <w:sz w:val="19"/>
              </w:rPr>
              <w:t>RBI scale-based regulation for NBFCs</w:t>
            </w:r>
          </w:p>
        </w:tc>
      </w:tr>
      <w:tr w:rsidR="007F373F">
        <w:trPr>
          <w:jc w:val="center"/>
        </w:trPr>
        <w:tc>
          <w:tcPr>
            <w:tcW w:w="1242" w:type="dxa"/>
          </w:tcPr>
          <w:p w:rsidR="007F373F" w:rsidRDefault="00000000">
            <w:pPr>
              <w:spacing w:after="0"/>
              <w:jc w:val="left"/>
            </w:pPr>
            <w:r>
              <w:rPr>
                <w:sz w:val="19"/>
              </w:rPr>
              <w:t>HL</w:t>
            </w:r>
          </w:p>
        </w:tc>
        <w:tc>
          <w:tcPr>
            <w:tcW w:w="3589" w:type="dxa"/>
          </w:tcPr>
          <w:p w:rsidR="007F373F" w:rsidRDefault="00000000">
            <w:pPr>
              <w:spacing w:after="0"/>
              <w:jc w:val="left"/>
            </w:pPr>
            <w:r>
              <w:rPr>
                <w:sz w:val="19"/>
              </w:rPr>
              <w:t>Housing loan</w:t>
            </w:r>
          </w:p>
        </w:tc>
        <w:tc>
          <w:tcPr>
            <w:tcW w:w="1518" w:type="dxa"/>
          </w:tcPr>
          <w:p w:rsidR="007F373F" w:rsidRDefault="00000000">
            <w:pPr>
              <w:spacing w:after="0"/>
              <w:jc w:val="left"/>
            </w:pPr>
            <w:r>
              <w:rPr>
                <w:sz w:val="19"/>
              </w:rPr>
              <w:t>TAT</w:t>
            </w:r>
          </w:p>
        </w:tc>
        <w:tc>
          <w:tcPr>
            <w:tcW w:w="3313" w:type="dxa"/>
          </w:tcPr>
          <w:p w:rsidR="007F373F" w:rsidRDefault="00000000">
            <w:pPr>
              <w:spacing w:after="0"/>
              <w:jc w:val="left"/>
            </w:pPr>
            <w:r>
              <w:rPr>
                <w:sz w:val="19"/>
              </w:rPr>
              <w:t>Turnaround time</w:t>
            </w:r>
          </w:p>
        </w:tc>
      </w:tr>
    </w:tbl>
    <w:p w:rsidR="007F373F" w:rsidRDefault="007F373F">
      <w:pPr>
        <w:spacing w:after="40"/>
      </w:pPr>
    </w:p>
    <w:p w:rsidR="007F373F" w:rsidRDefault="00000000">
      <w:pPr>
        <w:pStyle w:val="Heading1"/>
        <w:pageBreakBefore/>
      </w:pPr>
      <w:r>
        <w:lastRenderedPageBreak/>
        <w:t>Chapter 1 — Introduction</w:t>
      </w:r>
    </w:p>
    <w:p w:rsidR="007F373F" w:rsidRDefault="00000000">
      <w:r>
        <w:t>Financial intermediaries channel household savings into productive credit. In India this function is shared between scheduled commercial banks, non-banking financial companies (NBFCs), housing finance companies, small finance banks, co-operative institutions and, increasingly, fintech platforms. NBFCs occupy a distinctive niche: they specialise in customer segments and products that banks have historically served less well – self-employed borrowers with informal incomes, small enterprises without audited accounts, households needing short-tenor liquidity against gold, and property-backed working-capital loans in Tier 2–4 towns.</w:t>
      </w:r>
    </w:p>
    <w:p w:rsidR="007F373F" w:rsidRDefault="00000000">
      <w:r>
        <w:t>The sector has become systemically significant. According to the Management Discussion and Analysis in the Fedfina Annual Report 2025-26, total NBFC assets stood at approximately ₹45 trillion in FY 2025–26, loan books were expanding at 15–17%, and CRISIL expects sector AUM to cross ₹50 trillion in FY 2026–27. Within this, secured retail lending – gold loans and loans against property – has emerged as the preferred growth avenue after the stress seen in unsecured small-ticket personal loans and microfinance during 2024–25.</w:t>
      </w:r>
    </w:p>
    <w:p w:rsidR="007F373F" w:rsidRDefault="00000000">
      <w:r>
        <w:t>Fedbank Financial Services Limited is a useful subject for fundamental analysis for four reasons. First, it is a bank-promoted NBFC (Federal Bank holds 60.79%), so the interaction between institutional parentage and NBFC agility can be studied. Second, it operates a “twin-engine” model – short-tenor gold loans and long-tenor mortgage loans – that allows the analyst to compare two very different secured products inside one balance sheet. Third, it has gone through a complete cycle within the study period: rapid growth and an IPO in FY24, an asset-quality reset in FY25, and a recovery with a strategic pivot to a fully secured book in FY26. Fourth, its disclosures are unusually granular: the annual reports provide eight years of KPIs, product-level disbursements, stage-wise loan data, ALM buckets and borrowing terms.</w:t>
      </w:r>
    </w:p>
    <w:p w:rsidR="007F373F" w:rsidRDefault="00000000">
      <w:pPr>
        <w:pStyle w:val="Heading2"/>
      </w:pPr>
      <w:r>
        <w:t>Structure of the report</w:t>
      </w:r>
    </w:p>
    <w:p w:rsidR="007F373F" w:rsidRDefault="00000000">
      <w:r>
        <w:t>Chapter 1 sets out the study design. Chapter 2 analyses the sector (macro-economy, NBFC industry, gold-loan and mortgage markets, regulation, competition, Porter and PESTLE). Chapters 3 and 4 profile the company and its products. Chapter 5 contains the five-year financial analysis (FY22–FY26) with an eight-year view of AUM and PAT. Chapter 6 analyses risk; Chapter 7 presents SWOT, scenarios and recommendations; Chapter 8 summarises findings, tests the hypothesis and lists limitations and references. Appendices reproduce the summarised statements and supporting tables.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346"/>
        <w:gridCol w:w="2761"/>
        <w:gridCol w:w="2139"/>
        <w:gridCol w:w="2484"/>
      </w:tblGrid>
      <w:tr w:rsidR="007F373F">
        <w:trPr>
          <w:jc w:val="center"/>
        </w:trPr>
        <w:tc>
          <w:tcPr>
            <w:tcW w:w="2346" w:type="dxa"/>
          </w:tcPr>
          <w:p w:rsidR="007F373F" w:rsidRDefault="00000000">
            <w:pPr>
              <w:spacing w:after="0"/>
              <w:jc w:val="left"/>
            </w:pPr>
            <w:r>
              <w:rPr>
                <w:b/>
                <w:sz w:val="19"/>
              </w:rPr>
              <w:t>Company fact (31 March 2026)</w:t>
            </w:r>
          </w:p>
        </w:tc>
        <w:tc>
          <w:tcPr>
            <w:tcW w:w="2761" w:type="dxa"/>
          </w:tcPr>
          <w:p w:rsidR="007F373F" w:rsidRDefault="00000000">
            <w:pPr>
              <w:spacing w:after="0"/>
              <w:jc w:val="left"/>
            </w:pPr>
            <w:r>
              <w:rPr>
                <w:b/>
                <w:sz w:val="19"/>
              </w:rPr>
              <w:t>Value</w:t>
            </w:r>
          </w:p>
        </w:tc>
        <w:tc>
          <w:tcPr>
            <w:tcW w:w="2139" w:type="dxa"/>
          </w:tcPr>
          <w:p w:rsidR="007F373F" w:rsidRDefault="00000000">
            <w:pPr>
              <w:spacing w:after="0"/>
              <w:jc w:val="left"/>
            </w:pPr>
            <w:r>
              <w:rPr>
                <w:b/>
                <w:sz w:val="19"/>
              </w:rPr>
              <w:t>Company fact (31 March 2026)</w:t>
            </w:r>
          </w:p>
        </w:tc>
        <w:tc>
          <w:tcPr>
            <w:tcW w:w="2484" w:type="dxa"/>
          </w:tcPr>
          <w:p w:rsidR="007F373F" w:rsidRDefault="00000000">
            <w:pPr>
              <w:spacing w:after="0"/>
              <w:jc w:val="left"/>
            </w:pPr>
            <w:r>
              <w:rPr>
                <w:b/>
                <w:sz w:val="19"/>
              </w:rPr>
              <w:t>Value</w:t>
            </w:r>
          </w:p>
        </w:tc>
      </w:tr>
      <w:tr w:rsidR="007F373F">
        <w:trPr>
          <w:jc w:val="center"/>
        </w:trPr>
        <w:tc>
          <w:tcPr>
            <w:tcW w:w="2346" w:type="dxa"/>
          </w:tcPr>
          <w:p w:rsidR="007F373F" w:rsidRDefault="00000000">
            <w:pPr>
              <w:spacing w:after="0"/>
              <w:jc w:val="left"/>
            </w:pPr>
            <w:r>
              <w:rPr>
                <w:sz w:val="19"/>
              </w:rPr>
              <w:t>Incorporated / RBI registration</w:t>
            </w:r>
          </w:p>
        </w:tc>
        <w:tc>
          <w:tcPr>
            <w:tcW w:w="2761" w:type="dxa"/>
          </w:tcPr>
          <w:p w:rsidR="007F373F" w:rsidRDefault="00000000">
            <w:pPr>
              <w:spacing w:after="0"/>
              <w:jc w:val="left"/>
            </w:pPr>
            <w:r>
              <w:rPr>
                <w:sz w:val="19"/>
              </w:rPr>
              <w:t>1995 / NBFC-ND, CoR N-16.00187 (Aug 2010)</w:t>
            </w:r>
          </w:p>
        </w:tc>
        <w:tc>
          <w:tcPr>
            <w:tcW w:w="2139" w:type="dxa"/>
          </w:tcPr>
          <w:p w:rsidR="007F373F" w:rsidRDefault="00000000">
            <w:pPr>
              <w:spacing w:after="0"/>
              <w:jc w:val="left"/>
            </w:pPr>
            <w:r>
              <w:rPr>
                <w:sz w:val="19"/>
              </w:rPr>
              <w:t>Promoter holding</w:t>
            </w:r>
          </w:p>
        </w:tc>
        <w:tc>
          <w:tcPr>
            <w:tcW w:w="2484" w:type="dxa"/>
          </w:tcPr>
          <w:p w:rsidR="007F373F" w:rsidRDefault="00000000">
            <w:pPr>
              <w:spacing w:after="0"/>
              <w:jc w:val="left"/>
            </w:pPr>
            <w:r>
              <w:rPr>
                <w:sz w:val="19"/>
              </w:rPr>
              <w:t>Federal Bank 60.79%</w:t>
            </w:r>
          </w:p>
        </w:tc>
      </w:tr>
      <w:tr w:rsidR="007F373F">
        <w:trPr>
          <w:jc w:val="center"/>
        </w:trPr>
        <w:tc>
          <w:tcPr>
            <w:tcW w:w="2346" w:type="dxa"/>
          </w:tcPr>
          <w:p w:rsidR="007F373F" w:rsidRDefault="00000000">
            <w:pPr>
              <w:spacing w:after="0"/>
              <w:jc w:val="left"/>
            </w:pPr>
            <w:r>
              <w:rPr>
                <w:sz w:val="19"/>
              </w:rPr>
              <w:t>Listing</w:t>
            </w:r>
          </w:p>
        </w:tc>
        <w:tc>
          <w:tcPr>
            <w:tcW w:w="2761" w:type="dxa"/>
          </w:tcPr>
          <w:p w:rsidR="007F373F" w:rsidRDefault="00000000">
            <w:pPr>
              <w:spacing w:after="0"/>
              <w:jc w:val="left"/>
            </w:pPr>
            <w:r>
              <w:rPr>
                <w:sz w:val="19"/>
              </w:rPr>
              <w:t>NSE &amp; BSE, November 2023 (IPO ₹1,092 crore)</w:t>
            </w:r>
          </w:p>
        </w:tc>
        <w:tc>
          <w:tcPr>
            <w:tcW w:w="2139" w:type="dxa"/>
          </w:tcPr>
          <w:p w:rsidR="007F373F" w:rsidRDefault="00000000">
            <w:pPr>
              <w:spacing w:after="0"/>
              <w:jc w:val="left"/>
            </w:pPr>
            <w:r>
              <w:rPr>
                <w:sz w:val="19"/>
              </w:rPr>
              <w:t>Market capitalisation</w:t>
            </w:r>
          </w:p>
        </w:tc>
        <w:tc>
          <w:tcPr>
            <w:tcW w:w="2484" w:type="dxa"/>
          </w:tcPr>
          <w:p w:rsidR="007F373F" w:rsidRDefault="00000000">
            <w:pPr>
              <w:spacing w:after="0"/>
              <w:jc w:val="left"/>
            </w:pPr>
            <w:r>
              <w:rPr>
                <w:sz w:val="19"/>
              </w:rPr>
              <w:t>₹4,642 crore</w:t>
            </w:r>
          </w:p>
        </w:tc>
      </w:tr>
      <w:tr w:rsidR="007F373F">
        <w:trPr>
          <w:jc w:val="center"/>
        </w:trPr>
        <w:tc>
          <w:tcPr>
            <w:tcW w:w="2346" w:type="dxa"/>
          </w:tcPr>
          <w:p w:rsidR="007F373F" w:rsidRDefault="00000000">
            <w:pPr>
              <w:spacing w:after="0"/>
              <w:jc w:val="left"/>
            </w:pPr>
            <w:r>
              <w:rPr>
                <w:sz w:val="19"/>
              </w:rPr>
              <w:t>AUM / secured share</w:t>
            </w:r>
          </w:p>
        </w:tc>
        <w:tc>
          <w:tcPr>
            <w:tcW w:w="2761" w:type="dxa"/>
          </w:tcPr>
          <w:p w:rsidR="007F373F" w:rsidRDefault="00000000">
            <w:pPr>
              <w:spacing w:after="0"/>
              <w:jc w:val="left"/>
            </w:pPr>
            <w:r>
              <w:rPr>
                <w:sz w:val="19"/>
              </w:rPr>
              <w:t>₹20,153 crore / 98.9%</w:t>
            </w:r>
          </w:p>
        </w:tc>
        <w:tc>
          <w:tcPr>
            <w:tcW w:w="2139" w:type="dxa"/>
          </w:tcPr>
          <w:p w:rsidR="007F373F" w:rsidRDefault="00000000">
            <w:pPr>
              <w:spacing w:after="0"/>
              <w:jc w:val="left"/>
            </w:pPr>
            <w:r>
              <w:rPr>
                <w:sz w:val="19"/>
              </w:rPr>
              <w:t>Employees / branches</w:t>
            </w:r>
          </w:p>
        </w:tc>
        <w:tc>
          <w:tcPr>
            <w:tcW w:w="2484" w:type="dxa"/>
          </w:tcPr>
          <w:p w:rsidR="007F373F" w:rsidRDefault="00000000">
            <w:pPr>
              <w:spacing w:after="0"/>
              <w:jc w:val="left"/>
            </w:pPr>
            <w:r>
              <w:rPr>
                <w:sz w:val="19"/>
              </w:rPr>
              <w:t>5,303 / 757 in 17 states &amp; UTs</w:t>
            </w:r>
          </w:p>
        </w:tc>
      </w:tr>
      <w:tr w:rsidR="007F373F">
        <w:trPr>
          <w:jc w:val="center"/>
        </w:trPr>
        <w:tc>
          <w:tcPr>
            <w:tcW w:w="2346" w:type="dxa"/>
          </w:tcPr>
          <w:p w:rsidR="007F373F" w:rsidRDefault="00000000">
            <w:pPr>
              <w:spacing w:after="0"/>
              <w:jc w:val="left"/>
            </w:pPr>
            <w:r>
              <w:rPr>
                <w:sz w:val="19"/>
              </w:rPr>
              <w:t>PAT / RoA / RoE</w:t>
            </w:r>
          </w:p>
        </w:tc>
        <w:tc>
          <w:tcPr>
            <w:tcW w:w="2761" w:type="dxa"/>
          </w:tcPr>
          <w:p w:rsidR="007F373F" w:rsidRDefault="00000000">
            <w:pPr>
              <w:spacing w:after="0"/>
              <w:jc w:val="left"/>
            </w:pPr>
            <w:r>
              <w:rPr>
                <w:sz w:val="19"/>
              </w:rPr>
              <w:t>₹343.6 crore / 2.4% / 12.6%</w:t>
            </w:r>
          </w:p>
        </w:tc>
        <w:tc>
          <w:tcPr>
            <w:tcW w:w="2139" w:type="dxa"/>
          </w:tcPr>
          <w:p w:rsidR="007F373F" w:rsidRDefault="00000000">
            <w:pPr>
              <w:spacing w:after="0"/>
              <w:jc w:val="left"/>
            </w:pPr>
            <w:r>
              <w:rPr>
                <w:sz w:val="19"/>
              </w:rPr>
              <w:t>Credit ratings</w:t>
            </w:r>
          </w:p>
        </w:tc>
        <w:tc>
          <w:tcPr>
            <w:tcW w:w="2484" w:type="dxa"/>
          </w:tcPr>
          <w:p w:rsidR="007F373F" w:rsidRDefault="00000000">
            <w:pPr>
              <w:spacing w:after="0"/>
              <w:jc w:val="left"/>
            </w:pPr>
            <w:r>
              <w:rPr>
                <w:sz w:val="19"/>
              </w:rPr>
              <w:t>AA+/Stable – CARE, CRISIL, ICRA, India Ratings</w:t>
            </w:r>
          </w:p>
        </w:tc>
      </w:tr>
    </w:tbl>
    <w:p w:rsidR="007F373F" w:rsidRDefault="00000000">
      <w:pPr>
        <w:spacing w:before="40" w:after="80"/>
      </w:pPr>
      <w:r>
        <w:rPr>
          <w:i/>
          <w:sz w:val="18"/>
        </w:rPr>
        <w:t>Source: Fedfina Annual Report 2025-26, Key Highlights p.2–3, Directors’ Report, Corporate Governance Report.</w:t>
      </w:r>
    </w:p>
    <w:p w:rsidR="007F373F" w:rsidRDefault="00000000">
      <w:r>
        <w:lastRenderedPageBreak/>
        <w:t>Throughout, amounts are in Indian rupees. The annual reports use lakh (₹1,00,000) in statutory sections and crore (₹1,00,00,000) or million (₹10,00,000) in the corporate overview; this report converts to crore wherever possible and states the unit in every table. Figures computed by the author from reported numbers are labelled “derived”.</w:t>
      </w:r>
    </w:p>
    <w:p w:rsidR="007F373F" w:rsidRDefault="00000000">
      <w:pPr>
        <w:pStyle w:val="Heading1"/>
        <w:pageBreakBefore/>
      </w:pPr>
      <w:r>
        <w:lastRenderedPageBreak/>
        <w:t>Need of the Study</w:t>
      </w:r>
    </w:p>
    <w:p w:rsidR="007F373F" w:rsidRDefault="00000000">
      <w:r>
        <w:t>Management education in finance equips students with tools – ratio analysis, trend analysis, DuPont decomposition, industry frameworks – but these tools are normally practised on manufacturing or trading companies. A lender is different. Its “raw material” is borrowed money, its “inventory” is a loan book whose value depends on borrower behaviour, and its profit can be flattered for years by under-provisioning before losses surface. Conventional measures such as operating margin, inventory turnover or current ratio are either meaningless or misleading (the company’s own Key Ratios table marks debtors turnover, inventory turnover, interest coverage and operating margin as “NA”). The study is needed, first, to apply fundamental analysis in the way it must be applied to a financial intermediary.</w:t>
      </w:r>
    </w:p>
    <w:p w:rsidR="007F373F" w:rsidRDefault="00000000">
      <w:r>
        <w:t>Second, the retail-NBFC segment is at an inflection point. The RBI’s scale-based regulation (SBR) framework, the November 2023 increase in risk weights on bank lending to NBFCs, the 2024 restrictions on cash disbursal of gold loans, the June 2025 Directions on lending against gold collateral (effective 1 April 2026) and the Digital Personal Data Protection framework have all changed the operating rules within the three years covered by this study. Understanding how a single company adapted – in pricing, LTV, funding mix and collections – is directly relevant to anyone who will work in or lend to the sector.</w:t>
      </w:r>
    </w:p>
    <w:p w:rsidR="007F373F" w:rsidRDefault="00000000">
      <w:r>
        <w:t>Third, Fedfina’s FY25 experience is a live case study in what goes wrong when collections infrastructure lags growth. The FY25 annual report candidly states that small-mortgage delinquencies rose because “our collection infrastructure had not kept pace with business growth”, and credit cost jumped from 0.7% to 1.8% of average assets. The FY26 report then documents the fix: new leadership, a business rule engine, verticalised collections (in-house team scaled to 1.8x), sale of stressed pools to ARCs and complete exit from unsecured business loans. Few listed companies describe a problem and its remediation so explicitly across consecutive annual reports.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589"/>
        <w:gridCol w:w="1794"/>
        <w:gridCol w:w="2070"/>
        <w:gridCol w:w="2277"/>
      </w:tblGrid>
      <w:tr w:rsidR="007F373F">
        <w:trPr>
          <w:jc w:val="center"/>
        </w:trPr>
        <w:tc>
          <w:tcPr>
            <w:tcW w:w="3589" w:type="dxa"/>
          </w:tcPr>
          <w:p w:rsidR="007F373F" w:rsidRDefault="00000000">
            <w:pPr>
              <w:spacing w:after="0"/>
              <w:jc w:val="left"/>
            </w:pPr>
            <w:r>
              <w:rPr>
                <w:b/>
                <w:sz w:val="20"/>
              </w:rPr>
              <w:t>Indicator</w:t>
            </w:r>
          </w:p>
        </w:tc>
        <w:tc>
          <w:tcPr>
            <w:tcW w:w="1794" w:type="dxa"/>
          </w:tcPr>
          <w:p w:rsidR="007F373F" w:rsidRDefault="00000000">
            <w:pPr>
              <w:spacing w:after="0"/>
              <w:jc w:val="left"/>
            </w:pPr>
            <w:r>
              <w:rPr>
                <w:b/>
                <w:sz w:val="20"/>
              </w:rPr>
              <w:t>FY24</w:t>
            </w:r>
          </w:p>
        </w:tc>
        <w:tc>
          <w:tcPr>
            <w:tcW w:w="2070" w:type="dxa"/>
          </w:tcPr>
          <w:p w:rsidR="007F373F" w:rsidRDefault="00000000">
            <w:pPr>
              <w:spacing w:after="0"/>
              <w:jc w:val="left"/>
            </w:pPr>
            <w:r>
              <w:rPr>
                <w:b/>
                <w:sz w:val="20"/>
              </w:rPr>
              <w:t>FY25 (reset)</w:t>
            </w:r>
          </w:p>
        </w:tc>
        <w:tc>
          <w:tcPr>
            <w:tcW w:w="2277" w:type="dxa"/>
          </w:tcPr>
          <w:p w:rsidR="007F373F" w:rsidRDefault="00000000">
            <w:pPr>
              <w:spacing w:after="0"/>
              <w:jc w:val="left"/>
            </w:pPr>
            <w:r>
              <w:rPr>
                <w:b/>
                <w:sz w:val="20"/>
              </w:rPr>
              <w:t>FY26 (recovery)</w:t>
            </w:r>
          </w:p>
        </w:tc>
      </w:tr>
      <w:tr w:rsidR="007F373F">
        <w:trPr>
          <w:jc w:val="center"/>
        </w:trPr>
        <w:tc>
          <w:tcPr>
            <w:tcW w:w="3589" w:type="dxa"/>
          </w:tcPr>
          <w:p w:rsidR="007F373F" w:rsidRDefault="00000000">
            <w:pPr>
              <w:spacing w:after="0"/>
              <w:jc w:val="left"/>
            </w:pPr>
            <w:r>
              <w:rPr>
                <w:sz w:val="20"/>
              </w:rPr>
              <w:t>PAT (₹ crore)</w:t>
            </w:r>
          </w:p>
        </w:tc>
        <w:tc>
          <w:tcPr>
            <w:tcW w:w="1794" w:type="dxa"/>
          </w:tcPr>
          <w:p w:rsidR="007F373F" w:rsidRDefault="00000000">
            <w:pPr>
              <w:spacing w:after="0"/>
              <w:jc w:val="right"/>
            </w:pPr>
            <w:r>
              <w:rPr>
                <w:sz w:val="20"/>
              </w:rPr>
              <w:t>244.7</w:t>
            </w:r>
          </w:p>
        </w:tc>
        <w:tc>
          <w:tcPr>
            <w:tcW w:w="2070" w:type="dxa"/>
          </w:tcPr>
          <w:p w:rsidR="007F373F" w:rsidRDefault="00000000">
            <w:pPr>
              <w:spacing w:after="0"/>
              <w:jc w:val="left"/>
            </w:pPr>
            <w:r>
              <w:rPr>
                <w:sz w:val="20"/>
              </w:rPr>
              <w:t>225.2 (−8%)</w:t>
            </w:r>
          </w:p>
        </w:tc>
        <w:tc>
          <w:tcPr>
            <w:tcW w:w="2277" w:type="dxa"/>
          </w:tcPr>
          <w:p w:rsidR="007F373F" w:rsidRDefault="00000000">
            <w:pPr>
              <w:spacing w:after="0"/>
              <w:jc w:val="left"/>
            </w:pPr>
            <w:r>
              <w:rPr>
                <w:sz w:val="20"/>
              </w:rPr>
              <w:t>343.6 (+53%)</w:t>
            </w:r>
          </w:p>
        </w:tc>
      </w:tr>
      <w:tr w:rsidR="007F373F">
        <w:trPr>
          <w:jc w:val="center"/>
        </w:trPr>
        <w:tc>
          <w:tcPr>
            <w:tcW w:w="3589" w:type="dxa"/>
          </w:tcPr>
          <w:p w:rsidR="007F373F" w:rsidRDefault="00000000">
            <w:pPr>
              <w:spacing w:after="0"/>
              <w:jc w:val="left"/>
            </w:pPr>
            <w:r>
              <w:rPr>
                <w:sz w:val="20"/>
              </w:rPr>
              <w:t>Credit cost (% of average assets)</w:t>
            </w:r>
          </w:p>
        </w:tc>
        <w:tc>
          <w:tcPr>
            <w:tcW w:w="1794" w:type="dxa"/>
          </w:tcPr>
          <w:p w:rsidR="007F373F" w:rsidRDefault="00000000">
            <w:pPr>
              <w:spacing w:after="0"/>
              <w:jc w:val="right"/>
            </w:pPr>
            <w:r>
              <w:rPr>
                <w:sz w:val="20"/>
              </w:rPr>
              <w:t>0.7</w:t>
            </w:r>
          </w:p>
        </w:tc>
        <w:tc>
          <w:tcPr>
            <w:tcW w:w="2070" w:type="dxa"/>
          </w:tcPr>
          <w:p w:rsidR="007F373F" w:rsidRDefault="00000000">
            <w:pPr>
              <w:spacing w:after="0"/>
              <w:jc w:val="right"/>
            </w:pPr>
            <w:r>
              <w:rPr>
                <w:sz w:val="20"/>
              </w:rPr>
              <w:t>1.8</w:t>
            </w:r>
          </w:p>
        </w:tc>
        <w:tc>
          <w:tcPr>
            <w:tcW w:w="2277" w:type="dxa"/>
          </w:tcPr>
          <w:p w:rsidR="007F373F" w:rsidRDefault="00000000">
            <w:pPr>
              <w:spacing w:after="0"/>
              <w:jc w:val="right"/>
            </w:pPr>
            <w:r>
              <w:rPr>
                <w:sz w:val="20"/>
              </w:rPr>
              <w:t>0.8</w:t>
            </w:r>
          </w:p>
        </w:tc>
      </w:tr>
      <w:tr w:rsidR="007F373F">
        <w:trPr>
          <w:jc w:val="center"/>
        </w:trPr>
        <w:tc>
          <w:tcPr>
            <w:tcW w:w="3589" w:type="dxa"/>
          </w:tcPr>
          <w:p w:rsidR="007F373F" w:rsidRDefault="00000000">
            <w:pPr>
              <w:spacing w:after="0"/>
              <w:jc w:val="left"/>
            </w:pPr>
            <w:r>
              <w:rPr>
                <w:sz w:val="20"/>
              </w:rPr>
              <w:t>GNPA / NNPA (%)</w:t>
            </w:r>
          </w:p>
        </w:tc>
        <w:tc>
          <w:tcPr>
            <w:tcW w:w="1794" w:type="dxa"/>
          </w:tcPr>
          <w:p w:rsidR="007F373F" w:rsidRDefault="00000000">
            <w:pPr>
              <w:spacing w:after="0"/>
              <w:jc w:val="left"/>
            </w:pPr>
            <w:r>
              <w:rPr>
                <w:sz w:val="20"/>
              </w:rPr>
              <w:t>1.7 / 1.3</w:t>
            </w:r>
          </w:p>
        </w:tc>
        <w:tc>
          <w:tcPr>
            <w:tcW w:w="2070" w:type="dxa"/>
          </w:tcPr>
          <w:p w:rsidR="007F373F" w:rsidRDefault="00000000">
            <w:pPr>
              <w:spacing w:after="0"/>
              <w:jc w:val="left"/>
            </w:pPr>
            <w:r>
              <w:rPr>
                <w:sz w:val="20"/>
              </w:rPr>
              <w:t>2.0 / 1.2</w:t>
            </w:r>
          </w:p>
        </w:tc>
        <w:tc>
          <w:tcPr>
            <w:tcW w:w="2277" w:type="dxa"/>
          </w:tcPr>
          <w:p w:rsidR="007F373F" w:rsidRDefault="00000000">
            <w:pPr>
              <w:spacing w:after="0"/>
              <w:jc w:val="left"/>
            </w:pPr>
            <w:r>
              <w:rPr>
                <w:sz w:val="20"/>
              </w:rPr>
              <w:t>1.9 / 1.3</w:t>
            </w:r>
          </w:p>
        </w:tc>
      </w:tr>
      <w:tr w:rsidR="007F373F">
        <w:trPr>
          <w:jc w:val="center"/>
        </w:trPr>
        <w:tc>
          <w:tcPr>
            <w:tcW w:w="3589" w:type="dxa"/>
          </w:tcPr>
          <w:p w:rsidR="007F373F" w:rsidRDefault="00000000">
            <w:pPr>
              <w:spacing w:after="0"/>
              <w:jc w:val="left"/>
            </w:pPr>
            <w:r>
              <w:rPr>
                <w:sz w:val="20"/>
              </w:rPr>
              <w:t>RoA / RoE (%)</w:t>
            </w:r>
          </w:p>
        </w:tc>
        <w:tc>
          <w:tcPr>
            <w:tcW w:w="1794" w:type="dxa"/>
          </w:tcPr>
          <w:p w:rsidR="007F373F" w:rsidRDefault="00000000">
            <w:pPr>
              <w:spacing w:after="0"/>
              <w:jc w:val="left"/>
            </w:pPr>
            <w:r>
              <w:rPr>
                <w:sz w:val="20"/>
              </w:rPr>
              <w:t>2.4 / 13.5</w:t>
            </w:r>
          </w:p>
        </w:tc>
        <w:tc>
          <w:tcPr>
            <w:tcW w:w="2070" w:type="dxa"/>
          </w:tcPr>
          <w:p w:rsidR="007F373F" w:rsidRDefault="00000000">
            <w:pPr>
              <w:spacing w:after="0"/>
              <w:jc w:val="left"/>
            </w:pPr>
            <w:r>
              <w:rPr>
                <w:sz w:val="20"/>
              </w:rPr>
              <w:t>1.8 / 9.4</w:t>
            </w:r>
          </w:p>
        </w:tc>
        <w:tc>
          <w:tcPr>
            <w:tcW w:w="2277" w:type="dxa"/>
          </w:tcPr>
          <w:p w:rsidR="007F373F" w:rsidRDefault="00000000">
            <w:pPr>
              <w:spacing w:after="0"/>
              <w:jc w:val="left"/>
            </w:pPr>
            <w:r>
              <w:rPr>
                <w:sz w:val="20"/>
              </w:rPr>
              <w:t>2.4 / 12.6</w:t>
            </w:r>
          </w:p>
        </w:tc>
      </w:tr>
      <w:tr w:rsidR="007F373F">
        <w:trPr>
          <w:jc w:val="center"/>
        </w:trPr>
        <w:tc>
          <w:tcPr>
            <w:tcW w:w="3589" w:type="dxa"/>
          </w:tcPr>
          <w:p w:rsidR="007F373F" w:rsidRDefault="00000000">
            <w:pPr>
              <w:spacing w:after="0"/>
              <w:jc w:val="left"/>
            </w:pPr>
            <w:r>
              <w:rPr>
                <w:sz w:val="20"/>
              </w:rPr>
              <w:t>Unsecured business-loan AUM (₹ crore)</w:t>
            </w:r>
          </w:p>
        </w:tc>
        <w:tc>
          <w:tcPr>
            <w:tcW w:w="1794" w:type="dxa"/>
          </w:tcPr>
          <w:p w:rsidR="007F373F" w:rsidRDefault="00000000">
            <w:pPr>
              <w:spacing w:after="0"/>
              <w:jc w:val="left"/>
            </w:pPr>
            <w:r>
              <w:rPr>
                <w:sz w:val="20"/>
              </w:rPr>
              <w:t>≈ 2,000 (16% of AUM)</w:t>
            </w:r>
          </w:p>
        </w:tc>
        <w:tc>
          <w:tcPr>
            <w:tcW w:w="2070" w:type="dxa"/>
          </w:tcPr>
          <w:p w:rsidR="007F373F" w:rsidRDefault="00000000">
            <w:pPr>
              <w:spacing w:after="0"/>
              <w:jc w:val="right"/>
            </w:pPr>
            <w:r>
              <w:rPr>
                <w:sz w:val="20"/>
              </w:rPr>
              <w:t>1,656</w:t>
            </w:r>
          </w:p>
        </w:tc>
        <w:tc>
          <w:tcPr>
            <w:tcW w:w="2277" w:type="dxa"/>
          </w:tcPr>
          <w:p w:rsidR="007F373F" w:rsidRDefault="00000000">
            <w:pPr>
              <w:spacing w:after="0"/>
              <w:jc w:val="left"/>
            </w:pPr>
            <w:r>
              <w:rPr>
                <w:sz w:val="20"/>
              </w:rPr>
              <w:t>nil on book (assigned ₹886 crore)</w:t>
            </w:r>
          </w:p>
        </w:tc>
      </w:tr>
    </w:tbl>
    <w:p w:rsidR="007F373F" w:rsidRDefault="00000000">
      <w:pPr>
        <w:spacing w:before="40" w:after="80"/>
      </w:pPr>
      <w:r>
        <w:rPr>
          <w:i/>
          <w:sz w:val="18"/>
        </w:rPr>
        <w:t>Source: Fedfina Annual Report 2023-24 p.20–23; Fedfina Annual Report 2024-25 p.3, 18–21; Fedfina Annual Report 2025-26 p.2–3, 18–21. FY24 business-loan AUM derived from 16.4% residual of product mix.</w:t>
      </w:r>
    </w:p>
    <w:p w:rsidR="007F373F" w:rsidRDefault="00000000">
      <w:r>
        <w:t>Fourth, investors, lenders and rating agencies need a framework to separate the structural from the cyclical. Gold-loan growth of 76% in FY26 occurred while international gold prices rose about 65% during calendar 2025. How much of the growth is tonnage (gold under custody grew 12% to 12.6 tonnes) and how much is price? How dependent is profit on direct-assignment income (which fell from 21.7% of PBT to 1.6%)? Is a 22.4% capital adequacy ratio sufficient when debt-equity has risen to 4.6x? These are the kinds of questions a fundamental analyst must ask, and the study is designed to answer them with reported data.</w:t>
      </w:r>
    </w:p>
    <w:p w:rsidR="007F373F" w:rsidRDefault="00000000">
      <w:r>
        <w:lastRenderedPageBreak/>
        <w:t>Finally, the study is needed for the student’s own development: it bridges the classroom and the market, builds the habit of reading a 180-page annual report critically, and produces a reference document that can be defended in a viva voce examination with page-level evidence.</w:t>
      </w:r>
    </w:p>
    <w:p w:rsidR="007F373F" w:rsidRDefault="00000000">
      <w:pPr>
        <w:pStyle w:val="Heading1"/>
        <w:pageBreakBefore/>
      </w:pPr>
      <w:r>
        <w:lastRenderedPageBreak/>
        <w:t>Objectives of the Study</w:t>
      </w:r>
    </w:p>
    <w:p w:rsidR="007F373F" w:rsidRDefault="00000000">
      <w:r>
        <w:t>The overall aim of the project is to evaluate the fundamental strength and sustainability of Fedbank Financial Services Limited as a secured retail lender, using a structured Economy–Industry–Company approach. The specific objectives are:</w:t>
      </w:r>
    </w:p>
    <w:p w:rsidR="007F373F" w:rsidRDefault="00000000">
      <w:pPr>
        <w:pStyle w:val="ListBullet"/>
      </w:pPr>
      <w:r>
        <w:rPr>
          <w:b/>
        </w:rPr>
        <w:t xml:space="preserve">Sector understanding: </w:t>
      </w:r>
      <w:r>
        <w:t>To describe the structure, size, growth drivers, asset-quality trends and regulatory framework of the Indian NBFC sector, with particular reference to the organised gold-loan market (which crossed ₹15 lakh crore in FY26) and the loan-against-property and affordable-housing segments.</w:t>
      </w:r>
    </w:p>
    <w:p w:rsidR="007F373F" w:rsidRDefault="00000000">
      <w:pPr>
        <w:pStyle w:val="ListBullet"/>
      </w:pPr>
      <w:r>
        <w:rPr>
          <w:b/>
        </w:rPr>
        <w:t xml:space="preserve">Company understanding: </w:t>
      </w:r>
      <w:r>
        <w:t>To document Fedfina’s history since 1995, its ownership and relationship with Federal Bank, its vision and values, the “twin-engine” business model, the Fedfina 2.0 transformation programme, distribution footprint (757 branches), human capital (5,303 employees), technology stack and governance structure.</w:t>
      </w:r>
    </w:p>
    <w:p w:rsidR="007F373F" w:rsidRDefault="00000000">
      <w:pPr>
        <w:pStyle w:val="ListBullet"/>
      </w:pPr>
      <w:r>
        <w:rPr>
          <w:b/>
        </w:rPr>
        <w:t xml:space="preserve">Product analysis: </w:t>
      </w:r>
      <w:r>
        <w:t>To analyse each product – gold loans, medium-ticket LAP, small-ticket LAP and housing loans, and the discontinued unsecured business loans – in terms of AUM, disbursements, ticket size, yield, collateral cover, customer profile and risk controls, and to assess the role of co-lending and direct assignment.</w:t>
      </w:r>
    </w:p>
    <w:p w:rsidR="007F373F" w:rsidRDefault="00000000">
      <w:pPr>
        <w:pStyle w:val="ListBullet"/>
      </w:pPr>
      <w:r>
        <w:rPr>
          <w:b/>
        </w:rPr>
        <w:t xml:space="preserve">Five-year financial analysis: </w:t>
      </w:r>
      <w:r>
        <w:t>To examine trends in AUM, disbursements, revenue, net interest income, operating costs, credit cost, PAT, RoA, RoE, EPS, book value, yield, cost of borrowings, spread, cost-to-income, GNPA, NNPA, provision coverage, CRAR and leverage for FY22–FY26, supported by the longer eight-year series for AUM and PAT.</w:t>
      </w:r>
    </w:p>
    <w:p w:rsidR="007F373F" w:rsidRDefault="00000000">
      <w:pPr>
        <w:pStyle w:val="ListBullet"/>
      </w:pPr>
      <w:r>
        <w:rPr>
          <w:b/>
        </w:rPr>
        <w:t xml:space="preserve">Statement interpretation: </w:t>
      </w:r>
      <w:r>
        <w:t>To interpret the FY 2025–26 statement of profit and loss and balance sheet through common-size analysis, ratio analysis, DuPont decomposition and comparison with FY 2024–25.</w:t>
      </w:r>
    </w:p>
    <w:p w:rsidR="007F373F" w:rsidRDefault="00000000">
      <w:pPr>
        <w:pStyle w:val="ListBullet"/>
      </w:pPr>
      <w:r>
        <w:rPr>
          <w:b/>
        </w:rPr>
        <w:t xml:space="preserve">Risk assessment: </w:t>
      </w:r>
      <w:r>
        <w:t>To identify and evaluate credit, liquidity, market (gold price, interest rate, currency), operational, fraud, cyber, regulatory, compliance and reputational risks, and the mitigants disclosed by the company.</w:t>
      </w:r>
    </w:p>
    <w:p w:rsidR="007F373F" w:rsidRDefault="00000000">
      <w:pPr>
        <w:pStyle w:val="ListBullet"/>
      </w:pPr>
      <w:r>
        <w:rPr>
          <w:b/>
        </w:rPr>
        <w:t xml:space="preserve">Strategic evaluation: </w:t>
      </w:r>
      <w:r>
        <w:t>To prepare SWOT, Porter’s Five Forces, PESTLE and balanced-scorecard assessments, a peer comparison, scenario analysis and an evidence-based investment case.</w:t>
      </w:r>
    </w:p>
    <w:p w:rsidR="007F373F" w:rsidRDefault="00000000">
      <w:pPr>
        <w:pStyle w:val="ListBullet"/>
      </w:pPr>
      <w:r>
        <w:rPr>
          <w:b/>
        </w:rPr>
        <w:t xml:space="preserve">Recommendations: </w:t>
      </w:r>
      <w:r>
        <w:t>To draw practical conclusions and recommendations for management, investors, lenders and students, and to answer the research questions and test the working hypothesis stated in this chapter.</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622"/>
        <w:gridCol w:w="1104"/>
        <w:gridCol w:w="6005"/>
      </w:tblGrid>
      <w:tr w:rsidR="007F373F">
        <w:trPr>
          <w:jc w:val="center"/>
        </w:trPr>
        <w:tc>
          <w:tcPr>
            <w:tcW w:w="2622" w:type="dxa"/>
          </w:tcPr>
          <w:p w:rsidR="007F373F" w:rsidRDefault="00000000">
            <w:pPr>
              <w:spacing w:after="0"/>
              <w:jc w:val="left"/>
            </w:pPr>
            <w:r>
              <w:rPr>
                <w:b/>
                <w:sz w:val="20"/>
              </w:rPr>
              <w:t>Objective</w:t>
            </w:r>
          </w:p>
        </w:tc>
        <w:tc>
          <w:tcPr>
            <w:tcW w:w="1104" w:type="dxa"/>
          </w:tcPr>
          <w:p w:rsidR="007F373F" w:rsidRDefault="00000000">
            <w:pPr>
              <w:spacing w:after="0"/>
              <w:jc w:val="left"/>
            </w:pPr>
            <w:r>
              <w:rPr>
                <w:b/>
                <w:sz w:val="20"/>
              </w:rPr>
              <w:t>Chapter</w:t>
            </w:r>
          </w:p>
        </w:tc>
        <w:tc>
          <w:tcPr>
            <w:tcW w:w="6005" w:type="dxa"/>
          </w:tcPr>
          <w:p w:rsidR="007F373F" w:rsidRDefault="00000000">
            <w:pPr>
              <w:spacing w:after="0"/>
              <w:jc w:val="left"/>
            </w:pPr>
            <w:r>
              <w:rPr>
                <w:b/>
                <w:sz w:val="20"/>
              </w:rPr>
              <w:t>Principal metrics / tools</w:t>
            </w:r>
          </w:p>
        </w:tc>
      </w:tr>
      <w:tr w:rsidR="007F373F">
        <w:trPr>
          <w:jc w:val="center"/>
        </w:trPr>
        <w:tc>
          <w:tcPr>
            <w:tcW w:w="2622" w:type="dxa"/>
          </w:tcPr>
          <w:p w:rsidR="007F373F" w:rsidRDefault="00000000">
            <w:pPr>
              <w:spacing w:after="0"/>
              <w:jc w:val="left"/>
            </w:pPr>
            <w:r>
              <w:rPr>
                <w:sz w:val="20"/>
              </w:rPr>
              <w:t>1 Sector</w:t>
            </w:r>
          </w:p>
        </w:tc>
        <w:tc>
          <w:tcPr>
            <w:tcW w:w="1104" w:type="dxa"/>
          </w:tcPr>
          <w:p w:rsidR="007F373F" w:rsidRDefault="00000000">
            <w:pPr>
              <w:spacing w:after="0"/>
              <w:jc w:val="right"/>
            </w:pPr>
            <w:r>
              <w:rPr>
                <w:sz w:val="20"/>
              </w:rPr>
              <w:t>2</w:t>
            </w:r>
          </w:p>
        </w:tc>
        <w:tc>
          <w:tcPr>
            <w:tcW w:w="6005" w:type="dxa"/>
          </w:tcPr>
          <w:p w:rsidR="007F373F" w:rsidRDefault="00000000">
            <w:pPr>
              <w:spacing w:after="0"/>
              <w:jc w:val="left"/>
            </w:pPr>
            <w:r>
              <w:rPr>
                <w:sz w:val="20"/>
              </w:rPr>
              <w:t>Sector size and growth, gold-loan and LAP market data, RBI directions, Porter, PESTLE</w:t>
            </w:r>
          </w:p>
        </w:tc>
      </w:tr>
      <w:tr w:rsidR="007F373F">
        <w:trPr>
          <w:jc w:val="center"/>
        </w:trPr>
        <w:tc>
          <w:tcPr>
            <w:tcW w:w="2622" w:type="dxa"/>
          </w:tcPr>
          <w:p w:rsidR="007F373F" w:rsidRDefault="00000000">
            <w:pPr>
              <w:spacing w:after="0"/>
              <w:jc w:val="left"/>
            </w:pPr>
            <w:r>
              <w:rPr>
                <w:sz w:val="20"/>
              </w:rPr>
              <w:t>2 Company; 3 Products</w:t>
            </w:r>
          </w:p>
        </w:tc>
        <w:tc>
          <w:tcPr>
            <w:tcW w:w="1104" w:type="dxa"/>
          </w:tcPr>
          <w:p w:rsidR="007F373F" w:rsidRDefault="00000000">
            <w:pPr>
              <w:spacing w:after="0"/>
              <w:jc w:val="left"/>
            </w:pPr>
            <w:r>
              <w:rPr>
                <w:sz w:val="20"/>
              </w:rPr>
              <w:t>3, 4</w:t>
            </w:r>
          </w:p>
        </w:tc>
        <w:tc>
          <w:tcPr>
            <w:tcW w:w="6005" w:type="dxa"/>
          </w:tcPr>
          <w:p w:rsidR="007F373F" w:rsidRDefault="00000000">
            <w:pPr>
              <w:spacing w:after="0"/>
              <w:jc w:val="left"/>
            </w:pPr>
            <w:r>
              <w:rPr>
                <w:sz w:val="20"/>
              </w:rPr>
              <w:t>Milestones, shareholding, branch and employee data, product AUM/disbursement/ticket/yield, LTV, CIBIL mix</w:t>
            </w:r>
          </w:p>
        </w:tc>
      </w:tr>
      <w:tr w:rsidR="007F373F">
        <w:trPr>
          <w:jc w:val="center"/>
        </w:trPr>
        <w:tc>
          <w:tcPr>
            <w:tcW w:w="2622" w:type="dxa"/>
          </w:tcPr>
          <w:p w:rsidR="007F373F" w:rsidRDefault="00000000">
            <w:pPr>
              <w:spacing w:after="0"/>
              <w:jc w:val="left"/>
            </w:pPr>
            <w:r>
              <w:rPr>
                <w:sz w:val="20"/>
              </w:rPr>
              <w:t>4 Trends; 5 Statements</w:t>
            </w:r>
          </w:p>
        </w:tc>
        <w:tc>
          <w:tcPr>
            <w:tcW w:w="1104" w:type="dxa"/>
          </w:tcPr>
          <w:p w:rsidR="007F373F" w:rsidRDefault="00000000">
            <w:pPr>
              <w:spacing w:after="0"/>
              <w:jc w:val="right"/>
            </w:pPr>
            <w:r>
              <w:rPr>
                <w:sz w:val="20"/>
              </w:rPr>
              <w:t>5</w:t>
            </w:r>
          </w:p>
        </w:tc>
        <w:tc>
          <w:tcPr>
            <w:tcW w:w="6005" w:type="dxa"/>
          </w:tcPr>
          <w:p w:rsidR="007F373F" w:rsidRDefault="00000000">
            <w:pPr>
              <w:spacing w:after="0"/>
              <w:jc w:val="left"/>
            </w:pPr>
            <w:r>
              <w:rPr>
                <w:sz w:val="20"/>
              </w:rPr>
              <w:t>Eight-year KPI series, growth and CAGR, common-size P&amp;L and balance sheet, DuPont, funding and ALM tables</w:t>
            </w:r>
          </w:p>
        </w:tc>
      </w:tr>
      <w:tr w:rsidR="007F373F">
        <w:trPr>
          <w:jc w:val="center"/>
        </w:trPr>
        <w:tc>
          <w:tcPr>
            <w:tcW w:w="2622" w:type="dxa"/>
          </w:tcPr>
          <w:p w:rsidR="007F373F" w:rsidRDefault="00000000">
            <w:pPr>
              <w:spacing w:after="0"/>
              <w:jc w:val="left"/>
            </w:pPr>
            <w:r>
              <w:rPr>
                <w:sz w:val="20"/>
              </w:rPr>
              <w:t>6 Risk</w:t>
            </w:r>
          </w:p>
        </w:tc>
        <w:tc>
          <w:tcPr>
            <w:tcW w:w="1104" w:type="dxa"/>
          </w:tcPr>
          <w:p w:rsidR="007F373F" w:rsidRDefault="00000000">
            <w:pPr>
              <w:spacing w:after="0"/>
              <w:jc w:val="right"/>
            </w:pPr>
            <w:r>
              <w:rPr>
                <w:sz w:val="20"/>
              </w:rPr>
              <w:t>6</w:t>
            </w:r>
          </w:p>
        </w:tc>
        <w:tc>
          <w:tcPr>
            <w:tcW w:w="6005" w:type="dxa"/>
          </w:tcPr>
          <w:p w:rsidR="007F373F" w:rsidRDefault="00000000">
            <w:pPr>
              <w:spacing w:after="0"/>
              <w:jc w:val="left"/>
            </w:pPr>
            <w:r>
              <w:rPr>
                <w:sz w:val="20"/>
              </w:rPr>
              <w:t>Credit, liquidity, market, operational, regulatory risk; risk matrix; ESG indicators</w:t>
            </w:r>
          </w:p>
        </w:tc>
      </w:tr>
      <w:tr w:rsidR="007F373F">
        <w:trPr>
          <w:jc w:val="center"/>
        </w:trPr>
        <w:tc>
          <w:tcPr>
            <w:tcW w:w="2622" w:type="dxa"/>
          </w:tcPr>
          <w:p w:rsidR="007F373F" w:rsidRDefault="00000000">
            <w:pPr>
              <w:spacing w:after="0"/>
              <w:jc w:val="left"/>
            </w:pPr>
            <w:r>
              <w:rPr>
                <w:sz w:val="20"/>
              </w:rPr>
              <w:t xml:space="preserve">7 Strategy; 8 </w:t>
            </w:r>
            <w:r>
              <w:rPr>
                <w:sz w:val="20"/>
              </w:rPr>
              <w:lastRenderedPageBreak/>
              <w:t>Recommendations</w:t>
            </w:r>
          </w:p>
        </w:tc>
        <w:tc>
          <w:tcPr>
            <w:tcW w:w="1104" w:type="dxa"/>
          </w:tcPr>
          <w:p w:rsidR="007F373F" w:rsidRDefault="00000000">
            <w:pPr>
              <w:spacing w:after="0"/>
              <w:jc w:val="left"/>
            </w:pPr>
            <w:r>
              <w:rPr>
                <w:sz w:val="20"/>
              </w:rPr>
              <w:lastRenderedPageBreak/>
              <w:t>7, 8</w:t>
            </w:r>
          </w:p>
        </w:tc>
        <w:tc>
          <w:tcPr>
            <w:tcW w:w="6005" w:type="dxa"/>
          </w:tcPr>
          <w:p w:rsidR="007F373F" w:rsidRDefault="00000000">
            <w:pPr>
              <w:spacing w:after="0"/>
              <w:jc w:val="left"/>
            </w:pPr>
            <w:r>
              <w:rPr>
                <w:sz w:val="20"/>
              </w:rPr>
              <w:t xml:space="preserve">SWOT, scenarios, balanced scorecard, peer snapshot, hypothesis test, </w:t>
            </w:r>
            <w:r>
              <w:rPr>
                <w:sz w:val="20"/>
              </w:rPr>
              <w:lastRenderedPageBreak/>
              <w:t>recommendations</w:t>
            </w:r>
          </w:p>
        </w:tc>
      </w:tr>
    </w:tbl>
    <w:p w:rsidR="007F373F" w:rsidRDefault="007F373F">
      <w:pPr>
        <w:spacing w:after="40"/>
      </w:pPr>
    </w:p>
    <w:p w:rsidR="007F373F" w:rsidRDefault="00000000">
      <w:pPr>
        <w:pStyle w:val="Heading1"/>
        <w:pageBreakBefore/>
      </w:pPr>
      <w:r>
        <w:lastRenderedPageBreak/>
        <w:t>Scope of the Study</w:t>
      </w:r>
    </w:p>
    <w:p w:rsidR="007F373F" w:rsidRDefault="00000000">
      <w:r>
        <w:t>Entity. The study covers Fedbank Financial Services Limited on a standalone basis. The company has no subsidiaries (Corporate Governance Report, FY26), so standalone and consolidated figures are identical. Federal Bank is discussed only as parent, lender and promoter; the bank’s own financials are outside scope.</w:t>
      </w:r>
    </w:p>
    <w:p w:rsidR="007F373F" w:rsidRDefault="00000000">
      <w:r>
        <w:t>Period. The reference year is the financial year ended 31 March 2026. Five-year trend analysis covers FY 2021–22 to FY 2025–26, and the eight-year series for AUM, PAT, RoA, RoE, GNPA, NNPA, CRAR, book value and provision coverage (FY 2018–19 to FY 2025–26) is reproduced from the FY24, FY25 and FY26 annual reports. Statement-level analysis (income statement, balance sheet, notes) compares FY26 with FY25, with Directors’ Report highlights extending back to FY23. Events after the date of the FY26 annual report (dated 25 August 2026 for the Directors’ Report; AGM 29 September 2026) are not covered.</w:t>
      </w:r>
    </w:p>
    <w:p w:rsidR="007F373F" w:rsidRDefault="00000000">
      <w:r>
        <w:t>Content. The scope includes: sector and macro context; business profile and strategy; product-level performance; distribution, technology and people; income statement, balance sheet, funding, capital, asset quality and returns; risk management; ESG and governance; SWOT, Porter, PESTLE and scorecard; peer snapshot; valuation perspective; and recommendations.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831"/>
        <w:gridCol w:w="4831"/>
      </w:tblGrid>
      <w:tr w:rsidR="007F373F">
        <w:trPr>
          <w:jc w:val="center"/>
        </w:trPr>
        <w:tc>
          <w:tcPr>
            <w:tcW w:w="4831" w:type="dxa"/>
          </w:tcPr>
          <w:p w:rsidR="007F373F" w:rsidRDefault="00000000">
            <w:pPr>
              <w:spacing w:after="0"/>
              <w:jc w:val="left"/>
            </w:pPr>
            <w:r>
              <w:rPr>
                <w:b/>
                <w:sz w:val="20"/>
              </w:rPr>
              <w:t>In scope</w:t>
            </w:r>
          </w:p>
        </w:tc>
        <w:tc>
          <w:tcPr>
            <w:tcW w:w="4831" w:type="dxa"/>
          </w:tcPr>
          <w:p w:rsidR="007F373F" w:rsidRDefault="00000000">
            <w:pPr>
              <w:spacing w:after="0"/>
              <w:jc w:val="left"/>
            </w:pPr>
            <w:r>
              <w:rPr>
                <w:b/>
                <w:sz w:val="20"/>
              </w:rPr>
              <w:t>Out of scope</w:t>
            </w:r>
          </w:p>
        </w:tc>
      </w:tr>
      <w:tr w:rsidR="007F373F">
        <w:trPr>
          <w:jc w:val="center"/>
        </w:trPr>
        <w:tc>
          <w:tcPr>
            <w:tcW w:w="4831" w:type="dxa"/>
          </w:tcPr>
          <w:p w:rsidR="007F373F" w:rsidRDefault="00000000">
            <w:pPr>
              <w:spacing w:after="0"/>
              <w:jc w:val="left"/>
            </w:pPr>
            <w:r>
              <w:rPr>
                <w:sz w:val="20"/>
              </w:rPr>
              <w:t>Published annual reports FY24, FY25, FY26 (all sections)</w:t>
            </w:r>
          </w:p>
        </w:tc>
        <w:tc>
          <w:tcPr>
            <w:tcW w:w="4831" w:type="dxa"/>
          </w:tcPr>
          <w:p w:rsidR="007F373F" w:rsidRDefault="00000000">
            <w:pPr>
              <w:spacing w:after="0"/>
              <w:jc w:val="left"/>
            </w:pPr>
            <w:r>
              <w:rPr>
                <w:sz w:val="20"/>
              </w:rPr>
              <w:t>Management interviews, branch visits, borrower surveys</w:t>
            </w:r>
          </w:p>
        </w:tc>
      </w:tr>
      <w:tr w:rsidR="007F373F">
        <w:trPr>
          <w:jc w:val="center"/>
        </w:trPr>
        <w:tc>
          <w:tcPr>
            <w:tcW w:w="4831" w:type="dxa"/>
          </w:tcPr>
          <w:p w:rsidR="007F373F" w:rsidRDefault="00000000">
            <w:pPr>
              <w:spacing w:after="0"/>
              <w:jc w:val="left"/>
            </w:pPr>
            <w:r>
              <w:rPr>
                <w:sz w:val="20"/>
              </w:rPr>
              <w:t>RBI directions and press releases cited in the reports</w:t>
            </w:r>
          </w:p>
        </w:tc>
        <w:tc>
          <w:tcPr>
            <w:tcW w:w="4831" w:type="dxa"/>
          </w:tcPr>
          <w:p w:rsidR="007F373F" w:rsidRDefault="00000000">
            <w:pPr>
              <w:spacing w:after="0"/>
              <w:jc w:val="left"/>
            </w:pPr>
            <w:r>
              <w:rPr>
                <w:sz w:val="20"/>
              </w:rPr>
              <w:t>Proprietary databases (e.g., bureau data, Bloomberg terminals)</w:t>
            </w:r>
          </w:p>
        </w:tc>
      </w:tr>
      <w:tr w:rsidR="007F373F">
        <w:trPr>
          <w:jc w:val="center"/>
        </w:trPr>
        <w:tc>
          <w:tcPr>
            <w:tcW w:w="4831" w:type="dxa"/>
          </w:tcPr>
          <w:p w:rsidR="007F373F" w:rsidRDefault="00000000">
            <w:pPr>
              <w:spacing w:after="0"/>
              <w:jc w:val="left"/>
            </w:pPr>
            <w:r>
              <w:rPr>
                <w:sz w:val="20"/>
              </w:rPr>
              <w:t>Publicly reported FY26 results of two listed gold-loan peers</w:t>
            </w:r>
          </w:p>
        </w:tc>
        <w:tc>
          <w:tcPr>
            <w:tcW w:w="4831" w:type="dxa"/>
          </w:tcPr>
          <w:p w:rsidR="007F373F" w:rsidRDefault="00000000">
            <w:pPr>
              <w:spacing w:after="0"/>
              <w:jc w:val="left"/>
            </w:pPr>
            <w:r>
              <w:rPr>
                <w:sz w:val="20"/>
              </w:rPr>
              <w:t>Detailed peer financial-statement analysis</w:t>
            </w:r>
          </w:p>
        </w:tc>
      </w:tr>
      <w:tr w:rsidR="007F373F">
        <w:trPr>
          <w:jc w:val="center"/>
        </w:trPr>
        <w:tc>
          <w:tcPr>
            <w:tcW w:w="4831" w:type="dxa"/>
          </w:tcPr>
          <w:p w:rsidR="007F373F" w:rsidRDefault="00000000">
            <w:pPr>
              <w:spacing w:after="0"/>
              <w:jc w:val="left"/>
            </w:pPr>
            <w:r>
              <w:rPr>
                <w:sz w:val="20"/>
              </w:rPr>
              <w:t>Market capitalisation as disclosed in the annual report (31 Mar 2026)</w:t>
            </w:r>
          </w:p>
        </w:tc>
        <w:tc>
          <w:tcPr>
            <w:tcW w:w="4831" w:type="dxa"/>
          </w:tcPr>
          <w:p w:rsidR="007F373F" w:rsidRDefault="00000000">
            <w:pPr>
              <w:spacing w:after="0"/>
              <w:jc w:val="left"/>
            </w:pPr>
            <w:r>
              <w:rPr>
                <w:sz w:val="20"/>
              </w:rPr>
              <w:t>Share-price history, technical analysis, target price</w:t>
            </w:r>
          </w:p>
        </w:tc>
      </w:tr>
      <w:tr w:rsidR="007F373F">
        <w:trPr>
          <w:jc w:val="center"/>
        </w:trPr>
        <w:tc>
          <w:tcPr>
            <w:tcW w:w="4831" w:type="dxa"/>
          </w:tcPr>
          <w:p w:rsidR="007F373F" w:rsidRDefault="00000000">
            <w:pPr>
              <w:spacing w:after="0"/>
              <w:jc w:val="left"/>
            </w:pPr>
            <w:r>
              <w:rPr>
                <w:sz w:val="20"/>
              </w:rPr>
              <w:t>Ratio and trend analysis; derived metrics computed from disclosed numbers</w:t>
            </w:r>
          </w:p>
        </w:tc>
        <w:tc>
          <w:tcPr>
            <w:tcW w:w="4831" w:type="dxa"/>
          </w:tcPr>
          <w:p w:rsidR="007F373F" w:rsidRDefault="00000000">
            <w:pPr>
              <w:spacing w:after="0"/>
              <w:jc w:val="left"/>
            </w:pPr>
            <w:r>
              <w:rPr>
                <w:sz w:val="20"/>
              </w:rPr>
              <w:t>Independent audit, re-performance or verification of reported figures</w:t>
            </w:r>
          </w:p>
        </w:tc>
      </w:tr>
      <w:tr w:rsidR="007F373F">
        <w:trPr>
          <w:jc w:val="center"/>
        </w:trPr>
        <w:tc>
          <w:tcPr>
            <w:tcW w:w="4831" w:type="dxa"/>
          </w:tcPr>
          <w:p w:rsidR="007F373F" w:rsidRDefault="00000000">
            <w:pPr>
              <w:spacing w:after="0"/>
              <w:jc w:val="left"/>
            </w:pPr>
            <w:r>
              <w:rPr>
                <w:sz w:val="20"/>
              </w:rPr>
              <w:t>Qualitative risk assessment based on disclosures</w:t>
            </w:r>
          </w:p>
        </w:tc>
        <w:tc>
          <w:tcPr>
            <w:tcW w:w="4831" w:type="dxa"/>
          </w:tcPr>
          <w:p w:rsidR="007F373F" w:rsidRDefault="00000000">
            <w:pPr>
              <w:spacing w:after="0"/>
              <w:jc w:val="left"/>
            </w:pPr>
            <w:r>
              <w:rPr>
                <w:sz w:val="20"/>
              </w:rPr>
              <w:t>Credit rating opinion or regulatory compliance opinion</w:t>
            </w:r>
          </w:p>
        </w:tc>
      </w:tr>
    </w:tbl>
    <w:p w:rsidR="007F373F" w:rsidRDefault="007F373F">
      <w:pPr>
        <w:spacing w:after="40"/>
      </w:pPr>
    </w:p>
    <w:p w:rsidR="007F373F" w:rsidRDefault="00000000">
      <w:r>
        <w:t>Units and conventions. Statutory tables in the annual reports are in ₹ lakh; the corporate overview uses ₹ crore and ₹ million. This report standardises on ₹ crore (1 crore = 100 lakh = 10 million) except where a table reproduces a statutory schedule in lakh, in which case the unit is stated in the table header. Percentages are as reported by the company; derived ratios show the formula used. Rounding differences of ±0.1 may occur.</w:t>
      </w:r>
    </w:p>
    <w:p w:rsidR="007F373F" w:rsidRDefault="00000000">
      <w:r>
        <w:t>Depth of coverage. The reference year is analysed at the level of individual notes to accounts (interest-income split, finance-cost split, impairment split, borrowing schedules, stage-wise loans, ALM buckets, capital computation). Earlier years are analysed at the level of the Directors’ Report highlights and the KPI series in the corporate overview, which is the depth the public record supports consistently across all five years.</w:t>
      </w:r>
    </w:p>
    <w:p w:rsidR="007F373F" w:rsidRDefault="00000000">
      <w:r>
        <w:t>Disclaimer. The report is an academic exercise. It is not investment advice, an audit, a credit rating or a fairness opinion, and nothing in it should be relied upon for any financial decision.</w:t>
      </w:r>
    </w:p>
    <w:p w:rsidR="007F373F" w:rsidRDefault="00000000">
      <w:pPr>
        <w:pStyle w:val="Heading1"/>
        <w:pageBreakBefore/>
      </w:pPr>
      <w:r>
        <w:lastRenderedPageBreak/>
        <w:t>Research Questions and Hypotheses</w:t>
      </w:r>
    </w:p>
    <w:p w:rsidR="007F373F" w:rsidRDefault="00000000">
      <w:r>
        <w:t>The analysis is organised around four research questions (RQs) and one working hypothesis. Each question is answered in Chapter 8 (“Hypothesis Testing and Answers to Research Questions”) with reference to the evidence assembled in Chapters 2–7.</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690"/>
        <w:gridCol w:w="3727"/>
        <w:gridCol w:w="4279"/>
        <w:gridCol w:w="966"/>
      </w:tblGrid>
      <w:tr w:rsidR="007F373F">
        <w:trPr>
          <w:jc w:val="center"/>
        </w:trPr>
        <w:tc>
          <w:tcPr>
            <w:tcW w:w="690" w:type="dxa"/>
          </w:tcPr>
          <w:p w:rsidR="007F373F" w:rsidRDefault="00000000">
            <w:pPr>
              <w:spacing w:after="0"/>
              <w:jc w:val="left"/>
            </w:pPr>
            <w:r>
              <w:rPr>
                <w:b/>
                <w:sz w:val="20"/>
              </w:rPr>
              <w:t>RQ</w:t>
            </w:r>
          </w:p>
        </w:tc>
        <w:tc>
          <w:tcPr>
            <w:tcW w:w="3727" w:type="dxa"/>
          </w:tcPr>
          <w:p w:rsidR="007F373F" w:rsidRDefault="00000000">
            <w:pPr>
              <w:spacing w:after="0"/>
              <w:jc w:val="left"/>
            </w:pPr>
            <w:r>
              <w:rPr>
                <w:b/>
                <w:sz w:val="20"/>
              </w:rPr>
              <w:t>Question</w:t>
            </w:r>
          </w:p>
        </w:tc>
        <w:tc>
          <w:tcPr>
            <w:tcW w:w="4279" w:type="dxa"/>
          </w:tcPr>
          <w:p w:rsidR="007F373F" w:rsidRDefault="00000000">
            <w:pPr>
              <w:spacing w:after="0"/>
              <w:jc w:val="left"/>
            </w:pPr>
            <w:r>
              <w:rPr>
                <w:b/>
                <w:sz w:val="20"/>
              </w:rPr>
              <w:t>Principal evidence used</w:t>
            </w:r>
          </w:p>
        </w:tc>
        <w:tc>
          <w:tcPr>
            <w:tcW w:w="966" w:type="dxa"/>
          </w:tcPr>
          <w:p w:rsidR="007F373F" w:rsidRDefault="00000000">
            <w:pPr>
              <w:spacing w:after="0"/>
              <w:jc w:val="left"/>
            </w:pPr>
            <w:r>
              <w:rPr>
                <w:b/>
                <w:sz w:val="20"/>
              </w:rPr>
              <w:t>Chapter</w:t>
            </w:r>
          </w:p>
        </w:tc>
      </w:tr>
      <w:tr w:rsidR="007F373F">
        <w:trPr>
          <w:jc w:val="center"/>
        </w:trPr>
        <w:tc>
          <w:tcPr>
            <w:tcW w:w="690" w:type="dxa"/>
          </w:tcPr>
          <w:p w:rsidR="007F373F" w:rsidRDefault="00000000">
            <w:pPr>
              <w:spacing w:after="0"/>
              <w:jc w:val="left"/>
            </w:pPr>
            <w:r>
              <w:rPr>
                <w:sz w:val="20"/>
              </w:rPr>
              <w:t>RQ1</w:t>
            </w:r>
          </w:p>
        </w:tc>
        <w:tc>
          <w:tcPr>
            <w:tcW w:w="3727" w:type="dxa"/>
          </w:tcPr>
          <w:p w:rsidR="007F373F" w:rsidRDefault="00000000">
            <w:pPr>
              <w:spacing w:after="0"/>
              <w:jc w:val="left"/>
            </w:pPr>
            <w:r>
              <w:rPr>
                <w:sz w:val="20"/>
              </w:rPr>
              <w:t>Has Fedfina’s growth been accompanied by improved profitability, or has growth been bought at the expense of returns?</w:t>
            </w:r>
          </w:p>
        </w:tc>
        <w:tc>
          <w:tcPr>
            <w:tcW w:w="4279" w:type="dxa"/>
          </w:tcPr>
          <w:p w:rsidR="007F373F" w:rsidRDefault="00000000">
            <w:pPr>
              <w:spacing w:after="0"/>
              <w:jc w:val="left"/>
            </w:pPr>
            <w:r>
              <w:rPr>
                <w:sz w:val="20"/>
              </w:rPr>
              <w:t>AUM, PAT, NII, PPOP, RoA, RoE, EPS, cost-to-income, credit cost, DA income share, FY19–FY26</w:t>
            </w:r>
          </w:p>
        </w:tc>
        <w:tc>
          <w:tcPr>
            <w:tcW w:w="966" w:type="dxa"/>
          </w:tcPr>
          <w:p w:rsidR="007F373F" w:rsidRDefault="00000000">
            <w:pPr>
              <w:spacing w:after="0"/>
              <w:jc w:val="right"/>
            </w:pPr>
            <w:r>
              <w:rPr>
                <w:sz w:val="20"/>
              </w:rPr>
              <w:t>5</w:t>
            </w:r>
          </w:p>
        </w:tc>
      </w:tr>
      <w:tr w:rsidR="007F373F">
        <w:trPr>
          <w:jc w:val="center"/>
        </w:trPr>
        <w:tc>
          <w:tcPr>
            <w:tcW w:w="690" w:type="dxa"/>
          </w:tcPr>
          <w:p w:rsidR="007F373F" w:rsidRDefault="00000000">
            <w:pPr>
              <w:spacing w:after="0"/>
              <w:jc w:val="left"/>
            </w:pPr>
            <w:r>
              <w:rPr>
                <w:sz w:val="20"/>
              </w:rPr>
              <w:t>RQ2</w:t>
            </w:r>
          </w:p>
        </w:tc>
        <w:tc>
          <w:tcPr>
            <w:tcW w:w="3727" w:type="dxa"/>
          </w:tcPr>
          <w:p w:rsidR="007F373F" w:rsidRDefault="00000000">
            <w:pPr>
              <w:spacing w:after="0"/>
              <w:jc w:val="left"/>
            </w:pPr>
            <w:r>
              <w:rPr>
                <w:sz w:val="20"/>
              </w:rPr>
              <w:t>Has the change in product mix and portfolio security strengthened the risk profile of the loan book?</w:t>
            </w:r>
          </w:p>
        </w:tc>
        <w:tc>
          <w:tcPr>
            <w:tcW w:w="4279" w:type="dxa"/>
          </w:tcPr>
          <w:p w:rsidR="007F373F" w:rsidRDefault="00000000">
            <w:pPr>
              <w:spacing w:after="0"/>
              <w:jc w:val="left"/>
            </w:pPr>
            <w:r>
              <w:rPr>
                <w:sz w:val="20"/>
              </w:rPr>
              <w:t>Secured share of AUM, GNPA/NNPA, stage-wise loans, PCR, LTV, CIBIL distribution, write-offs, ARC sales</w:t>
            </w:r>
          </w:p>
        </w:tc>
        <w:tc>
          <w:tcPr>
            <w:tcW w:w="966" w:type="dxa"/>
          </w:tcPr>
          <w:p w:rsidR="007F373F" w:rsidRDefault="00000000">
            <w:pPr>
              <w:spacing w:after="0"/>
              <w:jc w:val="left"/>
            </w:pPr>
            <w:r>
              <w:rPr>
                <w:sz w:val="20"/>
              </w:rPr>
              <w:t>4, 5, 6</w:t>
            </w:r>
          </w:p>
        </w:tc>
      </w:tr>
      <w:tr w:rsidR="007F373F">
        <w:trPr>
          <w:jc w:val="center"/>
        </w:trPr>
        <w:tc>
          <w:tcPr>
            <w:tcW w:w="690" w:type="dxa"/>
          </w:tcPr>
          <w:p w:rsidR="007F373F" w:rsidRDefault="00000000">
            <w:pPr>
              <w:spacing w:after="0"/>
              <w:jc w:val="left"/>
            </w:pPr>
            <w:r>
              <w:rPr>
                <w:sz w:val="20"/>
              </w:rPr>
              <w:t>RQ3</w:t>
            </w:r>
          </w:p>
        </w:tc>
        <w:tc>
          <w:tcPr>
            <w:tcW w:w="3727" w:type="dxa"/>
          </w:tcPr>
          <w:p w:rsidR="007F373F" w:rsidRDefault="00000000">
            <w:pPr>
              <w:spacing w:after="0"/>
              <w:jc w:val="left"/>
            </w:pPr>
            <w:r>
              <w:rPr>
                <w:sz w:val="20"/>
              </w:rPr>
              <w:t>Is the company adequately capitalised and funded for the growth “targeted at 20 to 25% on a sustainable basis” (Chairman’s message, FY26)?</w:t>
            </w:r>
          </w:p>
        </w:tc>
        <w:tc>
          <w:tcPr>
            <w:tcW w:w="4279" w:type="dxa"/>
          </w:tcPr>
          <w:p w:rsidR="007F373F" w:rsidRDefault="00000000">
            <w:pPr>
              <w:spacing w:after="0"/>
              <w:jc w:val="left"/>
            </w:pPr>
            <w:r>
              <w:rPr>
                <w:sz w:val="20"/>
              </w:rPr>
              <w:t>CRAR (Tier I/II), debt-equity, borrowing mix, lender count, ECB/CP programmes, ALM buckets, ratings</w:t>
            </w:r>
          </w:p>
        </w:tc>
        <w:tc>
          <w:tcPr>
            <w:tcW w:w="966" w:type="dxa"/>
          </w:tcPr>
          <w:p w:rsidR="007F373F" w:rsidRDefault="00000000">
            <w:pPr>
              <w:spacing w:after="0"/>
              <w:jc w:val="left"/>
            </w:pPr>
            <w:r>
              <w:rPr>
                <w:sz w:val="20"/>
              </w:rPr>
              <w:t>5, 6</w:t>
            </w:r>
          </w:p>
        </w:tc>
      </w:tr>
      <w:tr w:rsidR="007F373F">
        <w:trPr>
          <w:jc w:val="center"/>
        </w:trPr>
        <w:tc>
          <w:tcPr>
            <w:tcW w:w="690" w:type="dxa"/>
          </w:tcPr>
          <w:p w:rsidR="007F373F" w:rsidRDefault="00000000">
            <w:pPr>
              <w:spacing w:after="0"/>
              <w:jc w:val="left"/>
            </w:pPr>
            <w:r>
              <w:rPr>
                <w:sz w:val="20"/>
              </w:rPr>
              <w:t>RQ4</w:t>
            </w:r>
          </w:p>
        </w:tc>
        <w:tc>
          <w:tcPr>
            <w:tcW w:w="3727" w:type="dxa"/>
          </w:tcPr>
          <w:p w:rsidR="007F373F" w:rsidRDefault="00000000">
            <w:pPr>
              <w:spacing w:after="0"/>
              <w:jc w:val="left"/>
            </w:pPr>
            <w:r>
              <w:rPr>
                <w:sz w:val="20"/>
              </w:rPr>
              <w:t>What operational, regulatory and external risks could challenge the growth plan, and how well are they mitigated?</w:t>
            </w:r>
          </w:p>
        </w:tc>
        <w:tc>
          <w:tcPr>
            <w:tcW w:w="4279" w:type="dxa"/>
          </w:tcPr>
          <w:p w:rsidR="007F373F" w:rsidRDefault="00000000">
            <w:pPr>
              <w:spacing w:after="0"/>
              <w:jc w:val="left"/>
            </w:pPr>
            <w:r>
              <w:rPr>
                <w:sz w:val="20"/>
              </w:rPr>
              <w:t>Risk matrix, RBI gold-loan directions 2025, competition, cyber disclosures, branch vintage, gold price</w:t>
            </w:r>
          </w:p>
        </w:tc>
        <w:tc>
          <w:tcPr>
            <w:tcW w:w="966" w:type="dxa"/>
          </w:tcPr>
          <w:p w:rsidR="007F373F" w:rsidRDefault="00000000">
            <w:pPr>
              <w:spacing w:after="0"/>
              <w:jc w:val="left"/>
            </w:pPr>
            <w:r>
              <w:rPr>
                <w:sz w:val="20"/>
              </w:rPr>
              <w:t>2, 6, 7</w:t>
            </w:r>
          </w:p>
        </w:tc>
      </w:tr>
    </w:tbl>
    <w:p w:rsidR="007F373F" w:rsidRDefault="007F373F">
      <w:pPr>
        <w:spacing w:after="40"/>
      </w:pPr>
    </w:p>
    <w:p w:rsidR="007F373F" w:rsidRDefault="00000000">
      <w:pPr>
        <w:pStyle w:val="Heading2"/>
      </w:pPr>
      <w:r>
        <w:t>Working hypothesis</w:t>
      </w:r>
    </w:p>
    <w:p w:rsidR="007F373F" w:rsidRDefault="00000000">
      <w:r>
        <w:t>H1: A higher secured share of AUM combined with stronger operating discipline (system-driven underwriting and in-house collections) supports sustainable profitability, subject to asset-quality and funding-cost control.</w:t>
      </w:r>
    </w:p>
    <w:p w:rsidR="007F373F" w:rsidRDefault="00000000">
      <w:r>
        <w:t>H0 (null): The FY26 improvement in profitability is primarily cyclical – driven by rising gold prices and falling interest rates – rather than structural, and would reverse if these tailwinds faded.</w:t>
      </w:r>
    </w:p>
    <w:p w:rsidR="007F373F" w:rsidRDefault="00000000">
      <w:pPr>
        <w:pStyle w:val="Heading2"/>
      </w:pPr>
      <w:r>
        <w:t>How the hypothesis will be tested</w:t>
      </w:r>
    </w:p>
    <w:p w:rsidR="007F373F" w:rsidRDefault="00000000">
      <w:pPr>
        <w:pStyle w:val="ListBullet"/>
      </w:pPr>
      <w:r>
        <w:t>Decompose FY26 profit growth into volume (AUM, NII), margin (yield, cost of borrowings, spread), efficiency (cost-to-income) and credit-cost effects using the reported income statement.</w:t>
      </w:r>
    </w:p>
    <w:p w:rsidR="007F373F" w:rsidRDefault="00000000">
      <w:pPr>
        <w:pStyle w:val="ListBullet"/>
      </w:pPr>
      <w:r>
        <w:t>Separate price and tonnage effects in gold-loan growth using gold-under-custody data (12.6 tonnes, +12%) against gold AUM (+76%).</w:t>
      </w:r>
    </w:p>
    <w:p w:rsidR="007F373F" w:rsidRDefault="00000000">
      <w:pPr>
        <w:pStyle w:val="ListBullet"/>
      </w:pPr>
      <w:r>
        <w:t>Compare the quality of earnings in FY26 with FY25 and FY24 using the share of direct-assignment income in PBT and the share of interest on loans in interest income.</w:t>
      </w:r>
    </w:p>
    <w:p w:rsidR="007F373F" w:rsidRDefault="00000000">
      <w:pPr>
        <w:pStyle w:val="ListBullet"/>
      </w:pPr>
      <w:r>
        <w:t>Assess whether asset-quality indicators improved on both a reported (GNPA/NNPA) and a stage-wise (Ind AS 109) basis, and whether improvement came from write-offs/ARC sales or from lower fresh slippage.</w:t>
      </w:r>
    </w:p>
    <w:p w:rsidR="007F373F" w:rsidRDefault="00000000">
      <w:pPr>
        <w:pStyle w:val="ListBullet"/>
      </w:pPr>
      <w:r>
        <w:t>Evaluate the funding structure’s resilience to a 100 bps rise in borrowing costs using the fixed-rate share (40%) and ALM data.</w:t>
      </w:r>
    </w:p>
    <w:p w:rsidR="007F373F" w:rsidRDefault="00000000">
      <w:r>
        <w:t xml:space="preserve">The hypothesis is accepted if the evidence shows that (a) core NII growth exceeded total revenue growth, (b) credit cost fell on a like-for-like basis, (c) the stage 2 + stage 3 share of loans declined, </w:t>
      </w:r>
      <w:r>
        <w:lastRenderedPageBreak/>
        <w:t>and (d) returns improved without a disproportionate rise in leverage; otherwise it is rejected or accepted with qualifications.</w:t>
      </w:r>
    </w:p>
    <w:p w:rsidR="007F373F" w:rsidRDefault="00000000">
      <w:pPr>
        <w:pStyle w:val="Heading1"/>
        <w:pageBreakBefore/>
      </w:pPr>
      <w:r>
        <w:lastRenderedPageBreak/>
        <w:t>Research Methodology</w:t>
      </w:r>
    </w:p>
    <w:p w:rsidR="007F373F" w:rsidRDefault="00000000">
      <w:r>
        <w:t>Research design. The study is descriptive and analytical. It is descriptive in documenting the sector, the company and its products from published sources, and analytical in applying ratio analysis, trend analysis, common-size analysis, DuPont decomposition and qualitative strategic frameworks to interpret those facts. It is a single-company longitudinal case study supplemented by a peer snapshot.</w:t>
      </w:r>
    </w:p>
    <w:p w:rsidR="007F373F" w:rsidRDefault="00000000">
      <w:r>
        <w:t>Type of data. Only secondary data has been used. The primary documents are the three annual reports of Fedbank Financial Services Limited (FY 2023–24, 256 pages; FY 2024–25, 155 pages; FY 2025–26, 182 pages), each comprising the Corporate Overview, Management Discussion and Analysis, Directors’ Report with annexures, Report on Corporate Governance, Business Responsibility and Sustainability Report, auditor’s report and audited Ind AS financial statements with notes. Sector data are taken from the sources the company itself cites (MoSPI, PIB, RBI, World Gold Council, ICRA, CRISIL, Economic Survey) and from RBI directions. Peer figures are taken from the FY26 results of Muthoot Finance and Manappuram Finance as reported in May 2026.</w:t>
      </w:r>
    </w:p>
    <w:p w:rsidR="007F373F" w:rsidRDefault="00000000">
      <w:pPr>
        <w:pStyle w:val="Heading2"/>
      </w:pPr>
      <w:r>
        <w:t>Analytical procedure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690"/>
        <w:gridCol w:w="6626"/>
        <w:gridCol w:w="2415"/>
      </w:tblGrid>
      <w:tr w:rsidR="007F373F">
        <w:trPr>
          <w:jc w:val="center"/>
        </w:trPr>
        <w:tc>
          <w:tcPr>
            <w:tcW w:w="690" w:type="dxa"/>
          </w:tcPr>
          <w:p w:rsidR="007F373F" w:rsidRDefault="00000000">
            <w:pPr>
              <w:spacing w:after="0"/>
              <w:jc w:val="left"/>
            </w:pPr>
            <w:r>
              <w:rPr>
                <w:b/>
                <w:sz w:val="20"/>
              </w:rPr>
              <w:t>Step</w:t>
            </w:r>
          </w:p>
        </w:tc>
        <w:tc>
          <w:tcPr>
            <w:tcW w:w="6626" w:type="dxa"/>
          </w:tcPr>
          <w:p w:rsidR="007F373F" w:rsidRDefault="00000000">
            <w:pPr>
              <w:spacing w:after="0"/>
              <w:jc w:val="left"/>
            </w:pPr>
            <w:r>
              <w:rPr>
                <w:b/>
                <w:sz w:val="20"/>
              </w:rPr>
              <w:t>Activity</w:t>
            </w:r>
          </w:p>
        </w:tc>
        <w:tc>
          <w:tcPr>
            <w:tcW w:w="2415" w:type="dxa"/>
          </w:tcPr>
          <w:p w:rsidR="007F373F" w:rsidRDefault="00000000">
            <w:pPr>
              <w:spacing w:after="0"/>
              <w:jc w:val="left"/>
            </w:pPr>
            <w:r>
              <w:rPr>
                <w:b/>
                <w:sz w:val="20"/>
              </w:rPr>
              <w:t>Output</w:t>
            </w:r>
          </w:p>
        </w:tc>
      </w:tr>
      <w:tr w:rsidR="007F373F">
        <w:trPr>
          <w:jc w:val="center"/>
        </w:trPr>
        <w:tc>
          <w:tcPr>
            <w:tcW w:w="690" w:type="dxa"/>
          </w:tcPr>
          <w:p w:rsidR="007F373F" w:rsidRDefault="00000000">
            <w:pPr>
              <w:spacing w:after="0"/>
              <w:jc w:val="left"/>
            </w:pPr>
            <w:r>
              <w:rPr>
                <w:sz w:val="20"/>
              </w:rPr>
              <w:t>1</w:t>
            </w:r>
          </w:p>
        </w:tc>
        <w:tc>
          <w:tcPr>
            <w:tcW w:w="6626" w:type="dxa"/>
          </w:tcPr>
          <w:p w:rsidR="007F373F" w:rsidRDefault="00000000">
            <w:pPr>
              <w:spacing w:after="0"/>
              <w:jc w:val="left"/>
            </w:pPr>
            <w:r>
              <w:rPr>
                <w:sz w:val="20"/>
              </w:rPr>
              <w:t>Define objectives and research questions; agree the page structure with the guide</w:t>
            </w:r>
          </w:p>
        </w:tc>
        <w:tc>
          <w:tcPr>
            <w:tcW w:w="2415" w:type="dxa"/>
          </w:tcPr>
          <w:p w:rsidR="007F373F" w:rsidRDefault="00000000">
            <w:pPr>
              <w:spacing w:after="0"/>
              <w:jc w:val="left"/>
            </w:pPr>
            <w:r>
              <w:rPr>
                <w:sz w:val="20"/>
              </w:rPr>
              <w:t>Chapter 1</w:t>
            </w:r>
          </w:p>
        </w:tc>
      </w:tr>
      <w:tr w:rsidR="007F373F">
        <w:trPr>
          <w:jc w:val="center"/>
        </w:trPr>
        <w:tc>
          <w:tcPr>
            <w:tcW w:w="690" w:type="dxa"/>
          </w:tcPr>
          <w:p w:rsidR="007F373F" w:rsidRDefault="00000000">
            <w:pPr>
              <w:spacing w:after="0"/>
              <w:jc w:val="left"/>
            </w:pPr>
            <w:r>
              <w:rPr>
                <w:sz w:val="20"/>
              </w:rPr>
              <w:t>2</w:t>
            </w:r>
          </w:p>
        </w:tc>
        <w:tc>
          <w:tcPr>
            <w:tcW w:w="6626" w:type="dxa"/>
          </w:tcPr>
          <w:p w:rsidR="007F373F" w:rsidRDefault="00000000">
            <w:pPr>
              <w:spacing w:after="0"/>
              <w:jc w:val="left"/>
            </w:pPr>
            <w:r>
              <w:rPr>
                <w:sz w:val="20"/>
              </w:rPr>
              <w:t>Read all three annual reports; extract every quantitative disclosure into a data sheet with page references</w:t>
            </w:r>
          </w:p>
        </w:tc>
        <w:tc>
          <w:tcPr>
            <w:tcW w:w="2415" w:type="dxa"/>
          </w:tcPr>
          <w:p w:rsidR="007F373F" w:rsidRDefault="00000000">
            <w:pPr>
              <w:spacing w:after="0"/>
              <w:jc w:val="left"/>
            </w:pPr>
            <w:r>
              <w:rPr>
                <w:sz w:val="20"/>
              </w:rPr>
              <w:t>Data layer (Appendix H)</w:t>
            </w:r>
          </w:p>
        </w:tc>
      </w:tr>
      <w:tr w:rsidR="007F373F">
        <w:trPr>
          <w:jc w:val="center"/>
        </w:trPr>
        <w:tc>
          <w:tcPr>
            <w:tcW w:w="690" w:type="dxa"/>
          </w:tcPr>
          <w:p w:rsidR="007F373F" w:rsidRDefault="00000000">
            <w:pPr>
              <w:spacing w:after="0"/>
              <w:jc w:val="left"/>
            </w:pPr>
            <w:r>
              <w:rPr>
                <w:sz w:val="20"/>
              </w:rPr>
              <w:t>3</w:t>
            </w:r>
          </w:p>
        </w:tc>
        <w:tc>
          <w:tcPr>
            <w:tcW w:w="6626" w:type="dxa"/>
          </w:tcPr>
          <w:p w:rsidR="007F373F" w:rsidRDefault="00000000">
            <w:pPr>
              <w:spacing w:after="0"/>
              <w:jc w:val="left"/>
            </w:pPr>
            <w:r>
              <w:rPr>
                <w:sz w:val="20"/>
              </w:rPr>
              <w:t>Reconcile the multi-year KPI charts across the three reports (the FY26 report presents yield, spread and cost of borrowings on a revised basis)</w:t>
            </w:r>
          </w:p>
        </w:tc>
        <w:tc>
          <w:tcPr>
            <w:tcW w:w="2415" w:type="dxa"/>
          </w:tcPr>
          <w:p w:rsidR="007F373F" w:rsidRDefault="00000000">
            <w:pPr>
              <w:spacing w:after="0"/>
              <w:jc w:val="left"/>
            </w:pPr>
            <w:r>
              <w:rPr>
                <w:sz w:val="20"/>
              </w:rPr>
              <w:t>Eight-year series, Table T8</w:t>
            </w:r>
          </w:p>
        </w:tc>
      </w:tr>
      <w:tr w:rsidR="007F373F">
        <w:trPr>
          <w:jc w:val="center"/>
        </w:trPr>
        <w:tc>
          <w:tcPr>
            <w:tcW w:w="690" w:type="dxa"/>
          </w:tcPr>
          <w:p w:rsidR="007F373F" w:rsidRDefault="00000000">
            <w:pPr>
              <w:spacing w:after="0"/>
              <w:jc w:val="left"/>
            </w:pPr>
            <w:r>
              <w:rPr>
                <w:sz w:val="20"/>
              </w:rPr>
              <w:t>4</w:t>
            </w:r>
          </w:p>
        </w:tc>
        <w:tc>
          <w:tcPr>
            <w:tcW w:w="6626" w:type="dxa"/>
          </w:tcPr>
          <w:p w:rsidR="007F373F" w:rsidRDefault="00000000">
            <w:pPr>
              <w:spacing w:after="0"/>
              <w:jc w:val="left"/>
            </w:pPr>
            <w:r>
              <w:rPr>
                <w:sz w:val="20"/>
              </w:rPr>
              <w:t>Standardise units (lakh → crore) and compute derived metrics: growth rates, CAGR, common-size percentages, DuPont components, ALM gaps, borrowing shares</w:t>
            </w:r>
          </w:p>
        </w:tc>
        <w:tc>
          <w:tcPr>
            <w:tcW w:w="2415" w:type="dxa"/>
          </w:tcPr>
          <w:p w:rsidR="007F373F" w:rsidRDefault="00000000">
            <w:pPr>
              <w:spacing w:after="0"/>
              <w:jc w:val="left"/>
            </w:pPr>
            <w:r>
              <w:rPr>
                <w:sz w:val="20"/>
              </w:rPr>
              <w:t>Chapter 5 tables</w:t>
            </w:r>
          </w:p>
        </w:tc>
      </w:tr>
      <w:tr w:rsidR="007F373F">
        <w:trPr>
          <w:jc w:val="center"/>
        </w:trPr>
        <w:tc>
          <w:tcPr>
            <w:tcW w:w="690" w:type="dxa"/>
          </w:tcPr>
          <w:p w:rsidR="007F373F" w:rsidRDefault="00000000">
            <w:pPr>
              <w:spacing w:after="0"/>
              <w:jc w:val="left"/>
            </w:pPr>
            <w:r>
              <w:rPr>
                <w:sz w:val="20"/>
              </w:rPr>
              <w:t>5</w:t>
            </w:r>
          </w:p>
        </w:tc>
        <w:tc>
          <w:tcPr>
            <w:tcW w:w="6626" w:type="dxa"/>
          </w:tcPr>
          <w:p w:rsidR="007F373F" w:rsidRDefault="00000000">
            <w:pPr>
              <w:spacing w:after="0"/>
              <w:jc w:val="left"/>
            </w:pPr>
            <w:r>
              <w:rPr>
                <w:sz w:val="20"/>
              </w:rPr>
              <w:t>Compare FY26 with FY25 line-by-line (income statement, balance sheet, notes 8, 16–18, 26–34, 48)</w:t>
            </w:r>
          </w:p>
        </w:tc>
        <w:tc>
          <w:tcPr>
            <w:tcW w:w="2415" w:type="dxa"/>
          </w:tcPr>
          <w:p w:rsidR="007F373F" w:rsidRDefault="00000000">
            <w:pPr>
              <w:spacing w:after="0"/>
              <w:jc w:val="left"/>
            </w:pPr>
            <w:r>
              <w:rPr>
                <w:sz w:val="20"/>
              </w:rPr>
              <w:t>Chapters 5 and 6</w:t>
            </w:r>
          </w:p>
        </w:tc>
      </w:tr>
      <w:tr w:rsidR="007F373F">
        <w:trPr>
          <w:jc w:val="center"/>
        </w:trPr>
        <w:tc>
          <w:tcPr>
            <w:tcW w:w="690" w:type="dxa"/>
          </w:tcPr>
          <w:p w:rsidR="007F373F" w:rsidRDefault="00000000">
            <w:pPr>
              <w:spacing w:after="0"/>
              <w:jc w:val="left"/>
            </w:pPr>
            <w:r>
              <w:rPr>
                <w:sz w:val="20"/>
              </w:rPr>
              <w:t>6</w:t>
            </w:r>
          </w:p>
        </w:tc>
        <w:tc>
          <w:tcPr>
            <w:tcW w:w="6626" w:type="dxa"/>
          </w:tcPr>
          <w:p w:rsidR="007F373F" w:rsidRDefault="00000000">
            <w:pPr>
              <w:spacing w:after="0"/>
              <w:jc w:val="left"/>
            </w:pPr>
            <w:r>
              <w:rPr>
                <w:sz w:val="20"/>
              </w:rPr>
              <w:t>Interpret trends in the context of sector data and regulation; apply Porter, PESTLE, SWOT, balanced scorecard and scenario frameworks</w:t>
            </w:r>
          </w:p>
        </w:tc>
        <w:tc>
          <w:tcPr>
            <w:tcW w:w="2415" w:type="dxa"/>
          </w:tcPr>
          <w:p w:rsidR="007F373F" w:rsidRDefault="00000000">
            <w:pPr>
              <w:spacing w:after="0"/>
              <w:jc w:val="left"/>
            </w:pPr>
            <w:r>
              <w:rPr>
                <w:sz w:val="20"/>
              </w:rPr>
              <w:t>Chapters 2, 6, 7</w:t>
            </w:r>
          </w:p>
        </w:tc>
      </w:tr>
      <w:tr w:rsidR="007F373F">
        <w:trPr>
          <w:jc w:val="center"/>
        </w:trPr>
        <w:tc>
          <w:tcPr>
            <w:tcW w:w="690" w:type="dxa"/>
          </w:tcPr>
          <w:p w:rsidR="007F373F" w:rsidRDefault="00000000">
            <w:pPr>
              <w:spacing w:after="0"/>
              <w:jc w:val="left"/>
            </w:pPr>
            <w:r>
              <w:rPr>
                <w:sz w:val="20"/>
              </w:rPr>
              <w:t>7</w:t>
            </w:r>
          </w:p>
        </w:tc>
        <w:tc>
          <w:tcPr>
            <w:tcW w:w="6626" w:type="dxa"/>
          </w:tcPr>
          <w:p w:rsidR="007F373F" w:rsidRDefault="00000000">
            <w:pPr>
              <w:spacing w:after="0"/>
              <w:jc w:val="left"/>
            </w:pPr>
            <w:r>
              <w:rPr>
                <w:sz w:val="20"/>
              </w:rPr>
              <w:t>Answer research questions, test hypothesis, formulate recommendations, document limitations</w:t>
            </w:r>
          </w:p>
        </w:tc>
        <w:tc>
          <w:tcPr>
            <w:tcW w:w="2415" w:type="dxa"/>
          </w:tcPr>
          <w:p w:rsidR="007F373F" w:rsidRDefault="00000000">
            <w:pPr>
              <w:spacing w:after="0"/>
              <w:jc w:val="left"/>
            </w:pPr>
            <w:r>
              <w:rPr>
                <w:sz w:val="20"/>
              </w:rPr>
              <w:t>Chapter 8</w:t>
            </w:r>
          </w:p>
        </w:tc>
      </w:tr>
    </w:tbl>
    <w:p w:rsidR="007F373F" w:rsidRDefault="007F373F">
      <w:pPr>
        <w:spacing w:after="40"/>
      </w:pPr>
    </w:p>
    <w:p w:rsidR="007F373F" w:rsidRDefault="00000000">
      <w:pPr>
        <w:pStyle w:val="Heading2"/>
      </w:pPr>
      <w:r>
        <w:t>Tools and techniques</w:t>
      </w:r>
    </w:p>
    <w:p w:rsidR="007F373F" w:rsidRDefault="00000000">
      <w:r>
        <w:t>Ratio analysis (profitability, efficiency, leverage, liquidity, asset quality, capital); horizontal (trend) analysis with year-on-year growth and compound annual growth rates; vertical (common-size) analysis of the income statement relative to total revenue and average assets; DuPont decomposition of RoE into margin, asset turnover and leverage; structural-liquidity gap analysis using RBI ALM buckets; and the qualitative frameworks named above. Charts were prepared from the extracted data; every chart and table carries a source line.</w:t>
      </w:r>
    </w:p>
    <w:p w:rsidR="007F373F" w:rsidRDefault="00000000">
      <w:r>
        <w:t xml:space="preserve">Verification. Reported totals were cross-checked for internal consistency (e.g., balance-sheet totals, borrowing sub-totals against notes, cost-to-income recomputed from the income statement, debt-equity recomputed from borrowings and net worth). Where the company’s own sections differ (for </w:t>
      </w:r>
      <w:r>
        <w:lastRenderedPageBreak/>
        <w:t>instance GNPA of 1.9% in the Key Highlights versus 2.2% in the FY26 five-year chart), both figures are shown and the difference is flagged rather than resolved by assumption.</w:t>
      </w:r>
    </w:p>
    <w:p w:rsidR="007F373F" w:rsidRDefault="00000000">
      <w:pPr>
        <w:pStyle w:val="Heading1"/>
        <w:pageBreakBefore/>
      </w:pPr>
      <w:r>
        <w:lastRenderedPageBreak/>
        <w:t>Data Sources and Reliability</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346"/>
        <w:gridCol w:w="4417"/>
        <w:gridCol w:w="2968"/>
      </w:tblGrid>
      <w:tr w:rsidR="007F373F">
        <w:trPr>
          <w:jc w:val="center"/>
        </w:trPr>
        <w:tc>
          <w:tcPr>
            <w:tcW w:w="2346" w:type="dxa"/>
          </w:tcPr>
          <w:p w:rsidR="007F373F" w:rsidRDefault="00000000">
            <w:pPr>
              <w:spacing w:after="0"/>
              <w:jc w:val="left"/>
            </w:pPr>
            <w:r>
              <w:rPr>
                <w:b/>
                <w:sz w:val="19"/>
              </w:rPr>
              <w:t>Source</w:t>
            </w:r>
          </w:p>
        </w:tc>
        <w:tc>
          <w:tcPr>
            <w:tcW w:w="4417" w:type="dxa"/>
          </w:tcPr>
          <w:p w:rsidR="007F373F" w:rsidRDefault="00000000">
            <w:pPr>
              <w:spacing w:after="0"/>
              <w:jc w:val="left"/>
            </w:pPr>
            <w:r>
              <w:rPr>
                <w:b/>
                <w:sz w:val="19"/>
              </w:rPr>
              <w:t>Sections used</w:t>
            </w:r>
          </w:p>
        </w:tc>
        <w:tc>
          <w:tcPr>
            <w:tcW w:w="2968" w:type="dxa"/>
          </w:tcPr>
          <w:p w:rsidR="007F373F" w:rsidRDefault="00000000">
            <w:pPr>
              <w:spacing w:after="0"/>
              <w:jc w:val="left"/>
            </w:pPr>
            <w:r>
              <w:rPr>
                <w:b/>
                <w:sz w:val="19"/>
              </w:rPr>
              <w:t>Reliability and treatment</w:t>
            </w:r>
          </w:p>
        </w:tc>
      </w:tr>
      <w:tr w:rsidR="007F373F">
        <w:trPr>
          <w:jc w:val="center"/>
        </w:trPr>
        <w:tc>
          <w:tcPr>
            <w:tcW w:w="2346" w:type="dxa"/>
          </w:tcPr>
          <w:p w:rsidR="007F373F" w:rsidRDefault="00000000">
            <w:pPr>
              <w:spacing w:after="0"/>
              <w:jc w:val="left"/>
            </w:pPr>
            <w:r>
              <w:rPr>
                <w:sz w:val="19"/>
              </w:rPr>
              <w:t>Fedfina Annual Report 2025-26 (182 pp.)</w:t>
            </w:r>
          </w:p>
        </w:tc>
        <w:tc>
          <w:tcPr>
            <w:tcW w:w="4417" w:type="dxa"/>
          </w:tcPr>
          <w:p w:rsidR="007F373F" w:rsidRDefault="00000000">
            <w:pPr>
              <w:spacing w:after="0"/>
              <w:jc w:val="left"/>
            </w:pPr>
            <w:r>
              <w:rPr>
                <w:sz w:val="19"/>
              </w:rPr>
              <w:t>Key highlights; offerings; investment case; Chairman and MD&amp;CEO messages; financial highlights; operating environment; technology, marketing and ESG; MD&amp;A; Directors’ Report; Corporate Governance Report; BRSR; audited financial statements with notes 8, 16–18, 26–34 and 48</w:t>
            </w:r>
          </w:p>
        </w:tc>
        <w:tc>
          <w:tcPr>
            <w:tcW w:w="2968" w:type="dxa"/>
          </w:tcPr>
          <w:p w:rsidR="007F373F" w:rsidRDefault="00000000">
            <w:pPr>
              <w:spacing w:after="0"/>
              <w:jc w:val="left"/>
            </w:pPr>
            <w:r>
              <w:rPr>
                <w:sz w:val="19"/>
              </w:rPr>
              <w:t>Audited (KKC &amp; Associates LLP, unmodified opinion). Primary source for all FY26 and FY25 figures.</w:t>
            </w:r>
          </w:p>
        </w:tc>
      </w:tr>
      <w:tr w:rsidR="007F373F">
        <w:trPr>
          <w:jc w:val="center"/>
        </w:trPr>
        <w:tc>
          <w:tcPr>
            <w:tcW w:w="2346" w:type="dxa"/>
          </w:tcPr>
          <w:p w:rsidR="007F373F" w:rsidRDefault="00000000">
            <w:pPr>
              <w:spacing w:after="0"/>
              <w:jc w:val="left"/>
            </w:pPr>
            <w:r>
              <w:rPr>
                <w:sz w:val="19"/>
              </w:rPr>
              <w:t>Fedfina Annual Report 2024-25 (155 pp.)</w:t>
            </w:r>
          </w:p>
        </w:tc>
        <w:tc>
          <w:tcPr>
            <w:tcW w:w="4417" w:type="dxa"/>
          </w:tcPr>
          <w:p w:rsidR="007F373F" w:rsidRDefault="00000000">
            <w:pPr>
              <w:spacing w:after="0"/>
              <w:jc w:val="left"/>
            </w:pPr>
            <w:r>
              <w:rPr>
                <w:sz w:val="19"/>
              </w:rPr>
              <w:t>Measuring our progress p.3; branch expansion p.7; Chairman and MD&amp;CEO letters p.8–15; momentum in metrics p.18–21; Directors’ Report p.64–</w:t>
            </w:r>
          </w:p>
        </w:tc>
        <w:tc>
          <w:tcPr>
            <w:tcW w:w="2968" w:type="dxa"/>
          </w:tcPr>
          <w:p w:rsidR="007F373F" w:rsidRDefault="00000000">
            <w:pPr>
              <w:spacing w:after="0"/>
              <w:jc w:val="left"/>
            </w:pPr>
            <w:r>
              <w:rPr>
                <w:sz w:val="19"/>
              </w:rPr>
              <w:t>Audited. Source for FY25 narrative (ST LAP stress, business-loan slowdown), FY25 product mix and FY21–FY25 KPI charts.</w:t>
            </w:r>
          </w:p>
        </w:tc>
      </w:tr>
      <w:tr w:rsidR="007F373F">
        <w:trPr>
          <w:jc w:val="center"/>
        </w:trPr>
        <w:tc>
          <w:tcPr>
            <w:tcW w:w="2346" w:type="dxa"/>
          </w:tcPr>
          <w:p w:rsidR="007F373F" w:rsidRDefault="00000000">
            <w:pPr>
              <w:spacing w:after="0"/>
              <w:jc w:val="left"/>
            </w:pPr>
            <w:r>
              <w:rPr>
                <w:sz w:val="19"/>
              </w:rPr>
              <w:t>Fedfina Annual Report 2023-24 (256 pp.)</w:t>
            </w:r>
          </w:p>
        </w:tc>
        <w:tc>
          <w:tcPr>
            <w:tcW w:w="4417" w:type="dxa"/>
          </w:tcPr>
          <w:p w:rsidR="007F373F" w:rsidRDefault="00000000">
            <w:pPr>
              <w:spacing w:after="0"/>
              <w:jc w:val="left"/>
            </w:pPr>
            <w:r>
              <w:rPr>
                <w:sz w:val="19"/>
              </w:rPr>
              <w:t>Company overview p.4–9; Chairman p.10–13; MD&amp;CEO p.14–17; KPIs p.20–23; MD&amp;A p.46–; Directors’ Report p.64–</w:t>
            </w:r>
          </w:p>
        </w:tc>
        <w:tc>
          <w:tcPr>
            <w:tcW w:w="2968" w:type="dxa"/>
          </w:tcPr>
          <w:p w:rsidR="007F373F" w:rsidRDefault="00000000">
            <w:pPr>
              <w:spacing w:after="0"/>
              <w:jc w:val="left"/>
            </w:pPr>
            <w:r>
              <w:rPr>
                <w:sz w:val="19"/>
              </w:rPr>
              <w:t>Audited. Source for FY19–FY24 KPI series, IPO details, FY24 product data and corporate milestones.</w:t>
            </w:r>
          </w:p>
        </w:tc>
      </w:tr>
      <w:tr w:rsidR="007F373F">
        <w:trPr>
          <w:jc w:val="center"/>
        </w:trPr>
        <w:tc>
          <w:tcPr>
            <w:tcW w:w="2346" w:type="dxa"/>
          </w:tcPr>
          <w:p w:rsidR="007F373F" w:rsidRDefault="00000000">
            <w:pPr>
              <w:spacing w:after="0"/>
              <w:jc w:val="left"/>
            </w:pPr>
            <w:r>
              <w:rPr>
                <w:sz w:val="19"/>
              </w:rPr>
              <w:t>RBI – Directions on Lending Against Gold Collateral (June 2025), SBR Directions 2025, Digital Lending Guidelines, Co-lending guidelines</w:t>
            </w:r>
          </w:p>
        </w:tc>
        <w:tc>
          <w:tcPr>
            <w:tcW w:w="4417" w:type="dxa"/>
          </w:tcPr>
          <w:p w:rsidR="007F373F" w:rsidRDefault="00000000">
            <w:pPr>
              <w:spacing w:after="0"/>
              <w:jc w:val="left"/>
            </w:pPr>
            <w:r>
              <w:rPr>
                <w:sz w:val="19"/>
              </w:rPr>
              <w:t>Regulatory provisions summarised in Chapter 2</w:t>
            </w:r>
          </w:p>
        </w:tc>
        <w:tc>
          <w:tcPr>
            <w:tcW w:w="2968" w:type="dxa"/>
          </w:tcPr>
          <w:p w:rsidR="007F373F" w:rsidRDefault="00000000">
            <w:pPr>
              <w:spacing w:after="0"/>
              <w:jc w:val="left"/>
            </w:pPr>
            <w:r>
              <w:rPr>
                <w:sz w:val="19"/>
              </w:rPr>
              <w:t>Official regulations; summarised from the directions and an EY impact note (Feb 2026).</w:t>
            </w:r>
          </w:p>
        </w:tc>
      </w:tr>
      <w:tr w:rsidR="007F373F">
        <w:trPr>
          <w:jc w:val="center"/>
        </w:trPr>
        <w:tc>
          <w:tcPr>
            <w:tcW w:w="2346" w:type="dxa"/>
          </w:tcPr>
          <w:p w:rsidR="007F373F" w:rsidRDefault="00000000">
            <w:pPr>
              <w:spacing w:after="0"/>
              <w:jc w:val="left"/>
            </w:pPr>
            <w:r>
              <w:rPr>
                <w:sz w:val="19"/>
              </w:rPr>
              <w:t>Sector statistics cited in the FY26 MD&amp;A: MoSPI, PIB, World Economic Outlook (Apr 2026), World Gold Council, ICRA, CRISIL, Ministry of MSME, Economic Survey 2025–26</w:t>
            </w:r>
          </w:p>
        </w:tc>
        <w:tc>
          <w:tcPr>
            <w:tcW w:w="4417" w:type="dxa"/>
          </w:tcPr>
          <w:p w:rsidR="007F373F" w:rsidRDefault="00000000">
            <w:pPr>
              <w:spacing w:after="0"/>
              <w:jc w:val="left"/>
            </w:pPr>
            <w:r>
              <w:rPr>
                <w:sz w:val="19"/>
              </w:rPr>
              <w:t>Macro and industry numbers in Chapter 2</w:t>
            </w:r>
          </w:p>
        </w:tc>
        <w:tc>
          <w:tcPr>
            <w:tcW w:w="2968" w:type="dxa"/>
          </w:tcPr>
          <w:p w:rsidR="007F373F" w:rsidRDefault="00000000">
            <w:pPr>
              <w:spacing w:after="0"/>
              <w:jc w:val="left"/>
            </w:pPr>
            <w:r>
              <w:rPr>
                <w:sz w:val="19"/>
              </w:rPr>
              <w:t>Reproduced as quoted by the company with its citations; not independently re-sourced.</w:t>
            </w:r>
          </w:p>
        </w:tc>
      </w:tr>
      <w:tr w:rsidR="007F373F">
        <w:trPr>
          <w:jc w:val="center"/>
        </w:trPr>
        <w:tc>
          <w:tcPr>
            <w:tcW w:w="2346" w:type="dxa"/>
          </w:tcPr>
          <w:p w:rsidR="007F373F" w:rsidRDefault="00000000">
            <w:pPr>
              <w:spacing w:after="0"/>
              <w:jc w:val="left"/>
            </w:pPr>
            <w:r>
              <w:rPr>
                <w:sz w:val="19"/>
              </w:rPr>
              <w:t>Peer FY26 results (Muthoot Finance, Manappuram Finance) as reported in results coverage dated May 2026</w:t>
            </w:r>
          </w:p>
        </w:tc>
        <w:tc>
          <w:tcPr>
            <w:tcW w:w="4417" w:type="dxa"/>
          </w:tcPr>
          <w:p w:rsidR="007F373F" w:rsidRDefault="00000000">
            <w:pPr>
              <w:spacing w:after="0"/>
              <w:jc w:val="left"/>
            </w:pPr>
            <w:r>
              <w:rPr>
                <w:sz w:val="19"/>
              </w:rPr>
              <w:t>Peer snapshot, Chapter 2</w:t>
            </w:r>
          </w:p>
        </w:tc>
        <w:tc>
          <w:tcPr>
            <w:tcW w:w="2968" w:type="dxa"/>
          </w:tcPr>
          <w:p w:rsidR="007F373F" w:rsidRDefault="00000000">
            <w:pPr>
              <w:spacing w:after="0"/>
              <w:jc w:val="left"/>
            </w:pPr>
            <w:r>
              <w:rPr>
                <w:sz w:val="19"/>
              </w:rPr>
              <w:t>Secondary press/analyst coverage of exchange filings; used for order-of-magnitude comparison only.</w:t>
            </w:r>
          </w:p>
        </w:tc>
      </w:tr>
    </w:tbl>
    <w:p w:rsidR="007F373F" w:rsidRDefault="007F373F">
      <w:pPr>
        <w:spacing w:after="40"/>
      </w:pPr>
    </w:p>
    <w:p w:rsidR="007F373F" w:rsidRDefault="00000000">
      <w:pPr>
        <w:pStyle w:val="Heading2"/>
      </w:pPr>
      <w:r>
        <w:t>Reliability considerations</w:t>
      </w:r>
    </w:p>
    <w:p w:rsidR="007F373F" w:rsidRDefault="00000000">
      <w:r>
        <w:t>The annual reports are statutory documents approved by the Board and audited; the financial statements carry an unmodified audit opinion and the Directors’ Report confirms no qualifications by statutory or secretarial auditors for FY26. Corporate-overview sections are unaudited management presentations and occasionally round or re-base figures; where they differ from audited numbers, the audited number is preferred and the difference is noted. Sector data quoted in the MD&amp;A are the company’s selection of third-party statistics; they are used as context rather than as findings of this study.</w:t>
      </w:r>
    </w:p>
    <w:p w:rsidR="007F373F" w:rsidRDefault="00000000">
      <w:r>
        <w:t>A particular reliability issue was the five-year KPI charts in the FY26 report, whose values were reconciled year-by-year against the FY24 and FY25 reports and the Directors’ Report tables; the reconciled series is used throughout. Any item that could not be reconciled is reported as “not available” rather than estimated.</w:t>
      </w:r>
    </w:p>
    <w:p w:rsidR="007F373F" w:rsidRDefault="00000000">
      <w:pPr>
        <w:pStyle w:val="Heading1"/>
        <w:pageBreakBefore/>
      </w:pPr>
      <w:r>
        <w:lastRenderedPageBreak/>
        <w:t>Limitations of Methodology</w:t>
      </w:r>
    </w:p>
    <w:p w:rsidR="007F373F" w:rsidRDefault="00000000">
      <w:r>
        <w:t>Every research design has boundaries. The following limitations of method should be kept in mind when reading the findings; the limitations of the study as a whole are discussed separately in Chapter 8.</w:t>
      </w:r>
    </w:p>
    <w:p w:rsidR="007F373F" w:rsidRDefault="00000000">
      <w:pPr>
        <w:pStyle w:val="ListBullet"/>
      </w:pPr>
      <w:r>
        <w:rPr>
          <w:b/>
        </w:rPr>
        <w:t xml:space="preserve">Dependence on company presentation: </w:t>
      </w:r>
      <w:r>
        <w:t>The analysis relies on the definitions, classifications and rounding adopted by the company. For example, “AUM” includes co-lent and assigned portfolios (12.1% of AUM was off-book at 31 March 2026), while the balance-sheet “Loans” line shows only on-book assets; the two cannot be fully bridged from public data.</w:t>
      </w:r>
    </w:p>
    <w:p w:rsidR="007F373F" w:rsidRDefault="00000000">
      <w:pPr>
        <w:pStyle w:val="ListBullet"/>
      </w:pPr>
      <w:r>
        <w:rPr>
          <w:b/>
        </w:rPr>
        <w:t xml:space="preserve">Changing bases across reports: </w:t>
      </w:r>
      <w:r>
        <w:t>The FY26 report re-states yield, spread and cost of borrowings for earlier years on a basis different from the FY24 and FY25 reports (e.g., FY24 yield 16.7% in the FY26 report versus 16.2% in the FY24 report). This report uses the FY26 basis for five-year trends and discloses the earlier figures in Table T8 for transparency.</w:t>
      </w:r>
    </w:p>
    <w:p w:rsidR="007F373F" w:rsidRDefault="00000000">
      <w:pPr>
        <w:pStyle w:val="ListBullet"/>
      </w:pPr>
      <w:r>
        <w:rPr>
          <w:b/>
        </w:rPr>
        <w:t xml:space="preserve">Ratios not meaningful for a lender: </w:t>
      </w:r>
      <w:r>
        <w:t>Inventory turnover, debtors turnover, operating margin and interest coverage are marked “NA” by the company and are not computed here. Conversely, lender-specific ratios (NIM, credit cost, PCR) follow the company’s methodology, which may differ from peers.</w:t>
      </w:r>
    </w:p>
    <w:p w:rsidR="007F373F" w:rsidRDefault="00000000">
      <w:pPr>
        <w:pStyle w:val="ListBullet"/>
      </w:pPr>
      <w:r>
        <w:rPr>
          <w:b/>
        </w:rPr>
        <w:t xml:space="preserve">Average-balance effects: </w:t>
      </w:r>
      <w:r>
        <w:t>Reported RoA (2.44%) uses the company’s average-asset methodology; a simple average of opening and closing total assets gives a slightly lower figure (about 2.3%). Where this report derives a ratio, it uses opening/closing averages and says so.</w:t>
      </w:r>
    </w:p>
    <w:p w:rsidR="007F373F" w:rsidRDefault="00000000">
      <w:pPr>
        <w:pStyle w:val="ListBullet"/>
      </w:pPr>
      <w:r>
        <w:rPr>
          <w:b/>
        </w:rPr>
        <w:t xml:space="preserve">Single-company, secondary-data design: </w:t>
      </w:r>
      <w:r>
        <w:t>There are no interviews, site visits or borrower data. Judgements about execution quality (e.g., branch productivity ramp-up) rest on disclosed indicators such as gold AUM per branch rather than on primary observation.</w:t>
      </w:r>
    </w:p>
    <w:p w:rsidR="007F373F" w:rsidRDefault="00000000">
      <w:pPr>
        <w:pStyle w:val="ListBullet"/>
      </w:pPr>
      <w:r>
        <w:rPr>
          <w:b/>
        </w:rPr>
        <w:t xml:space="preserve">Peer comparison is a snapshot: </w:t>
      </w:r>
      <w:r>
        <w:t>Peer figures are drawn from results coverage for FY26 and differ in basis (standalone vs consolidated, gold-only vs diversified). They indicate relative scale, not relative quality.</w:t>
      </w:r>
    </w:p>
    <w:p w:rsidR="007F373F" w:rsidRDefault="00000000">
      <w:pPr>
        <w:pStyle w:val="ListBullet"/>
      </w:pPr>
      <w:r>
        <w:rPr>
          <w:b/>
        </w:rPr>
        <w:t xml:space="preserve">No market-price analysis: </w:t>
      </w:r>
      <w:r>
        <w:t>The report uses only the market capitalisation disclosed in the annual report (₹4,642 crore at 31 March 2026). Price multiples derived from it are illustrative and dated.</w:t>
      </w:r>
    </w:p>
    <w:p w:rsidR="007F373F" w:rsidRDefault="00000000">
      <w:pPr>
        <w:pStyle w:val="ListBullet"/>
      </w:pPr>
      <w:r>
        <w:rPr>
          <w:b/>
        </w:rPr>
        <w:t xml:space="preserve">Forward-looking statements: </w:t>
      </w:r>
      <w:r>
        <w:t>Management targets (e.g., 20–25% sustainable growth, sub-1% credit cost, gold tonnage CAGR of 10–12%) are reproduced as stated and are not independently assessed for achievability.</w:t>
      </w:r>
    </w:p>
    <w:p w:rsidR="007F373F" w:rsidRDefault="00000000">
      <w:pPr>
        <w:pStyle w:val="ListBullet"/>
      </w:pPr>
      <w:r>
        <w:rPr>
          <w:b/>
        </w:rPr>
        <w:t xml:space="preserve">Time boundary: </w:t>
      </w:r>
      <w:r>
        <w:t>The FY26 financial statements were approved on 28 April 2026 and the Directors’ Report is dated 25 August 2026 (AGM 29 September 2026). Regulatory, market or company developments after those dates are not reflected.</w:t>
      </w:r>
    </w:p>
    <w:p w:rsidR="007F373F" w:rsidRDefault="00000000">
      <w:r>
        <w:t>How the limitations were managed. Restated prior-year ratios are shown alongside the earlier-basis figures (Table T8) with the basis named in every source line; where a report contains two values for the same metric both are given with their location and the likely reason; missing data points are marked ‘n.a.’ rather than interpolated; every author-computed figure is labelled ‘derived’ with its formula in Appendix F; peer data are used for scale context only; and valuation multiples are presented as at 31 March 2026 only.</w:t>
      </w:r>
    </w:p>
    <w:p w:rsidR="007F373F" w:rsidRDefault="00000000">
      <w:r>
        <w:lastRenderedPageBreak/>
        <w:t>Despite these constraints, the methodology is adequate for the objectives: the questions concern multi-year trends, structural shifts in product mix and funding, and the consistency of management’s stated strategy with reported outcomes – all of which can be assessed rigorously from audited public disclosures.</w:t>
      </w:r>
    </w:p>
    <w:p w:rsidR="007F373F" w:rsidRDefault="00000000">
      <w:pPr>
        <w:pStyle w:val="Heading1"/>
        <w:pageBreakBefore/>
      </w:pPr>
      <w:r>
        <w:lastRenderedPageBreak/>
        <w:t>Chapter 2 — The Indian NBFC Sector: Structure and Role</w:t>
      </w:r>
    </w:p>
    <w:p w:rsidR="007F373F" w:rsidRDefault="00000000">
      <w:r>
        <w:t>Non-banking financial companies are companies registered under the Companies Act and regulated by the Reserve Bank of India that carry on the business of lending, investment, leasing or hire-purchase without holding a banking licence. Unlike banks they cannot offer demand deposits or participate in the payment system, and most – including Fedfina, which is registered as a non-deposit-taking NBFC (RBI Certificate of Registration N-16.00187, August 2010) – cannot accept public deposits at all. They fund themselves from bank loans, bonds, commercial paper, securitisation/direct assignment, external commercial borrowings and equity.</w:t>
      </w:r>
    </w:p>
    <w:p w:rsidR="007F373F" w:rsidRDefault="00000000">
      <w:r>
        <w:t>The sector complements banks in three ways. It reaches customer segments that are costly for banks to serve through branch networks in Tier 2–4 towns and doorstep models; it specialises in products requiring non-standard underwriting (cash-flow assessment of informal incomes, gold appraisal, used-vehicle valuation); and it provides last-mile distribution for banks through co-lending and portfolio assignment. The FY26 MD&amp;A notes that MSME and retail assets account for nearly 60–65% of NBFC loan books (ICRA).</w:t>
      </w:r>
    </w:p>
    <w:p w:rsidR="007F373F" w:rsidRDefault="00000000">
      <w:pPr>
        <w:pStyle w:val="Heading2"/>
      </w:pPr>
      <w:r>
        <w:t>Scale-based regulation</w:t>
      </w:r>
    </w:p>
    <w:p w:rsidR="007F373F" w:rsidRDefault="00000000">
      <w:r>
        <w:t>Since October 2022 the RBI has classified NBFCs into four layers – Base, Middle, Upper and Top – with progressively tighter capital, governance, liquidity and disclosure requirements. Fedfina is categorised in the Middle Layer under the Reserve Bank of India (NBFC – Registration, Exemptions and Framework for Scale Based Regulation) Directions, 2025 (Directors’ Report, FY26). Middle-layer NBFCs must maintain a minimum CRAR of 15%, follow Ind AS with RBI prudential floors on provisioning, maintain a liquidity coverage ratio, operate board-level risk, audit and IT strategy committees, and – from FY27 for NBFCs with assets above ₹15,000 crore – appoint joint statutory auditors (Fedfina has proposed V. Sankar Aiyar &amp; Co. as joint auditor from the 31st AGM).</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555"/>
        <w:gridCol w:w="2761"/>
        <w:gridCol w:w="2415"/>
      </w:tblGrid>
      <w:tr w:rsidR="007F373F">
        <w:trPr>
          <w:jc w:val="center"/>
        </w:trPr>
        <w:tc>
          <w:tcPr>
            <w:tcW w:w="4555" w:type="dxa"/>
          </w:tcPr>
          <w:p w:rsidR="007F373F" w:rsidRDefault="00000000">
            <w:pPr>
              <w:spacing w:after="0"/>
              <w:jc w:val="left"/>
            </w:pPr>
            <w:r>
              <w:rPr>
                <w:b/>
                <w:sz w:val="20"/>
              </w:rPr>
              <w:t>Sector datapoint (as cited in the FY26 MD&amp;A)</w:t>
            </w:r>
          </w:p>
        </w:tc>
        <w:tc>
          <w:tcPr>
            <w:tcW w:w="2761" w:type="dxa"/>
          </w:tcPr>
          <w:p w:rsidR="007F373F" w:rsidRDefault="00000000">
            <w:pPr>
              <w:spacing w:after="0"/>
              <w:jc w:val="left"/>
            </w:pPr>
            <w:r>
              <w:rPr>
                <w:b/>
                <w:sz w:val="20"/>
              </w:rPr>
              <w:t>Value</w:t>
            </w:r>
          </w:p>
        </w:tc>
        <w:tc>
          <w:tcPr>
            <w:tcW w:w="2415" w:type="dxa"/>
          </w:tcPr>
          <w:p w:rsidR="007F373F" w:rsidRDefault="00000000">
            <w:pPr>
              <w:spacing w:after="0"/>
              <w:jc w:val="left"/>
            </w:pPr>
            <w:r>
              <w:rPr>
                <w:b/>
                <w:sz w:val="20"/>
              </w:rPr>
              <w:t>Source quoted by the company</w:t>
            </w:r>
          </w:p>
        </w:tc>
      </w:tr>
      <w:tr w:rsidR="007F373F">
        <w:trPr>
          <w:jc w:val="center"/>
        </w:trPr>
        <w:tc>
          <w:tcPr>
            <w:tcW w:w="4555" w:type="dxa"/>
          </w:tcPr>
          <w:p w:rsidR="007F373F" w:rsidRDefault="00000000">
            <w:pPr>
              <w:spacing w:after="0"/>
              <w:jc w:val="left"/>
            </w:pPr>
            <w:r>
              <w:rPr>
                <w:sz w:val="20"/>
              </w:rPr>
              <w:t>Total NBFC sector assets, FY 2025–26</w:t>
            </w:r>
          </w:p>
        </w:tc>
        <w:tc>
          <w:tcPr>
            <w:tcW w:w="2761" w:type="dxa"/>
          </w:tcPr>
          <w:p w:rsidR="007F373F" w:rsidRDefault="00000000">
            <w:pPr>
              <w:spacing w:after="0"/>
              <w:jc w:val="left"/>
            </w:pPr>
            <w:r>
              <w:rPr>
                <w:sz w:val="20"/>
              </w:rPr>
              <w:t>≈ ₹45 trillion</w:t>
            </w:r>
          </w:p>
        </w:tc>
        <w:tc>
          <w:tcPr>
            <w:tcW w:w="2415" w:type="dxa"/>
          </w:tcPr>
          <w:p w:rsidR="007F373F" w:rsidRDefault="00000000">
            <w:pPr>
              <w:spacing w:after="0"/>
              <w:jc w:val="left"/>
            </w:pPr>
            <w:r>
              <w:rPr>
                <w:sz w:val="20"/>
              </w:rPr>
              <w:t>Industry rankings / press</w:t>
            </w:r>
          </w:p>
        </w:tc>
      </w:tr>
      <w:tr w:rsidR="007F373F">
        <w:trPr>
          <w:jc w:val="center"/>
        </w:trPr>
        <w:tc>
          <w:tcPr>
            <w:tcW w:w="4555" w:type="dxa"/>
          </w:tcPr>
          <w:p w:rsidR="007F373F" w:rsidRDefault="00000000">
            <w:pPr>
              <w:spacing w:after="0"/>
              <w:jc w:val="left"/>
            </w:pPr>
            <w:r>
              <w:rPr>
                <w:sz w:val="20"/>
              </w:rPr>
              <w:t>NBFC loan-book growth through FY 2025–26</w:t>
            </w:r>
          </w:p>
        </w:tc>
        <w:tc>
          <w:tcPr>
            <w:tcW w:w="2761" w:type="dxa"/>
          </w:tcPr>
          <w:p w:rsidR="007F373F" w:rsidRDefault="00000000">
            <w:pPr>
              <w:spacing w:after="0"/>
              <w:jc w:val="left"/>
            </w:pPr>
            <w:r>
              <w:rPr>
                <w:sz w:val="20"/>
              </w:rPr>
              <w:t>15-17%</w:t>
            </w:r>
          </w:p>
        </w:tc>
        <w:tc>
          <w:tcPr>
            <w:tcW w:w="2415" w:type="dxa"/>
          </w:tcPr>
          <w:p w:rsidR="007F373F" w:rsidRDefault="00000000">
            <w:pPr>
              <w:spacing w:after="0"/>
              <w:jc w:val="left"/>
            </w:pPr>
            <w:r>
              <w:rPr>
                <w:sz w:val="20"/>
              </w:rPr>
              <w:t>Press reports</w:t>
            </w:r>
          </w:p>
        </w:tc>
      </w:tr>
      <w:tr w:rsidR="007F373F">
        <w:trPr>
          <w:jc w:val="center"/>
        </w:trPr>
        <w:tc>
          <w:tcPr>
            <w:tcW w:w="4555" w:type="dxa"/>
          </w:tcPr>
          <w:p w:rsidR="007F373F" w:rsidRDefault="00000000">
            <w:pPr>
              <w:spacing w:after="0"/>
              <w:jc w:val="left"/>
            </w:pPr>
            <w:r>
              <w:rPr>
                <w:sz w:val="20"/>
              </w:rPr>
              <w:t>Projected NBFC AUM by FY 2026–27</w:t>
            </w:r>
          </w:p>
        </w:tc>
        <w:tc>
          <w:tcPr>
            <w:tcW w:w="2761" w:type="dxa"/>
          </w:tcPr>
          <w:p w:rsidR="007F373F" w:rsidRDefault="00000000">
            <w:pPr>
              <w:spacing w:after="0"/>
              <w:jc w:val="left"/>
            </w:pPr>
            <w:r>
              <w:rPr>
                <w:sz w:val="20"/>
              </w:rPr>
              <w:t>&gt; ₹50 trillion (mid-teens growth)</w:t>
            </w:r>
          </w:p>
        </w:tc>
        <w:tc>
          <w:tcPr>
            <w:tcW w:w="2415" w:type="dxa"/>
          </w:tcPr>
          <w:p w:rsidR="007F373F" w:rsidRDefault="00000000">
            <w:pPr>
              <w:spacing w:after="0"/>
              <w:jc w:val="left"/>
            </w:pPr>
            <w:r>
              <w:rPr>
                <w:sz w:val="20"/>
              </w:rPr>
              <w:t>CRISIL</w:t>
            </w:r>
          </w:p>
        </w:tc>
      </w:tr>
      <w:tr w:rsidR="007F373F">
        <w:trPr>
          <w:jc w:val="center"/>
        </w:trPr>
        <w:tc>
          <w:tcPr>
            <w:tcW w:w="4555" w:type="dxa"/>
          </w:tcPr>
          <w:p w:rsidR="007F373F" w:rsidRDefault="00000000">
            <w:pPr>
              <w:spacing w:after="0"/>
              <w:jc w:val="left"/>
            </w:pPr>
            <w:r>
              <w:rPr>
                <w:sz w:val="20"/>
              </w:rPr>
              <w:t>Share of MSME + retail in NBFC loan books</w:t>
            </w:r>
          </w:p>
        </w:tc>
        <w:tc>
          <w:tcPr>
            <w:tcW w:w="2761" w:type="dxa"/>
          </w:tcPr>
          <w:p w:rsidR="007F373F" w:rsidRDefault="00000000">
            <w:pPr>
              <w:spacing w:after="0"/>
              <w:jc w:val="left"/>
            </w:pPr>
            <w:r>
              <w:rPr>
                <w:sz w:val="20"/>
              </w:rPr>
              <w:t>≈ 60–65%</w:t>
            </w:r>
          </w:p>
        </w:tc>
        <w:tc>
          <w:tcPr>
            <w:tcW w:w="2415" w:type="dxa"/>
          </w:tcPr>
          <w:p w:rsidR="007F373F" w:rsidRDefault="00000000">
            <w:pPr>
              <w:spacing w:after="0"/>
              <w:jc w:val="left"/>
            </w:pPr>
            <w:r>
              <w:rPr>
                <w:sz w:val="20"/>
              </w:rPr>
              <w:t>ICRA</w:t>
            </w:r>
          </w:p>
        </w:tc>
      </w:tr>
      <w:tr w:rsidR="007F373F">
        <w:trPr>
          <w:jc w:val="center"/>
        </w:trPr>
        <w:tc>
          <w:tcPr>
            <w:tcW w:w="4555" w:type="dxa"/>
          </w:tcPr>
          <w:p w:rsidR="007F373F" w:rsidRDefault="00000000">
            <w:pPr>
              <w:spacing w:after="0"/>
              <w:jc w:val="left"/>
            </w:pPr>
            <w:r>
              <w:rPr>
                <w:sz w:val="20"/>
              </w:rPr>
              <w:t>Retail credit growth, FY 2025–26</w:t>
            </w:r>
          </w:p>
        </w:tc>
        <w:tc>
          <w:tcPr>
            <w:tcW w:w="2761" w:type="dxa"/>
          </w:tcPr>
          <w:p w:rsidR="007F373F" w:rsidRDefault="00000000">
            <w:pPr>
              <w:spacing w:after="0"/>
              <w:jc w:val="right"/>
            </w:pPr>
            <w:r>
              <w:rPr>
                <w:sz w:val="20"/>
              </w:rPr>
              <w:t>19.8%</w:t>
            </w:r>
          </w:p>
        </w:tc>
        <w:tc>
          <w:tcPr>
            <w:tcW w:w="2415" w:type="dxa"/>
          </w:tcPr>
          <w:p w:rsidR="007F373F" w:rsidRDefault="00000000">
            <w:pPr>
              <w:spacing w:after="0"/>
              <w:jc w:val="left"/>
            </w:pPr>
            <w:r>
              <w:rPr>
                <w:sz w:val="20"/>
              </w:rPr>
              <w:t>RBI / PIB</w:t>
            </w:r>
          </w:p>
        </w:tc>
      </w:tr>
      <w:tr w:rsidR="007F373F">
        <w:trPr>
          <w:jc w:val="center"/>
        </w:trPr>
        <w:tc>
          <w:tcPr>
            <w:tcW w:w="4555" w:type="dxa"/>
          </w:tcPr>
          <w:p w:rsidR="007F373F" w:rsidRDefault="00000000">
            <w:pPr>
              <w:spacing w:after="0"/>
              <w:jc w:val="left"/>
            </w:pPr>
            <w:r>
              <w:rPr>
                <w:sz w:val="20"/>
              </w:rPr>
              <w:t>India retail credit market size</w:t>
            </w:r>
          </w:p>
        </w:tc>
        <w:tc>
          <w:tcPr>
            <w:tcW w:w="2761" w:type="dxa"/>
          </w:tcPr>
          <w:p w:rsidR="007F373F" w:rsidRDefault="00000000">
            <w:pPr>
              <w:spacing w:after="0"/>
              <w:jc w:val="left"/>
            </w:pPr>
            <w:r>
              <w:rPr>
                <w:sz w:val="20"/>
              </w:rPr>
              <w:t>≈ ₹82 trillion, ~15% CAGR</w:t>
            </w:r>
          </w:p>
        </w:tc>
        <w:tc>
          <w:tcPr>
            <w:tcW w:w="2415" w:type="dxa"/>
          </w:tcPr>
          <w:p w:rsidR="007F373F" w:rsidRDefault="00000000">
            <w:pPr>
              <w:spacing w:after="0"/>
              <w:jc w:val="left"/>
            </w:pPr>
            <w:r>
              <w:rPr>
                <w:sz w:val="20"/>
              </w:rPr>
              <w:t>MD&amp;CEO statement</w:t>
            </w:r>
          </w:p>
        </w:tc>
      </w:tr>
      <w:tr w:rsidR="007F373F">
        <w:trPr>
          <w:jc w:val="center"/>
        </w:trPr>
        <w:tc>
          <w:tcPr>
            <w:tcW w:w="4555" w:type="dxa"/>
          </w:tcPr>
          <w:p w:rsidR="007F373F" w:rsidRDefault="00000000">
            <w:pPr>
              <w:spacing w:after="0"/>
              <w:jc w:val="left"/>
            </w:pPr>
            <w:r>
              <w:rPr>
                <w:sz w:val="20"/>
              </w:rPr>
              <w:t>Household credit to GDP: India vs China / US / UK</w:t>
            </w:r>
          </w:p>
        </w:tc>
        <w:tc>
          <w:tcPr>
            <w:tcW w:w="2761" w:type="dxa"/>
          </w:tcPr>
          <w:p w:rsidR="007F373F" w:rsidRDefault="00000000">
            <w:pPr>
              <w:spacing w:after="0"/>
              <w:jc w:val="left"/>
            </w:pPr>
            <w:r>
              <w:rPr>
                <w:sz w:val="20"/>
              </w:rPr>
              <w:t>42% vs 60% / 69% / 76%</w:t>
            </w:r>
          </w:p>
        </w:tc>
        <w:tc>
          <w:tcPr>
            <w:tcW w:w="2415" w:type="dxa"/>
          </w:tcPr>
          <w:p w:rsidR="007F373F" w:rsidRDefault="00000000">
            <w:pPr>
              <w:spacing w:after="0"/>
              <w:jc w:val="left"/>
            </w:pPr>
            <w:r>
              <w:rPr>
                <w:sz w:val="20"/>
              </w:rPr>
              <w:t>Chairman’s message</w:t>
            </w:r>
          </w:p>
        </w:tc>
      </w:tr>
      <w:tr w:rsidR="007F373F">
        <w:trPr>
          <w:jc w:val="center"/>
        </w:trPr>
        <w:tc>
          <w:tcPr>
            <w:tcW w:w="4555" w:type="dxa"/>
          </w:tcPr>
          <w:p w:rsidR="007F373F" w:rsidRDefault="00000000">
            <w:pPr>
              <w:spacing w:after="0"/>
              <w:jc w:val="left"/>
            </w:pPr>
            <w:r>
              <w:rPr>
                <w:sz w:val="20"/>
              </w:rPr>
              <w:t>Bank credit to GDP, India</w:t>
            </w:r>
          </w:p>
        </w:tc>
        <w:tc>
          <w:tcPr>
            <w:tcW w:w="2761" w:type="dxa"/>
          </w:tcPr>
          <w:p w:rsidR="007F373F" w:rsidRDefault="00000000">
            <w:pPr>
              <w:spacing w:after="0"/>
              <w:jc w:val="left"/>
            </w:pPr>
            <w:r>
              <w:rPr>
                <w:sz w:val="20"/>
              </w:rPr>
              <w:t>≈ 56%</w:t>
            </w:r>
          </w:p>
        </w:tc>
        <w:tc>
          <w:tcPr>
            <w:tcW w:w="2415" w:type="dxa"/>
          </w:tcPr>
          <w:p w:rsidR="007F373F" w:rsidRDefault="00000000">
            <w:pPr>
              <w:spacing w:after="0"/>
              <w:jc w:val="left"/>
            </w:pPr>
            <w:r>
              <w:rPr>
                <w:sz w:val="20"/>
              </w:rPr>
              <w:t>MD&amp;CEO statement</w:t>
            </w:r>
          </w:p>
        </w:tc>
      </w:tr>
    </w:tbl>
    <w:p w:rsidR="007F373F" w:rsidRDefault="00000000">
      <w:pPr>
        <w:spacing w:before="40" w:after="80"/>
      </w:pPr>
      <w:r>
        <w:rPr>
          <w:i/>
          <w:sz w:val="18"/>
        </w:rPr>
        <w:t>Source: Fedfina Annual Report 2025-26, MD&amp;A p.58–59, Chairman’s message p.16, MD&amp;CEO statement p.18.</w:t>
      </w:r>
    </w:p>
    <w:p w:rsidR="007F373F" w:rsidRDefault="00000000">
      <w:r>
        <w:t xml:space="preserve">Two features of the recent cycle are important for this study. First, asset-quality stress emerged in FY25 in unsecured small-ticket personal loans, fintech-sourced credit and microfinance, pushing lenders towards secured products – precisely Fedfina’s positioning. Second, the November 2023 increase in risk weights on bank lending to NBFCs raised the sector’s funding cost (Fedfina’s own cost of borrowings rose about 40 bps in FY25 for this reason, per the FY25 MD&amp;CEO letter) and </w:t>
      </w:r>
      <w:r>
        <w:lastRenderedPageBreak/>
        <w:t>encouraged diversification into bonds, CP and ECBs – a shift visible in Fedfina’s FY26 borrowing mix.</w:t>
      </w:r>
    </w:p>
    <w:p w:rsidR="007F373F" w:rsidRDefault="00000000">
      <w:pPr>
        <w:pStyle w:val="Heading1"/>
        <w:pageBreakBefore/>
      </w:pPr>
      <w:r>
        <w:lastRenderedPageBreak/>
        <w:t>Macro-Economic Environment FY2025-26</w:t>
      </w:r>
    </w:p>
    <w:p w:rsidR="007F373F" w:rsidRDefault="00000000">
      <w:r>
        <w:t>The macro backdrop in the reference year was unusually favourable for retail and MSME lenders. The FY26 MD&amp;A, citing MoSPI’s first advance estimates, records real GDP growth of 7.7% in FY 2025–26 (FY25: 7.1%; FY24: 7.2%), with gross fixed capital formation up 7.8% on public infrastructure spending and a gradual revival in private capex. Household consumption held up on easing inflation, improving income visibility and stable employment. The outlook for FY 2026–27 is 6.6%–7.2%, consistent with India’s potential growth rate.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346"/>
        <w:gridCol w:w="1380"/>
        <w:gridCol w:w="1794"/>
        <w:gridCol w:w="2415"/>
        <w:gridCol w:w="1794"/>
      </w:tblGrid>
      <w:tr w:rsidR="007F373F">
        <w:trPr>
          <w:jc w:val="center"/>
        </w:trPr>
        <w:tc>
          <w:tcPr>
            <w:tcW w:w="2346" w:type="dxa"/>
          </w:tcPr>
          <w:p w:rsidR="007F373F" w:rsidRDefault="00000000">
            <w:pPr>
              <w:spacing w:after="0"/>
              <w:jc w:val="left"/>
            </w:pPr>
            <w:r>
              <w:rPr>
                <w:b/>
                <w:sz w:val="19"/>
              </w:rPr>
              <w:t>Indicator</w:t>
            </w:r>
          </w:p>
        </w:tc>
        <w:tc>
          <w:tcPr>
            <w:tcW w:w="1380" w:type="dxa"/>
          </w:tcPr>
          <w:p w:rsidR="007F373F" w:rsidRDefault="00000000">
            <w:pPr>
              <w:spacing w:after="0"/>
              <w:jc w:val="left"/>
            </w:pPr>
            <w:r>
              <w:rPr>
                <w:b/>
                <w:sz w:val="19"/>
              </w:rPr>
              <w:t>FY 2023–24</w:t>
            </w:r>
          </w:p>
        </w:tc>
        <w:tc>
          <w:tcPr>
            <w:tcW w:w="1794" w:type="dxa"/>
          </w:tcPr>
          <w:p w:rsidR="007F373F" w:rsidRDefault="00000000">
            <w:pPr>
              <w:spacing w:after="0"/>
              <w:jc w:val="left"/>
            </w:pPr>
            <w:r>
              <w:rPr>
                <w:b/>
                <w:sz w:val="19"/>
              </w:rPr>
              <w:t>FY 2024–25</w:t>
            </w:r>
          </w:p>
        </w:tc>
        <w:tc>
          <w:tcPr>
            <w:tcW w:w="2415" w:type="dxa"/>
          </w:tcPr>
          <w:p w:rsidR="007F373F" w:rsidRDefault="00000000">
            <w:pPr>
              <w:spacing w:after="0"/>
              <w:jc w:val="left"/>
            </w:pPr>
            <w:r>
              <w:rPr>
                <w:b/>
                <w:sz w:val="19"/>
              </w:rPr>
              <w:t>FY 2025–26</w:t>
            </w:r>
          </w:p>
        </w:tc>
        <w:tc>
          <w:tcPr>
            <w:tcW w:w="1794" w:type="dxa"/>
          </w:tcPr>
          <w:p w:rsidR="007F373F" w:rsidRDefault="00000000">
            <w:pPr>
              <w:spacing w:after="0"/>
              <w:jc w:val="left"/>
            </w:pPr>
            <w:r>
              <w:rPr>
                <w:b/>
                <w:sz w:val="19"/>
              </w:rPr>
              <w:t>Comment</w:t>
            </w:r>
          </w:p>
        </w:tc>
      </w:tr>
      <w:tr w:rsidR="007F373F">
        <w:trPr>
          <w:jc w:val="center"/>
        </w:trPr>
        <w:tc>
          <w:tcPr>
            <w:tcW w:w="2346" w:type="dxa"/>
          </w:tcPr>
          <w:p w:rsidR="007F373F" w:rsidRDefault="00000000">
            <w:pPr>
              <w:spacing w:after="0"/>
              <w:jc w:val="left"/>
            </w:pPr>
            <w:r>
              <w:rPr>
                <w:sz w:val="19"/>
              </w:rPr>
              <w:t>Real GDP growth (%)</w:t>
            </w:r>
          </w:p>
        </w:tc>
        <w:tc>
          <w:tcPr>
            <w:tcW w:w="1380" w:type="dxa"/>
          </w:tcPr>
          <w:p w:rsidR="007F373F" w:rsidRDefault="00000000">
            <w:pPr>
              <w:spacing w:after="0"/>
              <w:jc w:val="right"/>
            </w:pPr>
            <w:r>
              <w:rPr>
                <w:sz w:val="19"/>
              </w:rPr>
              <w:t>7.2</w:t>
            </w:r>
          </w:p>
        </w:tc>
        <w:tc>
          <w:tcPr>
            <w:tcW w:w="1794" w:type="dxa"/>
          </w:tcPr>
          <w:p w:rsidR="007F373F" w:rsidRDefault="00000000">
            <w:pPr>
              <w:spacing w:after="0"/>
              <w:jc w:val="right"/>
            </w:pPr>
            <w:r>
              <w:rPr>
                <w:sz w:val="19"/>
              </w:rPr>
              <w:t>7.1</w:t>
            </w:r>
          </w:p>
        </w:tc>
        <w:tc>
          <w:tcPr>
            <w:tcW w:w="2415" w:type="dxa"/>
          </w:tcPr>
          <w:p w:rsidR="007F373F" w:rsidRDefault="00000000">
            <w:pPr>
              <w:spacing w:after="0"/>
              <w:jc w:val="left"/>
            </w:pPr>
            <w:r>
              <w:rPr>
                <w:sz w:val="19"/>
              </w:rPr>
              <w:t>7.7 (E)</w:t>
            </w:r>
          </w:p>
        </w:tc>
        <w:tc>
          <w:tcPr>
            <w:tcW w:w="1794" w:type="dxa"/>
          </w:tcPr>
          <w:p w:rsidR="007F373F" w:rsidRDefault="00000000">
            <w:pPr>
              <w:spacing w:after="0"/>
              <w:jc w:val="left"/>
            </w:pPr>
            <w:r>
              <w:rPr>
                <w:sz w:val="19"/>
              </w:rPr>
              <w:t>MoSPI provisional/advance estimates</w:t>
            </w:r>
          </w:p>
        </w:tc>
      </w:tr>
      <w:tr w:rsidR="007F373F">
        <w:trPr>
          <w:jc w:val="center"/>
        </w:trPr>
        <w:tc>
          <w:tcPr>
            <w:tcW w:w="2346" w:type="dxa"/>
          </w:tcPr>
          <w:p w:rsidR="007F373F" w:rsidRDefault="00000000">
            <w:pPr>
              <w:spacing w:after="0"/>
              <w:jc w:val="left"/>
            </w:pPr>
            <w:r>
              <w:rPr>
                <w:sz w:val="19"/>
              </w:rPr>
              <w:t>Headline CPI inflation</w:t>
            </w:r>
          </w:p>
        </w:tc>
        <w:tc>
          <w:tcPr>
            <w:tcW w:w="1380" w:type="dxa"/>
          </w:tcPr>
          <w:p w:rsidR="007F373F" w:rsidRDefault="00000000">
            <w:pPr>
              <w:spacing w:after="0"/>
              <w:jc w:val="left"/>
            </w:pPr>
            <w:r>
              <w:rPr>
                <w:sz w:val="19"/>
              </w:rPr>
              <w:t>5.4% (avg)</w:t>
            </w:r>
          </w:p>
        </w:tc>
        <w:tc>
          <w:tcPr>
            <w:tcW w:w="1794" w:type="dxa"/>
          </w:tcPr>
          <w:p w:rsidR="007F373F" w:rsidRDefault="00000000">
            <w:pPr>
              <w:spacing w:after="0"/>
              <w:jc w:val="right"/>
            </w:pPr>
            <w:r>
              <w:rPr>
                <w:sz w:val="19"/>
              </w:rPr>
              <w:t>–</w:t>
            </w:r>
          </w:p>
        </w:tc>
        <w:tc>
          <w:tcPr>
            <w:tcW w:w="2415" w:type="dxa"/>
          </w:tcPr>
          <w:p w:rsidR="007F373F" w:rsidRDefault="00000000">
            <w:pPr>
              <w:spacing w:after="0"/>
              <w:jc w:val="left"/>
            </w:pPr>
            <w:r>
              <w:rPr>
                <w:sz w:val="19"/>
              </w:rPr>
              <w:t>≈1.7% Apr–Dec 2025; ≈2.1% FY avg</w:t>
            </w:r>
          </w:p>
        </w:tc>
        <w:tc>
          <w:tcPr>
            <w:tcW w:w="1794" w:type="dxa"/>
          </w:tcPr>
          <w:p w:rsidR="007F373F" w:rsidRDefault="00000000">
            <w:pPr>
              <w:spacing w:after="0"/>
              <w:jc w:val="left"/>
            </w:pPr>
            <w:r>
              <w:rPr>
                <w:sz w:val="19"/>
              </w:rPr>
              <w:t>Multi-year low, below RBI 4% target</w:t>
            </w:r>
          </w:p>
        </w:tc>
      </w:tr>
      <w:tr w:rsidR="007F373F">
        <w:trPr>
          <w:jc w:val="center"/>
        </w:trPr>
        <w:tc>
          <w:tcPr>
            <w:tcW w:w="2346" w:type="dxa"/>
          </w:tcPr>
          <w:p w:rsidR="007F373F" w:rsidRDefault="00000000">
            <w:pPr>
              <w:spacing w:after="0"/>
              <w:jc w:val="left"/>
            </w:pPr>
            <w:r>
              <w:rPr>
                <w:sz w:val="19"/>
              </w:rPr>
              <w:t>Repo rate</w:t>
            </w:r>
          </w:p>
        </w:tc>
        <w:tc>
          <w:tcPr>
            <w:tcW w:w="1380" w:type="dxa"/>
          </w:tcPr>
          <w:p w:rsidR="007F373F" w:rsidRDefault="00000000">
            <w:pPr>
              <w:spacing w:after="0"/>
              <w:jc w:val="right"/>
            </w:pPr>
            <w:r>
              <w:rPr>
                <w:sz w:val="19"/>
              </w:rPr>
              <w:t>6.50%</w:t>
            </w:r>
          </w:p>
        </w:tc>
        <w:tc>
          <w:tcPr>
            <w:tcW w:w="1794" w:type="dxa"/>
          </w:tcPr>
          <w:p w:rsidR="007F373F" w:rsidRDefault="00000000">
            <w:pPr>
              <w:spacing w:after="0"/>
              <w:jc w:val="left"/>
            </w:pPr>
            <w:r>
              <w:rPr>
                <w:sz w:val="19"/>
              </w:rPr>
              <w:t>6.25% (Feb-25 cut)</w:t>
            </w:r>
          </w:p>
        </w:tc>
        <w:tc>
          <w:tcPr>
            <w:tcW w:w="2415" w:type="dxa"/>
          </w:tcPr>
          <w:p w:rsidR="007F373F" w:rsidRDefault="00000000">
            <w:pPr>
              <w:spacing w:after="0"/>
              <w:jc w:val="left"/>
            </w:pPr>
            <w:r>
              <w:rPr>
                <w:sz w:val="19"/>
              </w:rPr>
              <w:t>5.25% after cumulative 125 bps cuts</w:t>
            </w:r>
          </w:p>
        </w:tc>
        <w:tc>
          <w:tcPr>
            <w:tcW w:w="1794" w:type="dxa"/>
          </w:tcPr>
          <w:p w:rsidR="007F373F" w:rsidRDefault="00000000">
            <w:pPr>
              <w:spacing w:after="0"/>
              <w:jc w:val="left"/>
            </w:pPr>
            <w:r>
              <w:rPr>
                <w:sz w:val="19"/>
              </w:rPr>
              <w:t>RBI neutral stance in April 2026</w:t>
            </w:r>
          </w:p>
        </w:tc>
      </w:tr>
      <w:tr w:rsidR="007F373F">
        <w:trPr>
          <w:jc w:val="center"/>
        </w:trPr>
        <w:tc>
          <w:tcPr>
            <w:tcW w:w="2346" w:type="dxa"/>
          </w:tcPr>
          <w:p w:rsidR="007F373F" w:rsidRDefault="00000000">
            <w:pPr>
              <w:spacing w:after="0"/>
              <w:jc w:val="left"/>
            </w:pPr>
            <w:r>
              <w:rPr>
                <w:sz w:val="19"/>
              </w:rPr>
              <w:t>Gold price (USD/oz, calendar year)</w:t>
            </w:r>
          </w:p>
        </w:tc>
        <w:tc>
          <w:tcPr>
            <w:tcW w:w="1380" w:type="dxa"/>
          </w:tcPr>
          <w:p w:rsidR="007F373F" w:rsidRDefault="00000000">
            <w:pPr>
              <w:spacing w:after="0"/>
              <w:jc w:val="right"/>
            </w:pPr>
            <w:r>
              <w:rPr>
                <w:sz w:val="19"/>
              </w:rPr>
              <w:t>–</w:t>
            </w:r>
          </w:p>
        </w:tc>
        <w:tc>
          <w:tcPr>
            <w:tcW w:w="1794" w:type="dxa"/>
          </w:tcPr>
          <w:p w:rsidR="007F373F" w:rsidRDefault="00000000">
            <w:pPr>
              <w:spacing w:after="0"/>
              <w:jc w:val="left"/>
            </w:pPr>
            <w:r>
              <w:rPr>
                <w:sz w:val="19"/>
              </w:rPr>
              <w:t>2,607 (end-2024)</w:t>
            </w:r>
          </w:p>
        </w:tc>
        <w:tc>
          <w:tcPr>
            <w:tcW w:w="2415" w:type="dxa"/>
          </w:tcPr>
          <w:p w:rsidR="007F373F" w:rsidRDefault="00000000">
            <w:pPr>
              <w:spacing w:after="0"/>
              <w:jc w:val="left"/>
            </w:pPr>
            <w:r>
              <w:rPr>
                <w:sz w:val="19"/>
              </w:rPr>
              <w:t>4,315 (end-2025), +65%</w:t>
            </w:r>
          </w:p>
        </w:tc>
        <w:tc>
          <w:tcPr>
            <w:tcW w:w="1794" w:type="dxa"/>
          </w:tcPr>
          <w:p w:rsidR="007F373F" w:rsidRDefault="00000000">
            <w:pPr>
              <w:spacing w:after="0"/>
              <w:jc w:val="left"/>
            </w:pPr>
            <w:r>
              <w:rPr>
                <w:sz w:val="19"/>
              </w:rPr>
              <w:t>Economic Survey 2025–26</w:t>
            </w:r>
          </w:p>
        </w:tc>
      </w:tr>
      <w:tr w:rsidR="007F373F">
        <w:trPr>
          <w:jc w:val="center"/>
        </w:trPr>
        <w:tc>
          <w:tcPr>
            <w:tcW w:w="2346" w:type="dxa"/>
          </w:tcPr>
          <w:p w:rsidR="007F373F" w:rsidRDefault="00000000">
            <w:pPr>
              <w:spacing w:after="0"/>
              <w:jc w:val="left"/>
            </w:pPr>
            <w:r>
              <w:rPr>
                <w:sz w:val="19"/>
              </w:rPr>
              <w:t>Global GDP growth (CY)</w:t>
            </w:r>
          </w:p>
        </w:tc>
        <w:tc>
          <w:tcPr>
            <w:tcW w:w="1380" w:type="dxa"/>
          </w:tcPr>
          <w:p w:rsidR="007F373F" w:rsidRDefault="00000000">
            <w:pPr>
              <w:spacing w:after="0"/>
              <w:jc w:val="right"/>
            </w:pPr>
            <w:r>
              <w:rPr>
                <w:sz w:val="19"/>
              </w:rPr>
              <w:t>–</w:t>
            </w:r>
          </w:p>
        </w:tc>
        <w:tc>
          <w:tcPr>
            <w:tcW w:w="1794" w:type="dxa"/>
          </w:tcPr>
          <w:p w:rsidR="007F373F" w:rsidRDefault="00000000">
            <w:pPr>
              <w:spacing w:after="0"/>
              <w:jc w:val="left"/>
            </w:pPr>
            <w:r>
              <w:rPr>
                <w:sz w:val="19"/>
              </w:rPr>
              <w:t>3.4 (CY25)</w:t>
            </w:r>
          </w:p>
        </w:tc>
        <w:tc>
          <w:tcPr>
            <w:tcW w:w="2415" w:type="dxa"/>
          </w:tcPr>
          <w:p w:rsidR="007F373F" w:rsidRDefault="00000000">
            <w:pPr>
              <w:spacing w:after="0"/>
              <w:jc w:val="left"/>
            </w:pPr>
            <w:r>
              <w:rPr>
                <w:sz w:val="19"/>
              </w:rPr>
              <w:t>3.1 (CY26 proj.)</w:t>
            </w:r>
          </w:p>
        </w:tc>
        <w:tc>
          <w:tcPr>
            <w:tcW w:w="1794" w:type="dxa"/>
          </w:tcPr>
          <w:p w:rsidR="007F373F" w:rsidRDefault="00000000">
            <w:pPr>
              <w:spacing w:after="0"/>
              <w:jc w:val="left"/>
            </w:pPr>
            <w:r>
              <w:rPr>
                <w:sz w:val="19"/>
              </w:rPr>
              <w:t>IMF WEO April 2026</w:t>
            </w:r>
          </w:p>
        </w:tc>
      </w:tr>
      <w:tr w:rsidR="007F373F">
        <w:trPr>
          <w:jc w:val="center"/>
        </w:trPr>
        <w:tc>
          <w:tcPr>
            <w:tcW w:w="2346" w:type="dxa"/>
          </w:tcPr>
          <w:p w:rsidR="007F373F" w:rsidRDefault="00000000">
            <w:pPr>
              <w:spacing w:after="0"/>
              <w:jc w:val="left"/>
            </w:pPr>
            <w:r>
              <w:rPr>
                <w:sz w:val="19"/>
              </w:rPr>
              <w:t>India gold imports (USD bn)</w:t>
            </w:r>
          </w:p>
        </w:tc>
        <w:tc>
          <w:tcPr>
            <w:tcW w:w="1380" w:type="dxa"/>
          </w:tcPr>
          <w:p w:rsidR="007F373F" w:rsidRDefault="00000000">
            <w:pPr>
              <w:spacing w:after="0"/>
              <w:jc w:val="right"/>
            </w:pPr>
            <w:r>
              <w:rPr>
                <w:sz w:val="19"/>
              </w:rPr>
              <w:t>–</w:t>
            </w:r>
          </w:p>
        </w:tc>
        <w:tc>
          <w:tcPr>
            <w:tcW w:w="1794" w:type="dxa"/>
          </w:tcPr>
          <w:p w:rsidR="007F373F" w:rsidRDefault="00000000">
            <w:pPr>
              <w:spacing w:after="0"/>
              <w:jc w:val="right"/>
            </w:pPr>
            <w:r>
              <w:rPr>
                <w:sz w:val="19"/>
              </w:rPr>
              <w:t>57.9</w:t>
            </w:r>
          </w:p>
        </w:tc>
        <w:tc>
          <w:tcPr>
            <w:tcW w:w="2415" w:type="dxa"/>
          </w:tcPr>
          <w:p w:rsidR="007F373F" w:rsidRDefault="00000000">
            <w:pPr>
              <w:spacing w:after="0"/>
              <w:jc w:val="left"/>
            </w:pPr>
            <w:r>
              <w:rPr>
                <w:sz w:val="19"/>
              </w:rPr>
              <w:t>72.4 (+24%)</w:t>
            </w:r>
          </w:p>
        </w:tc>
        <w:tc>
          <w:tcPr>
            <w:tcW w:w="1794" w:type="dxa"/>
          </w:tcPr>
          <w:p w:rsidR="007F373F" w:rsidRDefault="00000000">
            <w:pPr>
              <w:spacing w:after="0"/>
              <w:jc w:val="left"/>
            </w:pPr>
            <w:r>
              <w:rPr>
                <w:sz w:val="19"/>
              </w:rPr>
              <w:t>Ministry of Commerce / DGCI&amp;S</w:t>
            </w:r>
          </w:p>
        </w:tc>
      </w:tr>
    </w:tbl>
    <w:p w:rsidR="007F373F" w:rsidRDefault="00000000">
      <w:pPr>
        <w:spacing w:before="40" w:after="80"/>
      </w:pPr>
      <w:r>
        <w:rPr>
          <w:i/>
          <w:sz w:val="18"/>
        </w:rPr>
        <w:t>Source: Fedfina Annual Report 2025-26, MD&amp;A p.54–57; Fedfina Annual Report 2023-24 Chairman’s message (FY24 GDP and CPI).</w:t>
      </w:r>
    </w:p>
    <w:p w:rsidR="007F373F" w:rsidRDefault="00000000">
      <w:pPr>
        <w:pStyle w:val="Heading2"/>
      </w:pPr>
      <w:r>
        <w:t>Interest rates and liquidity</w:t>
      </w:r>
    </w:p>
    <w:p w:rsidR="007F373F" w:rsidRDefault="00000000">
      <w:r>
        <w:t>The RBI cut the repo rate by a cumulative 125 basis points over roughly 14 months to 5.25% and injected durable liquidity, before pausing with a neutral “wait and watch” stance in April 2026 amid geopolitical risk and volatile crude prices. For an NBFC with 60% floating-rate borrowings, falling policy rates reduce the cost of funds with a lag; Fedfina’s daily-average cost of borrowing fell from 8.72% in Q4 FY25 to 7.83% in Q4 FY26. At the same time, lower rates improve borrower affordability and eligibility for mortgage products. The company responded by raising the fixed-rate share of borrowings from about 10% to 40% as a hedge against a future reversal.</w:t>
      </w:r>
    </w:p>
    <w:p w:rsidR="007F373F" w:rsidRDefault="00000000">
      <w:pPr>
        <w:pStyle w:val="Heading2"/>
      </w:pPr>
      <w:r>
        <w:t>Rural and semi-urban demand</w:t>
      </w:r>
    </w:p>
    <w:p w:rsidR="007F373F" w:rsidRDefault="00000000">
      <w:r>
        <w:t>A stable monsoon, improved agricultural activity and sustained infrastructure spending strengthened rural and semi-urban incomes, lifting demand for formal credit among first-time borrowers, self-employed individuals and small businesses in underserved geographies. This is the customer base of both gold loans (household liquidity) and small-ticket LAP (working capital), and it is where Fedfina added most of its 148 new branches.</w:t>
      </w:r>
    </w:p>
    <w:p w:rsidR="007F373F" w:rsidRDefault="00000000">
      <w:pPr>
        <w:pStyle w:val="Heading2"/>
      </w:pPr>
      <w:r>
        <w:t>Gold prices and the collateral effect</w:t>
      </w:r>
    </w:p>
    <w:p w:rsidR="007F373F" w:rsidRDefault="00000000">
      <w:r>
        <w:t xml:space="preserve">Gold prices rose approximately 65% during calendar 2025 (USD 2,607 to USD 4,315 per ounce) on a weaker dollar, expectations of negative real rates and geopolitical hedging; investment demand </w:t>
      </w:r>
      <w:r>
        <w:lastRenderedPageBreak/>
        <w:t>exceeded 40% of Indian gold consumption even as jewellery volumes fell 11% to about 711 tonnes (World Gold Council). Higher prices raise the loan amount available against the same jewellery and reduce LTV on existing loans, improving collateral cover – but they also increase the sensitivity of the book to a price correction. Chapter 6 analyses this risk; Chapter 4 separates tonnage from price in Fedfina’s gold-loan growth.</w:t>
      </w:r>
    </w:p>
    <w:p w:rsidR="007F373F" w:rsidRDefault="00000000">
      <w:pPr>
        <w:pStyle w:val="Heading1"/>
        <w:pageBreakBefore/>
      </w:pPr>
      <w:r>
        <w:lastRenderedPageBreak/>
        <w:t>NBFC Sector Size, Growth and Asset-Quality Trends</w:t>
      </w:r>
    </w:p>
    <w:p w:rsidR="007F373F" w:rsidRDefault="00000000">
      <w:r>
        <w:t>The NBFC sector has roughly doubled in size over the last five years. The FY24 MD&amp;A (citing KPMG) projected NBFC credit AUM to grow 12–14% a year to reach ₹42 trillion by FY 2024–25, with NBFCs holding a rising share of total credit; the FY26 MD&amp;A puts total sector assets at about ₹45 trillion with loan books growing 15–17% in FY26 and CRISIL projecting AUM above ₹50 trillion in FY27. NBFCs have consistently outpaced bank credit growth by relying on niche lending strategies, digital distribution and deeper penetration of underserved markets.</w:t>
      </w:r>
    </w:p>
    <w:p w:rsidR="007F373F" w:rsidRDefault="00000000">
      <w:pPr>
        <w:pStyle w:val="Heading2"/>
      </w:pPr>
      <w:r>
        <w:t>Growth drivers identified by the industry</w:t>
      </w:r>
    </w:p>
    <w:p w:rsidR="007F373F" w:rsidRDefault="00000000">
      <w:pPr>
        <w:pStyle w:val="ListBullet"/>
      </w:pPr>
      <w:r>
        <w:rPr>
          <w:b/>
        </w:rPr>
        <w:t xml:space="preserve">Retail credit expansion: </w:t>
      </w:r>
      <w:r>
        <w:t>RBI data cited in the FY26 MD&amp;A show retail credit growing 19.8% in FY26, driven by housing loans, surging gold-backed loans, digitisation of lending and rising consumption among the urban middle class.</w:t>
      </w:r>
    </w:p>
    <w:p w:rsidR="007F373F" w:rsidRDefault="00000000">
      <w:pPr>
        <w:pStyle w:val="ListBullet"/>
      </w:pPr>
      <w:r>
        <w:rPr>
          <w:b/>
        </w:rPr>
        <w:t xml:space="preserve">Digital public infrastructure: </w:t>
      </w:r>
      <w:r>
        <w:t>Aadhaar e-KYC, UPI, the Account Aggregator framework, GST data and bureau coverage lower acquisition and underwriting costs and allow cash-flow-based assessment of thin-file borrowers.</w:t>
      </w:r>
    </w:p>
    <w:p w:rsidR="007F373F" w:rsidRDefault="00000000">
      <w:pPr>
        <w:pStyle w:val="ListBullet"/>
      </w:pPr>
      <w:r>
        <w:rPr>
          <w:b/>
        </w:rPr>
        <w:t xml:space="preserve">MSME formalisation: </w:t>
      </w:r>
      <w:r>
        <w:t>7.9 crore registrations on the Udyam portal and Udyam Assist Platform (July 2020 – March 2026) create documented, bankable small businesses.</w:t>
      </w:r>
    </w:p>
    <w:p w:rsidR="007F373F" w:rsidRDefault="00000000">
      <w:pPr>
        <w:pStyle w:val="ListBullet"/>
      </w:pPr>
      <w:r>
        <w:rPr>
          <w:b/>
        </w:rPr>
        <w:t xml:space="preserve">Shift to secured lending: </w:t>
      </w:r>
      <w:r>
        <w:t>Stress in unsecured personal loans and credit cards has pushed lenders towards gold loans and LAP, which offer physical collateral, shorter tenors (gold) and lower loss-given-default.</w:t>
      </w:r>
    </w:p>
    <w:p w:rsidR="007F373F" w:rsidRDefault="00000000">
      <w:pPr>
        <w:pStyle w:val="Heading2"/>
      </w:pPr>
      <w:r>
        <w:t>Asset-quality and funding trends</w:t>
      </w:r>
    </w:p>
    <w:p w:rsidR="007F373F" w:rsidRDefault="00000000">
      <w:r>
        <w:t>Sector asset quality improved steadily from the pandemic peak until FY24, then deteriorated in specific pockets – small-ticket personal loans, fintech partnerships and microfinance – during FY25 and FY26. The FY26 MD&amp;A observes that rapid expansion in these segments “heightened vulnerability to delinquencies”. Secured lenders were comparatively insulated: Fedfina’s own GNPA ranged between 1.7% and 2.2% across FY22–FY26 and its credit cost peaked at 1.8% in FY25 before falling to 0.8%. Funding costs rose across the sector in FY24–FY25 after the RBI increased risk weights on bank exposures to NBFCs, prompting diversification into NCDs, CP and ECBs; the subsequent repo-rate cuts in FY26 have eased costs. The FY25 MD&amp;CEO letter expected industry growth to moderate towards 13–15% over FY 2026–27 to FY 2027–28 as the cycle matures, “necessitating sharper risk selection, disciplined origination and calibrated expansion”.</w:t>
      </w:r>
    </w:p>
    <w:p w:rsidR="007F373F" w:rsidRDefault="00000000">
      <w:pPr>
        <w:pStyle w:val="Heading2"/>
      </w:pPr>
      <w:r>
        <w:t>Regulatory direction of travel</w:t>
      </w:r>
    </w:p>
    <w:p w:rsidR="007F373F" w:rsidRDefault="00000000">
      <w:r>
        <w:t>The RBI’s SBR framework has progressively strengthened prudential norms, risk management and supervisory oversight, and recent clarifications extend regulatory purview to smaller non-deposit-taking NBFCs. Governance Directions 2025, KYC Directions 2025, the Internal Ombudsman Directions 2026, the Fraud Risk Management Master Direction 2024 and the IT Governance Master Direction – all listed in Fedfina’s FY26 secretarial audit report – show how comprehensive the compliance perimeter has become. The practical implication for analysis is that compliance capability is now a core competitive asset, not a back-office function.</w:t>
      </w:r>
    </w:p>
    <w:p w:rsidR="007F373F" w:rsidRDefault="00000000">
      <w:r>
        <w:lastRenderedPageBreak/>
        <w:t>Implication for Fedfina. The company is positioned in the two fastest-growing secured segments, is rated AA+ (which protects funding access when the sector is under pressure), and has a bank parent that is itself a lender (₹1,064 crore term loan outstanding) – advantages that should let it grow with the sector while avoiding the unsecured-credit stress that hurt many peers.</w:t>
      </w:r>
    </w:p>
    <w:p w:rsidR="007F373F" w:rsidRDefault="00000000">
      <w:pPr>
        <w:pStyle w:val="Heading1"/>
        <w:pageBreakBefore/>
      </w:pPr>
      <w:r>
        <w:lastRenderedPageBreak/>
        <w:t>Gold Loan Industry Landscape</w:t>
      </w:r>
    </w:p>
    <w:p w:rsidR="007F373F" w:rsidRDefault="00000000">
      <w:r>
        <w:t>India’s households hold an estimated 25,000 tonnes of gold – the largest private stock in the world (FY26 MD&amp;CEO statement; the FY24 MD&amp;A cited 24,000 tonnes with only about 5,300 tonnes pledged). Lending against this stock has been migrating from the informal sector (money-lenders and pawnbrokers) to banks and specialised NBFCs; the FY24 MD&amp;A put the value of gold-loan advances in India at ₹7,150 billion as of December 2023. The FY26 MD&amp;A, citing ICRA, states that the organised gold-loan market crossed ₹15 lakh crore in FY 2025–26 – a year ahead of earlier projections – and is expected to reach nearly ₹18 lakh crore by FY 2026–27.</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141"/>
        <w:gridCol w:w="3175"/>
        <w:gridCol w:w="2415"/>
      </w:tblGrid>
      <w:tr w:rsidR="007F373F">
        <w:trPr>
          <w:jc w:val="center"/>
        </w:trPr>
        <w:tc>
          <w:tcPr>
            <w:tcW w:w="4141" w:type="dxa"/>
          </w:tcPr>
          <w:p w:rsidR="007F373F" w:rsidRDefault="00000000">
            <w:pPr>
              <w:spacing w:after="0"/>
              <w:jc w:val="left"/>
            </w:pPr>
            <w:r>
              <w:rPr>
                <w:b/>
                <w:sz w:val="20"/>
              </w:rPr>
              <w:t>Gold-loan market indicator</w:t>
            </w:r>
          </w:p>
        </w:tc>
        <w:tc>
          <w:tcPr>
            <w:tcW w:w="3175" w:type="dxa"/>
          </w:tcPr>
          <w:p w:rsidR="007F373F" w:rsidRDefault="00000000">
            <w:pPr>
              <w:spacing w:after="0"/>
              <w:jc w:val="left"/>
            </w:pPr>
            <w:r>
              <w:rPr>
                <w:b/>
                <w:sz w:val="20"/>
              </w:rPr>
              <w:t>Value</w:t>
            </w:r>
          </w:p>
        </w:tc>
        <w:tc>
          <w:tcPr>
            <w:tcW w:w="2415" w:type="dxa"/>
          </w:tcPr>
          <w:p w:rsidR="007F373F" w:rsidRDefault="00000000">
            <w:pPr>
              <w:spacing w:after="0"/>
              <w:jc w:val="left"/>
            </w:pPr>
            <w:r>
              <w:rPr>
                <w:b/>
                <w:sz w:val="20"/>
              </w:rPr>
              <w:t>Source (as cited in FY26 MD&amp;A)</w:t>
            </w:r>
          </w:p>
        </w:tc>
      </w:tr>
      <w:tr w:rsidR="007F373F">
        <w:trPr>
          <w:jc w:val="center"/>
        </w:trPr>
        <w:tc>
          <w:tcPr>
            <w:tcW w:w="4141" w:type="dxa"/>
          </w:tcPr>
          <w:p w:rsidR="007F373F" w:rsidRDefault="00000000">
            <w:pPr>
              <w:spacing w:after="0"/>
              <w:jc w:val="left"/>
            </w:pPr>
            <w:r>
              <w:rPr>
                <w:sz w:val="20"/>
              </w:rPr>
              <w:t>Organised gold-loan market, FY26</w:t>
            </w:r>
          </w:p>
        </w:tc>
        <w:tc>
          <w:tcPr>
            <w:tcW w:w="3175" w:type="dxa"/>
          </w:tcPr>
          <w:p w:rsidR="007F373F" w:rsidRDefault="00000000">
            <w:pPr>
              <w:spacing w:after="0"/>
              <w:jc w:val="left"/>
            </w:pPr>
            <w:r>
              <w:rPr>
                <w:sz w:val="20"/>
              </w:rPr>
              <w:t>&gt; ₹15 lakh crore</w:t>
            </w:r>
          </w:p>
        </w:tc>
        <w:tc>
          <w:tcPr>
            <w:tcW w:w="2415" w:type="dxa"/>
          </w:tcPr>
          <w:p w:rsidR="007F373F" w:rsidRDefault="00000000">
            <w:pPr>
              <w:spacing w:after="0"/>
              <w:jc w:val="left"/>
            </w:pPr>
            <w:r>
              <w:rPr>
                <w:sz w:val="20"/>
              </w:rPr>
              <w:t>ICRA</w:t>
            </w:r>
          </w:p>
        </w:tc>
      </w:tr>
      <w:tr w:rsidR="007F373F">
        <w:trPr>
          <w:jc w:val="center"/>
        </w:trPr>
        <w:tc>
          <w:tcPr>
            <w:tcW w:w="4141" w:type="dxa"/>
          </w:tcPr>
          <w:p w:rsidR="007F373F" w:rsidRDefault="00000000">
            <w:pPr>
              <w:spacing w:after="0"/>
              <w:jc w:val="left"/>
            </w:pPr>
            <w:r>
              <w:rPr>
                <w:sz w:val="20"/>
              </w:rPr>
              <w:t>Projected market, FY27</w:t>
            </w:r>
          </w:p>
        </w:tc>
        <w:tc>
          <w:tcPr>
            <w:tcW w:w="3175" w:type="dxa"/>
          </w:tcPr>
          <w:p w:rsidR="007F373F" w:rsidRDefault="00000000">
            <w:pPr>
              <w:spacing w:after="0"/>
              <w:jc w:val="left"/>
            </w:pPr>
            <w:r>
              <w:rPr>
                <w:sz w:val="20"/>
              </w:rPr>
              <w:t>≈ ₹18 lakh crore</w:t>
            </w:r>
          </w:p>
        </w:tc>
        <w:tc>
          <w:tcPr>
            <w:tcW w:w="2415" w:type="dxa"/>
          </w:tcPr>
          <w:p w:rsidR="007F373F" w:rsidRDefault="00000000">
            <w:pPr>
              <w:spacing w:after="0"/>
              <w:jc w:val="left"/>
            </w:pPr>
            <w:r>
              <w:rPr>
                <w:sz w:val="20"/>
              </w:rPr>
              <w:t>ICRA</w:t>
            </w:r>
          </w:p>
        </w:tc>
      </w:tr>
      <w:tr w:rsidR="007F373F">
        <w:trPr>
          <w:jc w:val="center"/>
        </w:trPr>
        <w:tc>
          <w:tcPr>
            <w:tcW w:w="4141" w:type="dxa"/>
          </w:tcPr>
          <w:p w:rsidR="007F373F" w:rsidRDefault="00000000">
            <w:pPr>
              <w:spacing w:after="0"/>
              <w:jc w:val="left"/>
            </w:pPr>
            <w:r>
              <w:rPr>
                <w:sz w:val="20"/>
              </w:rPr>
              <w:t>Banks’ share of organised gold loans</w:t>
            </w:r>
          </w:p>
        </w:tc>
        <w:tc>
          <w:tcPr>
            <w:tcW w:w="3175" w:type="dxa"/>
          </w:tcPr>
          <w:p w:rsidR="007F373F" w:rsidRDefault="00000000">
            <w:pPr>
              <w:spacing w:after="0"/>
              <w:jc w:val="left"/>
            </w:pPr>
            <w:r>
              <w:rPr>
                <w:sz w:val="20"/>
              </w:rPr>
              <w:t>≈ 82%</w:t>
            </w:r>
          </w:p>
        </w:tc>
        <w:tc>
          <w:tcPr>
            <w:tcW w:w="2415" w:type="dxa"/>
          </w:tcPr>
          <w:p w:rsidR="007F373F" w:rsidRDefault="00000000">
            <w:pPr>
              <w:spacing w:after="0"/>
              <w:jc w:val="left"/>
            </w:pPr>
            <w:r>
              <w:rPr>
                <w:sz w:val="20"/>
              </w:rPr>
              <w:t>ICRA</w:t>
            </w:r>
          </w:p>
        </w:tc>
      </w:tr>
      <w:tr w:rsidR="007F373F">
        <w:trPr>
          <w:jc w:val="center"/>
        </w:trPr>
        <w:tc>
          <w:tcPr>
            <w:tcW w:w="4141" w:type="dxa"/>
          </w:tcPr>
          <w:p w:rsidR="007F373F" w:rsidRDefault="00000000">
            <w:pPr>
              <w:spacing w:after="0"/>
              <w:jc w:val="left"/>
            </w:pPr>
            <w:r>
              <w:rPr>
                <w:sz w:val="20"/>
              </w:rPr>
              <w:t>NBFC share of gold-loan market, March 2021</w:t>
            </w:r>
          </w:p>
        </w:tc>
        <w:tc>
          <w:tcPr>
            <w:tcW w:w="3175" w:type="dxa"/>
          </w:tcPr>
          <w:p w:rsidR="007F373F" w:rsidRDefault="00000000">
            <w:pPr>
              <w:spacing w:after="0"/>
              <w:jc w:val="left"/>
            </w:pPr>
            <w:r>
              <w:rPr>
                <w:sz w:val="20"/>
              </w:rPr>
              <w:t>22% (moderated since)</w:t>
            </w:r>
          </w:p>
        </w:tc>
        <w:tc>
          <w:tcPr>
            <w:tcW w:w="2415" w:type="dxa"/>
          </w:tcPr>
          <w:p w:rsidR="007F373F" w:rsidRDefault="00000000">
            <w:pPr>
              <w:spacing w:after="0"/>
              <w:jc w:val="left"/>
            </w:pPr>
            <w:r>
              <w:rPr>
                <w:sz w:val="20"/>
              </w:rPr>
              <w:t>ICRA</w:t>
            </w:r>
          </w:p>
        </w:tc>
      </w:tr>
      <w:tr w:rsidR="007F373F">
        <w:trPr>
          <w:jc w:val="center"/>
        </w:trPr>
        <w:tc>
          <w:tcPr>
            <w:tcW w:w="4141" w:type="dxa"/>
          </w:tcPr>
          <w:p w:rsidR="007F373F" w:rsidRDefault="00000000">
            <w:pPr>
              <w:spacing w:after="0"/>
              <w:jc w:val="left"/>
            </w:pPr>
            <w:r>
              <w:rPr>
                <w:sz w:val="20"/>
              </w:rPr>
              <w:t>Top-4 NBFCs’ share of NBFC gold-loan AUM</w:t>
            </w:r>
          </w:p>
        </w:tc>
        <w:tc>
          <w:tcPr>
            <w:tcW w:w="3175" w:type="dxa"/>
          </w:tcPr>
          <w:p w:rsidR="007F373F" w:rsidRDefault="00000000">
            <w:pPr>
              <w:spacing w:after="0"/>
              <w:jc w:val="left"/>
            </w:pPr>
            <w:r>
              <w:rPr>
                <w:sz w:val="20"/>
              </w:rPr>
              <w:t>81% (Mar 2025) vs 90% (Mar 2022)</w:t>
            </w:r>
          </w:p>
        </w:tc>
        <w:tc>
          <w:tcPr>
            <w:tcW w:w="2415" w:type="dxa"/>
          </w:tcPr>
          <w:p w:rsidR="007F373F" w:rsidRDefault="00000000">
            <w:pPr>
              <w:spacing w:after="0"/>
              <w:jc w:val="left"/>
            </w:pPr>
            <w:r>
              <w:rPr>
                <w:sz w:val="20"/>
              </w:rPr>
              <w:t>ICRA</w:t>
            </w:r>
          </w:p>
        </w:tc>
      </w:tr>
      <w:tr w:rsidR="007F373F">
        <w:trPr>
          <w:jc w:val="center"/>
        </w:trPr>
        <w:tc>
          <w:tcPr>
            <w:tcW w:w="4141" w:type="dxa"/>
          </w:tcPr>
          <w:p w:rsidR="007F373F" w:rsidRDefault="00000000">
            <w:pPr>
              <w:spacing w:after="0"/>
              <w:jc w:val="left"/>
            </w:pPr>
            <w:r>
              <w:rPr>
                <w:sz w:val="20"/>
              </w:rPr>
              <w:t>India gold demand, CY2025</w:t>
            </w:r>
          </w:p>
        </w:tc>
        <w:tc>
          <w:tcPr>
            <w:tcW w:w="3175" w:type="dxa"/>
          </w:tcPr>
          <w:p w:rsidR="007F373F" w:rsidRDefault="00000000">
            <w:pPr>
              <w:spacing w:after="0"/>
              <w:jc w:val="left"/>
            </w:pPr>
            <w:r>
              <w:rPr>
                <w:sz w:val="20"/>
              </w:rPr>
              <w:t>≈ 711 tonnes (−11% by volume; value up)</w:t>
            </w:r>
          </w:p>
        </w:tc>
        <w:tc>
          <w:tcPr>
            <w:tcW w:w="2415" w:type="dxa"/>
          </w:tcPr>
          <w:p w:rsidR="007F373F" w:rsidRDefault="00000000">
            <w:pPr>
              <w:spacing w:after="0"/>
              <w:jc w:val="left"/>
            </w:pPr>
            <w:r>
              <w:rPr>
                <w:sz w:val="20"/>
              </w:rPr>
              <w:t>World Gold Council</w:t>
            </w:r>
          </w:p>
        </w:tc>
      </w:tr>
      <w:tr w:rsidR="007F373F">
        <w:trPr>
          <w:jc w:val="center"/>
        </w:trPr>
        <w:tc>
          <w:tcPr>
            <w:tcW w:w="4141" w:type="dxa"/>
          </w:tcPr>
          <w:p w:rsidR="007F373F" w:rsidRDefault="00000000">
            <w:pPr>
              <w:spacing w:after="0"/>
              <w:jc w:val="left"/>
            </w:pPr>
            <w:r>
              <w:rPr>
                <w:sz w:val="20"/>
              </w:rPr>
              <w:t>Gold price, CY2025</w:t>
            </w:r>
          </w:p>
        </w:tc>
        <w:tc>
          <w:tcPr>
            <w:tcW w:w="3175" w:type="dxa"/>
          </w:tcPr>
          <w:p w:rsidR="007F373F" w:rsidRDefault="00000000">
            <w:pPr>
              <w:spacing w:after="0"/>
              <w:jc w:val="left"/>
            </w:pPr>
            <w:r>
              <w:rPr>
                <w:sz w:val="20"/>
              </w:rPr>
              <w:t>USD 2,607 → 4,315/oz (+65%)</w:t>
            </w:r>
          </w:p>
        </w:tc>
        <w:tc>
          <w:tcPr>
            <w:tcW w:w="2415" w:type="dxa"/>
          </w:tcPr>
          <w:p w:rsidR="007F373F" w:rsidRDefault="00000000">
            <w:pPr>
              <w:spacing w:after="0"/>
              <w:jc w:val="left"/>
            </w:pPr>
            <w:r>
              <w:rPr>
                <w:sz w:val="20"/>
              </w:rPr>
              <w:t>Economic Survey 2025–26</w:t>
            </w:r>
          </w:p>
        </w:tc>
      </w:tr>
      <w:tr w:rsidR="007F373F">
        <w:trPr>
          <w:jc w:val="center"/>
        </w:trPr>
        <w:tc>
          <w:tcPr>
            <w:tcW w:w="4141" w:type="dxa"/>
          </w:tcPr>
          <w:p w:rsidR="007F373F" w:rsidRDefault="00000000">
            <w:pPr>
              <w:spacing w:after="0"/>
              <w:jc w:val="left"/>
            </w:pPr>
            <w:r>
              <w:rPr>
                <w:sz w:val="20"/>
              </w:rPr>
              <w:t>Household gold holdings</w:t>
            </w:r>
          </w:p>
        </w:tc>
        <w:tc>
          <w:tcPr>
            <w:tcW w:w="3175" w:type="dxa"/>
          </w:tcPr>
          <w:p w:rsidR="007F373F" w:rsidRDefault="00000000">
            <w:pPr>
              <w:spacing w:after="0"/>
              <w:jc w:val="left"/>
            </w:pPr>
            <w:r>
              <w:rPr>
                <w:sz w:val="20"/>
              </w:rPr>
              <w:t>≈ 25,000 tonnes</w:t>
            </w:r>
          </w:p>
        </w:tc>
        <w:tc>
          <w:tcPr>
            <w:tcW w:w="2415" w:type="dxa"/>
          </w:tcPr>
          <w:p w:rsidR="007F373F" w:rsidRDefault="00000000">
            <w:pPr>
              <w:spacing w:after="0"/>
              <w:jc w:val="left"/>
            </w:pPr>
            <w:r>
              <w:rPr>
                <w:sz w:val="20"/>
              </w:rPr>
              <w:t>MD&amp;CEO statement</w:t>
            </w:r>
          </w:p>
        </w:tc>
      </w:tr>
    </w:tbl>
    <w:p w:rsidR="007F373F" w:rsidRDefault="00000000">
      <w:pPr>
        <w:spacing w:before="40" w:after="80"/>
      </w:pPr>
      <w:r>
        <w:rPr>
          <w:i/>
          <w:sz w:val="18"/>
        </w:rPr>
        <w:t>Source: Fedfina Annual Report 2025-26, MD&amp;A p.56–57 and p.60; MD&amp;CEO statement p.18.</w:t>
      </w:r>
    </w:p>
    <w:p w:rsidR="007F373F" w:rsidRDefault="00000000">
      <w:pPr>
        <w:pStyle w:val="Heading2"/>
      </w:pPr>
      <w:r>
        <w:t>Structure and competition</w:t>
      </w:r>
    </w:p>
    <w:p w:rsidR="007F373F" w:rsidRDefault="00000000">
      <w:r>
        <w:t>Banks dominate by value (about 82%) because agricultural gold loans qualify as priority-sector lending and banks have the lowest cost of funds. Specialised NBFCs – led by Muthoot Finance and Manappuram Finance, with IIFL Finance and several smaller players – compete on speed (loans in under 30 minutes), branch density in semi-urban markets, doorstep service and flexible repayment. Concentration within the NBFC segment is easing: the top four held 81% of NBFC gold AUM in March 2025 versus 90% in March 2022, indicating that mid-sized entrants such as Fedfina (gold AUM ₹10,352 crore, 12.6 tonnes under custody) are gaining share.</w:t>
      </w:r>
    </w:p>
    <w:p w:rsidR="007F373F" w:rsidRDefault="00000000">
      <w:pPr>
        <w:pStyle w:val="Heading2"/>
      </w:pPr>
      <w:r>
        <w:t>Growth drivers and economics</w:t>
      </w:r>
    </w:p>
    <w:p w:rsidR="007F373F" w:rsidRDefault="00000000">
      <w:r>
        <w:t>The FY26 report lists six drivers: higher gold prices (larger eligible loans), borrower migration from unsecured to secured credit, improved funding conditions and supportive RBI measures, strong rural demand, gold’s liquidity and ease of valuation (which makes the product operationally scalable), and co-lending partnerships that extend NBFC reach. Economically, gold loans are short-tenor (typically 6–12 months), high-yield, low-credit-loss products: Fedfina’s average ticket is ₹2.7 lakh, its portfolio LTV is 60.9% and its gold-loan branches generate ₹16.5 crore of AUM each. The main risks are a sharp price fall, custody/purity fraud and conduct issues around auctions – all addressed by the 2025 RBI directions discussed on page 21.</w:t>
      </w:r>
    </w:p>
    <w:p w:rsidR="007F373F" w:rsidRDefault="00000000">
      <w:r>
        <w:t>Regulatory stability is itself a growth driver: clear norms on LTV, auctions and provisioning have reduced uncertainty and encouraged lenders to expand gold portfolios confidently, while the shift to secured lending after unsecured stress has made gold loans attractive to banks and NBFCs alike.</w:t>
      </w:r>
    </w:p>
    <w:p w:rsidR="007F373F" w:rsidRDefault="00000000">
      <w:pPr>
        <w:pStyle w:val="Heading1"/>
        <w:pageBreakBefore/>
      </w:pPr>
      <w:r>
        <w:lastRenderedPageBreak/>
        <w:t>Mortgage, Housing Finance and LAP Landscape</w:t>
      </w:r>
    </w:p>
    <w:p w:rsidR="007F373F" w:rsidRDefault="00000000">
      <w:r>
        <w:t>India’s mortgage market – individual housing loans plus loans against property – has deepened steadily over the past decade. The Economic Survey 2025–26, cited in the FY26 MD&amp;A, shows housing loans rising to about 11% of GDP in FY 2024–25 from 8% in FY 2014–15, and outstanding individual housing loans more than tripling to approximately ₹37 lakh crore by March 2025 from about ₹10 lakh crore a decade earlier. Even so, penetration remains low by international standards, and demand is shifting towards affordable, mid-income and Tier 2–3 markets.</w:t>
      </w:r>
    </w:p>
    <w:p w:rsidR="007F373F" w:rsidRDefault="00000000">
      <w:pPr>
        <w:pStyle w:val="Heading2"/>
      </w:pPr>
      <w:r>
        <w:t>Loan against property as an MSME product</w:t>
      </w:r>
    </w:p>
    <w:p w:rsidR="007F373F" w:rsidRDefault="00000000">
      <w:r>
        <w:t>LAP has become a key pillar of secured MSME finance. The secured MSME-LAP portfolio is projected to grow 16–18% a year over FY 2024–25 to FY 2027–28 (FY26 MD&amp;A), supported by rising MSME financing needs, appreciation in property values and borrower preference for secured loans that carry lower rates than unsecured business loans. Two sub-segments exist. Medium-ticket LAP (Fedfina average ticket ₹72.4 lakh) serves established traders, wholesalers, distributors and small manufacturers with documented cash flows, and is contested by banks and large NBFCs on price. Small-ticket LAP (average ticket ₹16.1 lakh) serves self-employed borrowers with median annual incomes of around ₹5 lakh and limited documentation, assessed on household cash flows; it is a higher-yield (Fedfina origination yield 15.1%), operationally intensive product dominated by affordable-housing finance companies and specialised NBFCs.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656"/>
        <w:gridCol w:w="2346"/>
        <w:gridCol w:w="2208"/>
        <w:gridCol w:w="2001"/>
        <w:gridCol w:w="1518"/>
      </w:tblGrid>
      <w:tr w:rsidR="007F373F">
        <w:trPr>
          <w:jc w:val="center"/>
        </w:trPr>
        <w:tc>
          <w:tcPr>
            <w:tcW w:w="1656" w:type="dxa"/>
          </w:tcPr>
          <w:p w:rsidR="007F373F" w:rsidRDefault="00000000">
            <w:pPr>
              <w:spacing w:after="0"/>
              <w:jc w:val="left"/>
            </w:pPr>
            <w:r>
              <w:rPr>
                <w:b/>
                <w:sz w:val="19"/>
              </w:rPr>
              <w:t>Segment</w:t>
            </w:r>
          </w:p>
        </w:tc>
        <w:tc>
          <w:tcPr>
            <w:tcW w:w="2346" w:type="dxa"/>
          </w:tcPr>
          <w:p w:rsidR="007F373F" w:rsidRDefault="00000000">
            <w:pPr>
              <w:spacing w:after="0"/>
              <w:jc w:val="left"/>
            </w:pPr>
            <w:r>
              <w:rPr>
                <w:b/>
                <w:sz w:val="19"/>
              </w:rPr>
              <w:t>Typical customer</w:t>
            </w:r>
          </w:p>
        </w:tc>
        <w:tc>
          <w:tcPr>
            <w:tcW w:w="2208" w:type="dxa"/>
          </w:tcPr>
          <w:p w:rsidR="007F373F" w:rsidRDefault="00000000">
            <w:pPr>
              <w:spacing w:after="0"/>
              <w:jc w:val="left"/>
            </w:pPr>
            <w:r>
              <w:rPr>
                <w:b/>
                <w:sz w:val="19"/>
              </w:rPr>
              <w:t>Ticket / yield (Fedfina FY26)</w:t>
            </w:r>
          </w:p>
        </w:tc>
        <w:tc>
          <w:tcPr>
            <w:tcW w:w="2001" w:type="dxa"/>
          </w:tcPr>
          <w:p w:rsidR="007F373F" w:rsidRDefault="00000000">
            <w:pPr>
              <w:spacing w:after="0"/>
              <w:jc w:val="left"/>
            </w:pPr>
            <w:r>
              <w:rPr>
                <w:b/>
                <w:sz w:val="19"/>
              </w:rPr>
              <w:t>Main competitors</w:t>
            </w:r>
          </w:p>
        </w:tc>
        <w:tc>
          <w:tcPr>
            <w:tcW w:w="1518" w:type="dxa"/>
          </w:tcPr>
          <w:p w:rsidR="007F373F" w:rsidRDefault="00000000">
            <w:pPr>
              <w:spacing w:after="0"/>
              <w:jc w:val="left"/>
            </w:pPr>
            <w:r>
              <w:rPr>
                <w:b/>
                <w:sz w:val="19"/>
              </w:rPr>
              <w:t>Key risk</w:t>
            </w:r>
          </w:p>
        </w:tc>
      </w:tr>
      <w:tr w:rsidR="007F373F">
        <w:trPr>
          <w:jc w:val="center"/>
        </w:trPr>
        <w:tc>
          <w:tcPr>
            <w:tcW w:w="1656" w:type="dxa"/>
          </w:tcPr>
          <w:p w:rsidR="007F373F" w:rsidRDefault="00000000">
            <w:pPr>
              <w:spacing w:after="0"/>
              <w:jc w:val="left"/>
            </w:pPr>
            <w:r>
              <w:rPr>
                <w:sz w:val="19"/>
              </w:rPr>
              <w:t>Medium-ticket LAP</w:t>
            </w:r>
          </w:p>
        </w:tc>
        <w:tc>
          <w:tcPr>
            <w:tcW w:w="2346" w:type="dxa"/>
          </w:tcPr>
          <w:p w:rsidR="007F373F" w:rsidRDefault="00000000">
            <w:pPr>
              <w:spacing w:after="0"/>
              <w:jc w:val="left"/>
            </w:pPr>
            <w:r>
              <w:rPr>
                <w:sz w:val="19"/>
              </w:rPr>
              <w:t>Established MSMEs with formal income records</w:t>
            </w:r>
          </w:p>
        </w:tc>
        <w:tc>
          <w:tcPr>
            <w:tcW w:w="2208" w:type="dxa"/>
          </w:tcPr>
          <w:p w:rsidR="007F373F" w:rsidRDefault="00000000">
            <w:pPr>
              <w:spacing w:after="0"/>
              <w:jc w:val="left"/>
            </w:pPr>
            <w:r>
              <w:rPr>
                <w:sz w:val="19"/>
              </w:rPr>
              <w:t>₹72.4 lakh; 12.0% origination yield</w:t>
            </w:r>
          </w:p>
        </w:tc>
        <w:tc>
          <w:tcPr>
            <w:tcW w:w="2001" w:type="dxa"/>
          </w:tcPr>
          <w:p w:rsidR="007F373F" w:rsidRDefault="00000000">
            <w:pPr>
              <w:spacing w:after="0"/>
              <w:jc w:val="left"/>
            </w:pPr>
            <w:r>
              <w:rPr>
                <w:sz w:val="19"/>
              </w:rPr>
              <w:t>Private banks, large NBFCs/HFCs</w:t>
            </w:r>
          </w:p>
        </w:tc>
        <w:tc>
          <w:tcPr>
            <w:tcW w:w="1518" w:type="dxa"/>
          </w:tcPr>
          <w:p w:rsidR="007F373F" w:rsidRDefault="00000000">
            <w:pPr>
              <w:spacing w:after="0"/>
              <w:jc w:val="left"/>
            </w:pPr>
            <w:r>
              <w:rPr>
                <w:sz w:val="19"/>
              </w:rPr>
              <w:t>Yield pressure; balance-transfer attrition</w:t>
            </w:r>
          </w:p>
        </w:tc>
      </w:tr>
      <w:tr w:rsidR="007F373F">
        <w:trPr>
          <w:jc w:val="center"/>
        </w:trPr>
        <w:tc>
          <w:tcPr>
            <w:tcW w:w="1656" w:type="dxa"/>
          </w:tcPr>
          <w:p w:rsidR="007F373F" w:rsidRDefault="00000000">
            <w:pPr>
              <w:spacing w:after="0"/>
              <w:jc w:val="left"/>
            </w:pPr>
            <w:r>
              <w:rPr>
                <w:sz w:val="19"/>
              </w:rPr>
              <w:t>Small-ticket LAP</w:t>
            </w:r>
          </w:p>
        </w:tc>
        <w:tc>
          <w:tcPr>
            <w:tcW w:w="2346" w:type="dxa"/>
          </w:tcPr>
          <w:p w:rsidR="007F373F" w:rsidRDefault="00000000">
            <w:pPr>
              <w:spacing w:after="0"/>
              <w:jc w:val="left"/>
            </w:pPr>
            <w:r>
              <w:rPr>
                <w:sz w:val="19"/>
              </w:rPr>
              <w:t>Self-employed, informal income, Tier 2–4 towns</w:t>
            </w:r>
          </w:p>
        </w:tc>
        <w:tc>
          <w:tcPr>
            <w:tcW w:w="2208" w:type="dxa"/>
          </w:tcPr>
          <w:p w:rsidR="007F373F" w:rsidRDefault="00000000">
            <w:pPr>
              <w:spacing w:after="0"/>
              <w:jc w:val="left"/>
            </w:pPr>
            <w:r>
              <w:rPr>
                <w:sz w:val="19"/>
              </w:rPr>
              <w:t>₹16.1 lakh; 15.1% origination yield</w:t>
            </w:r>
          </w:p>
        </w:tc>
        <w:tc>
          <w:tcPr>
            <w:tcW w:w="2001" w:type="dxa"/>
          </w:tcPr>
          <w:p w:rsidR="007F373F" w:rsidRDefault="00000000">
            <w:pPr>
              <w:spacing w:after="0"/>
              <w:jc w:val="left"/>
            </w:pPr>
            <w:r>
              <w:rPr>
                <w:sz w:val="19"/>
              </w:rPr>
              <w:t>Affordable HFCs, Five-Star-type NBFCs</w:t>
            </w:r>
          </w:p>
        </w:tc>
        <w:tc>
          <w:tcPr>
            <w:tcW w:w="1518" w:type="dxa"/>
          </w:tcPr>
          <w:p w:rsidR="007F373F" w:rsidRDefault="00000000">
            <w:pPr>
              <w:spacing w:after="0"/>
              <w:jc w:val="left"/>
            </w:pPr>
            <w:r>
              <w:rPr>
                <w:sz w:val="19"/>
              </w:rPr>
              <w:t>Collections intensity; early delinquency</w:t>
            </w:r>
          </w:p>
        </w:tc>
      </w:tr>
      <w:tr w:rsidR="007F373F">
        <w:trPr>
          <w:jc w:val="center"/>
        </w:trPr>
        <w:tc>
          <w:tcPr>
            <w:tcW w:w="1656" w:type="dxa"/>
          </w:tcPr>
          <w:p w:rsidR="007F373F" w:rsidRDefault="00000000">
            <w:pPr>
              <w:spacing w:after="0"/>
              <w:jc w:val="left"/>
            </w:pPr>
            <w:r>
              <w:rPr>
                <w:sz w:val="19"/>
              </w:rPr>
              <w:t>Affordable housing loan</w:t>
            </w:r>
          </w:p>
        </w:tc>
        <w:tc>
          <w:tcPr>
            <w:tcW w:w="2346" w:type="dxa"/>
          </w:tcPr>
          <w:p w:rsidR="007F373F" w:rsidRDefault="00000000">
            <w:pPr>
              <w:spacing w:after="0"/>
              <w:jc w:val="left"/>
            </w:pPr>
            <w:r>
              <w:rPr>
                <w:sz w:val="19"/>
              </w:rPr>
              <w:t>First-time buyers in non-metro markets</w:t>
            </w:r>
          </w:p>
        </w:tc>
        <w:tc>
          <w:tcPr>
            <w:tcW w:w="2208" w:type="dxa"/>
          </w:tcPr>
          <w:p w:rsidR="007F373F" w:rsidRDefault="00000000">
            <w:pPr>
              <w:spacing w:after="0"/>
              <w:jc w:val="left"/>
            </w:pPr>
            <w:r>
              <w:rPr>
                <w:sz w:val="19"/>
              </w:rPr>
              <w:t>Bundled with ST LAP (₹3,792 cr AUM)</w:t>
            </w:r>
          </w:p>
        </w:tc>
        <w:tc>
          <w:tcPr>
            <w:tcW w:w="2001" w:type="dxa"/>
          </w:tcPr>
          <w:p w:rsidR="007F373F" w:rsidRDefault="00000000">
            <w:pPr>
              <w:spacing w:after="0"/>
              <w:jc w:val="left"/>
            </w:pPr>
            <w:r>
              <w:rPr>
                <w:sz w:val="19"/>
              </w:rPr>
              <w:t>HFCs, SFBs, PSU banks</w:t>
            </w:r>
          </w:p>
        </w:tc>
        <w:tc>
          <w:tcPr>
            <w:tcW w:w="1518" w:type="dxa"/>
          </w:tcPr>
          <w:p w:rsidR="007F373F" w:rsidRDefault="00000000">
            <w:pPr>
              <w:spacing w:after="0"/>
              <w:jc w:val="left"/>
            </w:pPr>
            <w:r>
              <w:rPr>
                <w:sz w:val="19"/>
              </w:rPr>
              <w:t>Construction/title risk; long duration</w:t>
            </w:r>
          </w:p>
        </w:tc>
      </w:tr>
    </w:tbl>
    <w:p w:rsidR="007F373F" w:rsidRDefault="00000000">
      <w:pPr>
        <w:spacing w:before="40" w:after="80"/>
      </w:pPr>
      <w:r>
        <w:rPr>
          <w:i/>
          <w:sz w:val="18"/>
        </w:rPr>
        <w:t>Source: Fedfina Annual Report 2025-26 MD&amp;A p.60–61 and p.64–65; Fedfina Annual Report 2023-24 MD&amp;A p.58.</w:t>
      </w:r>
    </w:p>
    <w:p w:rsidR="007F373F" w:rsidRDefault="00000000">
      <w:pPr>
        <w:pStyle w:val="Heading2"/>
      </w:pPr>
      <w:r>
        <w:t>Growth drivers</w:t>
      </w:r>
    </w:p>
    <w:p w:rsidR="007F373F" w:rsidRDefault="00000000">
      <w:r>
        <w:t>The FY26 report identifies six: an easing interest-rate cycle improving affordability and refinancing; mortgage payments becoming competitive with rents in several markets; digital mortgage transformation (automated underwriting, AI-based scoring, digital documentation) cutting approval times; expansion of non-traditional segments (self-employed and gig-economy borrowers); policy support (tax benefits, affordable-housing schemes); and demographics – a growing population in the 25–40 prime home-buying age group.</w:t>
      </w:r>
    </w:p>
    <w:p w:rsidR="007F373F" w:rsidRDefault="00000000">
      <w:pPr>
        <w:pStyle w:val="Heading2"/>
      </w:pPr>
      <w:r>
        <w:t>Implications</w:t>
      </w:r>
    </w:p>
    <w:p w:rsidR="007F373F" w:rsidRDefault="00000000">
      <w:r>
        <w:t xml:space="preserve">For Fedfina the mortgage business (₹9,362 crore AUM, 46.5% of total) provides duration and stable yields that complement the short-tenor gold book. Its FY25 experience showed that small-ticket LAP cannot be scaled faster than the collections machinery that supports it; its FY26 rebuild – business </w:t>
      </w:r>
      <w:r>
        <w:lastRenderedPageBreak/>
        <w:t>rule engine, higher CIBIL thresholds, 82.2% of mortgage AUM backed by self-occupied property, in-house collections at 1.8x prior strength – is the company’s answer to the segment’s defining risk.</w:t>
      </w:r>
    </w:p>
    <w:p w:rsidR="007F373F" w:rsidRDefault="00000000">
      <w:pPr>
        <w:pStyle w:val="Heading1"/>
        <w:pageBreakBefore/>
      </w:pPr>
      <w:r>
        <w:lastRenderedPageBreak/>
        <w:t>MSME Credit Gap and Financial Inclusion</w:t>
      </w:r>
    </w:p>
    <w:p w:rsidR="007F373F" w:rsidRDefault="00000000">
      <w:r>
        <w:t>Micro, small and medium enterprises are the demand side of Fedfina’s business. The FY26 MD&amp;A, citing the Union Budget 2026–27 and the Ministry of MSME, records that India has over 7.47 crore MSMEs employing nearly 32.8 crore people – the second-largest employer after agriculture – contributing about 35.4% of manufacturing output, 48.58% of exports and 31.1% of GDP. Yet the sector remains chronically under-financed: the FY24 MD&amp;A noted that of over 64 million MSMEs only 14% had access to formal credit, and the FY26 operating-environment section depicts a formal-sector addressable market of ₹25 trillion against a credit gap of ₹92 trillion.</w:t>
      </w:r>
    </w:p>
    <w:tbl>
      <w:tblPr>
        <w:tblW w:w="0" w:type="auto"/>
        <w:jc w:val="center"/>
        <w:tblCellMar>
          <w:top w:w="40" w:type="dxa"/>
          <w:left w:w="60" w:type="dxa"/>
          <w:bottom w:w="40" w:type="dxa"/>
          <w:right w:w="60" w:type="dxa"/>
        </w:tblCellMar>
        <w:tblLook w:val="04A0" w:firstRow="1" w:lastRow="0" w:firstColumn="1" w:lastColumn="0" w:noHBand="0" w:noVBand="1"/>
      </w:tblPr>
      <w:tblGrid>
        <w:gridCol w:w="1624"/>
        <w:gridCol w:w="1624"/>
        <w:gridCol w:w="1624"/>
        <w:gridCol w:w="1624"/>
        <w:gridCol w:w="1624"/>
        <w:gridCol w:w="1624"/>
      </w:tblGrid>
      <w:tr w:rsidR="007F373F">
        <w:trPr>
          <w:jc w:val="center"/>
        </w:trPr>
        <w:tc>
          <w:tcPr>
            <w:tcW w:w="1624" w:type="dxa"/>
          </w:tcPr>
          <w:p w:rsidR="007F373F" w:rsidRDefault="00000000">
            <w:pPr>
              <w:spacing w:after="0"/>
              <w:jc w:val="center"/>
            </w:pPr>
            <w:r>
              <w:rPr>
                <w:b/>
                <w:sz w:val="26"/>
              </w:rPr>
              <w:t>7.47 crore</w:t>
            </w:r>
          </w:p>
          <w:p w:rsidR="007F373F" w:rsidRDefault="00000000">
            <w:pPr>
              <w:spacing w:after="0"/>
              <w:jc w:val="center"/>
            </w:pPr>
            <w:r>
              <w:rPr>
                <w:sz w:val="18"/>
              </w:rPr>
              <w:t>MSME units</w:t>
            </w:r>
          </w:p>
        </w:tc>
        <w:tc>
          <w:tcPr>
            <w:tcW w:w="1624" w:type="dxa"/>
          </w:tcPr>
          <w:p w:rsidR="007F373F" w:rsidRDefault="00000000">
            <w:pPr>
              <w:spacing w:after="0"/>
              <w:jc w:val="center"/>
            </w:pPr>
            <w:r>
              <w:rPr>
                <w:b/>
                <w:sz w:val="26"/>
              </w:rPr>
              <w:t>32.8 crore</w:t>
            </w:r>
          </w:p>
          <w:p w:rsidR="007F373F" w:rsidRDefault="00000000">
            <w:pPr>
              <w:spacing w:after="0"/>
              <w:jc w:val="center"/>
            </w:pPr>
            <w:r>
              <w:rPr>
                <w:sz w:val="18"/>
              </w:rPr>
              <w:t>People employed</w:t>
            </w:r>
          </w:p>
        </w:tc>
        <w:tc>
          <w:tcPr>
            <w:tcW w:w="1624" w:type="dxa"/>
          </w:tcPr>
          <w:p w:rsidR="007F373F" w:rsidRDefault="00000000">
            <w:pPr>
              <w:spacing w:after="0"/>
              <w:jc w:val="center"/>
            </w:pPr>
            <w:r>
              <w:rPr>
                <w:b/>
                <w:sz w:val="26"/>
              </w:rPr>
              <w:t>31.1%</w:t>
            </w:r>
          </w:p>
          <w:p w:rsidR="007F373F" w:rsidRDefault="00000000">
            <w:pPr>
              <w:spacing w:after="0"/>
              <w:jc w:val="center"/>
            </w:pPr>
            <w:r>
              <w:rPr>
                <w:sz w:val="18"/>
              </w:rPr>
              <w:t>Share of GDP</w:t>
            </w:r>
          </w:p>
        </w:tc>
        <w:tc>
          <w:tcPr>
            <w:tcW w:w="1624" w:type="dxa"/>
          </w:tcPr>
          <w:p w:rsidR="007F373F" w:rsidRDefault="00000000">
            <w:pPr>
              <w:spacing w:after="0"/>
              <w:jc w:val="center"/>
            </w:pPr>
            <w:r>
              <w:rPr>
                <w:b/>
                <w:sz w:val="26"/>
              </w:rPr>
              <w:t>48.6%</w:t>
            </w:r>
          </w:p>
          <w:p w:rsidR="007F373F" w:rsidRDefault="00000000">
            <w:pPr>
              <w:spacing w:after="0"/>
              <w:jc w:val="center"/>
            </w:pPr>
            <w:r>
              <w:rPr>
                <w:sz w:val="18"/>
              </w:rPr>
              <w:t>Share of exports</w:t>
            </w:r>
          </w:p>
        </w:tc>
        <w:tc>
          <w:tcPr>
            <w:tcW w:w="1624" w:type="dxa"/>
          </w:tcPr>
          <w:p w:rsidR="007F373F" w:rsidRDefault="00000000">
            <w:pPr>
              <w:spacing w:after="0"/>
              <w:jc w:val="center"/>
            </w:pPr>
            <w:r>
              <w:rPr>
                <w:b/>
                <w:sz w:val="26"/>
              </w:rPr>
              <w:t>7.9 crore</w:t>
            </w:r>
          </w:p>
          <w:p w:rsidR="007F373F" w:rsidRDefault="00000000">
            <w:pPr>
              <w:spacing w:after="0"/>
              <w:jc w:val="center"/>
            </w:pPr>
            <w:r>
              <w:rPr>
                <w:sz w:val="18"/>
              </w:rPr>
              <w:t>Udyam + UAP registrations</w:t>
            </w:r>
          </w:p>
        </w:tc>
        <w:tc>
          <w:tcPr>
            <w:tcW w:w="1624" w:type="dxa"/>
          </w:tcPr>
          <w:p w:rsidR="007F373F" w:rsidRDefault="00000000">
            <w:pPr>
              <w:spacing w:after="0"/>
              <w:jc w:val="center"/>
            </w:pPr>
            <w:r>
              <w:rPr>
                <w:b/>
                <w:sz w:val="26"/>
              </w:rPr>
              <w:t>₹92 tn</w:t>
            </w:r>
          </w:p>
          <w:p w:rsidR="007F373F" w:rsidRDefault="00000000">
            <w:pPr>
              <w:spacing w:after="0"/>
              <w:jc w:val="center"/>
            </w:pPr>
            <w:r>
              <w:rPr>
                <w:sz w:val="18"/>
              </w:rPr>
              <w:t>Estimated MSME credit gap</w:t>
            </w:r>
          </w:p>
        </w:tc>
      </w:tr>
    </w:tbl>
    <w:p w:rsidR="007F373F" w:rsidRDefault="007F373F">
      <w:pPr>
        <w:spacing w:after="40"/>
      </w:pPr>
    </w:p>
    <w:p w:rsidR="007F373F" w:rsidRDefault="00000000">
      <w:pPr>
        <w:pStyle w:val="Heading2"/>
      </w:pPr>
      <w:r>
        <w:t>Why the gap persists</w:t>
      </w:r>
    </w:p>
    <w:p w:rsidR="007F373F" w:rsidRDefault="00000000">
      <w:r>
        <w:t>Traditional lenders struggle with MSMEs because incomes are informal, accounts are unaudited, collateral is often residential property rather than business assets, and the cost of physical delivery is high relative to ticket size. Many MSMEs therefore borrow from informal sources at high rates. Gold loans and LAP are the two most natural bridges: both are secured by assets the borrower already owns, both can be underwritten on collateral plus observed cash flow rather than audited financials, and both can be delivered through small branches in the borrower’s own town.</w:t>
      </w:r>
    </w:p>
    <w:p w:rsidR="007F373F" w:rsidRDefault="00000000">
      <w:pPr>
        <w:pStyle w:val="Heading2"/>
      </w:pPr>
      <w:r>
        <w:t>Policy and infrastructure support</w:t>
      </w:r>
    </w:p>
    <w:p w:rsidR="007F373F" w:rsidRDefault="00000000">
      <w:pPr>
        <w:pStyle w:val="ListBullet"/>
      </w:pPr>
      <w:r>
        <w:t>Udyam registration and the Udyam Assist Platform (4.7 crore and 3.2 crore registrations respectively by March 2026) formalise micro-enterprises and create a verifiable identity for lenders.</w:t>
      </w:r>
    </w:p>
    <w:p w:rsidR="007F373F" w:rsidRDefault="00000000">
      <w:pPr>
        <w:pStyle w:val="ListBullet"/>
      </w:pPr>
      <w:r>
        <w:t>The Ministry of MSME’s budgetary outlay has risen steadily over FY20–FY27 (FY26 MD&amp;A chart), funding credit-guarantee schemes, cluster development and production-linked incentives.</w:t>
      </w:r>
    </w:p>
    <w:p w:rsidR="007F373F" w:rsidRDefault="00000000">
      <w:pPr>
        <w:pStyle w:val="ListBullet"/>
      </w:pPr>
      <w:r>
        <w:t>GST returns, bank-statement analysis via Account Aggregator, UPI transaction histories and utility-payment data enable cash-flow-based underwriting of thin-file borrowers while maintaining risk discipline.</w:t>
      </w:r>
    </w:p>
    <w:p w:rsidR="007F373F" w:rsidRDefault="00000000">
      <w:pPr>
        <w:pStyle w:val="ListBullet"/>
      </w:pPr>
      <w:r>
        <w:t>The RBI’s co-lending model lets banks fund priority-sector MSME assets originated by NBFCs, lowering the blended cost of credit for the borrower.</w:t>
      </w:r>
    </w:p>
    <w:p w:rsidR="007F373F" w:rsidRDefault="00000000">
      <w:pPr>
        <w:pStyle w:val="Heading2"/>
      </w:pPr>
      <w:r>
        <w:t>Fedfina’s inclusion footprint</w:t>
      </w:r>
    </w:p>
    <w:p w:rsidR="007F373F" w:rsidRDefault="00000000">
      <w:r>
        <w:t>The company describes itself as “often the first point of access to formal finance” for its customers. At 31 March 2026 it served 3.44 lakh active customers through 757 branches in 17 states and union territories, with 455 customers per branch; gold-loan customers are predominantly traders, owners of service and manufacturing units and their employees seeking short-term working capital, while small-ticket LAP customers are self-employed households on the outskirts of Tier 1 cities and in Tier 2–3 towns. The BRSR frames responsible lending and consumer financial protection as a material issue, and the company runs financial-literacy programmes through educational institutions and self-</w:t>
      </w:r>
      <w:r>
        <w:lastRenderedPageBreak/>
        <w:t>help groups. The social relevance of the business model is therefore direct: each secured loan to an MSME household substitutes formal, regulated credit for informal borrowing.</w:t>
      </w:r>
    </w:p>
    <w:p w:rsidR="007F373F" w:rsidRDefault="00000000">
      <w:r>
        <w:t>Analytically, the size of the gap means that growth is not constrained by demand; it is constrained by the lender’s ability to underwrite, collect and fund profitably – which is why the operating and risk chapters of this report focus on those capabilities.</w:t>
      </w:r>
    </w:p>
    <w:p w:rsidR="007F373F" w:rsidRDefault="00000000">
      <w:pPr>
        <w:pStyle w:val="Heading1"/>
        <w:pageBreakBefore/>
      </w:pPr>
      <w:r>
        <w:lastRenderedPageBreak/>
        <w:t>Regulatory Environment</w:t>
      </w:r>
    </w:p>
    <w:p w:rsidR="007F373F" w:rsidRDefault="00000000">
      <w:r>
        <w:t>As a Middle-Layer NBFC listed on both exchanges with listed debt, Fedfina operates under three regulators – the RBI (prudential and conduct), SEBI (listing, disclosure, insider trading, debt securities) and the Ministry of Corporate Affairs (Companies Act) – in addition to FEMA (for its ECBs), the Prevention of Money Laundering Act and the Digital Personal Data Protection framework. The FY26 secretarial audit report lists ten RBI directions specifically applicable to the company. The most consequential recent change for its largest product is summarised below.</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346"/>
        <w:gridCol w:w="4003"/>
        <w:gridCol w:w="3382"/>
      </w:tblGrid>
      <w:tr w:rsidR="007F373F">
        <w:trPr>
          <w:jc w:val="center"/>
        </w:trPr>
        <w:tc>
          <w:tcPr>
            <w:tcW w:w="2346" w:type="dxa"/>
          </w:tcPr>
          <w:p w:rsidR="007F373F" w:rsidRDefault="00000000">
            <w:pPr>
              <w:spacing w:after="0"/>
              <w:jc w:val="left"/>
            </w:pPr>
            <w:r>
              <w:rPr>
                <w:b/>
                <w:sz w:val="18"/>
              </w:rPr>
              <w:t>RBI Directions on Lending Against Gold Collateral (June 2025; effective 1 April 2026)</w:t>
            </w:r>
          </w:p>
        </w:tc>
        <w:tc>
          <w:tcPr>
            <w:tcW w:w="4003" w:type="dxa"/>
          </w:tcPr>
          <w:p w:rsidR="007F373F" w:rsidRDefault="00000000">
            <w:pPr>
              <w:spacing w:after="0"/>
              <w:jc w:val="left"/>
            </w:pPr>
            <w:r>
              <w:rPr>
                <w:b/>
                <w:sz w:val="18"/>
              </w:rPr>
              <w:t>Provision</w:t>
            </w:r>
          </w:p>
        </w:tc>
        <w:tc>
          <w:tcPr>
            <w:tcW w:w="3382" w:type="dxa"/>
          </w:tcPr>
          <w:p w:rsidR="007F373F" w:rsidRDefault="00000000">
            <w:pPr>
              <w:spacing w:after="0"/>
              <w:jc w:val="left"/>
            </w:pPr>
            <w:r>
              <w:rPr>
                <w:b/>
                <w:sz w:val="18"/>
              </w:rPr>
              <w:t>Implication for Fedfina</w:t>
            </w:r>
          </w:p>
        </w:tc>
      </w:tr>
      <w:tr w:rsidR="007F373F">
        <w:trPr>
          <w:jc w:val="center"/>
        </w:trPr>
        <w:tc>
          <w:tcPr>
            <w:tcW w:w="2346" w:type="dxa"/>
          </w:tcPr>
          <w:p w:rsidR="007F373F" w:rsidRDefault="00000000">
            <w:pPr>
              <w:spacing w:after="0"/>
              <w:jc w:val="left"/>
            </w:pPr>
            <w:r>
              <w:rPr>
                <w:sz w:val="18"/>
              </w:rPr>
              <w:t>Loan-to-value ceiling</w:t>
            </w:r>
          </w:p>
        </w:tc>
        <w:tc>
          <w:tcPr>
            <w:tcW w:w="4003" w:type="dxa"/>
          </w:tcPr>
          <w:p w:rsidR="007F373F" w:rsidRDefault="00000000">
            <w:pPr>
              <w:spacing w:after="0"/>
              <w:jc w:val="left"/>
            </w:pPr>
            <w:r>
              <w:rPr>
                <w:sz w:val="18"/>
              </w:rPr>
              <w:t>Tiered: up to 85% for loans ≤ ₹2.5 lakh; 80% for ₹2.5–5 lakh; 75% above ₹5 lakh (earlier flat 75%)</w:t>
            </w:r>
          </w:p>
        </w:tc>
        <w:tc>
          <w:tcPr>
            <w:tcW w:w="3382" w:type="dxa"/>
          </w:tcPr>
          <w:p w:rsidR="007F373F" w:rsidRDefault="00000000">
            <w:pPr>
              <w:spacing w:after="0"/>
              <w:jc w:val="left"/>
            </w:pPr>
            <w:r>
              <w:rPr>
                <w:sz w:val="18"/>
              </w:rPr>
              <w:t>Average ticket ₹2.7 lakh sits at the boundary; headroom exists but portfolio LTV is held at 60.9%</w:t>
            </w:r>
          </w:p>
        </w:tc>
      </w:tr>
      <w:tr w:rsidR="007F373F">
        <w:trPr>
          <w:jc w:val="center"/>
        </w:trPr>
        <w:tc>
          <w:tcPr>
            <w:tcW w:w="2346" w:type="dxa"/>
          </w:tcPr>
          <w:p w:rsidR="007F373F" w:rsidRDefault="00000000">
            <w:pPr>
              <w:spacing w:after="0"/>
              <w:jc w:val="left"/>
            </w:pPr>
            <w:r>
              <w:rPr>
                <w:sz w:val="18"/>
              </w:rPr>
              <w:t>LTV maintenance</w:t>
            </w:r>
          </w:p>
        </w:tc>
        <w:tc>
          <w:tcPr>
            <w:tcW w:w="4003" w:type="dxa"/>
          </w:tcPr>
          <w:p w:rsidR="007F373F" w:rsidRDefault="00000000">
            <w:pPr>
              <w:spacing w:after="0"/>
              <w:jc w:val="left"/>
            </w:pPr>
            <w:r>
              <w:rPr>
                <w:sz w:val="18"/>
              </w:rPr>
              <w:t>Ceiling must be maintained throughout the tenor, not only at sanction; for bullet loans LTV computed on total amount due at maturity</w:t>
            </w:r>
          </w:p>
        </w:tc>
        <w:tc>
          <w:tcPr>
            <w:tcW w:w="3382" w:type="dxa"/>
          </w:tcPr>
          <w:p w:rsidR="007F373F" w:rsidRDefault="00000000">
            <w:pPr>
              <w:spacing w:after="0"/>
              <w:jc w:val="left"/>
            </w:pPr>
            <w:r>
              <w:rPr>
                <w:sz w:val="18"/>
              </w:rPr>
              <w:t>Requires daily price tracking and systems for top-up/renewal triggers – already in place (gold prices tracked daily)</w:t>
            </w:r>
          </w:p>
        </w:tc>
      </w:tr>
      <w:tr w:rsidR="007F373F">
        <w:trPr>
          <w:jc w:val="center"/>
        </w:trPr>
        <w:tc>
          <w:tcPr>
            <w:tcW w:w="2346" w:type="dxa"/>
          </w:tcPr>
          <w:p w:rsidR="007F373F" w:rsidRDefault="00000000">
            <w:pPr>
              <w:spacing w:after="0"/>
              <w:jc w:val="left"/>
            </w:pPr>
            <w:r>
              <w:rPr>
                <w:sz w:val="18"/>
              </w:rPr>
              <w:t>Credit assessment</w:t>
            </w:r>
          </w:p>
        </w:tc>
        <w:tc>
          <w:tcPr>
            <w:tcW w:w="4003" w:type="dxa"/>
          </w:tcPr>
          <w:p w:rsidR="007F373F" w:rsidRDefault="00000000">
            <w:pPr>
              <w:spacing w:after="0"/>
              <w:jc w:val="left"/>
            </w:pPr>
            <w:r>
              <w:rPr>
                <w:sz w:val="18"/>
              </w:rPr>
              <w:t>Assessment of repayment capacity required for loans above ₹2.5 lakh</w:t>
            </w:r>
          </w:p>
        </w:tc>
        <w:tc>
          <w:tcPr>
            <w:tcW w:w="3382" w:type="dxa"/>
          </w:tcPr>
          <w:p w:rsidR="007F373F" w:rsidRDefault="00000000">
            <w:pPr>
              <w:spacing w:after="0"/>
              <w:jc w:val="left"/>
            </w:pPr>
            <w:r>
              <w:rPr>
                <w:sz w:val="18"/>
              </w:rPr>
              <w:t>Adds underwriting steps for higher tickets; supports the ‘credit infrastructure’ investment noted by the MD&amp;CEO</w:t>
            </w:r>
          </w:p>
        </w:tc>
      </w:tr>
      <w:tr w:rsidR="007F373F">
        <w:trPr>
          <w:jc w:val="center"/>
        </w:trPr>
        <w:tc>
          <w:tcPr>
            <w:tcW w:w="2346" w:type="dxa"/>
          </w:tcPr>
          <w:p w:rsidR="007F373F" w:rsidRDefault="00000000">
            <w:pPr>
              <w:spacing w:after="0"/>
              <w:jc w:val="left"/>
            </w:pPr>
            <w:r>
              <w:rPr>
                <w:sz w:val="18"/>
              </w:rPr>
              <w:t>Renewal / top-up norms</w:t>
            </w:r>
          </w:p>
        </w:tc>
        <w:tc>
          <w:tcPr>
            <w:tcW w:w="4003" w:type="dxa"/>
          </w:tcPr>
          <w:p w:rsidR="007F373F" w:rsidRDefault="00000000">
            <w:pPr>
              <w:spacing w:after="0"/>
              <w:jc w:val="left"/>
            </w:pPr>
            <w:r>
              <w:rPr>
                <w:sz w:val="18"/>
              </w:rPr>
              <w:t>Revised norms for renewal and top-up; interest to be serviced before renewal</w:t>
            </w:r>
          </w:p>
        </w:tc>
        <w:tc>
          <w:tcPr>
            <w:tcW w:w="3382" w:type="dxa"/>
          </w:tcPr>
          <w:p w:rsidR="007F373F" w:rsidRDefault="00000000">
            <w:pPr>
              <w:spacing w:after="0"/>
              <w:jc w:val="left"/>
            </w:pPr>
            <w:r>
              <w:rPr>
                <w:sz w:val="18"/>
              </w:rPr>
              <w:t>Changes rollover behaviour; the FY25 letter already flagged pressure on volumes from revised rollover rules</w:t>
            </w:r>
          </w:p>
        </w:tc>
      </w:tr>
      <w:tr w:rsidR="007F373F">
        <w:trPr>
          <w:jc w:val="center"/>
        </w:trPr>
        <w:tc>
          <w:tcPr>
            <w:tcW w:w="2346" w:type="dxa"/>
          </w:tcPr>
          <w:p w:rsidR="007F373F" w:rsidRDefault="00000000">
            <w:pPr>
              <w:spacing w:after="0"/>
              <w:jc w:val="left"/>
            </w:pPr>
            <w:r>
              <w:rPr>
                <w:sz w:val="18"/>
              </w:rPr>
              <w:t>Conduct</w:t>
            </w:r>
          </w:p>
        </w:tc>
        <w:tc>
          <w:tcPr>
            <w:tcW w:w="4003" w:type="dxa"/>
          </w:tcPr>
          <w:p w:rsidR="007F373F" w:rsidRDefault="00000000">
            <w:pPr>
              <w:spacing w:after="0"/>
              <w:jc w:val="left"/>
            </w:pPr>
            <w:r>
              <w:rPr>
                <w:sz w:val="18"/>
              </w:rPr>
              <w:t>Transparent valuation, return of gold within 7 working days of closure, standardised auction norms and borrower communication</w:t>
            </w:r>
          </w:p>
        </w:tc>
        <w:tc>
          <w:tcPr>
            <w:tcW w:w="3382" w:type="dxa"/>
          </w:tcPr>
          <w:p w:rsidR="007F373F" w:rsidRDefault="00000000">
            <w:pPr>
              <w:spacing w:after="0"/>
              <w:jc w:val="left"/>
            </w:pPr>
            <w:r>
              <w:rPr>
                <w:sz w:val="18"/>
              </w:rPr>
              <w:t>Fedfina auctioned 4,633 accounts in FY26 realising ₹44.0 crore against ₹20.4 crore principal</w:t>
            </w:r>
          </w:p>
        </w:tc>
      </w:tr>
    </w:tbl>
    <w:p w:rsidR="007F373F" w:rsidRDefault="00000000">
      <w:pPr>
        <w:spacing w:before="40" w:after="80"/>
      </w:pPr>
      <w:r>
        <w:rPr>
          <w:i/>
          <w:sz w:val="18"/>
        </w:rPr>
        <w:t>Source: RBI Directions as summarised in EY, ‘RBI gold loan guidelines 2025: impact assessment’ (Feb 2026); Fedfina Annual Report 2025-26 MD&amp;CEO statement p.18 and Directors’ Report p.76.</w:t>
      </w:r>
    </w:p>
    <w:p w:rsidR="007F373F" w:rsidRDefault="00000000">
      <w:pPr>
        <w:pStyle w:val="Heading2"/>
      </w:pPr>
      <w:r>
        <w:t>Other regulations shaping the business</w:t>
      </w:r>
    </w:p>
    <w:p w:rsidR="007F373F" w:rsidRDefault="00000000">
      <w:pPr>
        <w:pStyle w:val="ListBullet"/>
      </w:pPr>
      <w:r>
        <w:rPr>
          <w:b/>
        </w:rPr>
        <w:t xml:space="preserve">Scale-based regulation (SBR) Directions 2025: </w:t>
      </w:r>
      <w:r>
        <w:t>capital (CRAR ≥ 15%), leverage, concentration, liquidity coverage, provisioning floors and the ICAAP policy adopted by Fedfina’s Board.</w:t>
      </w:r>
    </w:p>
    <w:p w:rsidR="007F373F" w:rsidRDefault="00000000">
      <w:pPr>
        <w:pStyle w:val="ListBullet"/>
      </w:pPr>
      <w:r>
        <w:rPr>
          <w:b/>
        </w:rPr>
        <w:t xml:space="preserve">Risk weights on bank lending to NBFCs (November 2023): </w:t>
      </w:r>
      <w:r>
        <w:t>raised sector funding costs and drove diversification; Fedfina responded with a USD 250 million ECB programme (17% of debt) and a CP programme (9%).</w:t>
      </w:r>
    </w:p>
    <w:p w:rsidR="007F373F" w:rsidRDefault="00000000">
      <w:pPr>
        <w:pStyle w:val="ListBullet"/>
      </w:pPr>
      <w:r>
        <w:rPr>
          <w:b/>
        </w:rPr>
        <w:t xml:space="preserve">Cash disbursal limit on gold loans (₹20,000 per year, 2024): </w:t>
      </w:r>
      <w:r>
        <w:t>pushed disbursements to digital channels; over 86% of Fedfina’s e-NACH registrations are digital.</w:t>
      </w:r>
    </w:p>
    <w:p w:rsidR="007F373F" w:rsidRDefault="00000000">
      <w:pPr>
        <w:pStyle w:val="ListBullet"/>
      </w:pPr>
      <w:r>
        <w:rPr>
          <w:b/>
        </w:rPr>
        <w:t xml:space="preserve">Digital Lending Guidelines and DPDP framework: </w:t>
      </w:r>
      <w:r>
        <w:t>consent-based data use, transparency to borrowers, and secure storage – relevant to the BRE, Account Aggregator usage and AI tools.</w:t>
      </w:r>
    </w:p>
    <w:p w:rsidR="007F373F" w:rsidRDefault="00000000">
      <w:pPr>
        <w:pStyle w:val="ListBullet"/>
      </w:pPr>
      <w:r>
        <w:rPr>
          <w:b/>
        </w:rPr>
        <w:t xml:space="preserve">SEBI LODR, SBEB (ESOPs), NCS (listed NCDs/CPs) and PIT regulations: </w:t>
      </w:r>
      <w:r>
        <w:t>three minor BSE fines (₹10,000; ₹1,53,400; ₹10,000) between 2023 and 2026 for filing delays are disclosed; one was later waived.</w:t>
      </w:r>
    </w:p>
    <w:p w:rsidR="007F373F" w:rsidRDefault="00000000">
      <w:pPr>
        <w:pStyle w:val="ListBullet"/>
      </w:pPr>
      <w:r>
        <w:rPr>
          <w:b/>
        </w:rPr>
        <w:t xml:space="preserve">Companies Act / RBI Statutory Audit Directions 2026: </w:t>
      </w:r>
      <w:r>
        <w:t>joint statutory auditors mandatory for NBFCs with assets ≥ ₹15,000 crore – triggered by Fedfina’s ₹16,875 crore balance sheet.</w:t>
      </w:r>
    </w:p>
    <w:p w:rsidR="007F373F" w:rsidRDefault="00000000">
      <w:pPr>
        <w:pStyle w:val="Heading1"/>
        <w:pageBreakBefore/>
      </w:pPr>
      <w:r>
        <w:lastRenderedPageBreak/>
        <w:t>Competitive Landscape and Peer Snapshot</w:t>
      </w:r>
    </w:p>
    <w:p w:rsidR="007F373F" w:rsidRDefault="00000000">
      <w:r>
        <w:t>Fedfina competes with four groups: (1) banks – including its own parent – which hold about 82% of the organised gold-loan market and price medium-ticket LAP aggressively; (2) large gold-loan NBFCs with national branch networks and strong brands; (3) housing finance companies and affordable-housing lenders in small-ticket LAP and home loans; and (4) digital lenders and fintech–NBFC partnerships that compete on convenience in small-ticket credit. The FY26 MD&amp;A notes that well-capitalised banks are expanding retail and MSME lending using lower funding costs, while fintechs scale through data-driven underwriting and embedded finance.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899"/>
        <w:gridCol w:w="1173"/>
        <w:gridCol w:w="1587"/>
        <w:gridCol w:w="1035"/>
        <w:gridCol w:w="897"/>
        <w:gridCol w:w="966"/>
        <w:gridCol w:w="1173"/>
      </w:tblGrid>
      <w:tr w:rsidR="007F373F">
        <w:trPr>
          <w:jc w:val="center"/>
        </w:trPr>
        <w:tc>
          <w:tcPr>
            <w:tcW w:w="2899" w:type="dxa"/>
          </w:tcPr>
          <w:p w:rsidR="007F373F" w:rsidRDefault="00000000">
            <w:pPr>
              <w:spacing w:after="0"/>
              <w:jc w:val="left"/>
            </w:pPr>
            <w:r>
              <w:rPr>
                <w:b/>
                <w:sz w:val="19"/>
              </w:rPr>
              <w:t>Company (FY26, as reported)</w:t>
            </w:r>
          </w:p>
        </w:tc>
        <w:tc>
          <w:tcPr>
            <w:tcW w:w="1173" w:type="dxa"/>
          </w:tcPr>
          <w:p w:rsidR="007F373F" w:rsidRDefault="00000000">
            <w:pPr>
              <w:spacing w:after="0"/>
              <w:jc w:val="left"/>
            </w:pPr>
            <w:r>
              <w:rPr>
                <w:b/>
                <w:sz w:val="19"/>
              </w:rPr>
              <w:t>AUM (₹ cr)</w:t>
            </w:r>
          </w:p>
        </w:tc>
        <w:tc>
          <w:tcPr>
            <w:tcW w:w="1587" w:type="dxa"/>
          </w:tcPr>
          <w:p w:rsidR="007F373F" w:rsidRDefault="00000000">
            <w:pPr>
              <w:spacing w:after="0"/>
              <w:jc w:val="left"/>
            </w:pPr>
            <w:r>
              <w:rPr>
                <w:b/>
                <w:sz w:val="19"/>
              </w:rPr>
              <w:t>Gold-loan AUM (₹ cr)</w:t>
            </w:r>
          </w:p>
        </w:tc>
        <w:tc>
          <w:tcPr>
            <w:tcW w:w="1035" w:type="dxa"/>
          </w:tcPr>
          <w:p w:rsidR="007F373F" w:rsidRDefault="00000000">
            <w:pPr>
              <w:spacing w:after="0"/>
              <w:jc w:val="left"/>
            </w:pPr>
            <w:r>
              <w:rPr>
                <w:b/>
                <w:sz w:val="19"/>
              </w:rPr>
              <w:t>PAT (₹ cr)</w:t>
            </w:r>
          </w:p>
        </w:tc>
        <w:tc>
          <w:tcPr>
            <w:tcW w:w="897" w:type="dxa"/>
          </w:tcPr>
          <w:p w:rsidR="007F373F" w:rsidRDefault="00000000">
            <w:pPr>
              <w:spacing w:after="0"/>
              <w:jc w:val="left"/>
            </w:pPr>
            <w:r>
              <w:rPr>
                <w:b/>
                <w:sz w:val="19"/>
              </w:rPr>
              <w:t>CRAR (%)</w:t>
            </w:r>
          </w:p>
        </w:tc>
        <w:tc>
          <w:tcPr>
            <w:tcW w:w="966" w:type="dxa"/>
          </w:tcPr>
          <w:p w:rsidR="007F373F" w:rsidRDefault="00000000">
            <w:pPr>
              <w:spacing w:after="0"/>
              <w:jc w:val="left"/>
            </w:pPr>
            <w:r>
              <w:rPr>
                <w:b/>
                <w:sz w:val="19"/>
              </w:rPr>
              <w:t>Branches</w:t>
            </w:r>
          </w:p>
        </w:tc>
        <w:tc>
          <w:tcPr>
            <w:tcW w:w="1173" w:type="dxa"/>
          </w:tcPr>
          <w:p w:rsidR="007F373F" w:rsidRDefault="00000000">
            <w:pPr>
              <w:spacing w:after="0"/>
              <w:jc w:val="left"/>
            </w:pPr>
            <w:r>
              <w:rPr>
                <w:b/>
                <w:sz w:val="19"/>
              </w:rPr>
              <w:t>GNPA / NNPA (%)</w:t>
            </w:r>
          </w:p>
        </w:tc>
      </w:tr>
      <w:tr w:rsidR="007F373F">
        <w:trPr>
          <w:jc w:val="center"/>
        </w:trPr>
        <w:tc>
          <w:tcPr>
            <w:tcW w:w="2899" w:type="dxa"/>
          </w:tcPr>
          <w:p w:rsidR="007F373F" w:rsidRDefault="00000000">
            <w:pPr>
              <w:spacing w:after="0"/>
              <w:jc w:val="left"/>
            </w:pPr>
            <w:r>
              <w:rPr>
                <w:sz w:val="19"/>
              </w:rPr>
              <w:t>Fedbank Financial Services (standalone)</w:t>
            </w:r>
          </w:p>
        </w:tc>
        <w:tc>
          <w:tcPr>
            <w:tcW w:w="1173" w:type="dxa"/>
          </w:tcPr>
          <w:p w:rsidR="007F373F" w:rsidRDefault="00000000">
            <w:pPr>
              <w:spacing w:after="0"/>
              <w:jc w:val="right"/>
            </w:pPr>
            <w:r>
              <w:rPr>
                <w:sz w:val="19"/>
              </w:rPr>
              <w:t>20,153</w:t>
            </w:r>
          </w:p>
        </w:tc>
        <w:tc>
          <w:tcPr>
            <w:tcW w:w="1587" w:type="dxa"/>
          </w:tcPr>
          <w:p w:rsidR="007F373F" w:rsidRDefault="00000000">
            <w:pPr>
              <w:spacing w:after="0"/>
              <w:jc w:val="left"/>
            </w:pPr>
            <w:r>
              <w:rPr>
                <w:sz w:val="19"/>
              </w:rPr>
              <w:t>10,352 (51%)</w:t>
            </w:r>
          </w:p>
        </w:tc>
        <w:tc>
          <w:tcPr>
            <w:tcW w:w="1035" w:type="dxa"/>
          </w:tcPr>
          <w:p w:rsidR="007F373F" w:rsidRDefault="00000000">
            <w:pPr>
              <w:spacing w:after="0"/>
              <w:jc w:val="right"/>
            </w:pPr>
            <w:r>
              <w:rPr>
                <w:sz w:val="19"/>
              </w:rPr>
              <w:t>343.6</w:t>
            </w:r>
          </w:p>
        </w:tc>
        <w:tc>
          <w:tcPr>
            <w:tcW w:w="897" w:type="dxa"/>
          </w:tcPr>
          <w:p w:rsidR="007F373F" w:rsidRDefault="00000000">
            <w:pPr>
              <w:spacing w:after="0"/>
              <w:jc w:val="right"/>
            </w:pPr>
            <w:r>
              <w:rPr>
                <w:sz w:val="19"/>
              </w:rPr>
              <w:t>22.4</w:t>
            </w:r>
          </w:p>
        </w:tc>
        <w:tc>
          <w:tcPr>
            <w:tcW w:w="966" w:type="dxa"/>
          </w:tcPr>
          <w:p w:rsidR="007F373F" w:rsidRDefault="00000000">
            <w:pPr>
              <w:spacing w:after="0"/>
              <w:jc w:val="right"/>
            </w:pPr>
            <w:r>
              <w:rPr>
                <w:sz w:val="19"/>
              </w:rPr>
              <w:t>757</w:t>
            </w:r>
          </w:p>
        </w:tc>
        <w:tc>
          <w:tcPr>
            <w:tcW w:w="1173" w:type="dxa"/>
          </w:tcPr>
          <w:p w:rsidR="007F373F" w:rsidRDefault="00000000">
            <w:pPr>
              <w:spacing w:after="0"/>
              <w:jc w:val="left"/>
            </w:pPr>
            <w:r>
              <w:rPr>
                <w:sz w:val="19"/>
              </w:rPr>
              <w:t>1.9 / 1.3</w:t>
            </w:r>
          </w:p>
        </w:tc>
      </w:tr>
      <w:tr w:rsidR="007F373F">
        <w:trPr>
          <w:jc w:val="center"/>
        </w:trPr>
        <w:tc>
          <w:tcPr>
            <w:tcW w:w="2899" w:type="dxa"/>
          </w:tcPr>
          <w:p w:rsidR="007F373F" w:rsidRDefault="00000000">
            <w:pPr>
              <w:spacing w:after="0"/>
              <w:jc w:val="left"/>
            </w:pPr>
            <w:r>
              <w:rPr>
                <w:sz w:val="19"/>
              </w:rPr>
              <w:t>Muthoot Finance (standalone)</w:t>
            </w:r>
          </w:p>
        </w:tc>
        <w:tc>
          <w:tcPr>
            <w:tcW w:w="1173" w:type="dxa"/>
          </w:tcPr>
          <w:p w:rsidR="007F373F" w:rsidRDefault="00000000">
            <w:pPr>
              <w:spacing w:after="0"/>
              <w:jc w:val="right"/>
            </w:pPr>
            <w:r>
              <w:rPr>
                <w:sz w:val="19"/>
              </w:rPr>
              <w:t>1,62,826</w:t>
            </w:r>
          </w:p>
        </w:tc>
        <w:tc>
          <w:tcPr>
            <w:tcW w:w="1587" w:type="dxa"/>
          </w:tcPr>
          <w:p w:rsidR="007F373F" w:rsidRDefault="00000000">
            <w:pPr>
              <w:spacing w:after="0"/>
              <w:jc w:val="left"/>
            </w:pPr>
            <w:r>
              <w:rPr>
                <w:sz w:val="19"/>
              </w:rPr>
              <w:t>1,65,030 (consol.)</w:t>
            </w:r>
          </w:p>
        </w:tc>
        <w:tc>
          <w:tcPr>
            <w:tcW w:w="1035" w:type="dxa"/>
          </w:tcPr>
          <w:p w:rsidR="007F373F" w:rsidRDefault="00000000">
            <w:pPr>
              <w:spacing w:after="0"/>
              <w:jc w:val="right"/>
            </w:pPr>
            <w:r>
              <w:rPr>
                <w:sz w:val="19"/>
              </w:rPr>
              <w:t>10,134</w:t>
            </w:r>
          </w:p>
        </w:tc>
        <w:tc>
          <w:tcPr>
            <w:tcW w:w="897" w:type="dxa"/>
          </w:tcPr>
          <w:p w:rsidR="007F373F" w:rsidRDefault="00000000">
            <w:pPr>
              <w:spacing w:after="0"/>
              <w:jc w:val="right"/>
            </w:pPr>
            <w:r>
              <w:rPr>
                <w:sz w:val="19"/>
              </w:rPr>
              <w:t>20.75</w:t>
            </w:r>
          </w:p>
        </w:tc>
        <w:tc>
          <w:tcPr>
            <w:tcW w:w="966" w:type="dxa"/>
          </w:tcPr>
          <w:p w:rsidR="007F373F" w:rsidRDefault="00000000">
            <w:pPr>
              <w:spacing w:after="0"/>
              <w:jc w:val="right"/>
            </w:pPr>
            <w:r>
              <w:rPr>
                <w:sz w:val="19"/>
              </w:rPr>
              <w:t>7,568</w:t>
            </w:r>
          </w:p>
        </w:tc>
        <w:tc>
          <w:tcPr>
            <w:tcW w:w="1173" w:type="dxa"/>
          </w:tcPr>
          <w:p w:rsidR="007F373F" w:rsidRDefault="00000000">
            <w:pPr>
              <w:spacing w:after="0"/>
              <w:jc w:val="right"/>
            </w:pPr>
            <w:r>
              <w:rPr>
                <w:sz w:val="19"/>
              </w:rPr>
              <w:t>n.a.</w:t>
            </w:r>
          </w:p>
        </w:tc>
      </w:tr>
      <w:tr w:rsidR="007F373F">
        <w:trPr>
          <w:jc w:val="center"/>
        </w:trPr>
        <w:tc>
          <w:tcPr>
            <w:tcW w:w="2899" w:type="dxa"/>
          </w:tcPr>
          <w:p w:rsidR="007F373F" w:rsidRDefault="00000000">
            <w:pPr>
              <w:spacing w:after="0"/>
              <w:jc w:val="left"/>
            </w:pPr>
            <w:r>
              <w:rPr>
                <w:sz w:val="19"/>
              </w:rPr>
              <w:t>Manappuram Finance (consolidated)</w:t>
            </w:r>
          </w:p>
        </w:tc>
        <w:tc>
          <w:tcPr>
            <w:tcW w:w="1173" w:type="dxa"/>
          </w:tcPr>
          <w:p w:rsidR="007F373F" w:rsidRDefault="00000000">
            <w:pPr>
              <w:spacing w:after="0"/>
              <w:jc w:val="right"/>
            </w:pPr>
            <w:r>
              <w:rPr>
                <w:sz w:val="19"/>
              </w:rPr>
              <w:t>63,798</w:t>
            </w:r>
          </w:p>
        </w:tc>
        <w:tc>
          <w:tcPr>
            <w:tcW w:w="1587" w:type="dxa"/>
          </w:tcPr>
          <w:p w:rsidR="007F373F" w:rsidRDefault="00000000">
            <w:pPr>
              <w:spacing w:after="0"/>
              <w:jc w:val="left"/>
            </w:pPr>
            <w:r>
              <w:rPr>
                <w:sz w:val="19"/>
              </w:rPr>
              <w:t>50,953 (80%)</w:t>
            </w:r>
          </w:p>
        </w:tc>
        <w:tc>
          <w:tcPr>
            <w:tcW w:w="1035" w:type="dxa"/>
          </w:tcPr>
          <w:p w:rsidR="007F373F" w:rsidRDefault="00000000">
            <w:pPr>
              <w:spacing w:after="0"/>
              <w:jc w:val="right"/>
            </w:pPr>
            <w:r>
              <w:rPr>
                <w:sz w:val="19"/>
              </w:rPr>
              <w:t>993</w:t>
            </w:r>
          </w:p>
        </w:tc>
        <w:tc>
          <w:tcPr>
            <w:tcW w:w="897" w:type="dxa"/>
          </w:tcPr>
          <w:p w:rsidR="007F373F" w:rsidRDefault="00000000">
            <w:pPr>
              <w:spacing w:after="0"/>
              <w:jc w:val="right"/>
            </w:pPr>
            <w:r>
              <w:rPr>
                <w:sz w:val="19"/>
              </w:rPr>
              <w:t>21.3</w:t>
            </w:r>
          </w:p>
        </w:tc>
        <w:tc>
          <w:tcPr>
            <w:tcW w:w="966" w:type="dxa"/>
          </w:tcPr>
          <w:p w:rsidR="007F373F" w:rsidRDefault="00000000">
            <w:pPr>
              <w:spacing w:after="0"/>
              <w:jc w:val="right"/>
            </w:pPr>
            <w:r>
              <w:rPr>
                <w:sz w:val="19"/>
              </w:rPr>
              <w:t>n.a.</w:t>
            </w:r>
          </w:p>
        </w:tc>
        <w:tc>
          <w:tcPr>
            <w:tcW w:w="1173" w:type="dxa"/>
          </w:tcPr>
          <w:p w:rsidR="007F373F" w:rsidRDefault="00000000">
            <w:pPr>
              <w:spacing w:after="0"/>
              <w:jc w:val="right"/>
            </w:pPr>
            <w:r>
              <w:rPr>
                <w:sz w:val="19"/>
              </w:rPr>
              <w:t>n.a.</w:t>
            </w:r>
          </w:p>
        </w:tc>
      </w:tr>
    </w:tbl>
    <w:p w:rsidR="007F373F" w:rsidRDefault="00000000">
      <w:pPr>
        <w:spacing w:before="40" w:after="80"/>
      </w:pPr>
      <w:r>
        <w:rPr>
          <w:i/>
          <w:sz w:val="18"/>
        </w:rPr>
        <w:t>Source: Fedfina: Fedfina Annual Report 2025-26. Muthoot Finance and Manappuram Finance: FY26 results as reported in results coverage (Investywise, 14 May 2026; IndiaInfoline Directors’ Report extract; Yahoo Finance Q4 FY26 call transcript, 4 May 2026; Multibagg, 10 May 2026). Bases differ (standalone/consolidated); see bibliography.</w:t>
      </w:r>
    </w:p>
    <w:p w:rsidR="007F373F" w:rsidRDefault="00000000">
      <w:r>
        <w:t>The snapshot shows the scale gap: Muthoot’s standalone AUM is about eight times Fedfina’s total book and Manappuram’s consolidated AUM about three times. All three grew gold AUM rapidly in FY26 on the back of record gold prices (Muthoot and Manappuram reported AUM growth of roughly 50% and 48% respectively, Fedfina’s gold AUM grew 76% from a smaller base). Capital adequacy is similar across the three (20.8%–22.4%). Fedfina’s distinguishing features are its bank parentage, its mortgage “second engine” (46.5% of AUM) and a credit-cost profile that, after the FY25 reset, is now within the sub-1% range management targets.</w:t>
      </w:r>
    </w:p>
    <w:p w:rsidR="007F373F" w:rsidRDefault="00000000">
      <w:pPr>
        <w:pStyle w:val="Heading2"/>
      </w:pPr>
      <w:r>
        <w:t>Basis of competition</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208"/>
        <w:gridCol w:w="7523"/>
      </w:tblGrid>
      <w:tr w:rsidR="007F373F">
        <w:trPr>
          <w:jc w:val="center"/>
        </w:trPr>
        <w:tc>
          <w:tcPr>
            <w:tcW w:w="2208" w:type="dxa"/>
          </w:tcPr>
          <w:p w:rsidR="007F373F" w:rsidRDefault="00000000">
            <w:pPr>
              <w:spacing w:after="0"/>
              <w:jc w:val="left"/>
            </w:pPr>
            <w:r>
              <w:rPr>
                <w:b/>
                <w:sz w:val="19"/>
              </w:rPr>
              <w:t>Dimension</w:t>
            </w:r>
          </w:p>
        </w:tc>
        <w:tc>
          <w:tcPr>
            <w:tcW w:w="7523" w:type="dxa"/>
          </w:tcPr>
          <w:p w:rsidR="007F373F" w:rsidRDefault="00000000">
            <w:pPr>
              <w:spacing w:after="0"/>
              <w:jc w:val="left"/>
            </w:pPr>
            <w:r>
              <w:rPr>
                <w:b/>
                <w:sz w:val="19"/>
              </w:rPr>
              <w:t>Fedfina position (FY26 disclosures)</w:t>
            </w:r>
          </w:p>
        </w:tc>
      </w:tr>
      <w:tr w:rsidR="007F373F">
        <w:trPr>
          <w:jc w:val="center"/>
        </w:trPr>
        <w:tc>
          <w:tcPr>
            <w:tcW w:w="2208" w:type="dxa"/>
          </w:tcPr>
          <w:p w:rsidR="007F373F" w:rsidRDefault="00000000">
            <w:pPr>
              <w:spacing w:after="0"/>
              <w:jc w:val="left"/>
            </w:pPr>
            <w:r>
              <w:rPr>
                <w:sz w:val="19"/>
              </w:rPr>
              <w:t>Price / cost of funds</w:t>
            </w:r>
          </w:p>
        </w:tc>
        <w:tc>
          <w:tcPr>
            <w:tcW w:w="7523" w:type="dxa"/>
          </w:tcPr>
          <w:p w:rsidR="007F373F" w:rsidRDefault="00000000">
            <w:pPr>
              <w:spacing w:after="0"/>
              <w:jc w:val="left"/>
            </w:pPr>
            <w:r>
              <w:rPr>
                <w:sz w:val="19"/>
              </w:rPr>
              <w:t>AA+/Stable from four agencies; Q4 cost of borrowing 7.83%; bank parent among 41 lenders – competitive for an NBFC but above banks</w:t>
            </w:r>
          </w:p>
        </w:tc>
      </w:tr>
      <w:tr w:rsidR="007F373F">
        <w:trPr>
          <w:jc w:val="center"/>
        </w:trPr>
        <w:tc>
          <w:tcPr>
            <w:tcW w:w="2208" w:type="dxa"/>
          </w:tcPr>
          <w:p w:rsidR="007F373F" w:rsidRDefault="00000000">
            <w:pPr>
              <w:spacing w:after="0"/>
              <w:jc w:val="left"/>
            </w:pPr>
            <w:r>
              <w:rPr>
                <w:sz w:val="19"/>
              </w:rPr>
              <w:t>Speed and convenience</w:t>
            </w:r>
          </w:p>
        </w:tc>
        <w:tc>
          <w:tcPr>
            <w:tcW w:w="7523" w:type="dxa"/>
          </w:tcPr>
          <w:p w:rsidR="007F373F" w:rsidRDefault="00000000">
            <w:pPr>
              <w:spacing w:after="0"/>
              <w:jc w:val="left"/>
            </w:pPr>
            <w:r>
              <w:rPr>
                <w:sz w:val="19"/>
              </w:rPr>
              <w:t>10-day approval and 15-day disbursement TAT for mortgages; doorstep gold loans (₹1,730 cr AUM, +108%); 35% of service requests auto-served by bots</w:t>
            </w:r>
          </w:p>
        </w:tc>
      </w:tr>
      <w:tr w:rsidR="007F373F">
        <w:trPr>
          <w:jc w:val="center"/>
        </w:trPr>
        <w:tc>
          <w:tcPr>
            <w:tcW w:w="2208" w:type="dxa"/>
          </w:tcPr>
          <w:p w:rsidR="007F373F" w:rsidRDefault="00000000">
            <w:pPr>
              <w:spacing w:after="0"/>
              <w:jc w:val="left"/>
            </w:pPr>
            <w:r>
              <w:rPr>
                <w:sz w:val="19"/>
              </w:rPr>
              <w:t>Distribution</w:t>
            </w:r>
          </w:p>
        </w:tc>
        <w:tc>
          <w:tcPr>
            <w:tcW w:w="7523" w:type="dxa"/>
          </w:tcPr>
          <w:p w:rsidR="007F373F" w:rsidRDefault="00000000">
            <w:pPr>
              <w:spacing w:after="0"/>
              <w:jc w:val="left"/>
            </w:pPr>
            <w:r>
              <w:rPr>
                <w:sz w:val="19"/>
              </w:rPr>
              <w:t>757 branches, 17 states; field outreach within ~30 km of branches; 200+ connectors and trader partners; ~75% in-house sourcing</w:t>
            </w:r>
          </w:p>
        </w:tc>
      </w:tr>
      <w:tr w:rsidR="007F373F">
        <w:trPr>
          <w:jc w:val="center"/>
        </w:trPr>
        <w:tc>
          <w:tcPr>
            <w:tcW w:w="2208" w:type="dxa"/>
          </w:tcPr>
          <w:p w:rsidR="007F373F" w:rsidRDefault="00000000">
            <w:pPr>
              <w:spacing w:after="0"/>
              <w:jc w:val="left"/>
            </w:pPr>
            <w:r>
              <w:rPr>
                <w:sz w:val="19"/>
              </w:rPr>
              <w:t>Brand and trust</w:t>
            </w:r>
          </w:p>
        </w:tc>
        <w:tc>
          <w:tcPr>
            <w:tcW w:w="7523" w:type="dxa"/>
          </w:tcPr>
          <w:p w:rsidR="007F373F" w:rsidRDefault="00000000">
            <w:pPr>
              <w:spacing w:after="0"/>
              <w:jc w:val="left"/>
            </w:pPr>
            <w:r>
              <w:rPr>
                <w:sz w:val="19"/>
              </w:rPr>
              <w:t>Google reviews up from ~1,500 to 7,500+ at 4.58/5; 85% positive customer-satisfaction score; Federal Bank association</w:t>
            </w:r>
          </w:p>
        </w:tc>
      </w:tr>
      <w:tr w:rsidR="007F373F">
        <w:trPr>
          <w:jc w:val="center"/>
        </w:trPr>
        <w:tc>
          <w:tcPr>
            <w:tcW w:w="2208" w:type="dxa"/>
          </w:tcPr>
          <w:p w:rsidR="007F373F" w:rsidRDefault="00000000">
            <w:pPr>
              <w:spacing w:after="0"/>
              <w:jc w:val="left"/>
            </w:pPr>
            <w:r>
              <w:rPr>
                <w:sz w:val="19"/>
              </w:rPr>
              <w:t>Underwriting and risk</w:t>
            </w:r>
          </w:p>
        </w:tc>
        <w:tc>
          <w:tcPr>
            <w:tcW w:w="7523" w:type="dxa"/>
          </w:tcPr>
          <w:p w:rsidR="007F373F" w:rsidRDefault="00000000">
            <w:pPr>
              <w:spacing w:after="0"/>
              <w:jc w:val="left"/>
            </w:pPr>
            <w:r>
              <w:rPr>
                <w:sz w:val="19"/>
              </w:rPr>
              <w:t>~76% of mortgage AUM from CIBIL &gt;700 customers; 82.2% self-occupied collateral; portfolio gold LTV 60.9% vs regulatory 75–85%</w:t>
            </w:r>
          </w:p>
        </w:tc>
      </w:tr>
      <w:tr w:rsidR="007F373F">
        <w:trPr>
          <w:jc w:val="center"/>
        </w:trPr>
        <w:tc>
          <w:tcPr>
            <w:tcW w:w="2208" w:type="dxa"/>
          </w:tcPr>
          <w:p w:rsidR="007F373F" w:rsidRDefault="00000000">
            <w:pPr>
              <w:spacing w:after="0"/>
              <w:jc w:val="left"/>
            </w:pPr>
            <w:r>
              <w:rPr>
                <w:sz w:val="19"/>
              </w:rPr>
              <w:t>Capital efficiency</w:t>
            </w:r>
          </w:p>
        </w:tc>
        <w:tc>
          <w:tcPr>
            <w:tcW w:w="7523" w:type="dxa"/>
          </w:tcPr>
          <w:p w:rsidR="007F373F" w:rsidRDefault="00000000">
            <w:pPr>
              <w:spacing w:after="0"/>
              <w:jc w:val="left"/>
            </w:pPr>
            <w:r>
              <w:rPr>
                <w:sz w:val="19"/>
              </w:rPr>
              <w:t>Co-lending and DA (12.1% of AUM off-book); ECB and CP diversify funding; Tier II raised via ₹450 cr subordinated debt</w:t>
            </w:r>
          </w:p>
        </w:tc>
      </w:tr>
    </w:tbl>
    <w:p w:rsidR="007F373F" w:rsidRDefault="007F373F">
      <w:pPr>
        <w:spacing w:after="40"/>
      </w:pPr>
    </w:p>
    <w:p w:rsidR="007F373F" w:rsidRDefault="00000000">
      <w:r>
        <w:t>The competitive conclusion is that Fedfina is a mid-sized specialist in a market led by much larger players, and must therefore compete on execution quality, local presence and the complementarity of its two products rather than on scale or price alone.</w:t>
      </w:r>
    </w:p>
    <w:p w:rsidR="007F373F" w:rsidRDefault="00000000">
      <w:pPr>
        <w:pStyle w:val="Heading1"/>
        <w:pageBreakBefore/>
      </w:pPr>
      <w:r>
        <w:lastRenderedPageBreak/>
        <w:t>Industry Opportunities</w:t>
      </w:r>
    </w:p>
    <w:p w:rsidR="007F373F" w:rsidRDefault="00000000">
      <w:r>
        <w:t>The sector chapters above point to a set of opportunities that are structural rather than cyclical. They are listed below with the evidence that supports each and the way Fedfina is positioned to capture it.</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070"/>
        <w:gridCol w:w="4003"/>
        <w:gridCol w:w="3658"/>
      </w:tblGrid>
      <w:tr w:rsidR="007F373F">
        <w:trPr>
          <w:jc w:val="center"/>
        </w:trPr>
        <w:tc>
          <w:tcPr>
            <w:tcW w:w="2070" w:type="dxa"/>
          </w:tcPr>
          <w:p w:rsidR="007F373F" w:rsidRDefault="00000000">
            <w:pPr>
              <w:spacing w:after="0"/>
              <w:jc w:val="left"/>
            </w:pPr>
            <w:r>
              <w:rPr>
                <w:b/>
                <w:sz w:val="19"/>
              </w:rPr>
              <w:t>Opportunity</w:t>
            </w:r>
          </w:p>
        </w:tc>
        <w:tc>
          <w:tcPr>
            <w:tcW w:w="4003" w:type="dxa"/>
          </w:tcPr>
          <w:p w:rsidR="007F373F" w:rsidRDefault="00000000">
            <w:pPr>
              <w:spacing w:after="0"/>
              <w:jc w:val="left"/>
            </w:pPr>
            <w:r>
              <w:rPr>
                <w:b/>
                <w:sz w:val="19"/>
              </w:rPr>
              <w:t>Evidence (source)</w:t>
            </w:r>
          </w:p>
        </w:tc>
        <w:tc>
          <w:tcPr>
            <w:tcW w:w="3658" w:type="dxa"/>
          </w:tcPr>
          <w:p w:rsidR="007F373F" w:rsidRDefault="00000000">
            <w:pPr>
              <w:spacing w:after="0"/>
              <w:jc w:val="left"/>
            </w:pPr>
            <w:r>
              <w:rPr>
                <w:b/>
                <w:sz w:val="19"/>
              </w:rPr>
              <w:t>Fedfina positioning</w:t>
            </w:r>
          </w:p>
        </w:tc>
      </w:tr>
      <w:tr w:rsidR="007F373F">
        <w:trPr>
          <w:jc w:val="center"/>
        </w:trPr>
        <w:tc>
          <w:tcPr>
            <w:tcW w:w="2070" w:type="dxa"/>
          </w:tcPr>
          <w:p w:rsidR="007F373F" w:rsidRDefault="00000000">
            <w:pPr>
              <w:spacing w:after="0"/>
              <w:jc w:val="left"/>
            </w:pPr>
            <w:r>
              <w:rPr>
                <w:sz w:val="19"/>
              </w:rPr>
              <w:t>Under-penetrated formal credit</w:t>
            </w:r>
          </w:p>
        </w:tc>
        <w:tc>
          <w:tcPr>
            <w:tcW w:w="4003" w:type="dxa"/>
          </w:tcPr>
          <w:p w:rsidR="007F373F" w:rsidRDefault="00000000">
            <w:pPr>
              <w:spacing w:after="0"/>
              <w:jc w:val="left"/>
            </w:pPr>
            <w:r>
              <w:rPr>
                <w:sz w:val="19"/>
              </w:rPr>
              <w:t>Household credit/GDP 42% vs 60–76% in China, US, UK; bank credit/GDP ≈56% (AR26 Chairman and MD&amp;CEO)</w:t>
            </w:r>
          </w:p>
        </w:tc>
        <w:tc>
          <w:tcPr>
            <w:tcW w:w="3658" w:type="dxa"/>
          </w:tcPr>
          <w:p w:rsidR="007F373F" w:rsidRDefault="00000000">
            <w:pPr>
              <w:spacing w:after="0"/>
              <w:jc w:val="left"/>
            </w:pPr>
            <w:r>
              <w:rPr>
                <w:sz w:val="19"/>
              </w:rPr>
              <w:t>Secured products designed for self-employed and MSME borrowers; 757 branches in Tier 2–4 markets</w:t>
            </w:r>
          </w:p>
        </w:tc>
      </w:tr>
      <w:tr w:rsidR="007F373F">
        <w:trPr>
          <w:jc w:val="center"/>
        </w:trPr>
        <w:tc>
          <w:tcPr>
            <w:tcW w:w="2070" w:type="dxa"/>
          </w:tcPr>
          <w:p w:rsidR="007F373F" w:rsidRDefault="00000000">
            <w:pPr>
              <w:spacing w:after="0"/>
              <w:jc w:val="left"/>
            </w:pPr>
            <w:r>
              <w:rPr>
                <w:sz w:val="19"/>
              </w:rPr>
              <w:t>Gold-loan market growth</w:t>
            </w:r>
          </w:p>
        </w:tc>
        <w:tc>
          <w:tcPr>
            <w:tcW w:w="4003" w:type="dxa"/>
          </w:tcPr>
          <w:p w:rsidR="007F373F" w:rsidRDefault="00000000">
            <w:pPr>
              <w:spacing w:after="0"/>
              <w:jc w:val="left"/>
            </w:pPr>
            <w:r>
              <w:rPr>
                <w:sz w:val="19"/>
              </w:rPr>
              <w:t>Organised market &gt; ₹15 lakh crore FY26 → ≈ ₹18 lakh crore FY27 (ICRA); NBFC concentration easing</w:t>
            </w:r>
          </w:p>
        </w:tc>
        <w:tc>
          <w:tcPr>
            <w:tcW w:w="3658" w:type="dxa"/>
          </w:tcPr>
          <w:p w:rsidR="007F373F" w:rsidRDefault="00000000">
            <w:pPr>
              <w:spacing w:after="0"/>
              <w:jc w:val="left"/>
            </w:pPr>
            <w:r>
              <w:rPr>
                <w:sz w:val="19"/>
              </w:rPr>
              <w:t>Gold AUM +76% to ₹10,352 cr; 12.6 t under custody; doorstep channel; 148 new branches</w:t>
            </w:r>
          </w:p>
        </w:tc>
      </w:tr>
      <w:tr w:rsidR="007F373F">
        <w:trPr>
          <w:jc w:val="center"/>
        </w:trPr>
        <w:tc>
          <w:tcPr>
            <w:tcW w:w="2070" w:type="dxa"/>
          </w:tcPr>
          <w:p w:rsidR="007F373F" w:rsidRDefault="00000000">
            <w:pPr>
              <w:spacing w:after="0"/>
              <w:jc w:val="left"/>
            </w:pPr>
            <w:r>
              <w:rPr>
                <w:sz w:val="19"/>
              </w:rPr>
              <w:t>Shift from unsecured to secured</w:t>
            </w:r>
          </w:p>
        </w:tc>
        <w:tc>
          <w:tcPr>
            <w:tcW w:w="4003" w:type="dxa"/>
          </w:tcPr>
          <w:p w:rsidR="007F373F" w:rsidRDefault="00000000">
            <w:pPr>
              <w:spacing w:after="0"/>
              <w:jc w:val="left"/>
            </w:pPr>
            <w:r>
              <w:rPr>
                <w:sz w:val="19"/>
              </w:rPr>
              <w:t>Stress in personal loans/microfinance (AR26 MD&amp;A); borrower migration to gold loans</w:t>
            </w:r>
          </w:p>
        </w:tc>
        <w:tc>
          <w:tcPr>
            <w:tcW w:w="3658" w:type="dxa"/>
          </w:tcPr>
          <w:p w:rsidR="007F373F" w:rsidRDefault="00000000">
            <w:pPr>
              <w:spacing w:after="0"/>
              <w:jc w:val="left"/>
            </w:pPr>
            <w:r>
              <w:rPr>
                <w:sz w:val="19"/>
              </w:rPr>
              <w:t>98.9% secured AUM; business-loan book fully assigned (₹886 cr) in H1 FY26</w:t>
            </w:r>
          </w:p>
        </w:tc>
      </w:tr>
      <w:tr w:rsidR="007F373F">
        <w:trPr>
          <w:jc w:val="center"/>
        </w:trPr>
        <w:tc>
          <w:tcPr>
            <w:tcW w:w="2070" w:type="dxa"/>
          </w:tcPr>
          <w:p w:rsidR="007F373F" w:rsidRDefault="00000000">
            <w:pPr>
              <w:spacing w:after="0"/>
              <w:jc w:val="left"/>
            </w:pPr>
            <w:r>
              <w:rPr>
                <w:sz w:val="19"/>
              </w:rPr>
              <w:t>MSME LAP demand</w:t>
            </w:r>
          </w:p>
        </w:tc>
        <w:tc>
          <w:tcPr>
            <w:tcW w:w="4003" w:type="dxa"/>
          </w:tcPr>
          <w:p w:rsidR="007F373F" w:rsidRDefault="00000000">
            <w:pPr>
              <w:spacing w:after="0"/>
              <w:jc w:val="left"/>
            </w:pPr>
            <w:r>
              <w:rPr>
                <w:sz w:val="19"/>
              </w:rPr>
              <w:t>Secured MSME-LAP projected +16–18% p.a. to FY28; 7.47 cr MSMEs; ₹92 tn credit gap</w:t>
            </w:r>
          </w:p>
        </w:tc>
        <w:tc>
          <w:tcPr>
            <w:tcW w:w="3658" w:type="dxa"/>
          </w:tcPr>
          <w:p w:rsidR="007F373F" w:rsidRDefault="00000000">
            <w:pPr>
              <w:spacing w:after="0"/>
              <w:jc w:val="left"/>
            </w:pPr>
            <w:r>
              <w:rPr>
                <w:sz w:val="19"/>
              </w:rPr>
              <w:t>MT LAP ₹5,570 cr (+ steady disbursements); ST LAP rebuilt on BRE; 70 co-located MSME hubs</w:t>
            </w:r>
          </w:p>
        </w:tc>
      </w:tr>
      <w:tr w:rsidR="007F373F">
        <w:trPr>
          <w:jc w:val="center"/>
        </w:trPr>
        <w:tc>
          <w:tcPr>
            <w:tcW w:w="2070" w:type="dxa"/>
          </w:tcPr>
          <w:p w:rsidR="007F373F" w:rsidRDefault="00000000">
            <w:pPr>
              <w:spacing w:after="0"/>
              <w:jc w:val="left"/>
            </w:pPr>
            <w:r>
              <w:rPr>
                <w:sz w:val="19"/>
              </w:rPr>
              <w:t>Falling rate cycle</w:t>
            </w:r>
          </w:p>
        </w:tc>
        <w:tc>
          <w:tcPr>
            <w:tcW w:w="4003" w:type="dxa"/>
          </w:tcPr>
          <w:p w:rsidR="007F373F" w:rsidRDefault="00000000">
            <w:pPr>
              <w:spacing w:after="0"/>
              <w:jc w:val="left"/>
            </w:pPr>
            <w:r>
              <w:rPr>
                <w:sz w:val="19"/>
              </w:rPr>
              <w:t>Repo cut 125 bps to 5.25%; cost of borrowing 8.72% → 7.83% (Q4 to Q4)</w:t>
            </w:r>
          </w:p>
        </w:tc>
        <w:tc>
          <w:tcPr>
            <w:tcW w:w="3658" w:type="dxa"/>
          </w:tcPr>
          <w:p w:rsidR="007F373F" w:rsidRDefault="00000000">
            <w:pPr>
              <w:spacing w:after="0"/>
              <w:jc w:val="left"/>
            </w:pPr>
            <w:r>
              <w:rPr>
                <w:sz w:val="19"/>
              </w:rPr>
              <w:t>60% floating borrowings reprice down; mortgage affordability improves</w:t>
            </w:r>
          </w:p>
        </w:tc>
      </w:tr>
      <w:tr w:rsidR="007F373F">
        <w:trPr>
          <w:jc w:val="center"/>
        </w:trPr>
        <w:tc>
          <w:tcPr>
            <w:tcW w:w="2070" w:type="dxa"/>
          </w:tcPr>
          <w:p w:rsidR="007F373F" w:rsidRDefault="00000000">
            <w:pPr>
              <w:spacing w:after="0"/>
              <w:jc w:val="left"/>
            </w:pPr>
            <w:r>
              <w:rPr>
                <w:sz w:val="19"/>
              </w:rPr>
              <w:t>Digital public infrastructure</w:t>
            </w:r>
          </w:p>
        </w:tc>
        <w:tc>
          <w:tcPr>
            <w:tcW w:w="4003" w:type="dxa"/>
          </w:tcPr>
          <w:p w:rsidR="007F373F" w:rsidRDefault="00000000">
            <w:pPr>
              <w:spacing w:after="0"/>
              <w:jc w:val="left"/>
            </w:pPr>
            <w:r>
              <w:rPr>
                <w:sz w:val="19"/>
              </w:rPr>
              <w:t>Aadhaar, UPI, Account Aggregator, GST data lower acquisition and underwriting costs</w:t>
            </w:r>
          </w:p>
        </w:tc>
        <w:tc>
          <w:tcPr>
            <w:tcW w:w="3658" w:type="dxa"/>
          </w:tcPr>
          <w:p w:rsidR="007F373F" w:rsidRDefault="00000000">
            <w:pPr>
              <w:spacing w:after="0"/>
              <w:jc w:val="left"/>
            </w:pPr>
            <w:r>
              <w:rPr>
                <w:sz w:val="19"/>
              </w:rPr>
              <w:t>LOS–LMS–CRM integration; Credit GPT; 86% digital e-NACH; Fedfina Lite field app</w:t>
            </w:r>
          </w:p>
        </w:tc>
      </w:tr>
      <w:tr w:rsidR="007F373F">
        <w:trPr>
          <w:jc w:val="center"/>
        </w:trPr>
        <w:tc>
          <w:tcPr>
            <w:tcW w:w="2070" w:type="dxa"/>
          </w:tcPr>
          <w:p w:rsidR="007F373F" w:rsidRDefault="00000000">
            <w:pPr>
              <w:spacing w:after="0"/>
              <w:jc w:val="left"/>
            </w:pPr>
            <w:r>
              <w:rPr>
                <w:sz w:val="19"/>
              </w:rPr>
              <w:t>Co-lending / capital-light growth</w:t>
            </w:r>
          </w:p>
        </w:tc>
        <w:tc>
          <w:tcPr>
            <w:tcW w:w="4003" w:type="dxa"/>
          </w:tcPr>
          <w:p w:rsidR="007F373F" w:rsidRDefault="00000000">
            <w:pPr>
              <w:spacing w:after="0"/>
              <w:jc w:val="left"/>
            </w:pPr>
            <w:r>
              <w:rPr>
                <w:sz w:val="19"/>
              </w:rPr>
              <w:t>RBI co-lending framework; banks seek PSL assets</w:t>
            </w:r>
          </w:p>
        </w:tc>
        <w:tc>
          <w:tcPr>
            <w:tcW w:w="3658" w:type="dxa"/>
          </w:tcPr>
          <w:p w:rsidR="007F373F" w:rsidRDefault="00000000">
            <w:pPr>
              <w:spacing w:after="0"/>
              <w:jc w:val="left"/>
            </w:pPr>
            <w:r>
              <w:rPr>
                <w:sz w:val="19"/>
              </w:rPr>
              <w:t>₹2,433 cr co-lent gold AUM; ₹2,579 cr sell-downs; 12.1% off-book</w:t>
            </w:r>
          </w:p>
        </w:tc>
      </w:tr>
      <w:tr w:rsidR="007F373F">
        <w:trPr>
          <w:jc w:val="center"/>
        </w:trPr>
        <w:tc>
          <w:tcPr>
            <w:tcW w:w="2070" w:type="dxa"/>
          </w:tcPr>
          <w:p w:rsidR="007F373F" w:rsidRDefault="00000000">
            <w:pPr>
              <w:spacing w:after="0"/>
              <w:jc w:val="left"/>
            </w:pPr>
            <w:r>
              <w:rPr>
                <w:sz w:val="19"/>
              </w:rPr>
              <w:t>Cross-sell within branch network</w:t>
            </w:r>
          </w:p>
        </w:tc>
        <w:tc>
          <w:tcPr>
            <w:tcW w:w="4003" w:type="dxa"/>
          </w:tcPr>
          <w:p w:rsidR="007F373F" w:rsidRDefault="00000000">
            <w:pPr>
              <w:spacing w:after="0"/>
              <w:jc w:val="left"/>
            </w:pPr>
            <w:r>
              <w:rPr>
                <w:sz w:val="19"/>
              </w:rPr>
              <w:t>20–25% overlap between gold and LAP customers (MD&amp;CEO)</w:t>
            </w:r>
          </w:p>
        </w:tc>
        <w:tc>
          <w:tcPr>
            <w:tcW w:w="3658" w:type="dxa"/>
          </w:tcPr>
          <w:p w:rsidR="007F373F" w:rsidRDefault="00000000">
            <w:pPr>
              <w:spacing w:after="0"/>
              <w:jc w:val="left"/>
            </w:pPr>
            <w:r>
              <w:rPr>
                <w:sz w:val="19"/>
              </w:rPr>
              <w:t>70 co-located branches; hyperlocal marketing; 3.44 lakh customers</w:t>
            </w:r>
          </w:p>
        </w:tc>
      </w:tr>
      <w:tr w:rsidR="007F373F">
        <w:trPr>
          <w:jc w:val="center"/>
        </w:trPr>
        <w:tc>
          <w:tcPr>
            <w:tcW w:w="2070" w:type="dxa"/>
          </w:tcPr>
          <w:p w:rsidR="007F373F" w:rsidRDefault="00000000">
            <w:pPr>
              <w:spacing w:after="0"/>
              <w:jc w:val="left"/>
            </w:pPr>
            <w:r>
              <w:rPr>
                <w:sz w:val="19"/>
              </w:rPr>
              <w:t>Green and inclusive finance</w:t>
            </w:r>
          </w:p>
        </w:tc>
        <w:tc>
          <w:tcPr>
            <w:tcW w:w="4003" w:type="dxa"/>
          </w:tcPr>
          <w:p w:rsidR="007F373F" w:rsidRDefault="00000000">
            <w:pPr>
              <w:spacing w:after="0"/>
              <w:jc w:val="left"/>
            </w:pPr>
            <w:r>
              <w:rPr>
                <w:sz w:val="19"/>
              </w:rPr>
              <w:t>Rising demand for green financing (AR26 MD&amp;A)</w:t>
            </w:r>
          </w:p>
        </w:tc>
        <w:tc>
          <w:tcPr>
            <w:tcW w:w="3658" w:type="dxa"/>
          </w:tcPr>
          <w:p w:rsidR="007F373F" w:rsidRDefault="00000000">
            <w:pPr>
              <w:spacing w:after="0"/>
              <w:jc w:val="left"/>
            </w:pPr>
            <w:r>
              <w:rPr>
                <w:sz w:val="19"/>
              </w:rPr>
              <w:t>Exploring loans for solar installations and energy-efficient appliances</w:t>
            </w:r>
          </w:p>
        </w:tc>
      </w:tr>
    </w:tbl>
    <w:p w:rsidR="007F373F" w:rsidRDefault="007F373F">
      <w:pPr>
        <w:spacing w:after="40"/>
      </w:pPr>
    </w:p>
    <w:p w:rsidR="007F373F" w:rsidRDefault="00000000">
      <w:pPr>
        <w:pStyle w:val="Heading2"/>
      </w:pPr>
      <w:r>
        <w:t>Sizing the opportunity for a mid-sized lender</w:t>
      </w:r>
    </w:p>
    <w:p w:rsidR="007F373F" w:rsidRDefault="00000000">
      <w:r>
        <w:t>Even a one-percentage-point share of the projected FY27 organised gold-loan market (₹18 lakh crore) would be ₹18,000 crore – larger than Fedfina’s entire FY26 gold book. The company does not need to win share from the leaders to deliver the 20–25% sustainable growth targeted by the Board; it needs to keep displacing informal lenders in its own catchments (the FY26 report states that the gold franchise gained share “from informal lenders”), raise productivity in young branches (gold AUM per branch rose ₹4.4 crore to ₹16.5 crore in a year), and let the mortgage engine compound at the segment’s 16–18% growth rate. The branch-vintage effect is central: the MD&amp;CEO notes that “branch economics improve meaningfully with vintage, and as these branches mature, they will contribute significantly to AUM without proportionate cost addition”.</w:t>
      </w:r>
    </w:p>
    <w:p w:rsidR="007F373F" w:rsidRDefault="00000000">
      <w:r>
        <w:t>The opportunities are therefore real and quantifiable, but each carries an execution condition – collections for ST LAP, custody controls for gold, liability management for the rate cycle – which is why Chapter 6 treats risk as the mirror image of this page.</w:t>
      </w:r>
    </w:p>
    <w:p w:rsidR="007F373F" w:rsidRDefault="00000000">
      <w:pPr>
        <w:pStyle w:val="Heading1"/>
        <w:pageBreakBefore/>
      </w:pPr>
      <w:r>
        <w:lastRenderedPageBreak/>
        <w:t>Industry Challenges</w:t>
      </w:r>
    </w:p>
    <w:p w:rsidR="007F373F" w:rsidRDefault="00000000">
      <w:r>
        <w:t>The same sector data that reveal opportunity also reveal the challenges facing retail NBFCs. The FY26 MD&amp;A groups them under increased competition, cybersecurity and technology risk, and data-privacy and regulatory compliance; the earlier reports add funding-cost volatility and asset-quality stress. Each is examined below with its specific relevance to Fedfina.</w:t>
      </w:r>
    </w:p>
    <w:p w:rsidR="007F373F" w:rsidRDefault="00000000">
      <w:pPr>
        <w:pStyle w:val="ListBullet"/>
      </w:pPr>
      <w:r>
        <w:rPr>
          <w:b/>
        </w:rPr>
        <w:t xml:space="preserve">Funding-cost volatility and concentration: </w:t>
      </w:r>
      <w:r>
        <w:t>Sector borrowing costs rose after the November 2023 risk-weight increase (Fedfina +40 bps in FY25; cost of borrowings 9.0% in FY25 on the FY26-report basis). Although rates fell in FY26, 60% of Fedfina’s borrowings remain floating and 39% of borrowings mature within one year, so a reversal in the rate cycle would compress spreads within quarters.</w:t>
      </w:r>
    </w:p>
    <w:p w:rsidR="007F373F" w:rsidRDefault="00000000">
      <w:pPr>
        <w:pStyle w:val="ListBullet"/>
      </w:pPr>
      <w:r>
        <w:rPr>
          <w:b/>
        </w:rPr>
        <w:t xml:space="preserve">Asset-quality stress among informal borrowers: </w:t>
      </w:r>
      <w:r>
        <w:t>Small-ticket LAP delinquencies in FY25 lifted credit cost to 1.8% and forced write-offs of ₹88 crore (net) in FY26 and sale of 814 NPA accounts (₹105 crore principal) to ARCs. Sector-wide, microfinance and small personal loans remain stressed, which can spill over into household cash flows that service LAP and gold loans.</w:t>
      </w:r>
    </w:p>
    <w:p w:rsidR="007F373F" w:rsidRDefault="00000000">
      <w:pPr>
        <w:pStyle w:val="ListBullet"/>
      </w:pPr>
      <w:r>
        <w:rPr>
          <w:b/>
        </w:rPr>
        <w:t xml:space="preserve">Competition and yield pressure: </w:t>
      </w:r>
      <w:r>
        <w:t>Banks with 82% of the gold market and lower funding costs, large NBFCs with national brands, and HFCs in affordable housing all compete for the same borrowers. MT LAP origination yield is already 12.0% and the FY26 report mentions “broader industry yield pressures” in that segment.</w:t>
      </w:r>
    </w:p>
    <w:p w:rsidR="007F373F" w:rsidRDefault="00000000">
      <w:pPr>
        <w:pStyle w:val="ListBullet"/>
      </w:pPr>
      <w:r>
        <w:rPr>
          <w:b/>
        </w:rPr>
        <w:t xml:space="preserve">Gold-price risk: </w:t>
      </w:r>
      <w:r>
        <w:t>A 65% price rise in a single year increases eligible loan amounts but also the probability of a correction. Portfolio LTV of 60.9% gives roughly a 35% buffer before principal is uncovered, but auction volumes and customer behaviour change long before that point.</w:t>
      </w:r>
    </w:p>
    <w:p w:rsidR="007F373F" w:rsidRDefault="00000000">
      <w:pPr>
        <w:pStyle w:val="ListBullet"/>
      </w:pPr>
      <w:r>
        <w:rPr>
          <w:b/>
        </w:rPr>
        <w:t xml:space="preserve">Regulatory change: </w:t>
      </w:r>
      <w:r>
        <w:t>The April 2026 gold-lending directions tighten LTV maintenance, renewals and credit assessment; the FY25 letter already attributed volume and credit-cost pressure to earlier RBI gold-loan changes. Compliance costs rise with every new direction (joint auditors, internal ombudsman, IT governance).</w:t>
      </w:r>
    </w:p>
    <w:p w:rsidR="007F373F" w:rsidRDefault="00000000">
      <w:pPr>
        <w:pStyle w:val="ListBullet"/>
      </w:pPr>
      <w:r>
        <w:rPr>
          <w:b/>
        </w:rPr>
        <w:t xml:space="preserve">Cybersecurity and fraud: </w:t>
      </w:r>
      <w:r>
        <w:t>BFSI is among the most targeted sectors globally; the FY26 MD&amp;A cites a sharp rise in attacks on digital banking portals. Fedfina reported frauds of ₹110 lakh to the RBI in FY26 and is prototyping a tracked, dual-authentication “security box” for doorstep gold loans – evidence that physical custody risk is live.</w:t>
      </w:r>
    </w:p>
    <w:p w:rsidR="007F373F" w:rsidRDefault="00000000">
      <w:pPr>
        <w:pStyle w:val="ListBullet"/>
      </w:pPr>
      <w:r>
        <w:rPr>
          <w:b/>
        </w:rPr>
        <w:t xml:space="preserve">Data privacy: </w:t>
      </w:r>
      <w:r>
        <w:t>The DPDP framework raises the bar for consent-based data governance just as lenders increase reliance on alternative data; breaches carry financial and reputational penalties.</w:t>
      </w:r>
    </w:p>
    <w:p w:rsidR="007F373F" w:rsidRDefault="00000000">
      <w:pPr>
        <w:pStyle w:val="ListBullet"/>
      </w:pPr>
      <w:r>
        <w:rPr>
          <w:b/>
        </w:rPr>
        <w:t xml:space="preserve">Branch-led cost structure: </w:t>
      </w:r>
      <w:r>
        <w:t>A 757-branch network with 5,303 employees carries fixed costs; cost-to-income has stayed in a narrow 57–59% band for five years, and 148 young branches must mature before operating leverage appears.</w:t>
      </w:r>
    </w:p>
    <w:p w:rsidR="007F373F" w:rsidRDefault="00000000">
      <w:pPr>
        <w:pStyle w:val="ListBullet"/>
      </w:pPr>
      <w:r>
        <w:rPr>
          <w:b/>
        </w:rPr>
        <w:t xml:space="preserve">Talent and attrition: </w:t>
      </w:r>
      <w:r>
        <w:t>The BRSR reports average voluntary employee turnover of 35.85% – typical of field-intensive NBFCs but costly for underwriting and collections continuity.</w:t>
      </w:r>
    </w:p>
    <w:p w:rsidR="007F373F" w:rsidRDefault="00000000">
      <w:r>
        <w:t>Taken together these challenges explain why the FY26 recovery, though strong, should be judged over several years: the sector rewards lenders that sustain sub-1% credit costs and stable spreads through a full rate and gold-price cycle, not those that post a single good year.</w:t>
      </w:r>
    </w:p>
    <w:p w:rsidR="007F373F" w:rsidRDefault="00000000">
      <w:pPr>
        <w:pStyle w:val="Heading1"/>
        <w:pageBreakBefore/>
      </w:pPr>
      <w:r>
        <w:lastRenderedPageBreak/>
        <w:t>Porter’s Five Forces</w:t>
      </w:r>
    </w:p>
    <w:p w:rsidR="007F373F" w:rsidRDefault="00000000">
      <w:r>
        <w:t>Porter’s framework assesses the structural attractiveness of an industry by examining five competitive forces. Applied to secured retail lending by NBFCs in India – Fedfina’s arena – the analysis is as follows.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863"/>
        <w:gridCol w:w="3382"/>
        <w:gridCol w:w="3382"/>
        <w:gridCol w:w="1104"/>
      </w:tblGrid>
      <w:tr w:rsidR="007F373F">
        <w:trPr>
          <w:jc w:val="center"/>
        </w:trPr>
        <w:tc>
          <w:tcPr>
            <w:tcW w:w="1863" w:type="dxa"/>
          </w:tcPr>
          <w:p w:rsidR="007F373F" w:rsidRDefault="00000000">
            <w:pPr>
              <w:spacing w:after="0"/>
              <w:jc w:val="left"/>
            </w:pPr>
            <w:r>
              <w:rPr>
                <w:b/>
                <w:sz w:val="19"/>
              </w:rPr>
              <w:t>Force</w:t>
            </w:r>
          </w:p>
        </w:tc>
        <w:tc>
          <w:tcPr>
            <w:tcW w:w="3382" w:type="dxa"/>
          </w:tcPr>
          <w:p w:rsidR="007F373F" w:rsidRDefault="00000000">
            <w:pPr>
              <w:spacing w:after="0"/>
              <w:jc w:val="left"/>
            </w:pPr>
            <w:r>
              <w:rPr>
                <w:b/>
                <w:sz w:val="19"/>
              </w:rPr>
              <w:t>Assessment</w:t>
            </w:r>
          </w:p>
        </w:tc>
        <w:tc>
          <w:tcPr>
            <w:tcW w:w="3382" w:type="dxa"/>
          </w:tcPr>
          <w:p w:rsidR="007F373F" w:rsidRDefault="00000000">
            <w:pPr>
              <w:spacing w:after="0"/>
              <w:jc w:val="left"/>
            </w:pPr>
            <w:r>
              <w:rPr>
                <w:b/>
                <w:sz w:val="19"/>
              </w:rPr>
              <w:t>Evidence from the reports</w:t>
            </w:r>
          </w:p>
        </w:tc>
        <w:tc>
          <w:tcPr>
            <w:tcW w:w="1104" w:type="dxa"/>
          </w:tcPr>
          <w:p w:rsidR="007F373F" w:rsidRDefault="00000000">
            <w:pPr>
              <w:spacing w:after="0"/>
              <w:jc w:val="left"/>
            </w:pPr>
            <w:r>
              <w:rPr>
                <w:b/>
                <w:sz w:val="19"/>
              </w:rPr>
              <w:t>Intensity</w:t>
            </w:r>
          </w:p>
        </w:tc>
      </w:tr>
      <w:tr w:rsidR="007F373F">
        <w:trPr>
          <w:jc w:val="center"/>
        </w:trPr>
        <w:tc>
          <w:tcPr>
            <w:tcW w:w="1863" w:type="dxa"/>
          </w:tcPr>
          <w:p w:rsidR="007F373F" w:rsidRDefault="00000000">
            <w:pPr>
              <w:spacing w:after="0"/>
              <w:jc w:val="left"/>
            </w:pPr>
            <w:r>
              <w:rPr>
                <w:sz w:val="19"/>
              </w:rPr>
              <w:t>Rivalry among existing competitors</w:t>
            </w:r>
          </w:p>
        </w:tc>
        <w:tc>
          <w:tcPr>
            <w:tcW w:w="3382" w:type="dxa"/>
          </w:tcPr>
          <w:p w:rsidR="007F373F" w:rsidRDefault="00000000">
            <w:pPr>
              <w:spacing w:after="0"/>
              <w:jc w:val="left"/>
            </w:pPr>
            <w:r>
              <w:rPr>
                <w:sz w:val="19"/>
              </w:rPr>
              <w:t>Banks (82% of gold loans), two very large gold NBFCs, HFCs and regional lenders compete for the same semi-urban borrower; competition is on branch proximity, TAT, LTV and price</w:t>
            </w:r>
          </w:p>
        </w:tc>
        <w:tc>
          <w:tcPr>
            <w:tcW w:w="3382" w:type="dxa"/>
          </w:tcPr>
          <w:p w:rsidR="007F373F" w:rsidRDefault="00000000">
            <w:pPr>
              <w:spacing w:after="0"/>
              <w:jc w:val="left"/>
            </w:pPr>
            <w:r>
              <w:rPr>
                <w:sz w:val="19"/>
              </w:rPr>
              <w:t>Top-4 NBFC share of NBFC gold AUM fell from 90% to 81%; MT LAP yield pressure; 148 branch additions by Fedfina alone</w:t>
            </w:r>
          </w:p>
        </w:tc>
        <w:tc>
          <w:tcPr>
            <w:tcW w:w="1104" w:type="dxa"/>
          </w:tcPr>
          <w:p w:rsidR="007F373F" w:rsidRDefault="00000000">
            <w:pPr>
              <w:spacing w:after="0"/>
              <w:jc w:val="left"/>
            </w:pPr>
            <w:r>
              <w:rPr>
                <w:sz w:val="19"/>
              </w:rPr>
              <w:t>High</w:t>
            </w:r>
          </w:p>
        </w:tc>
      </w:tr>
      <w:tr w:rsidR="007F373F">
        <w:trPr>
          <w:jc w:val="center"/>
        </w:trPr>
        <w:tc>
          <w:tcPr>
            <w:tcW w:w="1863" w:type="dxa"/>
          </w:tcPr>
          <w:p w:rsidR="007F373F" w:rsidRDefault="00000000">
            <w:pPr>
              <w:spacing w:after="0"/>
              <w:jc w:val="left"/>
            </w:pPr>
            <w:r>
              <w:rPr>
                <w:sz w:val="19"/>
              </w:rPr>
              <w:t>Threat of new entrants</w:t>
            </w:r>
          </w:p>
        </w:tc>
        <w:tc>
          <w:tcPr>
            <w:tcW w:w="3382" w:type="dxa"/>
          </w:tcPr>
          <w:p w:rsidR="007F373F" w:rsidRDefault="00000000">
            <w:pPr>
              <w:spacing w:after="0"/>
              <w:jc w:val="left"/>
            </w:pPr>
            <w:r>
              <w:rPr>
                <w:sz w:val="19"/>
              </w:rPr>
              <w:t>Licensing, capital (CRAR 15%), ratings and branch economics are barriers, but fintechs and banks can enter via co-lending or digital channels</w:t>
            </w:r>
          </w:p>
        </w:tc>
        <w:tc>
          <w:tcPr>
            <w:tcW w:w="3382" w:type="dxa"/>
          </w:tcPr>
          <w:p w:rsidR="007F373F" w:rsidRDefault="00000000">
            <w:pPr>
              <w:spacing w:after="0"/>
              <w:jc w:val="left"/>
            </w:pPr>
            <w:r>
              <w:rPr>
                <w:sz w:val="19"/>
              </w:rPr>
              <w:t>Large corporates investing in digital lending platforms (AR26 MD&amp;A); SBR raises compliance cost for new NBFCs</w:t>
            </w:r>
          </w:p>
        </w:tc>
        <w:tc>
          <w:tcPr>
            <w:tcW w:w="1104" w:type="dxa"/>
          </w:tcPr>
          <w:p w:rsidR="007F373F" w:rsidRDefault="00000000">
            <w:pPr>
              <w:spacing w:after="0"/>
              <w:jc w:val="left"/>
            </w:pPr>
            <w:r>
              <w:rPr>
                <w:sz w:val="19"/>
              </w:rPr>
              <w:t>Moderate</w:t>
            </w:r>
          </w:p>
        </w:tc>
      </w:tr>
      <w:tr w:rsidR="007F373F">
        <w:trPr>
          <w:jc w:val="center"/>
        </w:trPr>
        <w:tc>
          <w:tcPr>
            <w:tcW w:w="1863" w:type="dxa"/>
          </w:tcPr>
          <w:p w:rsidR="007F373F" w:rsidRDefault="00000000">
            <w:pPr>
              <w:spacing w:after="0"/>
              <w:jc w:val="left"/>
            </w:pPr>
            <w:r>
              <w:rPr>
                <w:sz w:val="19"/>
              </w:rPr>
              <w:t>Bargaining power of buyers (borrowers)</w:t>
            </w:r>
          </w:p>
        </w:tc>
        <w:tc>
          <w:tcPr>
            <w:tcW w:w="3382" w:type="dxa"/>
          </w:tcPr>
          <w:p w:rsidR="007F373F" w:rsidRDefault="00000000">
            <w:pPr>
              <w:spacing w:after="0"/>
              <w:jc w:val="left"/>
            </w:pPr>
            <w:r>
              <w:rPr>
                <w:sz w:val="19"/>
              </w:rPr>
              <w:t>Low for first-time formal borrowers with few alternatives; high for prime MT LAP customers who can refinance with banks</w:t>
            </w:r>
          </w:p>
        </w:tc>
        <w:tc>
          <w:tcPr>
            <w:tcW w:w="3382" w:type="dxa"/>
          </w:tcPr>
          <w:p w:rsidR="007F373F" w:rsidRDefault="00000000">
            <w:pPr>
              <w:spacing w:after="0"/>
              <w:jc w:val="left"/>
            </w:pPr>
            <w:r>
              <w:rPr>
                <w:sz w:val="19"/>
              </w:rPr>
              <w:t>ST LAP median income ≈ ₹5 lakh, limited documents; MT LAP customers with CIBIL &gt;700 (81%)</w:t>
            </w:r>
          </w:p>
        </w:tc>
        <w:tc>
          <w:tcPr>
            <w:tcW w:w="1104" w:type="dxa"/>
          </w:tcPr>
          <w:p w:rsidR="007F373F" w:rsidRDefault="00000000">
            <w:pPr>
              <w:spacing w:after="0"/>
              <w:jc w:val="left"/>
            </w:pPr>
            <w:r>
              <w:rPr>
                <w:sz w:val="19"/>
              </w:rPr>
              <w:t>Moderate</w:t>
            </w:r>
          </w:p>
        </w:tc>
      </w:tr>
      <w:tr w:rsidR="007F373F">
        <w:trPr>
          <w:jc w:val="center"/>
        </w:trPr>
        <w:tc>
          <w:tcPr>
            <w:tcW w:w="1863" w:type="dxa"/>
          </w:tcPr>
          <w:p w:rsidR="007F373F" w:rsidRDefault="00000000">
            <w:pPr>
              <w:spacing w:after="0"/>
              <w:jc w:val="left"/>
            </w:pPr>
            <w:r>
              <w:rPr>
                <w:sz w:val="19"/>
              </w:rPr>
              <w:t>Bargaining power of suppliers (funders)</w:t>
            </w:r>
          </w:p>
        </w:tc>
        <w:tc>
          <w:tcPr>
            <w:tcW w:w="3382" w:type="dxa"/>
          </w:tcPr>
          <w:p w:rsidR="007F373F" w:rsidRDefault="00000000">
            <w:pPr>
              <w:spacing w:after="0"/>
              <w:jc w:val="left"/>
            </w:pPr>
            <w:r>
              <w:rPr>
                <w:sz w:val="19"/>
              </w:rPr>
              <w:t>Lenders, bond investors and rating agencies set the cost of the NBFC’s raw material; risk-weight changes showed this power in FY24–25</w:t>
            </w:r>
          </w:p>
        </w:tc>
        <w:tc>
          <w:tcPr>
            <w:tcW w:w="3382" w:type="dxa"/>
          </w:tcPr>
          <w:p w:rsidR="007F373F" w:rsidRDefault="00000000">
            <w:pPr>
              <w:spacing w:after="0"/>
              <w:jc w:val="left"/>
            </w:pPr>
            <w:r>
              <w:rPr>
                <w:sz w:val="19"/>
              </w:rPr>
              <w:t>41 lenders; AA+ rating; ECB 17% and CP 9% of debt; Federal Bank ₹1,370 cr exposure; fixed-rate share 40%</w:t>
            </w:r>
          </w:p>
        </w:tc>
        <w:tc>
          <w:tcPr>
            <w:tcW w:w="1104" w:type="dxa"/>
          </w:tcPr>
          <w:p w:rsidR="007F373F" w:rsidRDefault="00000000">
            <w:pPr>
              <w:spacing w:after="0"/>
              <w:jc w:val="left"/>
            </w:pPr>
            <w:r>
              <w:rPr>
                <w:sz w:val="19"/>
              </w:rPr>
              <w:t>Moderate to high</w:t>
            </w:r>
          </w:p>
        </w:tc>
      </w:tr>
      <w:tr w:rsidR="007F373F">
        <w:trPr>
          <w:jc w:val="center"/>
        </w:trPr>
        <w:tc>
          <w:tcPr>
            <w:tcW w:w="1863" w:type="dxa"/>
          </w:tcPr>
          <w:p w:rsidR="007F373F" w:rsidRDefault="00000000">
            <w:pPr>
              <w:spacing w:after="0"/>
              <w:jc w:val="left"/>
            </w:pPr>
            <w:r>
              <w:rPr>
                <w:sz w:val="19"/>
              </w:rPr>
              <w:t>Threat of substitutes</w:t>
            </w:r>
          </w:p>
        </w:tc>
        <w:tc>
          <w:tcPr>
            <w:tcW w:w="3382" w:type="dxa"/>
          </w:tcPr>
          <w:p w:rsidR="007F373F" w:rsidRDefault="00000000">
            <w:pPr>
              <w:spacing w:after="0"/>
              <w:jc w:val="left"/>
            </w:pPr>
            <w:r>
              <w:rPr>
                <w:sz w:val="19"/>
              </w:rPr>
              <w:t>Unsecured personal loans, credit cards, informal money-lenders, gold ETF/sale, bank overdrafts</w:t>
            </w:r>
          </w:p>
        </w:tc>
        <w:tc>
          <w:tcPr>
            <w:tcW w:w="3382" w:type="dxa"/>
          </w:tcPr>
          <w:p w:rsidR="007F373F" w:rsidRDefault="00000000">
            <w:pPr>
              <w:spacing w:after="0"/>
              <w:jc w:val="left"/>
            </w:pPr>
            <w:r>
              <w:rPr>
                <w:sz w:val="19"/>
              </w:rPr>
              <w:t>Borrower shift from unsecured to gold loans in FY26; informal lenders still hold a large share of gold lending</w:t>
            </w:r>
          </w:p>
        </w:tc>
        <w:tc>
          <w:tcPr>
            <w:tcW w:w="1104" w:type="dxa"/>
          </w:tcPr>
          <w:p w:rsidR="007F373F" w:rsidRDefault="00000000">
            <w:pPr>
              <w:spacing w:after="0"/>
              <w:jc w:val="left"/>
            </w:pPr>
            <w:r>
              <w:rPr>
                <w:sz w:val="19"/>
              </w:rPr>
              <w:t>Moderate</w:t>
            </w:r>
          </w:p>
        </w:tc>
      </w:tr>
    </w:tbl>
    <w:p w:rsidR="007F373F" w:rsidRDefault="007F373F">
      <w:pPr>
        <w:spacing w:after="40"/>
      </w:pPr>
    </w:p>
    <w:p w:rsidR="007F373F" w:rsidRDefault="00000000">
      <w:pPr>
        <w:pStyle w:val="Heading2"/>
      </w:pPr>
      <w:r>
        <w:t>Interpretation</w:t>
      </w:r>
    </w:p>
    <w:p w:rsidR="007F373F" w:rsidRDefault="00000000">
      <w:r>
        <w:t>Rivalry is the dominant force. The industry is attractive in aggregate – growing in the mid-teens with low loss rates for secured products – but returns accrue to lenders with distribution density, funding advantage and operational control, not to all participants. Fedfina’s responses map onto each force: against rivalry it deepens local presence (hyperlocal marketing, doorstep service) and leverages customer overlap between products; against supplier power it has diversified funding across 41 lenders, four rating agencies and three instrument classes while raising fixed-rate exposure; against buyer power in MT LAP it emphasises service and relationship rather than price; and against substitutes it positions gold loans and LAP as cheaper, faster and more dignified than informal credit.</w:t>
      </w:r>
    </w:p>
    <w:p w:rsidR="007F373F" w:rsidRDefault="00000000">
      <w:r>
        <w:t>The force most likely to change over the study horizon is the threat of new entrants via co-lending and digital channels: as banks seek priority-sector gold and MSME assets, NBFCs with origination capability become partners as much as competitors, which both reduces rivalry and increases dependence on bank partners. This dual role is visible in Fedfina’s ₹2,433 crore of co-lent gold AUM.</w:t>
      </w:r>
    </w:p>
    <w:p w:rsidR="007F373F" w:rsidRDefault="00000000">
      <w:pPr>
        <w:pStyle w:val="Heading1"/>
        <w:pageBreakBefore/>
      </w:pPr>
      <w:r>
        <w:lastRenderedPageBreak/>
        <w:t>PESTLE Analysis</w:t>
      </w:r>
    </w:p>
    <w:p w:rsidR="007F373F" w:rsidRDefault="00000000">
      <w:r>
        <w:t>The PESTLE framework organises external influences into political, economic, social, technological, legal and environmental factors. The table below records each factor, the evidence available in the annual reports and the implication for Fedfina.</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518"/>
        <w:gridCol w:w="4279"/>
        <w:gridCol w:w="3934"/>
      </w:tblGrid>
      <w:tr w:rsidR="007F373F">
        <w:trPr>
          <w:jc w:val="center"/>
        </w:trPr>
        <w:tc>
          <w:tcPr>
            <w:tcW w:w="1518" w:type="dxa"/>
          </w:tcPr>
          <w:p w:rsidR="007F373F" w:rsidRDefault="00000000">
            <w:pPr>
              <w:spacing w:after="0"/>
              <w:jc w:val="left"/>
            </w:pPr>
            <w:r>
              <w:rPr>
                <w:b/>
                <w:sz w:val="19"/>
              </w:rPr>
              <w:t>Factor</w:t>
            </w:r>
          </w:p>
        </w:tc>
        <w:tc>
          <w:tcPr>
            <w:tcW w:w="4279" w:type="dxa"/>
          </w:tcPr>
          <w:p w:rsidR="007F373F" w:rsidRDefault="00000000">
            <w:pPr>
              <w:spacing w:after="0"/>
              <w:jc w:val="left"/>
            </w:pPr>
            <w:r>
              <w:rPr>
                <w:b/>
                <w:sz w:val="19"/>
              </w:rPr>
              <w:t>Key developments (FY24–FY26)</w:t>
            </w:r>
          </w:p>
        </w:tc>
        <w:tc>
          <w:tcPr>
            <w:tcW w:w="3934" w:type="dxa"/>
          </w:tcPr>
          <w:p w:rsidR="007F373F" w:rsidRDefault="00000000">
            <w:pPr>
              <w:spacing w:after="0"/>
              <w:jc w:val="left"/>
            </w:pPr>
            <w:r>
              <w:rPr>
                <w:b/>
                <w:sz w:val="19"/>
              </w:rPr>
              <w:t>Implication for Fedfina</w:t>
            </w:r>
          </w:p>
        </w:tc>
      </w:tr>
      <w:tr w:rsidR="007F373F">
        <w:trPr>
          <w:jc w:val="center"/>
        </w:trPr>
        <w:tc>
          <w:tcPr>
            <w:tcW w:w="1518" w:type="dxa"/>
          </w:tcPr>
          <w:p w:rsidR="007F373F" w:rsidRDefault="00000000">
            <w:pPr>
              <w:spacing w:after="0"/>
              <w:jc w:val="left"/>
            </w:pPr>
            <w:r>
              <w:rPr>
                <w:sz w:val="19"/>
              </w:rPr>
              <w:t>Political / policy</w:t>
            </w:r>
          </w:p>
        </w:tc>
        <w:tc>
          <w:tcPr>
            <w:tcW w:w="4279" w:type="dxa"/>
          </w:tcPr>
          <w:p w:rsidR="007F373F" w:rsidRDefault="00000000">
            <w:pPr>
              <w:spacing w:after="0"/>
              <w:jc w:val="left"/>
            </w:pPr>
            <w:r>
              <w:rPr>
                <w:sz w:val="19"/>
              </w:rPr>
              <w:t>Government priority on MSMEs (budget outlay rising FY20–FY27), affordable housing, financial inclusion, Udyam formalisation (7.9 crore registrations); fiscal consolidation with sustained capex</w:t>
            </w:r>
          </w:p>
        </w:tc>
        <w:tc>
          <w:tcPr>
            <w:tcW w:w="3934" w:type="dxa"/>
          </w:tcPr>
          <w:p w:rsidR="007F373F" w:rsidRDefault="00000000">
            <w:pPr>
              <w:spacing w:after="0"/>
              <w:jc w:val="left"/>
            </w:pPr>
            <w:r>
              <w:rPr>
                <w:sz w:val="19"/>
              </w:rPr>
              <w:t>Supportive demand environment for LAP and inclusion-oriented lending; policy stability lowers country risk for ECB investors</w:t>
            </w:r>
          </w:p>
        </w:tc>
      </w:tr>
      <w:tr w:rsidR="007F373F">
        <w:trPr>
          <w:jc w:val="center"/>
        </w:trPr>
        <w:tc>
          <w:tcPr>
            <w:tcW w:w="1518" w:type="dxa"/>
          </w:tcPr>
          <w:p w:rsidR="007F373F" w:rsidRDefault="00000000">
            <w:pPr>
              <w:spacing w:after="0"/>
              <w:jc w:val="left"/>
            </w:pPr>
            <w:r>
              <w:rPr>
                <w:sz w:val="19"/>
              </w:rPr>
              <w:t>Economic</w:t>
            </w:r>
          </w:p>
        </w:tc>
        <w:tc>
          <w:tcPr>
            <w:tcW w:w="4279" w:type="dxa"/>
          </w:tcPr>
          <w:p w:rsidR="007F373F" w:rsidRDefault="00000000">
            <w:pPr>
              <w:spacing w:after="0"/>
              <w:jc w:val="left"/>
            </w:pPr>
            <w:r>
              <w:rPr>
                <w:sz w:val="19"/>
              </w:rPr>
              <w:t>GDP growth 7.2% → 7.1% → 7.7%; CPI down to ≈2% average; repo cut 125 bps to 5.25%; gold price +65% in CY2025; rural consumption recovery; global growth ≈3.1–3.4%</w:t>
            </w:r>
          </w:p>
        </w:tc>
        <w:tc>
          <w:tcPr>
            <w:tcW w:w="3934" w:type="dxa"/>
          </w:tcPr>
          <w:p w:rsidR="007F373F" w:rsidRDefault="00000000">
            <w:pPr>
              <w:spacing w:after="0"/>
              <w:jc w:val="left"/>
            </w:pPr>
            <w:r>
              <w:rPr>
                <w:sz w:val="19"/>
              </w:rPr>
              <w:t>Lower cost of funds (Q4 CoB 7.83%), higher gold collateral values, better borrower cash flows; but gold-price and rate reversals are the main macro risks</w:t>
            </w:r>
          </w:p>
        </w:tc>
      </w:tr>
      <w:tr w:rsidR="007F373F">
        <w:trPr>
          <w:jc w:val="center"/>
        </w:trPr>
        <w:tc>
          <w:tcPr>
            <w:tcW w:w="1518" w:type="dxa"/>
          </w:tcPr>
          <w:p w:rsidR="007F373F" w:rsidRDefault="00000000">
            <w:pPr>
              <w:spacing w:after="0"/>
              <w:jc w:val="left"/>
            </w:pPr>
            <w:r>
              <w:rPr>
                <w:sz w:val="19"/>
              </w:rPr>
              <w:t>Social</w:t>
            </w:r>
          </w:p>
        </w:tc>
        <w:tc>
          <w:tcPr>
            <w:tcW w:w="4279" w:type="dxa"/>
          </w:tcPr>
          <w:p w:rsidR="007F373F" w:rsidRDefault="00000000">
            <w:pPr>
              <w:spacing w:after="0"/>
              <w:jc w:val="left"/>
            </w:pPr>
            <w:r>
              <w:rPr>
                <w:sz w:val="19"/>
              </w:rPr>
              <w:t>25,000 tonnes of household gold; cultural acceptance of gold loans rising; growing self-employed and gig workforce; aspiration for home ownership among 25–40 age group; 16.4% women in Fedfina’s workforce</w:t>
            </w:r>
          </w:p>
        </w:tc>
        <w:tc>
          <w:tcPr>
            <w:tcW w:w="3934" w:type="dxa"/>
          </w:tcPr>
          <w:p w:rsidR="007F373F" w:rsidRDefault="00000000">
            <w:pPr>
              <w:spacing w:after="0"/>
              <w:jc w:val="left"/>
            </w:pPr>
            <w:r>
              <w:rPr>
                <w:sz w:val="19"/>
              </w:rPr>
              <w:t>Large, culturally embedded demand base; need for respectful collections and transparent auctions to preserve trust; D&amp;I targets (≥22% women in senior management by FY28)</w:t>
            </w:r>
          </w:p>
        </w:tc>
      </w:tr>
      <w:tr w:rsidR="007F373F">
        <w:trPr>
          <w:jc w:val="center"/>
        </w:trPr>
        <w:tc>
          <w:tcPr>
            <w:tcW w:w="1518" w:type="dxa"/>
          </w:tcPr>
          <w:p w:rsidR="007F373F" w:rsidRDefault="00000000">
            <w:pPr>
              <w:spacing w:after="0"/>
              <w:jc w:val="left"/>
            </w:pPr>
            <w:r>
              <w:rPr>
                <w:sz w:val="19"/>
              </w:rPr>
              <w:t>Technological</w:t>
            </w:r>
          </w:p>
        </w:tc>
        <w:tc>
          <w:tcPr>
            <w:tcW w:w="4279" w:type="dxa"/>
          </w:tcPr>
          <w:p w:rsidR="007F373F" w:rsidRDefault="00000000">
            <w:pPr>
              <w:spacing w:after="0"/>
              <w:jc w:val="left"/>
            </w:pPr>
            <w:r>
              <w:rPr>
                <w:sz w:val="19"/>
              </w:rPr>
              <w:t>Aadhaar e-KYC, UPI, Account Aggregator, GST data; AI/GenAI tools (Credit GPT, Fedfina GPT); Salesforce BRE; cloud (AWS); rising cyber threats to BFSI</w:t>
            </w:r>
          </w:p>
        </w:tc>
        <w:tc>
          <w:tcPr>
            <w:tcW w:w="3934" w:type="dxa"/>
          </w:tcPr>
          <w:p w:rsidR="007F373F" w:rsidRDefault="00000000">
            <w:pPr>
              <w:spacing w:after="0"/>
              <w:jc w:val="left"/>
            </w:pPr>
            <w:r>
              <w:rPr>
                <w:sz w:val="19"/>
              </w:rPr>
              <w:t>Faster, more consistent underwriting and collections (70% digital collections); but larger attack surface – Zero Trust, MFA, EDR/XDR, VAPT, red-teaming deployed</w:t>
            </w:r>
          </w:p>
        </w:tc>
      </w:tr>
      <w:tr w:rsidR="007F373F">
        <w:trPr>
          <w:jc w:val="center"/>
        </w:trPr>
        <w:tc>
          <w:tcPr>
            <w:tcW w:w="1518" w:type="dxa"/>
          </w:tcPr>
          <w:p w:rsidR="007F373F" w:rsidRDefault="00000000">
            <w:pPr>
              <w:spacing w:after="0"/>
              <w:jc w:val="left"/>
            </w:pPr>
            <w:r>
              <w:rPr>
                <w:sz w:val="19"/>
              </w:rPr>
              <w:t>Legal / regulatory</w:t>
            </w:r>
          </w:p>
        </w:tc>
        <w:tc>
          <w:tcPr>
            <w:tcW w:w="4279" w:type="dxa"/>
          </w:tcPr>
          <w:p w:rsidR="007F373F" w:rsidRDefault="00000000">
            <w:pPr>
              <w:spacing w:after="0"/>
              <w:jc w:val="left"/>
            </w:pPr>
            <w:r>
              <w:rPr>
                <w:sz w:val="19"/>
              </w:rPr>
              <w:t>SBR Directions 2025; gold-lending directions (effective Apr 2026); Governance, KYC, Internal Ombudsman and Fraud Risk Directions; DPDP; SEBI LODR; joint-auditor requirement; three minor BSE fines</w:t>
            </w:r>
          </w:p>
        </w:tc>
        <w:tc>
          <w:tcPr>
            <w:tcW w:w="3934" w:type="dxa"/>
          </w:tcPr>
          <w:p w:rsidR="007F373F" w:rsidRDefault="00000000">
            <w:pPr>
              <w:spacing w:after="0"/>
              <w:jc w:val="left"/>
            </w:pPr>
            <w:r>
              <w:rPr>
                <w:sz w:val="19"/>
              </w:rPr>
              <w:t>Compliance is a core capability; LTV and renewal rules reshape gold product design; disclosure quality is a differentiator for a listed NBFC</w:t>
            </w:r>
          </w:p>
        </w:tc>
      </w:tr>
      <w:tr w:rsidR="007F373F">
        <w:trPr>
          <w:jc w:val="center"/>
        </w:trPr>
        <w:tc>
          <w:tcPr>
            <w:tcW w:w="1518" w:type="dxa"/>
          </w:tcPr>
          <w:p w:rsidR="007F373F" w:rsidRDefault="00000000">
            <w:pPr>
              <w:spacing w:after="0"/>
              <w:jc w:val="left"/>
            </w:pPr>
            <w:r>
              <w:rPr>
                <w:sz w:val="19"/>
              </w:rPr>
              <w:t>Environmental</w:t>
            </w:r>
          </w:p>
        </w:tc>
        <w:tc>
          <w:tcPr>
            <w:tcW w:w="4279" w:type="dxa"/>
          </w:tcPr>
          <w:p w:rsidR="007F373F" w:rsidRDefault="00000000">
            <w:pPr>
              <w:spacing w:after="0"/>
              <w:jc w:val="left"/>
            </w:pPr>
            <w:r>
              <w:rPr>
                <w:sz w:val="19"/>
              </w:rPr>
              <w:t>Climate-risk assessment conducted; Scope 1+2 emission intensity cut ≈25% (3.93 → 2.96 tCO2e per ₹ crore turnover); Scope 3 monitoring from FY27; LED branches; 1.9 t e-waste recycled; 89,432 kl water</w:t>
            </w:r>
          </w:p>
        </w:tc>
        <w:tc>
          <w:tcPr>
            <w:tcW w:w="3934" w:type="dxa"/>
          </w:tcPr>
          <w:p w:rsidR="007F373F" w:rsidRDefault="00000000">
            <w:pPr>
              <w:spacing w:after="0"/>
              <w:jc w:val="left"/>
            </w:pPr>
            <w:r>
              <w:rPr>
                <w:sz w:val="19"/>
              </w:rPr>
              <w:t>Direct footprint is small (service business) but climate events can affect branches and borrowers; green-loan products (solar, efficient appliances) are an emerging opportunity</w:t>
            </w:r>
          </w:p>
        </w:tc>
      </w:tr>
    </w:tbl>
    <w:p w:rsidR="007F373F" w:rsidRDefault="00000000">
      <w:pPr>
        <w:spacing w:before="40" w:after="80"/>
      </w:pPr>
      <w:r>
        <w:rPr>
          <w:i/>
          <w:sz w:val="18"/>
        </w:rPr>
        <w:t>Source: Fedfina Annual Report 2025-26 Corporate Overview p.26–27, 32–43; MD&amp;A p.54–63; Directors’ Report; BRSR.</w:t>
      </w:r>
    </w:p>
    <w:p w:rsidR="007F373F" w:rsidRDefault="00000000">
      <w:r>
        <w:t>Overall assessment. Five of the six factors are currently supportive or neutral; the legal/regulatory factor is the one most likely to constrain near-term volumes (gold-loan renewals and LTV maintenance) while improving long-term industry conduct. The economic factor is favourable today but is also the source of the two largest cyclical risks – gold price and interest rates – examined in Chapter 6.</w:t>
      </w:r>
    </w:p>
    <w:p w:rsidR="007F373F" w:rsidRDefault="00000000">
      <w:pPr>
        <w:pStyle w:val="Heading2"/>
      </w:pPr>
      <w:r>
        <w:t>Linking PESTLE to the rest of the study</w:t>
      </w:r>
    </w:p>
    <w:p w:rsidR="007F373F" w:rsidRDefault="00000000">
      <w:r>
        <w:t xml:space="preserve">The six factors are not independent. The political and economic factors (financial-inclusion priority, falling repo rate, strong gold prices) created the demand and funding conditions that produced FY26’s 27.5% AUM growth and 8.6% spread; the social and technological factors (self-employed households, digital public infrastructure) determine the cost at which that demand can be served and underpin the BRE-based underwriting and 70% digital collections discussed in Chapters 3 and 4; and the legal and environmental factors set the boundaries within which growth is permitted – the gold-lending Directions effective 1 April 2026 being the most immediate. Chapter 6 converts the adverse elements of each factor into the risk register, and Chapter 7 uses the favourable elements as the </w:t>
      </w:r>
      <w:r>
        <w:lastRenderedPageBreak/>
        <w:t>‘opportunities’ column of the SWOT. Readers should therefore treat this page as the bridge between the industry analysis of Chapter 2 and the company analysis that follows.</w:t>
      </w:r>
    </w:p>
    <w:p w:rsidR="007F373F" w:rsidRDefault="00000000">
      <w:pPr>
        <w:pStyle w:val="Heading1"/>
        <w:pageBreakBefore/>
      </w:pPr>
      <w:r>
        <w:lastRenderedPageBreak/>
        <w:t>Chapter 3 — Company Background and Corporate Journey</w:t>
      </w:r>
    </w:p>
    <w:p w:rsidR="007F373F" w:rsidRDefault="00000000">
      <w:r>
        <w:t>Fedbank Financial Services Limited was incorporated in 1995 in Kochi, Kerala, as a subsidiary of The Federal Bank Limited. For its first decade it was a captive distribution arm; in 2007 it began distributing housing loans, home-equity mortgages, personal loans and car loans for the bank, and in 2010 it obtained its RBI licence to operate as a non-deposit-taking NBFC (Certificate of Registration N-16.00187, August 2010). Gold-loan distribution began in 2011 and medium-ticket LAP in 2012. The modern company took shape from 2015, when it crossed 100 branches and a ₹500 crore loan book, and from 2018, when it launched small-ticket LAP and business loans and received a ₹168.6 crore investment from private-equity investor True North. The registered office moved to Mumbai in 2021, the year the network crossed 500 branches and AUM crossed ₹5,000 crore. The company listed on NSE and BSE in November 2023 through a ₹1,092 crore IPO.</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242"/>
        <w:gridCol w:w="8490"/>
      </w:tblGrid>
      <w:tr w:rsidR="007F373F">
        <w:trPr>
          <w:jc w:val="center"/>
        </w:trPr>
        <w:tc>
          <w:tcPr>
            <w:tcW w:w="1242" w:type="dxa"/>
          </w:tcPr>
          <w:p w:rsidR="007F373F" w:rsidRDefault="00000000">
            <w:pPr>
              <w:spacing w:after="0"/>
              <w:jc w:val="left"/>
            </w:pPr>
            <w:r>
              <w:rPr>
                <w:b/>
                <w:sz w:val="20"/>
              </w:rPr>
              <w:t>Year</w:t>
            </w:r>
          </w:p>
        </w:tc>
        <w:tc>
          <w:tcPr>
            <w:tcW w:w="8490" w:type="dxa"/>
          </w:tcPr>
          <w:p w:rsidR="007F373F" w:rsidRDefault="00000000">
            <w:pPr>
              <w:spacing w:after="0"/>
              <w:jc w:val="left"/>
            </w:pPr>
            <w:r>
              <w:rPr>
                <w:b/>
                <w:sz w:val="20"/>
              </w:rPr>
              <w:t>Milestone (as disclosed by the company)</w:t>
            </w:r>
          </w:p>
        </w:tc>
      </w:tr>
      <w:tr w:rsidR="007F373F">
        <w:trPr>
          <w:jc w:val="center"/>
        </w:trPr>
        <w:tc>
          <w:tcPr>
            <w:tcW w:w="1242" w:type="dxa"/>
          </w:tcPr>
          <w:p w:rsidR="007F373F" w:rsidRDefault="00000000">
            <w:pPr>
              <w:spacing w:after="0"/>
              <w:jc w:val="left"/>
            </w:pPr>
            <w:r>
              <w:rPr>
                <w:sz w:val="20"/>
              </w:rPr>
              <w:t>1995</w:t>
            </w:r>
          </w:p>
        </w:tc>
        <w:tc>
          <w:tcPr>
            <w:tcW w:w="8490" w:type="dxa"/>
          </w:tcPr>
          <w:p w:rsidR="007F373F" w:rsidRDefault="00000000">
            <w:pPr>
              <w:spacing w:after="0"/>
              <w:jc w:val="left"/>
            </w:pPr>
            <w:r>
              <w:rPr>
                <w:sz w:val="20"/>
              </w:rPr>
              <w:t>Incorporated in Kochi, Kerala; certificates of incorporation and commencement of business</w:t>
            </w:r>
          </w:p>
        </w:tc>
      </w:tr>
      <w:tr w:rsidR="007F373F">
        <w:trPr>
          <w:jc w:val="center"/>
        </w:trPr>
        <w:tc>
          <w:tcPr>
            <w:tcW w:w="1242" w:type="dxa"/>
          </w:tcPr>
          <w:p w:rsidR="007F373F" w:rsidRDefault="00000000">
            <w:pPr>
              <w:spacing w:after="0"/>
              <w:jc w:val="left"/>
            </w:pPr>
            <w:r>
              <w:rPr>
                <w:sz w:val="20"/>
              </w:rPr>
              <w:t>2007</w:t>
            </w:r>
          </w:p>
        </w:tc>
        <w:tc>
          <w:tcPr>
            <w:tcW w:w="8490" w:type="dxa"/>
          </w:tcPr>
          <w:p w:rsidR="007F373F" w:rsidRDefault="00000000">
            <w:pPr>
              <w:spacing w:after="0"/>
              <w:jc w:val="left"/>
            </w:pPr>
            <w:r>
              <w:rPr>
                <w:sz w:val="20"/>
              </w:rPr>
              <w:t>Began distributing housing loans, home-equity mortgage loans, personal and car loans for Federal Bank</w:t>
            </w:r>
          </w:p>
        </w:tc>
      </w:tr>
      <w:tr w:rsidR="007F373F">
        <w:trPr>
          <w:jc w:val="center"/>
        </w:trPr>
        <w:tc>
          <w:tcPr>
            <w:tcW w:w="1242" w:type="dxa"/>
          </w:tcPr>
          <w:p w:rsidR="007F373F" w:rsidRDefault="00000000">
            <w:pPr>
              <w:spacing w:after="0"/>
              <w:jc w:val="left"/>
            </w:pPr>
            <w:r>
              <w:rPr>
                <w:sz w:val="20"/>
              </w:rPr>
              <w:t>2010</w:t>
            </w:r>
          </w:p>
        </w:tc>
        <w:tc>
          <w:tcPr>
            <w:tcW w:w="8490" w:type="dxa"/>
          </w:tcPr>
          <w:p w:rsidR="007F373F" w:rsidRDefault="00000000">
            <w:pPr>
              <w:spacing w:after="0"/>
              <w:jc w:val="left"/>
            </w:pPr>
            <w:r>
              <w:rPr>
                <w:sz w:val="20"/>
              </w:rPr>
              <w:t>RBI licence to operate as an NBFC</w:t>
            </w:r>
          </w:p>
        </w:tc>
      </w:tr>
      <w:tr w:rsidR="007F373F">
        <w:trPr>
          <w:jc w:val="center"/>
        </w:trPr>
        <w:tc>
          <w:tcPr>
            <w:tcW w:w="1242" w:type="dxa"/>
          </w:tcPr>
          <w:p w:rsidR="007F373F" w:rsidRDefault="00000000">
            <w:pPr>
              <w:spacing w:after="0"/>
              <w:jc w:val="left"/>
            </w:pPr>
            <w:r>
              <w:rPr>
                <w:sz w:val="20"/>
              </w:rPr>
              <w:t>2011 / 2012</w:t>
            </w:r>
          </w:p>
        </w:tc>
        <w:tc>
          <w:tcPr>
            <w:tcW w:w="8490" w:type="dxa"/>
          </w:tcPr>
          <w:p w:rsidR="007F373F" w:rsidRDefault="00000000">
            <w:pPr>
              <w:spacing w:after="0"/>
              <w:jc w:val="left"/>
            </w:pPr>
            <w:r>
              <w:rPr>
                <w:sz w:val="20"/>
              </w:rPr>
              <w:t>Commenced gold-loan distribution (2011) and medium-ticket LAP (2012)</w:t>
            </w:r>
          </w:p>
        </w:tc>
      </w:tr>
      <w:tr w:rsidR="007F373F">
        <w:trPr>
          <w:jc w:val="center"/>
        </w:trPr>
        <w:tc>
          <w:tcPr>
            <w:tcW w:w="1242" w:type="dxa"/>
          </w:tcPr>
          <w:p w:rsidR="007F373F" w:rsidRDefault="00000000">
            <w:pPr>
              <w:spacing w:after="0"/>
              <w:jc w:val="left"/>
            </w:pPr>
            <w:r>
              <w:rPr>
                <w:sz w:val="20"/>
              </w:rPr>
              <w:t>2015</w:t>
            </w:r>
          </w:p>
        </w:tc>
        <w:tc>
          <w:tcPr>
            <w:tcW w:w="8490" w:type="dxa"/>
          </w:tcPr>
          <w:p w:rsidR="007F373F" w:rsidRDefault="00000000">
            <w:pPr>
              <w:spacing w:after="0"/>
              <w:jc w:val="left"/>
            </w:pPr>
            <w:r>
              <w:rPr>
                <w:sz w:val="20"/>
              </w:rPr>
              <w:t>Crossed 100 branches; loan book crossed ₹500 crore</w:t>
            </w:r>
          </w:p>
        </w:tc>
      </w:tr>
      <w:tr w:rsidR="007F373F">
        <w:trPr>
          <w:jc w:val="center"/>
        </w:trPr>
        <w:tc>
          <w:tcPr>
            <w:tcW w:w="1242" w:type="dxa"/>
          </w:tcPr>
          <w:p w:rsidR="007F373F" w:rsidRDefault="00000000">
            <w:pPr>
              <w:spacing w:after="0"/>
              <w:jc w:val="left"/>
            </w:pPr>
            <w:r>
              <w:rPr>
                <w:sz w:val="20"/>
              </w:rPr>
              <w:t>2018</w:t>
            </w:r>
          </w:p>
        </w:tc>
        <w:tc>
          <w:tcPr>
            <w:tcW w:w="8490" w:type="dxa"/>
          </w:tcPr>
          <w:p w:rsidR="007F373F" w:rsidRDefault="00000000">
            <w:pPr>
              <w:spacing w:after="0"/>
              <w:jc w:val="left"/>
            </w:pPr>
            <w:r>
              <w:rPr>
                <w:sz w:val="20"/>
              </w:rPr>
              <w:t>Launched small-ticket LAP and business loans; loan book crossed ₹1,000 crore; True North invested ₹168.6 crore</w:t>
            </w:r>
          </w:p>
        </w:tc>
      </w:tr>
      <w:tr w:rsidR="007F373F">
        <w:trPr>
          <w:jc w:val="center"/>
        </w:trPr>
        <w:tc>
          <w:tcPr>
            <w:tcW w:w="1242" w:type="dxa"/>
          </w:tcPr>
          <w:p w:rsidR="007F373F" w:rsidRDefault="00000000">
            <w:pPr>
              <w:spacing w:after="0"/>
              <w:jc w:val="left"/>
            </w:pPr>
            <w:r>
              <w:rPr>
                <w:sz w:val="20"/>
              </w:rPr>
              <w:t>2020</w:t>
            </w:r>
          </w:p>
        </w:tc>
        <w:tc>
          <w:tcPr>
            <w:tcW w:w="8490" w:type="dxa"/>
          </w:tcPr>
          <w:p w:rsidR="007F373F" w:rsidRDefault="00000000">
            <w:pPr>
              <w:spacing w:after="0"/>
              <w:jc w:val="left"/>
            </w:pPr>
            <w:r>
              <w:rPr>
                <w:sz w:val="20"/>
              </w:rPr>
              <w:t>Digital transformation initiated; 303 branches; loan book ₹3,838 crore; net worth ₹691 crore</w:t>
            </w:r>
          </w:p>
        </w:tc>
      </w:tr>
      <w:tr w:rsidR="007F373F">
        <w:trPr>
          <w:jc w:val="center"/>
        </w:trPr>
        <w:tc>
          <w:tcPr>
            <w:tcW w:w="1242" w:type="dxa"/>
          </w:tcPr>
          <w:p w:rsidR="007F373F" w:rsidRDefault="00000000">
            <w:pPr>
              <w:spacing w:after="0"/>
              <w:jc w:val="left"/>
            </w:pPr>
            <w:r>
              <w:rPr>
                <w:sz w:val="20"/>
              </w:rPr>
              <w:t>2021</w:t>
            </w:r>
          </w:p>
        </w:tc>
        <w:tc>
          <w:tcPr>
            <w:tcW w:w="8490" w:type="dxa"/>
          </w:tcPr>
          <w:p w:rsidR="007F373F" w:rsidRDefault="00000000">
            <w:pPr>
              <w:spacing w:after="0"/>
              <w:jc w:val="left"/>
            </w:pPr>
            <w:r>
              <w:rPr>
                <w:sz w:val="20"/>
              </w:rPr>
              <w:t>Registered office shifted to Mumbai; 500+ branches; net worth &gt; ₹1,000 crore; doorstep gold loans launched; AUM &gt; ₹5,000 crore</w:t>
            </w:r>
          </w:p>
        </w:tc>
      </w:tr>
      <w:tr w:rsidR="007F373F">
        <w:trPr>
          <w:jc w:val="center"/>
        </w:trPr>
        <w:tc>
          <w:tcPr>
            <w:tcW w:w="1242" w:type="dxa"/>
          </w:tcPr>
          <w:p w:rsidR="007F373F" w:rsidRDefault="00000000">
            <w:pPr>
              <w:spacing w:after="0"/>
              <w:jc w:val="left"/>
            </w:pPr>
            <w:r>
              <w:rPr>
                <w:sz w:val="20"/>
              </w:rPr>
              <w:t>2023</w:t>
            </w:r>
          </w:p>
        </w:tc>
        <w:tc>
          <w:tcPr>
            <w:tcW w:w="8490" w:type="dxa"/>
          </w:tcPr>
          <w:p w:rsidR="007F373F" w:rsidRDefault="00000000">
            <w:pPr>
              <w:spacing w:after="0"/>
              <w:jc w:val="left"/>
            </w:pPr>
            <w:r>
              <w:rPr>
                <w:sz w:val="20"/>
              </w:rPr>
              <w:t>Net worth &gt; ₹1,350 crore; loan book &gt; ₹8,000 crore; IPO and listing on NSE/BSE (₹1,092 crore)</w:t>
            </w:r>
          </w:p>
        </w:tc>
      </w:tr>
      <w:tr w:rsidR="007F373F">
        <w:trPr>
          <w:jc w:val="center"/>
        </w:trPr>
        <w:tc>
          <w:tcPr>
            <w:tcW w:w="1242" w:type="dxa"/>
          </w:tcPr>
          <w:p w:rsidR="007F373F" w:rsidRDefault="00000000">
            <w:pPr>
              <w:spacing w:after="0"/>
              <w:jc w:val="left"/>
            </w:pPr>
            <w:r>
              <w:rPr>
                <w:sz w:val="20"/>
              </w:rPr>
              <w:t>2024</w:t>
            </w:r>
          </w:p>
        </w:tc>
        <w:tc>
          <w:tcPr>
            <w:tcW w:w="8490" w:type="dxa"/>
          </w:tcPr>
          <w:p w:rsidR="007F373F" w:rsidRDefault="00000000">
            <w:pPr>
              <w:spacing w:after="0"/>
              <w:jc w:val="left"/>
            </w:pPr>
            <w:r>
              <w:rPr>
                <w:sz w:val="20"/>
              </w:rPr>
              <w:t>621 branches; AUM ₹12,192 crore; ratings upgraded – CARE AA+/Stable, India Ratings AA+/Stable, CRISIL AA/Positive</w:t>
            </w:r>
          </w:p>
        </w:tc>
      </w:tr>
      <w:tr w:rsidR="007F373F">
        <w:trPr>
          <w:jc w:val="center"/>
        </w:trPr>
        <w:tc>
          <w:tcPr>
            <w:tcW w:w="1242" w:type="dxa"/>
          </w:tcPr>
          <w:p w:rsidR="007F373F" w:rsidRDefault="00000000">
            <w:pPr>
              <w:spacing w:after="0"/>
              <w:jc w:val="left"/>
            </w:pPr>
            <w:r>
              <w:rPr>
                <w:sz w:val="20"/>
              </w:rPr>
              <w:t>2025</w:t>
            </w:r>
          </w:p>
        </w:tc>
        <w:tc>
          <w:tcPr>
            <w:tcW w:w="8490" w:type="dxa"/>
          </w:tcPr>
          <w:p w:rsidR="007F373F" w:rsidRDefault="00000000">
            <w:pPr>
              <w:spacing w:after="0"/>
              <w:jc w:val="left"/>
            </w:pPr>
            <w:r>
              <w:rPr>
                <w:sz w:val="20"/>
              </w:rPr>
              <w:t>Fedfina 2.0 launched under new MD&amp;CEO Parvez Mulla; ST LAP reset; exit from unsecured lending begun; 694 branches; AUM ₹15,800 crore</w:t>
            </w:r>
          </w:p>
        </w:tc>
      </w:tr>
      <w:tr w:rsidR="007F373F">
        <w:trPr>
          <w:jc w:val="center"/>
        </w:trPr>
        <w:tc>
          <w:tcPr>
            <w:tcW w:w="1242" w:type="dxa"/>
          </w:tcPr>
          <w:p w:rsidR="007F373F" w:rsidRDefault="00000000">
            <w:pPr>
              <w:spacing w:after="0"/>
              <w:jc w:val="left"/>
            </w:pPr>
            <w:r>
              <w:rPr>
                <w:sz w:val="20"/>
              </w:rPr>
              <w:t>2026</w:t>
            </w:r>
          </w:p>
        </w:tc>
        <w:tc>
          <w:tcPr>
            <w:tcW w:w="8490" w:type="dxa"/>
          </w:tcPr>
          <w:p w:rsidR="007F373F" w:rsidRDefault="00000000">
            <w:pPr>
              <w:spacing w:after="0"/>
              <w:jc w:val="left"/>
            </w:pPr>
            <w:r>
              <w:rPr>
                <w:sz w:val="20"/>
              </w:rPr>
              <w:t>AUM ₹20,153 crore; gold AUM &gt; ₹10,000 crore; 757 branches; 98.9% secured; AA+/Stable from four agencies; True North exits; USD 250 mn ECB programme</w:t>
            </w:r>
          </w:p>
        </w:tc>
      </w:tr>
    </w:tbl>
    <w:p w:rsidR="007F373F" w:rsidRDefault="00000000">
      <w:pPr>
        <w:spacing w:before="40" w:after="80"/>
      </w:pPr>
      <w:r>
        <w:rPr>
          <w:i/>
          <w:sz w:val="18"/>
        </w:rPr>
        <w:t>Source: Fedfina Annual Report 2023-24 ‘Reflecting on our journey’ p.8–9; Fedfina Annual Report 2024-25; Fedfina Annual Report 2025-26 Key Highlights and Directors’ Report.</w:t>
      </w:r>
    </w:p>
    <w:p w:rsidR="007F373F" w:rsidRDefault="00000000">
      <w:r>
        <w:t>Scale today. Over the eight years FY19–FY26, AUM grew ten-fold from ₹2,019 crore to ₹20,153 crore (38.9% CAGR, derived), branches from 149 to 757, and PAT from ₹36 crore to ₹343.6 crore. Net worth rose from ₹1,356 crore (FY23) to ₹2,926 crore (FY26), helped by the ₹600 crore fresh issue in the IPO and retained earnings; no dividend has been paid, with profits ploughed back to support growth (Directors’ Report FY26 recommends no dividend and transfers ₹68.7 crore to the statutory reserve under Section 45-IC of the RBI Act).</w:t>
      </w:r>
    </w:p>
    <w:p w:rsidR="007F373F" w:rsidRDefault="00000000">
      <w:pPr>
        <w:pStyle w:val="Heading1"/>
        <w:pageBreakBefore/>
      </w:pPr>
      <w:r>
        <w:lastRenderedPageBreak/>
        <w:t>Federal Bank Parentage and Shareholding Structure</w:t>
      </w:r>
    </w:p>
    <w:p w:rsidR="007F373F" w:rsidRDefault="00000000">
      <w:r>
        <w:t>Fedfina is a subsidiary of The Federal Bank Limited, a Kerala-headquartered private-sector scheduled commercial bank. Federal Bank held 60.79% of the equity at 31 March 2026 (61.03% a year earlier; the small dilution reflects ESOP allotments). The relationship provides what the company calls “institutional credibility, governance standards and operational alignment”: two of the bank’s senior executives (Mr. K.V.S. Manian and Mr. Harsh Dugar) sit on the Board as nominee directors; the bank’s former MD&amp;CEO Mr. Shyam Srinivasan is Fedfina’s non-executive Chairman; the bank is a lender (term loan ₹1,064 crore, demand loan ₹60 crore and subordinated NCDs ₹246 crore at 31 March 2026 – about 10% of borrowings); and Fedfina distributes bank products, earning ₹33.1 crore of distribution income in FY26.</w:t>
      </w:r>
    </w:p>
    <w:p w:rsidR="007F373F" w:rsidRDefault="00000000">
      <w:pPr>
        <w:spacing w:after="0"/>
        <w:jc w:val="center"/>
      </w:pPr>
      <w:r>
        <w:rPr>
          <w:noProof/>
        </w:rPr>
        <w:drawing>
          <wp:inline distT="0" distB="0" distL="0" distR="0">
            <wp:extent cx="4572000" cy="1801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holding.png"/>
                    <pic:cNvPicPr/>
                  </pic:nvPicPr>
                  <pic:blipFill>
                    <a:blip r:embed="rId11"/>
                    <a:stretch>
                      <a:fillRect/>
                    </a:stretch>
                  </pic:blipFill>
                  <pic:spPr>
                    <a:xfrm>
                      <a:off x="0" y="0"/>
                      <a:ext cx="4572000" cy="1801091"/>
                    </a:xfrm>
                    <a:prstGeom prst="rect">
                      <a:avLst/>
                    </a:prstGeom>
                  </pic:spPr>
                </pic:pic>
              </a:graphicData>
            </a:graphic>
          </wp:inline>
        </w:drawing>
      </w:r>
    </w:p>
    <w:p w:rsidR="007F373F" w:rsidRDefault="00000000">
      <w:pPr>
        <w:spacing w:after="80"/>
        <w:jc w:val="center"/>
      </w:pPr>
      <w:r>
        <w:rPr>
          <w:i/>
          <w:sz w:val="18"/>
        </w:rPr>
        <w:t>Figure 12 – Shareholding pattern at 31 March 2026. Source: Fedfina Annual Report 2025-26, Report on Corporate Governance (distribution of shareholding).</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693"/>
        <w:gridCol w:w="1656"/>
        <w:gridCol w:w="1656"/>
        <w:gridCol w:w="1380"/>
      </w:tblGrid>
      <w:tr w:rsidR="007F373F">
        <w:trPr>
          <w:jc w:val="center"/>
        </w:trPr>
        <w:tc>
          <w:tcPr>
            <w:tcW w:w="4693" w:type="dxa"/>
          </w:tcPr>
          <w:p w:rsidR="007F373F" w:rsidRDefault="00000000">
            <w:pPr>
              <w:spacing w:after="0"/>
              <w:jc w:val="left"/>
            </w:pPr>
            <w:r>
              <w:rPr>
                <w:b/>
                <w:sz w:val="19"/>
              </w:rPr>
              <w:t>Category of shareholder</w:t>
            </w:r>
          </w:p>
        </w:tc>
        <w:tc>
          <w:tcPr>
            <w:tcW w:w="1656" w:type="dxa"/>
          </w:tcPr>
          <w:p w:rsidR="007F373F" w:rsidRDefault="00000000">
            <w:pPr>
              <w:spacing w:after="0"/>
              <w:jc w:val="left"/>
            </w:pPr>
            <w:r>
              <w:rPr>
                <w:b/>
                <w:sz w:val="19"/>
              </w:rPr>
              <w:t>31 Mar 2026 (%)</w:t>
            </w:r>
          </w:p>
        </w:tc>
        <w:tc>
          <w:tcPr>
            <w:tcW w:w="1656" w:type="dxa"/>
          </w:tcPr>
          <w:p w:rsidR="007F373F" w:rsidRDefault="00000000">
            <w:pPr>
              <w:spacing w:after="0"/>
              <w:jc w:val="left"/>
            </w:pPr>
            <w:r>
              <w:rPr>
                <w:b/>
                <w:sz w:val="19"/>
              </w:rPr>
              <w:t>31 Mar 2025 (%)</w:t>
            </w:r>
          </w:p>
        </w:tc>
        <w:tc>
          <w:tcPr>
            <w:tcW w:w="1380" w:type="dxa"/>
          </w:tcPr>
          <w:p w:rsidR="007F373F" w:rsidRDefault="00000000">
            <w:pPr>
              <w:spacing w:after="0"/>
              <w:jc w:val="left"/>
            </w:pPr>
            <w:r>
              <w:rPr>
                <w:b/>
                <w:sz w:val="19"/>
              </w:rPr>
              <w:t>Change (pp)</w:t>
            </w:r>
          </w:p>
        </w:tc>
      </w:tr>
      <w:tr w:rsidR="007F373F">
        <w:trPr>
          <w:jc w:val="center"/>
        </w:trPr>
        <w:tc>
          <w:tcPr>
            <w:tcW w:w="4693" w:type="dxa"/>
          </w:tcPr>
          <w:p w:rsidR="007F373F" w:rsidRDefault="00000000">
            <w:pPr>
              <w:spacing w:after="0"/>
              <w:jc w:val="left"/>
            </w:pPr>
            <w:r>
              <w:rPr>
                <w:sz w:val="19"/>
              </w:rPr>
              <w:t>Promoter and Promoter Group (Federal Bank)</w:t>
            </w:r>
          </w:p>
        </w:tc>
        <w:tc>
          <w:tcPr>
            <w:tcW w:w="1656" w:type="dxa"/>
          </w:tcPr>
          <w:p w:rsidR="007F373F" w:rsidRDefault="00000000">
            <w:pPr>
              <w:spacing w:after="0"/>
              <w:jc w:val="right"/>
            </w:pPr>
            <w:r>
              <w:rPr>
                <w:sz w:val="19"/>
              </w:rPr>
              <w:t>60.79</w:t>
            </w:r>
          </w:p>
        </w:tc>
        <w:tc>
          <w:tcPr>
            <w:tcW w:w="1656" w:type="dxa"/>
          </w:tcPr>
          <w:p w:rsidR="007F373F" w:rsidRDefault="00000000">
            <w:pPr>
              <w:spacing w:after="0"/>
              <w:jc w:val="right"/>
            </w:pPr>
            <w:r>
              <w:rPr>
                <w:sz w:val="19"/>
              </w:rPr>
              <w:t>61.03</w:t>
            </w:r>
          </w:p>
        </w:tc>
        <w:tc>
          <w:tcPr>
            <w:tcW w:w="1380" w:type="dxa"/>
          </w:tcPr>
          <w:p w:rsidR="007F373F" w:rsidRDefault="00000000">
            <w:pPr>
              <w:spacing w:after="0"/>
              <w:jc w:val="right"/>
            </w:pPr>
            <w:r>
              <w:rPr>
                <w:sz w:val="19"/>
              </w:rPr>
              <w:t>-0.24</w:t>
            </w:r>
          </w:p>
        </w:tc>
      </w:tr>
      <w:tr w:rsidR="007F373F">
        <w:trPr>
          <w:jc w:val="center"/>
        </w:trPr>
        <w:tc>
          <w:tcPr>
            <w:tcW w:w="4693" w:type="dxa"/>
          </w:tcPr>
          <w:p w:rsidR="007F373F" w:rsidRDefault="00000000">
            <w:pPr>
              <w:spacing w:after="0"/>
              <w:jc w:val="left"/>
            </w:pPr>
            <w:r>
              <w:rPr>
                <w:sz w:val="19"/>
              </w:rPr>
              <w:t>Public (individuals)</w:t>
            </w:r>
          </w:p>
        </w:tc>
        <w:tc>
          <w:tcPr>
            <w:tcW w:w="1656" w:type="dxa"/>
          </w:tcPr>
          <w:p w:rsidR="007F373F" w:rsidRDefault="00000000">
            <w:pPr>
              <w:spacing w:after="0"/>
              <w:jc w:val="right"/>
            </w:pPr>
            <w:r>
              <w:rPr>
                <w:sz w:val="19"/>
              </w:rPr>
              <w:t>15.94</w:t>
            </w:r>
          </w:p>
        </w:tc>
        <w:tc>
          <w:tcPr>
            <w:tcW w:w="1656" w:type="dxa"/>
          </w:tcPr>
          <w:p w:rsidR="007F373F" w:rsidRDefault="00000000">
            <w:pPr>
              <w:spacing w:after="0"/>
              <w:jc w:val="right"/>
            </w:pPr>
            <w:r>
              <w:rPr>
                <w:sz w:val="19"/>
              </w:rPr>
              <w:t>14.34</w:t>
            </w:r>
          </w:p>
        </w:tc>
        <w:tc>
          <w:tcPr>
            <w:tcW w:w="1380" w:type="dxa"/>
          </w:tcPr>
          <w:p w:rsidR="007F373F" w:rsidRDefault="00000000">
            <w:pPr>
              <w:spacing w:after="0"/>
              <w:jc w:val="right"/>
            </w:pPr>
            <w:r>
              <w:rPr>
                <w:sz w:val="19"/>
              </w:rPr>
              <w:t>+1.60</w:t>
            </w:r>
          </w:p>
        </w:tc>
      </w:tr>
      <w:tr w:rsidR="007F373F">
        <w:trPr>
          <w:jc w:val="center"/>
        </w:trPr>
        <w:tc>
          <w:tcPr>
            <w:tcW w:w="4693" w:type="dxa"/>
          </w:tcPr>
          <w:p w:rsidR="007F373F" w:rsidRDefault="00000000">
            <w:pPr>
              <w:spacing w:after="0"/>
              <w:jc w:val="left"/>
            </w:pPr>
            <w:r>
              <w:rPr>
                <w:sz w:val="19"/>
              </w:rPr>
              <w:t>Alternate Investment Funds</w:t>
            </w:r>
          </w:p>
        </w:tc>
        <w:tc>
          <w:tcPr>
            <w:tcW w:w="1656" w:type="dxa"/>
          </w:tcPr>
          <w:p w:rsidR="007F373F" w:rsidRDefault="00000000">
            <w:pPr>
              <w:spacing w:after="0"/>
              <w:jc w:val="right"/>
            </w:pPr>
            <w:r>
              <w:rPr>
                <w:sz w:val="19"/>
              </w:rPr>
              <w:t>13.01</w:t>
            </w:r>
          </w:p>
        </w:tc>
        <w:tc>
          <w:tcPr>
            <w:tcW w:w="1656" w:type="dxa"/>
          </w:tcPr>
          <w:p w:rsidR="007F373F" w:rsidRDefault="00000000">
            <w:pPr>
              <w:spacing w:after="0"/>
              <w:jc w:val="right"/>
            </w:pPr>
            <w:r>
              <w:rPr>
                <w:sz w:val="19"/>
              </w:rPr>
              <w:t>14.38</w:t>
            </w:r>
          </w:p>
        </w:tc>
        <w:tc>
          <w:tcPr>
            <w:tcW w:w="1380" w:type="dxa"/>
          </w:tcPr>
          <w:p w:rsidR="007F373F" w:rsidRDefault="00000000">
            <w:pPr>
              <w:spacing w:after="0"/>
              <w:jc w:val="right"/>
            </w:pPr>
            <w:r>
              <w:rPr>
                <w:sz w:val="19"/>
              </w:rPr>
              <w:t>-1.37</w:t>
            </w:r>
          </w:p>
        </w:tc>
      </w:tr>
      <w:tr w:rsidR="007F373F">
        <w:trPr>
          <w:jc w:val="center"/>
        </w:trPr>
        <w:tc>
          <w:tcPr>
            <w:tcW w:w="4693" w:type="dxa"/>
          </w:tcPr>
          <w:p w:rsidR="007F373F" w:rsidRDefault="00000000">
            <w:pPr>
              <w:spacing w:after="0"/>
              <w:jc w:val="left"/>
            </w:pPr>
            <w:r>
              <w:rPr>
                <w:sz w:val="19"/>
              </w:rPr>
              <w:t>Insurance Companies</w:t>
            </w:r>
          </w:p>
        </w:tc>
        <w:tc>
          <w:tcPr>
            <w:tcW w:w="1656" w:type="dxa"/>
          </w:tcPr>
          <w:p w:rsidR="007F373F" w:rsidRDefault="00000000">
            <w:pPr>
              <w:spacing w:after="0"/>
              <w:jc w:val="right"/>
            </w:pPr>
            <w:r>
              <w:rPr>
                <w:sz w:val="19"/>
              </w:rPr>
              <w:t>3.10</w:t>
            </w:r>
          </w:p>
        </w:tc>
        <w:tc>
          <w:tcPr>
            <w:tcW w:w="1656" w:type="dxa"/>
          </w:tcPr>
          <w:p w:rsidR="007F373F" w:rsidRDefault="00000000">
            <w:pPr>
              <w:spacing w:after="0"/>
              <w:jc w:val="right"/>
            </w:pPr>
            <w:r>
              <w:rPr>
                <w:sz w:val="19"/>
              </w:rPr>
              <w:t>4.04</w:t>
            </w:r>
          </w:p>
        </w:tc>
        <w:tc>
          <w:tcPr>
            <w:tcW w:w="1380" w:type="dxa"/>
          </w:tcPr>
          <w:p w:rsidR="007F373F" w:rsidRDefault="00000000">
            <w:pPr>
              <w:spacing w:after="0"/>
              <w:jc w:val="right"/>
            </w:pPr>
            <w:r>
              <w:rPr>
                <w:sz w:val="19"/>
              </w:rPr>
              <w:t>-0.94</w:t>
            </w:r>
          </w:p>
        </w:tc>
      </w:tr>
      <w:tr w:rsidR="007F373F">
        <w:trPr>
          <w:jc w:val="center"/>
        </w:trPr>
        <w:tc>
          <w:tcPr>
            <w:tcW w:w="4693" w:type="dxa"/>
          </w:tcPr>
          <w:p w:rsidR="007F373F" w:rsidRDefault="00000000">
            <w:pPr>
              <w:spacing w:after="0"/>
              <w:jc w:val="left"/>
            </w:pPr>
            <w:r>
              <w:rPr>
                <w:sz w:val="19"/>
              </w:rPr>
              <w:t>Mutual Funds</w:t>
            </w:r>
          </w:p>
        </w:tc>
        <w:tc>
          <w:tcPr>
            <w:tcW w:w="1656" w:type="dxa"/>
          </w:tcPr>
          <w:p w:rsidR="007F373F" w:rsidRDefault="00000000">
            <w:pPr>
              <w:spacing w:after="0"/>
              <w:jc w:val="right"/>
            </w:pPr>
            <w:r>
              <w:rPr>
                <w:sz w:val="19"/>
              </w:rPr>
              <w:t>2.71</w:t>
            </w:r>
          </w:p>
        </w:tc>
        <w:tc>
          <w:tcPr>
            <w:tcW w:w="1656" w:type="dxa"/>
          </w:tcPr>
          <w:p w:rsidR="007F373F" w:rsidRDefault="00000000">
            <w:pPr>
              <w:spacing w:after="0"/>
              <w:jc w:val="right"/>
            </w:pPr>
            <w:r>
              <w:rPr>
                <w:sz w:val="19"/>
              </w:rPr>
              <w:t>2.39</w:t>
            </w:r>
          </w:p>
        </w:tc>
        <w:tc>
          <w:tcPr>
            <w:tcW w:w="1380" w:type="dxa"/>
          </w:tcPr>
          <w:p w:rsidR="007F373F" w:rsidRDefault="00000000">
            <w:pPr>
              <w:spacing w:after="0"/>
              <w:jc w:val="right"/>
            </w:pPr>
            <w:r>
              <w:rPr>
                <w:sz w:val="19"/>
              </w:rPr>
              <w:t>+0.32</w:t>
            </w:r>
          </w:p>
        </w:tc>
      </w:tr>
      <w:tr w:rsidR="007F373F">
        <w:trPr>
          <w:jc w:val="center"/>
        </w:trPr>
        <w:tc>
          <w:tcPr>
            <w:tcW w:w="4693" w:type="dxa"/>
          </w:tcPr>
          <w:p w:rsidR="007F373F" w:rsidRDefault="00000000">
            <w:pPr>
              <w:spacing w:after="0"/>
              <w:jc w:val="left"/>
            </w:pPr>
            <w:r>
              <w:rPr>
                <w:sz w:val="19"/>
              </w:rPr>
              <w:t>Other Bodies Corporate</w:t>
            </w:r>
          </w:p>
        </w:tc>
        <w:tc>
          <w:tcPr>
            <w:tcW w:w="1656" w:type="dxa"/>
          </w:tcPr>
          <w:p w:rsidR="007F373F" w:rsidRDefault="00000000">
            <w:pPr>
              <w:spacing w:after="0"/>
              <w:jc w:val="right"/>
            </w:pPr>
            <w:r>
              <w:rPr>
                <w:sz w:val="19"/>
              </w:rPr>
              <w:t>1.63</w:t>
            </w:r>
          </w:p>
        </w:tc>
        <w:tc>
          <w:tcPr>
            <w:tcW w:w="1656" w:type="dxa"/>
          </w:tcPr>
          <w:p w:rsidR="007F373F" w:rsidRDefault="00000000">
            <w:pPr>
              <w:spacing w:after="0"/>
              <w:jc w:val="right"/>
            </w:pPr>
            <w:r>
              <w:rPr>
                <w:sz w:val="19"/>
              </w:rPr>
              <w:t>1.85</w:t>
            </w:r>
          </w:p>
        </w:tc>
        <w:tc>
          <w:tcPr>
            <w:tcW w:w="1380" w:type="dxa"/>
          </w:tcPr>
          <w:p w:rsidR="007F373F" w:rsidRDefault="00000000">
            <w:pPr>
              <w:spacing w:after="0"/>
              <w:jc w:val="right"/>
            </w:pPr>
            <w:r>
              <w:rPr>
                <w:sz w:val="19"/>
              </w:rPr>
              <w:t>-0.22</w:t>
            </w:r>
          </w:p>
        </w:tc>
      </w:tr>
      <w:tr w:rsidR="007F373F">
        <w:trPr>
          <w:jc w:val="center"/>
        </w:trPr>
        <w:tc>
          <w:tcPr>
            <w:tcW w:w="4693" w:type="dxa"/>
          </w:tcPr>
          <w:p w:rsidR="007F373F" w:rsidRDefault="00000000">
            <w:pPr>
              <w:spacing w:after="0"/>
              <w:jc w:val="left"/>
            </w:pPr>
            <w:r>
              <w:rPr>
                <w:sz w:val="19"/>
              </w:rPr>
              <w:t>Foreign Portfolio Investors</w:t>
            </w:r>
          </w:p>
        </w:tc>
        <w:tc>
          <w:tcPr>
            <w:tcW w:w="1656" w:type="dxa"/>
          </w:tcPr>
          <w:p w:rsidR="007F373F" w:rsidRDefault="00000000">
            <w:pPr>
              <w:spacing w:after="0"/>
              <w:jc w:val="right"/>
            </w:pPr>
            <w:r>
              <w:rPr>
                <w:sz w:val="19"/>
              </w:rPr>
              <w:t>0.66</w:t>
            </w:r>
          </w:p>
        </w:tc>
        <w:tc>
          <w:tcPr>
            <w:tcW w:w="1656" w:type="dxa"/>
          </w:tcPr>
          <w:p w:rsidR="007F373F" w:rsidRDefault="00000000">
            <w:pPr>
              <w:spacing w:after="0"/>
              <w:jc w:val="right"/>
            </w:pPr>
            <w:r>
              <w:rPr>
                <w:sz w:val="19"/>
              </w:rPr>
              <w:t>0.49</w:t>
            </w:r>
          </w:p>
        </w:tc>
        <w:tc>
          <w:tcPr>
            <w:tcW w:w="1380" w:type="dxa"/>
          </w:tcPr>
          <w:p w:rsidR="007F373F" w:rsidRDefault="00000000">
            <w:pPr>
              <w:spacing w:after="0"/>
              <w:jc w:val="right"/>
            </w:pPr>
            <w:r>
              <w:rPr>
                <w:sz w:val="19"/>
              </w:rPr>
              <w:t>+0.17</w:t>
            </w:r>
          </w:p>
        </w:tc>
      </w:tr>
      <w:tr w:rsidR="007F373F">
        <w:trPr>
          <w:jc w:val="center"/>
        </w:trPr>
        <w:tc>
          <w:tcPr>
            <w:tcW w:w="4693" w:type="dxa"/>
          </w:tcPr>
          <w:p w:rsidR="007F373F" w:rsidRDefault="00000000">
            <w:pPr>
              <w:spacing w:after="0"/>
              <w:jc w:val="left"/>
            </w:pPr>
            <w:r>
              <w:rPr>
                <w:sz w:val="19"/>
              </w:rPr>
              <w:t>NRIs (repatriable + non-repatriable)</w:t>
            </w:r>
          </w:p>
        </w:tc>
        <w:tc>
          <w:tcPr>
            <w:tcW w:w="1656" w:type="dxa"/>
          </w:tcPr>
          <w:p w:rsidR="007F373F" w:rsidRDefault="00000000">
            <w:pPr>
              <w:spacing w:after="0"/>
              <w:jc w:val="right"/>
            </w:pPr>
            <w:r>
              <w:rPr>
                <w:sz w:val="19"/>
              </w:rPr>
              <w:t>0.98</w:t>
            </w:r>
          </w:p>
        </w:tc>
        <w:tc>
          <w:tcPr>
            <w:tcW w:w="1656" w:type="dxa"/>
          </w:tcPr>
          <w:p w:rsidR="007F373F" w:rsidRDefault="00000000">
            <w:pPr>
              <w:spacing w:after="0"/>
              <w:jc w:val="right"/>
            </w:pPr>
            <w:r>
              <w:rPr>
                <w:sz w:val="19"/>
              </w:rPr>
              <w:t>0.74</w:t>
            </w:r>
          </w:p>
        </w:tc>
        <w:tc>
          <w:tcPr>
            <w:tcW w:w="1380" w:type="dxa"/>
          </w:tcPr>
          <w:p w:rsidR="007F373F" w:rsidRDefault="00000000">
            <w:pPr>
              <w:spacing w:after="0"/>
              <w:jc w:val="right"/>
            </w:pPr>
            <w:r>
              <w:rPr>
                <w:sz w:val="19"/>
              </w:rPr>
              <w:t>+0.24</w:t>
            </w:r>
          </w:p>
        </w:tc>
      </w:tr>
      <w:tr w:rsidR="007F373F">
        <w:trPr>
          <w:jc w:val="center"/>
        </w:trPr>
        <w:tc>
          <w:tcPr>
            <w:tcW w:w="4693" w:type="dxa"/>
          </w:tcPr>
          <w:p w:rsidR="007F373F" w:rsidRDefault="00000000">
            <w:pPr>
              <w:spacing w:after="0"/>
              <w:jc w:val="left"/>
            </w:pPr>
            <w:r>
              <w:rPr>
                <w:sz w:val="19"/>
              </w:rPr>
              <w:t>HUF</w:t>
            </w:r>
          </w:p>
        </w:tc>
        <w:tc>
          <w:tcPr>
            <w:tcW w:w="1656" w:type="dxa"/>
          </w:tcPr>
          <w:p w:rsidR="007F373F" w:rsidRDefault="00000000">
            <w:pPr>
              <w:spacing w:after="0"/>
              <w:jc w:val="right"/>
            </w:pPr>
            <w:r>
              <w:rPr>
                <w:sz w:val="19"/>
              </w:rPr>
              <w:t>0.53</w:t>
            </w:r>
          </w:p>
        </w:tc>
        <w:tc>
          <w:tcPr>
            <w:tcW w:w="1656" w:type="dxa"/>
          </w:tcPr>
          <w:p w:rsidR="007F373F" w:rsidRDefault="00000000">
            <w:pPr>
              <w:spacing w:after="0"/>
              <w:jc w:val="right"/>
            </w:pPr>
            <w:r>
              <w:rPr>
                <w:sz w:val="19"/>
              </w:rPr>
              <w:t>0.43</w:t>
            </w:r>
          </w:p>
        </w:tc>
        <w:tc>
          <w:tcPr>
            <w:tcW w:w="1380" w:type="dxa"/>
          </w:tcPr>
          <w:p w:rsidR="007F373F" w:rsidRDefault="00000000">
            <w:pPr>
              <w:spacing w:after="0"/>
              <w:jc w:val="right"/>
            </w:pPr>
            <w:r>
              <w:rPr>
                <w:sz w:val="19"/>
              </w:rPr>
              <w:t>+0.10</w:t>
            </w:r>
          </w:p>
        </w:tc>
      </w:tr>
      <w:tr w:rsidR="007F373F">
        <w:trPr>
          <w:jc w:val="center"/>
        </w:trPr>
        <w:tc>
          <w:tcPr>
            <w:tcW w:w="4693" w:type="dxa"/>
          </w:tcPr>
          <w:p w:rsidR="007F373F" w:rsidRDefault="00000000">
            <w:pPr>
              <w:spacing w:after="0"/>
              <w:jc w:val="left"/>
            </w:pPr>
            <w:r>
              <w:rPr>
                <w:sz w:val="19"/>
              </w:rPr>
              <w:t>Key Managerial Personnel</w:t>
            </w:r>
          </w:p>
        </w:tc>
        <w:tc>
          <w:tcPr>
            <w:tcW w:w="1656" w:type="dxa"/>
          </w:tcPr>
          <w:p w:rsidR="007F373F" w:rsidRDefault="00000000">
            <w:pPr>
              <w:spacing w:after="0"/>
              <w:jc w:val="right"/>
            </w:pPr>
            <w:r>
              <w:rPr>
                <w:sz w:val="19"/>
              </w:rPr>
              <w:t>0.30</w:t>
            </w:r>
          </w:p>
        </w:tc>
        <w:tc>
          <w:tcPr>
            <w:tcW w:w="1656" w:type="dxa"/>
          </w:tcPr>
          <w:p w:rsidR="007F373F" w:rsidRDefault="00000000">
            <w:pPr>
              <w:spacing w:after="0"/>
              <w:jc w:val="right"/>
            </w:pPr>
            <w:r>
              <w:rPr>
                <w:sz w:val="19"/>
              </w:rPr>
              <w:t>0.20</w:t>
            </w:r>
          </w:p>
        </w:tc>
        <w:tc>
          <w:tcPr>
            <w:tcW w:w="1380" w:type="dxa"/>
          </w:tcPr>
          <w:p w:rsidR="007F373F" w:rsidRDefault="00000000">
            <w:pPr>
              <w:spacing w:after="0"/>
              <w:jc w:val="right"/>
            </w:pPr>
            <w:r>
              <w:rPr>
                <w:sz w:val="19"/>
              </w:rPr>
              <w:t>+0.10</w:t>
            </w:r>
          </w:p>
        </w:tc>
      </w:tr>
      <w:tr w:rsidR="007F373F">
        <w:trPr>
          <w:jc w:val="center"/>
        </w:trPr>
        <w:tc>
          <w:tcPr>
            <w:tcW w:w="4693" w:type="dxa"/>
          </w:tcPr>
          <w:p w:rsidR="007F373F" w:rsidRDefault="00000000">
            <w:pPr>
              <w:spacing w:after="0"/>
              <w:jc w:val="left"/>
            </w:pPr>
            <w:r>
              <w:rPr>
                <w:sz w:val="19"/>
              </w:rPr>
              <w:t>LLPs, Trusts, Clearing Members</w:t>
            </w:r>
          </w:p>
        </w:tc>
        <w:tc>
          <w:tcPr>
            <w:tcW w:w="1656" w:type="dxa"/>
          </w:tcPr>
          <w:p w:rsidR="007F373F" w:rsidRDefault="00000000">
            <w:pPr>
              <w:spacing w:after="0"/>
              <w:jc w:val="right"/>
            </w:pPr>
            <w:r>
              <w:rPr>
                <w:sz w:val="19"/>
              </w:rPr>
              <w:t>0.35</w:t>
            </w:r>
          </w:p>
        </w:tc>
        <w:tc>
          <w:tcPr>
            <w:tcW w:w="1656" w:type="dxa"/>
          </w:tcPr>
          <w:p w:rsidR="007F373F" w:rsidRDefault="00000000">
            <w:pPr>
              <w:spacing w:after="0"/>
              <w:jc w:val="right"/>
            </w:pPr>
            <w:r>
              <w:rPr>
                <w:sz w:val="19"/>
              </w:rPr>
              <w:t>0.11</w:t>
            </w:r>
          </w:p>
        </w:tc>
        <w:tc>
          <w:tcPr>
            <w:tcW w:w="1380" w:type="dxa"/>
          </w:tcPr>
          <w:p w:rsidR="007F373F" w:rsidRDefault="00000000">
            <w:pPr>
              <w:spacing w:after="0"/>
              <w:jc w:val="right"/>
            </w:pPr>
            <w:r>
              <w:rPr>
                <w:sz w:val="19"/>
              </w:rPr>
              <w:t>+0.24</w:t>
            </w:r>
          </w:p>
        </w:tc>
      </w:tr>
      <w:tr w:rsidR="007F373F">
        <w:trPr>
          <w:jc w:val="center"/>
        </w:trPr>
        <w:tc>
          <w:tcPr>
            <w:tcW w:w="4693" w:type="dxa"/>
          </w:tcPr>
          <w:p w:rsidR="007F373F" w:rsidRDefault="00000000">
            <w:pPr>
              <w:spacing w:after="0"/>
              <w:jc w:val="left"/>
            </w:pPr>
            <w:r>
              <w:rPr>
                <w:sz w:val="19"/>
              </w:rPr>
              <w:t>Total</w:t>
            </w:r>
          </w:p>
        </w:tc>
        <w:tc>
          <w:tcPr>
            <w:tcW w:w="1656" w:type="dxa"/>
          </w:tcPr>
          <w:p w:rsidR="007F373F" w:rsidRDefault="00000000">
            <w:pPr>
              <w:spacing w:after="0"/>
              <w:jc w:val="right"/>
            </w:pPr>
            <w:r>
              <w:rPr>
                <w:sz w:val="19"/>
              </w:rPr>
              <w:t>100.00</w:t>
            </w:r>
          </w:p>
        </w:tc>
        <w:tc>
          <w:tcPr>
            <w:tcW w:w="1656" w:type="dxa"/>
          </w:tcPr>
          <w:p w:rsidR="007F373F" w:rsidRDefault="00000000">
            <w:pPr>
              <w:spacing w:after="0"/>
              <w:jc w:val="right"/>
            </w:pPr>
            <w:r>
              <w:rPr>
                <w:sz w:val="19"/>
              </w:rPr>
              <w:t>100.00</w:t>
            </w:r>
          </w:p>
        </w:tc>
        <w:tc>
          <w:tcPr>
            <w:tcW w:w="1380" w:type="dxa"/>
          </w:tcPr>
          <w:p w:rsidR="007F373F" w:rsidRDefault="007F373F">
            <w:pPr>
              <w:spacing w:after="0"/>
              <w:jc w:val="left"/>
            </w:pPr>
          </w:p>
        </w:tc>
      </w:tr>
    </w:tbl>
    <w:p w:rsidR="007F373F" w:rsidRDefault="00000000">
      <w:pPr>
        <w:spacing w:before="40" w:after="80"/>
      </w:pPr>
      <w:r>
        <w:rPr>
          <w:i/>
          <w:sz w:val="18"/>
        </w:rPr>
        <w:t>Source: Fedfina Annual Report 2025-26, Report on Corporate Governance – categories of shareholders. Shares outstanding 374,206,101 (FY25: 372,716,854).</w:t>
      </w:r>
    </w:p>
    <w:p w:rsidR="007F373F" w:rsidRDefault="00000000">
      <w:r>
        <w:t>Two changes in the year matter for governance. First, private-equity investor True North, a shareholder since 2018, exited the company: its nominee director Mr. Maninder Singh Juneja resigned with effect from 14 May 2026, and the holding of Alternate Investment Funds fell from 14.38% to 13.01% with the balance absorbed by public individuals (up to 15.94%), mutual funds (2.71%) and others. Second, the free float broadened – NRIs, HUFs and KMP holdings all increased – and the market capitalisation stood at ₹4,642 crore on 31 March 2026, implying a share price of about ₹124 against a book value of ₹78.19 (price-to-book ≈ 1.59x, derived).</w:t>
      </w:r>
    </w:p>
    <w:p w:rsidR="007F373F" w:rsidRDefault="00000000">
      <w:pPr>
        <w:pStyle w:val="Heading1"/>
        <w:pageBreakBefore/>
      </w:pPr>
      <w:r>
        <w:lastRenderedPageBreak/>
        <w:t>Vision, Values and Strategic Intent</w:t>
      </w:r>
    </w:p>
    <w:p w:rsidR="007F373F" w:rsidRDefault="00000000">
      <w:r>
        <w:t>Vision. The company’s stated vision is “Empowering Emerging India with Easy Access to Loans”. Its customers are described as self-employed households, small business owners and MSME borrowers across Tier 2, 3 and 4 markets who need reliable access to organised credit – people for whom Fedfina is “often the first point of access to formal finance”.</w:t>
      </w:r>
    </w:p>
    <w:p w:rsidR="007F373F" w:rsidRDefault="00000000">
      <w:r>
        <w:t>Values. The culture is codified as E.P.I.C. – Execution Excellence, People Focus, Integrity and Customer-Centricity – each with four stated behaviours, reproduced below from the FY26 report.</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429"/>
        <w:gridCol w:w="2429"/>
        <w:gridCol w:w="2429"/>
        <w:gridCol w:w="2443"/>
      </w:tblGrid>
      <w:tr w:rsidR="007F373F">
        <w:trPr>
          <w:jc w:val="center"/>
        </w:trPr>
        <w:tc>
          <w:tcPr>
            <w:tcW w:w="2429" w:type="dxa"/>
          </w:tcPr>
          <w:p w:rsidR="007F373F" w:rsidRDefault="00000000">
            <w:pPr>
              <w:spacing w:after="0"/>
              <w:jc w:val="left"/>
            </w:pPr>
            <w:r>
              <w:rPr>
                <w:b/>
                <w:sz w:val="20"/>
              </w:rPr>
              <w:t>Execution Excellence</w:t>
            </w:r>
          </w:p>
        </w:tc>
        <w:tc>
          <w:tcPr>
            <w:tcW w:w="2429" w:type="dxa"/>
          </w:tcPr>
          <w:p w:rsidR="007F373F" w:rsidRDefault="00000000">
            <w:pPr>
              <w:spacing w:after="0"/>
              <w:jc w:val="left"/>
            </w:pPr>
            <w:r>
              <w:rPr>
                <w:b/>
                <w:sz w:val="20"/>
              </w:rPr>
              <w:t>People Focus</w:t>
            </w:r>
          </w:p>
        </w:tc>
        <w:tc>
          <w:tcPr>
            <w:tcW w:w="2429" w:type="dxa"/>
          </w:tcPr>
          <w:p w:rsidR="007F373F" w:rsidRDefault="00000000">
            <w:pPr>
              <w:spacing w:after="0"/>
              <w:jc w:val="left"/>
            </w:pPr>
            <w:r>
              <w:rPr>
                <w:b/>
                <w:sz w:val="20"/>
              </w:rPr>
              <w:t>Integrity</w:t>
            </w:r>
          </w:p>
        </w:tc>
        <w:tc>
          <w:tcPr>
            <w:tcW w:w="2443" w:type="dxa"/>
          </w:tcPr>
          <w:p w:rsidR="007F373F" w:rsidRDefault="00000000">
            <w:pPr>
              <w:spacing w:after="0"/>
              <w:jc w:val="left"/>
            </w:pPr>
            <w:r>
              <w:rPr>
                <w:b/>
                <w:sz w:val="20"/>
              </w:rPr>
              <w:t>Customer-Centric</w:t>
            </w:r>
          </w:p>
        </w:tc>
      </w:tr>
      <w:tr w:rsidR="007F373F">
        <w:trPr>
          <w:jc w:val="center"/>
        </w:trPr>
        <w:tc>
          <w:tcPr>
            <w:tcW w:w="2429" w:type="dxa"/>
          </w:tcPr>
          <w:p w:rsidR="007F373F" w:rsidRDefault="00000000">
            <w:pPr>
              <w:spacing w:after="0"/>
              <w:jc w:val="left"/>
            </w:pPr>
            <w:r>
              <w:rPr>
                <w:sz w:val="20"/>
              </w:rPr>
              <w:t>Clear objectives</w:t>
            </w:r>
          </w:p>
        </w:tc>
        <w:tc>
          <w:tcPr>
            <w:tcW w:w="2429" w:type="dxa"/>
          </w:tcPr>
          <w:p w:rsidR="007F373F" w:rsidRDefault="00000000">
            <w:pPr>
              <w:spacing w:after="0"/>
              <w:jc w:val="left"/>
            </w:pPr>
            <w:r>
              <w:rPr>
                <w:sz w:val="20"/>
              </w:rPr>
              <w:t>Empowerment</w:t>
            </w:r>
          </w:p>
        </w:tc>
        <w:tc>
          <w:tcPr>
            <w:tcW w:w="2429" w:type="dxa"/>
          </w:tcPr>
          <w:p w:rsidR="007F373F" w:rsidRDefault="00000000">
            <w:pPr>
              <w:spacing w:after="0"/>
              <w:jc w:val="left"/>
            </w:pPr>
            <w:r>
              <w:rPr>
                <w:sz w:val="20"/>
              </w:rPr>
              <w:t>Transparency</w:t>
            </w:r>
          </w:p>
        </w:tc>
        <w:tc>
          <w:tcPr>
            <w:tcW w:w="2443" w:type="dxa"/>
          </w:tcPr>
          <w:p w:rsidR="007F373F" w:rsidRDefault="00000000">
            <w:pPr>
              <w:spacing w:after="0"/>
              <w:jc w:val="left"/>
            </w:pPr>
            <w:r>
              <w:rPr>
                <w:sz w:val="20"/>
              </w:rPr>
              <w:t>Customer goals</w:t>
            </w:r>
          </w:p>
        </w:tc>
      </w:tr>
      <w:tr w:rsidR="007F373F">
        <w:trPr>
          <w:jc w:val="center"/>
        </w:trPr>
        <w:tc>
          <w:tcPr>
            <w:tcW w:w="2429" w:type="dxa"/>
          </w:tcPr>
          <w:p w:rsidR="007F373F" w:rsidRDefault="00000000">
            <w:pPr>
              <w:spacing w:after="0"/>
              <w:jc w:val="left"/>
            </w:pPr>
            <w:r>
              <w:rPr>
                <w:sz w:val="20"/>
              </w:rPr>
              <w:t>Resource optimisation</w:t>
            </w:r>
          </w:p>
        </w:tc>
        <w:tc>
          <w:tcPr>
            <w:tcW w:w="2429" w:type="dxa"/>
          </w:tcPr>
          <w:p w:rsidR="007F373F" w:rsidRDefault="00000000">
            <w:pPr>
              <w:spacing w:after="0"/>
              <w:jc w:val="left"/>
            </w:pPr>
            <w:r>
              <w:rPr>
                <w:sz w:val="20"/>
              </w:rPr>
              <w:t>Development opportunities</w:t>
            </w:r>
          </w:p>
        </w:tc>
        <w:tc>
          <w:tcPr>
            <w:tcW w:w="2429" w:type="dxa"/>
          </w:tcPr>
          <w:p w:rsidR="007F373F" w:rsidRDefault="00000000">
            <w:pPr>
              <w:spacing w:after="0"/>
              <w:jc w:val="left"/>
            </w:pPr>
            <w:r>
              <w:rPr>
                <w:sz w:val="20"/>
              </w:rPr>
              <w:t>Accountability</w:t>
            </w:r>
          </w:p>
        </w:tc>
        <w:tc>
          <w:tcPr>
            <w:tcW w:w="2443" w:type="dxa"/>
          </w:tcPr>
          <w:p w:rsidR="007F373F" w:rsidRDefault="00000000">
            <w:pPr>
              <w:spacing w:after="0"/>
              <w:jc w:val="left"/>
            </w:pPr>
            <w:r>
              <w:rPr>
                <w:sz w:val="20"/>
              </w:rPr>
              <w:t>Clear communication</w:t>
            </w:r>
          </w:p>
        </w:tc>
      </w:tr>
      <w:tr w:rsidR="007F373F">
        <w:trPr>
          <w:jc w:val="center"/>
        </w:trPr>
        <w:tc>
          <w:tcPr>
            <w:tcW w:w="2429" w:type="dxa"/>
          </w:tcPr>
          <w:p w:rsidR="007F373F" w:rsidRDefault="00000000">
            <w:pPr>
              <w:spacing w:after="0"/>
              <w:jc w:val="left"/>
            </w:pPr>
            <w:r>
              <w:rPr>
                <w:sz w:val="20"/>
              </w:rPr>
              <w:t>Adaptability</w:t>
            </w:r>
          </w:p>
        </w:tc>
        <w:tc>
          <w:tcPr>
            <w:tcW w:w="2429" w:type="dxa"/>
          </w:tcPr>
          <w:p w:rsidR="007F373F" w:rsidRDefault="00000000">
            <w:pPr>
              <w:spacing w:after="0"/>
              <w:jc w:val="left"/>
            </w:pPr>
            <w:r>
              <w:rPr>
                <w:sz w:val="20"/>
              </w:rPr>
              <w:t>Recognition and rewards</w:t>
            </w:r>
          </w:p>
        </w:tc>
        <w:tc>
          <w:tcPr>
            <w:tcW w:w="2429" w:type="dxa"/>
          </w:tcPr>
          <w:p w:rsidR="007F373F" w:rsidRDefault="00000000">
            <w:pPr>
              <w:spacing w:after="0"/>
              <w:jc w:val="left"/>
            </w:pPr>
            <w:r>
              <w:rPr>
                <w:sz w:val="20"/>
              </w:rPr>
              <w:t>Building trust</w:t>
            </w:r>
          </w:p>
        </w:tc>
        <w:tc>
          <w:tcPr>
            <w:tcW w:w="2443" w:type="dxa"/>
          </w:tcPr>
          <w:p w:rsidR="007F373F" w:rsidRDefault="00000000">
            <w:pPr>
              <w:spacing w:after="0"/>
              <w:jc w:val="left"/>
            </w:pPr>
            <w:r>
              <w:rPr>
                <w:sz w:val="20"/>
              </w:rPr>
              <w:t>Customer support</w:t>
            </w:r>
          </w:p>
        </w:tc>
      </w:tr>
      <w:tr w:rsidR="007F373F">
        <w:trPr>
          <w:jc w:val="center"/>
        </w:trPr>
        <w:tc>
          <w:tcPr>
            <w:tcW w:w="2429" w:type="dxa"/>
          </w:tcPr>
          <w:p w:rsidR="007F373F" w:rsidRDefault="00000000">
            <w:pPr>
              <w:spacing w:after="0"/>
              <w:jc w:val="left"/>
            </w:pPr>
            <w:r>
              <w:rPr>
                <w:sz w:val="20"/>
              </w:rPr>
              <w:t>Continuous improvement</w:t>
            </w:r>
          </w:p>
        </w:tc>
        <w:tc>
          <w:tcPr>
            <w:tcW w:w="2429" w:type="dxa"/>
          </w:tcPr>
          <w:p w:rsidR="007F373F" w:rsidRDefault="00000000">
            <w:pPr>
              <w:spacing w:after="0"/>
              <w:jc w:val="left"/>
            </w:pPr>
            <w:r>
              <w:rPr>
                <w:sz w:val="20"/>
              </w:rPr>
              <w:t>Work-life integration</w:t>
            </w:r>
          </w:p>
        </w:tc>
        <w:tc>
          <w:tcPr>
            <w:tcW w:w="2429" w:type="dxa"/>
          </w:tcPr>
          <w:p w:rsidR="007F373F" w:rsidRDefault="00000000">
            <w:pPr>
              <w:spacing w:after="0"/>
              <w:jc w:val="left"/>
            </w:pPr>
            <w:r>
              <w:rPr>
                <w:sz w:val="20"/>
              </w:rPr>
              <w:t>Ethical decisioning</w:t>
            </w:r>
          </w:p>
        </w:tc>
        <w:tc>
          <w:tcPr>
            <w:tcW w:w="2443" w:type="dxa"/>
          </w:tcPr>
          <w:p w:rsidR="007F373F" w:rsidRDefault="00000000">
            <w:pPr>
              <w:spacing w:after="0"/>
              <w:jc w:val="left"/>
            </w:pPr>
            <w:r>
              <w:rPr>
                <w:sz w:val="20"/>
              </w:rPr>
              <w:t>Seamless experience</w:t>
            </w:r>
          </w:p>
        </w:tc>
      </w:tr>
    </w:tbl>
    <w:p w:rsidR="007F373F" w:rsidRDefault="00000000">
      <w:pPr>
        <w:spacing w:before="40" w:after="80"/>
      </w:pPr>
      <w:r>
        <w:rPr>
          <w:i/>
          <w:sz w:val="18"/>
        </w:rPr>
        <w:t>Source: Fedfina Annual Report 2025-26, ‘Our Vision / Our Values’ (Corporate Overview).</w:t>
      </w:r>
    </w:p>
    <w:p w:rsidR="007F373F" w:rsidRDefault="00000000">
      <w:pPr>
        <w:pStyle w:val="Heading2"/>
      </w:pPr>
      <w:r>
        <w:t>Strategic priorities under Fedfina 2.0</w:t>
      </w:r>
    </w:p>
    <w:p w:rsidR="007F373F" w:rsidRDefault="00000000">
      <w:r>
        <w:t>The FY25 annual report set out three priorities under the “Fedfina 2.0: Sharper, Stronger, More Focussed” programme launched by the new MD&amp;CEO, Mr. Parvez Mulla: (1) scale gold loans through disciplined branch-led expansion, productivity uplift and tight risk management; (2) rebuild mortgage loans with sharper underwriting, strengthened collections and a renewed focus on small-ticket LAP while scaling mid-ticket LAP in a capital-efficient manner; and (3) embed technology and data in decisioning to simplify customer experience, speed up turnaround and improve operating efficiency. The stated aim was to align the portfolio “to higher RoA/RoE segments, secured exposures and predictable outcomes”.</w:t>
      </w:r>
    </w:p>
    <w:p w:rsidR="007F373F" w:rsidRDefault="00000000">
      <w:r>
        <w:t>The FY26 report confirms the direction and adds the Board’s medium-term ambition: growth “targeted at 20 to 25% on a sustainable basis” (Chairman), a sub-1% credit-cost commitment, a long-term gold tonnage CAGR of 10–12% “rather than relying solely on gold price movements” (MD&amp;CEO), and a “fully secured construct” achieved by assigning the ₹886 crore unsecured business-loan portfolio in H1 FY26.</w:t>
      </w:r>
    </w:p>
    <w:p w:rsidR="007F373F" w:rsidRDefault="00000000">
      <w:pPr>
        <w:pStyle w:val="Heading2"/>
      </w:pPr>
      <w:r>
        <w:t>Investment proposition as articulated by the company</w:t>
      </w:r>
    </w:p>
    <w:p w:rsidR="007F373F" w:rsidRDefault="00000000">
      <w:pPr>
        <w:pStyle w:val="ListBullet"/>
      </w:pPr>
      <w:r>
        <w:rPr>
          <w:b/>
        </w:rPr>
        <w:t xml:space="preserve">Twin-engine growth strategy: </w:t>
      </w:r>
      <w:r>
        <w:t>short-tenor, high-velocity gold loans paired with stable, long-tenor mortgage yields – liquidity products complemented by duration assets.</w:t>
      </w:r>
    </w:p>
    <w:p w:rsidR="007F373F" w:rsidRDefault="00000000">
      <w:pPr>
        <w:pStyle w:val="ListBullet"/>
      </w:pPr>
      <w:r>
        <w:rPr>
          <w:b/>
        </w:rPr>
        <w:t xml:space="preserve">Rapid and scalable ‘phygital’ distribution: </w:t>
      </w:r>
      <w:r>
        <w:t>hub-and-spoke branch model (757 branches) supported by digital origination, servicing and collections.</w:t>
      </w:r>
    </w:p>
    <w:p w:rsidR="007F373F" w:rsidRDefault="00000000">
      <w:pPr>
        <w:pStyle w:val="ListBullet"/>
      </w:pPr>
      <w:r>
        <w:rPr>
          <w:b/>
        </w:rPr>
        <w:t xml:space="preserve">Technology-enabled underwriting: </w:t>
      </w:r>
      <w:r>
        <w:t>automated underwriting and workflow tools within a collateral-based framework; 10-day approval and 15-day disbursement TAT for mortgages.</w:t>
      </w:r>
    </w:p>
    <w:p w:rsidR="007F373F" w:rsidRDefault="00000000">
      <w:pPr>
        <w:pStyle w:val="ListBullet"/>
      </w:pPr>
      <w:r>
        <w:rPr>
          <w:b/>
        </w:rPr>
        <w:t xml:space="preserve">Efficient funding structure: </w:t>
      </w:r>
      <w:r>
        <w:t>AA+/Stable ratings from CARE, CRISIL, ICRA and India Ratings; borrowing mix of 50% term loans, 17% ECB, 13% NCDs/CPs and 14% direct assignments; USD 250 million ECB programme.</w:t>
      </w:r>
    </w:p>
    <w:p w:rsidR="007F373F" w:rsidRDefault="00000000">
      <w:pPr>
        <w:pStyle w:val="ListBullet"/>
      </w:pPr>
      <w:r>
        <w:rPr>
          <w:b/>
        </w:rPr>
        <w:t xml:space="preserve">Experienced leadership and risk discipline: </w:t>
      </w:r>
      <w:r>
        <w:t>seasoned banking leadership; collection efficiency 99.7%; NIM 8.8%; debt-equity 4.6x.</w:t>
      </w:r>
    </w:p>
    <w:p w:rsidR="007F373F" w:rsidRDefault="00000000">
      <w:pPr>
        <w:pStyle w:val="ListBullet"/>
      </w:pPr>
      <w:r>
        <w:rPr>
          <w:b/>
        </w:rPr>
        <w:lastRenderedPageBreak/>
        <w:t xml:space="preserve">Strong institutional backing: </w:t>
      </w:r>
      <w:r>
        <w:t>60.8% Federal Bank ownership, “advantages that many standalone NBFCs lack”.</w:t>
      </w:r>
    </w:p>
    <w:p w:rsidR="007F373F" w:rsidRDefault="00000000">
      <w:r>
        <w:t>Assessment. The vision and priorities are specific enough to be tested against outcomes, which this report does on the next pages (Fedfina 2.0 commitments versus delivery) and in Chapter 5.</w:t>
      </w:r>
    </w:p>
    <w:p w:rsidR="007F373F" w:rsidRDefault="00000000">
      <w:pPr>
        <w:pStyle w:val="Heading1"/>
        <w:pageBreakBefore/>
      </w:pPr>
      <w:r>
        <w:lastRenderedPageBreak/>
        <w:t>Business Model: The Twin-Engine Secured Lender</w:t>
      </w:r>
    </w:p>
    <w:p w:rsidR="007F373F" w:rsidRDefault="00000000">
      <w:r>
        <w:t>Fedfina’s business model rests on two secured products that behave very differently and therefore diversify each other. Gold loans are short-tenor (typically up to 12 months), small-ticket (₹2.7 lakh average), high-yield and highly liquid: the collateral is standardised, valued daily and auctionable. Mortgage loans (LAP and housing loans) are long-tenor, larger-ticket (₹16.1 lakh to ₹72.4 lakh), lower-yield and illiquid, but they provide duration, stable interest income and a customer relationship that lasts years. The company describes the combination as “liquidity products complemented by duration assets”, which gives resilience across economic cycles and supports predictable earnings.</w:t>
      </w:r>
    </w:p>
    <w:p w:rsidR="007F373F" w:rsidRDefault="00000000">
      <w:pPr>
        <w:spacing w:after="0"/>
        <w:jc w:val="center"/>
      </w:pPr>
      <w:r>
        <w:rPr>
          <w:noProof/>
        </w:rPr>
        <w:drawing>
          <wp:inline distT="0" distB="0" distL="0" distR="0">
            <wp:extent cx="5852160" cy="22167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x.png"/>
                    <pic:cNvPicPr/>
                  </pic:nvPicPr>
                  <pic:blipFill>
                    <a:blip r:embed="rId12"/>
                    <a:stretch>
                      <a:fillRect/>
                    </a:stretch>
                  </pic:blipFill>
                  <pic:spPr>
                    <a:xfrm>
                      <a:off x="0" y="0"/>
                      <a:ext cx="5852160" cy="2216727"/>
                    </a:xfrm>
                    <a:prstGeom prst="rect">
                      <a:avLst/>
                    </a:prstGeom>
                  </pic:spPr>
                </pic:pic>
              </a:graphicData>
            </a:graphic>
          </wp:inline>
        </w:drawing>
      </w:r>
    </w:p>
    <w:p w:rsidR="007F373F" w:rsidRDefault="00000000">
      <w:pPr>
        <w:spacing w:after="80"/>
        <w:jc w:val="center"/>
      </w:pPr>
      <w:r>
        <w:rPr>
          <w:i/>
          <w:sz w:val="18"/>
        </w:rPr>
        <w:t>Figure 3 – Product mix of AUM, FY24–FY26. Sources: Fedfina Annual Report 2023-24 MD&amp;A (FY24 mix); Fedfina Annual Report 2024-25 MD&amp;CEO letter (FY25 mix); Fedfina Annual Report 2025-26 product pages (FY26 mix). ‘Business loans/other’ derived as residual.</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208"/>
        <w:gridCol w:w="3313"/>
        <w:gridCol w:w="4210"/>
      </w:tblGrid>
      <w:tr w:rsidR="007F373F">
        <w:trPr>
          <w:jc w:val="center"/>
        </w:trPr>
        <w:tc>
          <w:tcPr>
            <w:tcW w:w="2208" w:type="dxa"/>
          </w:tcPr>
          <w:p w:rsidR="007F373F" w:rsidRDefault="00000000">
            <w:pPr>
              <w:spacing w:after="0"/>
              <w:jc w:val="left"/>
            </w:pPr>
            <w:r>
              <w:rPr>
                <w:b/>
                <w:sz w:val="19"/>
              </w:rPr>
              <w:t>Engine</w:t>
            </w:r>
          </w:p>
        </w:tc>
        <w:tc>
          <w:tcPr>
            <w:tcW w:w="3313" w:type="dxa"/>
          </w:tcPr>
          <w:p w:rsidR="007F373F" w:rsidRDefault="00000000">
            <w:pPr>
              <w:spacing w:after="0"/>
              <w:jc w:val="left"/>
            </w:pPr>
            <w:r>
              <w:rPr>
                <w:b/>
                <w:sz w:val="19"/>
              </w:rPr>
              <w:t>Gold loans</w:t>
            </w:r>
          </w:p>
        </w:tc>
        <w:tc>
          <w:tcPr>
            <w:tcW w:w="4210" w:type="dxa"/>
          </w:tcPr>
          <w:p w:rsidR="007F373F" w:rsidRDefault="00000000">
            <w:pPr>
              <w:spacing w:after="0"/>
              <w:jc w:val="left"/>
            </w:pPr>
            <w:r>
              <w:rPr>
                <w:b/>
                <w:sz w:val="19"/>
              </w:rPr>
              <w:t>Mortgage loans (MT LAP + ST LAP/HL)</w:t>
            </w:r>
          </w:p>
        </w:tc>
      </w:tr>
      <w:tr w:rsidR="007F373F">
        <w:trPr>
          <w:jc w:val="center"/>
        </w:trPr>
        <w:tc>
          <w:tcPr>
            <w:tcW w:w="2208" w:type="dxa"/>
          </w:tcPr>
          <w:p w:rsidR="007F373F" w:rsidRDefault="00000000">
            <w:pPr>
              <w:spacing w:after="0"/>
              <w:jc w:val="left"/>
            </w:pPr>
            <w:r>
              <w:rPr>
                <w:sz w:val="19"/>
              </w:rPr>
              <w:t>AUM 31 Mar 2026 / share</w:t>
            </w:r>
          </w:p>
        </w:tc>
        <w:tc>
          <w:tcPr>
            <w:tcW w:w="3313" w:type="dxa"/>
          </w:tcPr>
          <w:p w:rsidR="007F373F" w:rsidRDefault="00000000">
            <w:pPr>
              <w:spacing w:after="0"/>
              <w:jc w:val="left"/>
            </w:pPr>
            <w:r>
              <w:rPr>
                <w:sz w:val="19"/>
              </w:rPr>
              <w:t>₹10,352 crore / 51.4%</w:t>
            </w:r>
          </w:p>
        </w:tc>
        <w:tc>
          <w:tcPr>
            <w:tcW w:w="4210" w:type="dxa"/>
          </w:tcPr>
          <w:p w:rsidR="007F373F" w:rsidRDefault="00000000">
            <w:pPr>
              <w:spacing w:after="0"/>
              <w:jc w:val="left"/>
            </w:pPr>
            <w:r>
              <w:rPr>
                <w:sz w:val="19"/>
              </w:rPr>
              <w:t>₹9,362 crore / 46.5% (MT LAP ₹5,570 cr; ST LAP+HL ₹3,792 cr)</w:t>
            </w:r>
          </w:p>
        </w:tc>
      </w:tr>
      <w:tr w:rsidR="007F373F">
        <w:trPr>
          <w:jc w:val="center"/>
        </w:trPr>
        <w:tc>
          <w:tcPr>
            <w:tcW w:w="2208" w:type="dxa"/>
          </w:tcPr>
          <w:p w:rsidR="007F373F" w:rsidRDefault="00000000">
            <w:pPr>
              <w:spacing w:after="0"/>
              <w:jc w:val="left"/>
            </w:pPr>
            <w:r>
              <w:rPr>
                <w:sz w:val="19"/>
              </w:rPr>
              <w:t>FY26 growth</w:t>
            </w:r>
          </w:p>
        </w:tc>
        <w:tc>
          <w:tcPr>
            <w:tcW w:w="3313" w:type="dxa"/>
          </w:tcPr>
          <w:p w:rsidR="007F373F" w:rsidRDefault="00000000">
            <w:pPr>
              <w:spacing w:after="0"/>
              <w:jc w:val="right"/>
            </w:pPr>
            <w:r>
              <w:rPr>
                <w:sz w:val="19"/>
              </w:rPr>
              <w:t>+76%</w:t>
            </w:r>
          </w:p>
        </w:tc>
        <w:tc>
          <w:tcPr>
            <w:tcW w:w="4210" w:type="dxa"/>
          </w:tcPr>
          <w:p w:rsidR="007F373F" w:rsidRDefault="00000000">
            <w:pPr>
              <w:spacing w:after="0"/>
              <w:jc w:val="right"/>
            </w:pPr>
            <w:r>
              <w:rPr>
                <w:sz w:val="19"/>
              </w:rPr>
              <w:t>+16.1%</w:t>
            </w:r>
          </w:p>
        </w:tc>
      </w:tr>
      <w:tr w:rsidR="007F373F">
        <w:trPr>
          <w:jc w:val="center"/>
        </w:trPr>
        <w:tc>
          <w:tcPr>
            <w:tcW w:w="2208" w:type="dxa"/>
          </w:tcPr>
          <w:p w:rsidR="007F373F" w:rsidRDefault="00000000">
            <w:pPr>
              <w:spacing w:after="0"/>
              <w:jc w:val="left"/>
            </w:pPr>
            <w:r>
              <w:rPr>
                <w:sz w:val="19"/>
              </w:rPr>
              <w:t>FY26 disbursements</w:t>
            </w:r>
          </w:p>
        </w:tc>
        <w:tc>
          <w:tcPr>
            <w:tcW w:w="3313" w:type="dxa"/>
          </w:tcPr>
          <w:p w:rsidR="007F373F" w:rsidRDefault="00000000">
            <w:pPr>
              <w:spacing w:after="0"/>
              <w:jc w:val="left"/>
            </w:pPr>
            <w:r>
              <w:rPr>
                <w:sz w:val="19"/>
              </w:rPr>
              <w:t>₹28,326 crore</w:t>
            </w:r>
          </w:p>
        </w:tc>
        <w:tc>
          <w:tcPr>
            <w:tcW w:w="4210" w:type="dxa"/>
          </w:tcPr>
          <w:p w:rsidR="007F373F" w:rsidRDefault="00000000">
            <w:pPr>
              <w:spacing w:after="0"/>
              <w:jc w:val="left"/>
            </w:pPr>
            <w:r>
              <w:rPr>
                <w:sz w:val="19"/>
              </w:rPr>
              <w:t>₹3,084 crore (MT LAP ₹2,180 cr; ST LAP+HL ₹904 cr)</w:t>
            </w:r>
          </w:p>
        </w:tc>
      </w:tr>
      <w:tr w:rsidR="007F373F">
        <w:trPr>
          <w:jc w:val="center"/>
        </w:trPr>
        <w:tc>
          <w:tcPr>
            <w:tcW w:w="2208" w:type="dxa"/>
          </w:tcPr>
          <w:p w:rsidR="007F373F" w:rsidRDefault="00000000">
            <w:pPr>
              <w:spacing w:after="0"/>
              <w:jc w:val="left"/>
            </w:pPr>
            <w:r>
              <w:rPr>
                <w:sz w:val="19"/>
              </w:rPr>
              <w:t>Average ticket</w:t>
            </w:r>
          </w:p>
        </w:tc>
        <w:tc>
          <w:tcPr>
            <w:tcW w:w="3313" w:type="dxa"/>
          </w:tcPr>
          <w:p w:rsidR="007F373F" w:rsidRDefault="00000000">
            <w:pPr>
              <w:spacing w:after="0"/>
              <w:jc w:val="left"/>
            </w:pPr>
            <w:r>
              <w:rPr>
                <w:sz w:val="19"/>
              </w:rPr>
              <w:t>₹2.7 lakh</w:t>
            </w:r>
          </w:p>
        </w:tc>
        <w:tc>
          <w:tcPr>
            <w:tcW w:w="4210" w:type="dxa"/>
          </w:tcPr>
          <w:p w:rsidR="007F373F" w:rsidRDefault="00000000">
            <w:pPr>
              <w:spacing w:after="0"/>
              <w:jc w:val="left"/>
            </w:pPr>
            <w:r>
              <w:rPr>
                <w:sz w:val="19"/>
              </w:rPr>
              <w:t>MT LAP ₹72.4 lakh; ST LAP ₹16.1 lakh</w:t>
            </w:r>
          </w:p>
        </w:tc>
      </w:tr>
      <w:tr w:rsidR="007F373F">
        <w:trPr>
          <w:jc w:val="center"/>
        </w:trPr>
        <w:tc>
          <w:tcPr>
            <w:tcW w:w="2208" w:type="dxa"/>
          </w:tcPr>
          <w:p w:rsidR="007F373F" w:rsidRDefault="00000000">
            <w:pPr>
              <w:spacing w:after="0"/>
              <w:jc w:val="left"/>
            </w:pPr>
            <w:r>
              <w:rPr>
                <w:sz w:val="19"/>
              </w:rPr>
              <w:t>Origination yield / collateral</w:t>
            </w:r>
          </w:p>
        </w:tc>
        <w:tc>
          <w:tcPr>
            <w:tcW w:w="3313" w:type="dxa"/>
          </w:tcPr>
          <w:p w:rsidR="007F373F" w:rsidRDefault="00000000">
            <w:pPr>
              <w:spacing w:after="0"/>
              <w:jc w:val="left"/>
            </w:pPr>
            <w:r>
              <w:rPr>
                <w:sz w:val="19"/>
              </w:rPr>
              <w:t>Portfolio LTV 60.9%; onboarding LTV ≈70%; 12.6 tonnes gold</w:t>
            </w:r>
          </w:p>
        </w:tc>
        <w:tc>
          <w:tcPr>
            <w:tcW w:w="4210" w:type="dxa"/>
          </w:tcPr>
          <w:p w:rsidR="007F373F" w:rsidRDefault="00000000">
            <w:pPr>
              <w:spacing w:after="0"/>
              <w:jc w:val="left"/>
            </w:pPr>
            <w:r>
              <w:rPr>
                <w:sz w:val="19"/>
              </w:rPr>
              <w:t>MT LAP 12.0%; ST LAP 15.1%; 82.2% self-occupied property</w:t>
            </w:r>
          </w:p>
        </w:tc>
      </w:tr>
      <w:tr w:rsidR="007F373F">
        <w:trPr>
          <w:jc w:val="center"/>
        </w:trPr>
        <w:tc>
          <w:tcPr>
            <w:tcW w:w="2208" w:type="dxa"/>
          </w:tcPr>
          <w:p w:rsidR="007F373F" w:rsidRDefault="00000000">
            <w:pPr>
              <w:spacing w:after="0"/>
              <w:jc w:val="left"/>
            </w:pPr>
            <w:r>
              <w:rPr>
                <w:sz w:val="19"/>
              </w:rPr>
              <w:t>Branch format</w:t>
            </w:r>
          </w:p>
        </w:tc>
        <w:tc>
          <w:tcPr>
            <w:tcW w:w="3313" w:type="dxa"/>
          </w:tcPr>
          <w:p w:rsidR="007F373F" w:rsidRDefault="00000000">
            <w:pPr>
              <w:spacing w:after="0"/>
              <w:jc w:val="left"/>
            </w:pPr>
            <w:r>
              <w:rPr>
                <w:sz w:val="19"/>
              </w:rPr>
              <w:t>558 gold branches (₹16.5 cr AUM each)</w:t>
            </w:r>
          </w:p>
        </w:tc>
        <w:tc>
          <w:tcPr>
            <w:tcW w:w="4210" w:type="dxa"/>
          </w:tcPr>
          <w:p w:rsidR="007F373F" w:rsidRDefault="00000000">
            <w:pPr>
              <w:spacing w:after="0"/>
              <w:jc w:val="left"/>
            </w:pPr>
            <w:r>
              <w:rPr>
                <w:sz w:val="19"/>
              </w:rPr>
              <w:t>129 MSME hubs + 70 co-located ‘Vyapaar’ branches</w:t>
            </w:r>
          </w:p>
        </w:tc>
      </w:tr>
      <w:tr w:rsidR="007F373F">
        <w:trPr>
          <w:jc w:val="center"/>
        </w:trPr>
        <w:tc>
          <w:tcPr>
            <w:tcW w:w="2208" w:type="dxa"/>
          </w:tcPr>
          <w:p w:rsidR="007F373F" w:rsidRDefault="00000000">
            <w:pPr>
              <w:spacing w:after="0"/>
              <w:jc w:val="left"/>
            </w:pPr>
            <w:r>
              <w:rPr>
                <w:sz w:val="19"/>
              </w:rPr>
              <w:t>Role in model</w:t>
            </w:r>
          </w:p>
        </w:tc>
        <w:tc>
          <w:tcPr>
            <w:tcW w:w="3313" w:type="dxa"/>
          </w:tcPr>
          <w:p w:rsidR="007F373F" w:rsidRDefault="00000000">
            <w:pPr>
              <w:spacing w:after="0"/>
              <w:jc w:val="left"/>
            </w:pPr>
            <w:r>
              <w:rPr>
                <w:sz w:val="19"/>
              </w:rPr>
              <w:t>Velocity, liquidity, high RoA, fee-light</w:t>
            </w:r>
          </w:p>
        </w:tc>
        <w:tc>
          <w:tcPr>
            <w:tcW w:w="4210" w:type="dxa"/>
          </w:tcPr>
          <w:p w:rsidR="007F373F" w:rsidRDefault="00000000">
            <w:pPr>
              <w:spacing w:after="0"/>
              <w:jc w:val="left"/>
            </w:pPr>
            <w:r>
              <w:rPr>
                <w:sz w:val="19"/>
              </w:rPr>
              <w:t>Duration, stable yield, cross-sell base, capital-intensive</w:t>
            </w:r>
          </w:p>
        </w:tc>
      </w:tr>
    </w:tbl>
    <w:p w:rsidR="007F373F" w:rsidRDefault="00000000">
      <w:pPr>
        <w:spacing w:before="40" w:after="80"/>
      </w:pPr>
      <w:r>
        <w:rPr>
          <w:i/>
          <w:sz w:val="18"/>
        </w:rPr>
        <w:t>Source: Fedfina Annual Report 2025-26, Key Highlights p.2–3 and product pages p.10–13; Directors’ Report (branch network).</w:t>
      </w:r>
    </w:p>
    <w:p w:rsidR="007F373F" w:rsidRDefault="00000000">
      <w:r>
        <w:t>How the model earns. Interest on loans (₹1,968 crore in FY26, 93% of interest income) is the primary revenue; income from direct assignment (₹102 crore), fee and commission (₹97 crore, including ₹33 crore from distributing Federal Bank products) and fair-value gains (₹18 crore) are secondary. Against this, finance costs absorbed 39.5% of total revenue, operating expenses 34.6% and credit cost 5.2%, leaving a pre-tax margin of 20.7% (derived from the FY26 statement of profit and loss). The model is capital-light at the margin through co-lending (₹2,433 crore of gold AUM) and sell-downs (₹2,579 crore in FY26), which keep 12.1% of AUM off the balance sheet.</w:t>
      </w:r>
    </w:p>
    <w:p w:rsidR="007F373F" w:rsidRDefault="00000000">
      <w:pPr>
        <w:pStyle w:val="Heading1"/>
        <w:pageBreakBefore/>
      </w:pPr>
      <w:r>
        <w:lastRenderedPageBreak/>
        <w:t>Fedfina 2.0: Commitments versus Delivery</w:t>
      </w:r>
    </w:p>
    <w:p w:rsidR="007F373F" w:rsidRDefault="00000000">
      <w:r>
        <w:t>The FY25 annual report made a series of explicit commitments. The table compares each commitment with the outcome reported in the FY26 annual report – a direct test of management credibility that a fundamental analyst should always perform.</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037"/>
        <w:gridCol w:w="5176"/>
        <w:gridCol w:w="1518"/>
      </w:tblGrid>
      <w:tr w:rsidR="007F373F">
        <w:trPr>
          <w:jc w:val="center"/>
        </w:trPr>
        <w:tc>
          <w:tcPr>
            <w:tcW w:w="3037" w:type="dxa"/>
          </w:tcPr>
          <w:p w:rsidR="007F373F" w:rsidRDefault="00000000">
            <w:pPr>
              <w:spacing w:after="0"/>
              <w:jc w:val="left"/>
            </w:pPr>
            <w:r>
              <w:rPr>
                <w:b/>
                <w:sz w:val="19"/>
              </w:rPr>
              <w:t>FY25 commitment (source: FY25 report)</w:t>
            </w:r>
          </w:p>
        </w:tc>
        <w:tc>
          <w:tcPr>
            <w:tcW w:w="5176" w:type="dxa"/>
          </w:tcPr>
          <w:p w:rsidR="007F373F" w:rsidRDefault="00000000">
            <w:pPr>
              <w:spacing w:after="0"/>
              <w:jc w:val="left"/>
            </w:pPr>
            <w:r>
              <w:rPr>
                <w:b/>
                <w:sz w:val="19"/>
              </w:rPr>
              <w:t>FY26 outcome (source: FY26 report)</w:t>
            </w:r>
          </w:p>
        </w:tc>
        <w:tc>
          <w:tcPr>
            <w:tcW w:w="1518" w:type="dxa"/>
          </w:tcPr>
          <w:p w:rsidR="007F373F" w:rsidRDefault="00000000">
            <w:pPr>
              <w:spacing w:after="0"/>
              <w:jc w:val="left"/>
            </w:pPr>
            <w:r>
              <w:rPr>
                <w:b/>
                <w:sz w:val="19"/>
              </w:rPr>
              <w:t>Verdict</w:t>
            </w:r>
          </w:p>
        </w:tc>
      </w:tr>
      <w:tr w:rsidR="007F373F">
        <w:trPr>
          <w:jc w:val="center"/>
        </w:trPr>
        <w:tc>
          <w:tcPr>
            <w:tcW w:w="3037" w:type="dxa"/>
          </w:tcPr>
          <w:p w:rsidR="007F373F" w:rsidRDefault="00000000">
            <w:pPr>
              <w:spacing w:after="0"/>
              <w:jc w:val="left"/>
            </w:pPr>
            <w:r>
              <w:rPr>
                <w:sz w:val="19"/>
              </w:rPr>
              <w:t>Scale gold loans through branch-led expansion and productivity</w:t>
            </w:r>
          </w:p>
        </w:tc>
        <w:tc>
          <w:tcPr>
            <w:tcW w:w="5176" w:type="dxa"/>
          </w:tcPr>
          <w:p w:rsidR="007F373F" w:rsidRDefault="00000000">
            <w:pPr>
              <w:spacing w:after="0"/>
              <w:jc w:val="left"/>
            </w:pPr>
            <w:r>
              <w:rPr>
                <w:sz w:val="19"/>
              </w:rPr>
              <w:t>Gold AUM +76% to ₹10,352 crore; 148 branches added (74 gold); gold AUM per branch up ₹4.4 crore to ₹16.5 crore; tonnage +12% to 12.6 t</w:t>
            </w:r>
          </w:p>
        </w:tc>
        <w:tc>
          <w:tcPr>
            <w:tcW w:w="1518" w:type="dxa"/>
          </w:tcPr>
          <w:p w:rsidR="007F373F" w:rsidRDefault="00000000">
            <w:pPr>
              <w:spacing w:after="0"/>
              <w:jc w:val="left"/>
            </w:pPr>
            <w:r>
              <w:rPr>
                <w:sz w:val="19"/>
              </w:rPr>
              <w:t>Delivered</w:t>
            </w:r>
          </w:p>
        </w:tc>
      </w:tr>
      <w:tr w:rsidR="007F373F">
        <w:trPr>
          <w:jc w:val="center"/>
        </w:trPr>
        <w:tc>
          <w:tcPr>
            <w:tcW w:w="3037" w:type="dxa"/>
          </w:tcPr>
          <w:p w:rsidR="007F373F" w:rsidRDefault="00000000">
            <w:pPr>
              <w:spacing w:after="0"/>
              <w:jc w:val="left"/>
            </w:pPr>
            <w:r>
              <w:rPr>
                <w:sz w:val="19"/>
              </w:rPr>
              <w:t>Rebuild small-ticket LAP with sharper underwriting and collections</w:t>
            </w:r>
          </w:p>
        </w:tc>
        <w:tc>
          <w:tcPr>
            <w:tcW w:w="5176" w:type="dxa"/>
          </w:tcPr>
          <w:p w:rsidR="007F373F" w:rsidRDefault="00000000">
            <w:pPr>
              <w:spacing w:after="0"/>
              <w:jc w:val="left"/>
            </w:pPr>
            <w:r>
              <w:rPr>
                <w:sz w:val="19"/>
              </w:rPr>
              <w:t>ST LAP moved to API-led BRE model; ~76% of mortgage AUM from CIBIL &gt;700; in-house collections 1.8x; disbursements ₹904 crore (FY25: ₹1,004 crore); Q4 run-rate rising</w:t>
            </w:r>
          </w:p>
        </w:tc>
        <w:tc>
          <w:tcPr>
            <w:tcW w:w="1518" w:type="dxa"/>
          </w:tcPr>
          <w:p w:rsidR="007F373F" w:rsidRDefault="00000000">
            <w:pPr>
              <w:spacing w:after="0"/>
              <w:jc w:val="left"/>
            </w:pPr>
            <w:r>
              <w:rPr>
                <w:sz w:val="19"/>
              </w:rPr>
              <w:t>Largely delivered; volumes still below FY24</w:t>
            </w:r>
          </w:p>
        </w:tc>
      </w:tr>
      <w:tr w:rsidR="007F373F">
        <w:trPr>
          <w:jc w:val="center"/>
        </w:trPr>
        <w:tc>
          <w:tcPr>
            <w:tcW w:w="3037" w:type="dxa"/>
          </w:tcPr>
          <w:p w:rsidR="007F373F" w:rsidRDefault="00000000">
            <w:pPr>
              <w:spacing w:after="0"/>
              <w:jc w:val="left"/>
            </w:pPr>
            <w:r>
              <w:rPr>
                <w:sz w:val="19"/>
              </w:rPr>
              <w:t>Scale mid-ticket LAP in a capital-efficient manner</w:t>
            </w:r>
          </w:p>
        </w:tc>
        <w:tc>
          <w:tcPr>
            <w:tcW w:w="5176" w:type="dxa"/>
          </w:tcPr>
          <w:p w:rsidR="007F373F" w:rsidRDefault="00000000">
            <w:pPr>
              <w:spacing w:after="0"/>
              <w:jc w:val="left"/>
            </w:pPr>
            <w:r>
              <w:rPr>
                <w:sz w:val="19"/>
              </w:rPr>
              <w:t>MT LAP AUM ₹5,570 crore; disbursements ₹2,180 crore (FY25: ₹2,303 crore); Q4 ₹632 crore (+16% QoQ); yield pressure acknowledged</w:t>
            </w:r>
          </w:p>
        </w:tc>
        <w:tc>
          <w:tcPr>
            <w:tcW w:w="1518" w:type="dxa"/>
          </w:tcPr>
          <w:p w:rsidR="007F373F" w:rsidRDefault="00000000">
            <w:pPr>
              <w:spacing w:after="0"/>
              <w:jc w:val="left"/>
            </w:pPr>
            <w:r>
              <w:rPr>
                <w:sz w:val="19"/>
              </w:rPr>
              <w:t>Partly – growth paused in H1, resumed in H2</w:t>
            </w:r>
          </w:p>
        </w:tc>
      </w:tr>
      <w:tr w:rsidR="007F373F">
        <w:trPr>
          <w:jc w:val="center"/>
        </w:trPr>
        <w:tc>
          <w:tcPr>
            <w:tcW w:w="3037" w:type="dxa"/>
          </w:tcPr>
          <w:p w:rsidR="007F373F" w:rsidRDefault="00000000">
            <w:pPr>
              <w:spacing w:after="0"/>
              <w:jc w:val="left"/>
            </w:pPr>
            <w:r>
              <w:rPr>
                <w:sz w:val="19"/>
              </w:rPr>
              <w:t>Move to a predominantly secured portfolio; stop unsecured BL (Dec 2024)</w:t>
            </w:r>
          </w:p>
        </w:tc>
        <w:tc>
          <w:tcPr>
            <w:tcW w:w="5176" w:type="dxa"/>
          </w:tcPr>
          <w:p w:rsidR="007F373F" w:rsidRDefault="00000000">
            <w:pPr>
              <w:spacing w:after="0"/>
              <w:jc w:val="left"/>
            </w:pPr>
            <w:r>
              <w:rPr>
                <w:sz w:val="19"/>
              </w:rPr>
              <w:t>₹886 crore BL portfolio assigned in H1 FY26; secured AUM 98.9% (FY25 ≈ 89%); on-book BL ₹48 crore (0.4%)</w:t>
            </w:r>
          </w:p>
        </w:tc>
        <w:tc>
          <w:tcPr>
            <w:tcW w:w="1518" w:type="dxa"/>
          </w:tcPr>
          <w:p w:rsidR="007F373F" w:rsidRDefault="00000000">
            <w:pPr>
              <w:spacing w:after="0"/>
              <w:jc w:val="left"/>
            </w:pPr>
            <w:r>
              <w:rPr>
                <w:sz w:val="19"/>
              </w:rPr>
              <w:t>Delivered</w:t>
            </w:r>
          </w:p>
        </w:tc>
      </w:tr>
      <w:tr w:rsidR="007F373F">
        <w:trPr>
          <w:jc w:val="center"/>
        </w:trPr>
        <w:tc>
          <w:tcPr>
            <w:tcW w:w="3037" w:type="dxa"/>
          </w:tcPr>
          <w:p w:rsidR="007F373F" w:rsidRDefault="00000000">
            <w:pPr>
              <w:spacing w:after="0"/>
              <w:jc w:val="left"/>
            </w:pPr>
            <w:r>
              <w:rPr>
                <w:sz w:val="19"/>
              </w:rPr>
              <w:t>Bring credit cost down (FY25: 1.8%)</w:t>
            </w:r>
          </w:p>
        </w:tc>
        <w:tc>
          <w:tcPr>
            <w:tcW w:w="5176" w:type="dxa"/>
          </w:tcPr>
          <w:p w:rsidR="007F373F" w:rsidRDefault="00000000">
            <w:pPr>
              <w:spacing w:after="0"/>
              <w:jc w:val="left"/>
            </w:pPr>
            <w:r>
              <w:rPr>
                <w:sz w:val="19"/>
              </w:rPr>
              <w:t>Credit cost 0.8% of average assets (−93 bps); Stage 2+3 share of amortised book 3.5% vs 7.4%</w:t>
            </w:r>
          </w:p>
        </w:tc>
        <w:tc>
          <w:tcPr>
            <w:tcW w:w="1518" w:type="dxa"/>
          </w:tcPr>
          <w:p w:rsidR="007F373F" w:rsidRDefault="00000000">
            <w:pPr>
              <w:spacing w:after="0"/>
              <w:jc w:val="left"/>
            </w:pPr>
            <w:r>
              <w:rPr>
                <w:sz w:val="19"/>
              </w:rPr>
              <w:t>Delivered</w:t>
            </w:r>
          </w:p>
        </w:tc>
      </w:tr>
      <w:tr w:rsidR="007F373F">
        <w:trPr>
          <w:jc w:val="center"/>
        </w:trPr>
        <w:tc>
          <w:tcPr>
            <w:tcW w:w="3037" w:type="dxa"/>
          </w:tcPr>
          <w:p w:rsidR="007F373F" w:rsidRDefault="00000000">
            <w:pPr>
              <w:spacing w:after="0"/>
              <w:jc w:val="left"/>
            </w:pPr>
            <w:r>
              <w:rPr>
                <w:sz w:val="19"/>
              </w:rPr>
              <w:t>Diversify funding, lengthen tenor</w:t>
            </w:r>
          </w:p>
        </w:tc>
        <w:tc>
          <w:tcPr>
            <w:tcW w:w="5176" w:type="dxa"/>
          </w:tcPr>
          <w:p w:rsidR="007F373F" w:rsidRDefault="00000000">
            <w:pPr>
              <w:spacing w:after="0"/>
              <w:jc w:val="left"/>
            </w:pPr>
            <w:r>
              <w:rPr>
                <w:sz w:val="19"/>
              </w:rPr>
              <w:t>Lenders 39 → 41; ECB USD 250 mn (17% of debt); CP 9%; ₹450 crore Tier II; fixed-rate share 10% → 40%</w:t>
            </w:r>
          </w:p>
        </w:tc>
        <w:tc>
          <w:tcPr>
            <w:tcW w:w="1518" w:type="dxa"/>
          </w:tcPr>
          <w:p w:rsidR="007F373F" w:rsidRDefault="00000000">
            <w:pPr>
              <w:spacing w:after="0"/>
              <w:jc w:val="left"/>
            </w:pPr>
            <w:r>
              <w:rPr>
                <w:sz w:val="19"/>
              </w:rPr>
              <w:t>Delivered</w:t>
            </w:r>
          </w:p>
        </w:tc>
      </w:tr>
      <w:tr w:rsidR="007F373F">
        <w:trPr>
          <w:jc w:val="center"/>
        </w:trPr>
        <w:tc>
          <w:tcPr>
            <w:tcW w:w="3037" w:type="dxa"/>
          </w:tcPr>
          <w:p w:rsidR="007F373F" w:rsidRDefault="00000000">
            <w:pPr>
              <w:spacing w:after="0"/>
              <w:jc w:val="left"/>
            </w:pPr>
            <w:r>
              <w:rPr>
                <w:sz w:val="19"/>
              </w:rPr>
              <w:t>Embed technology and data in decisioning</w:t>
            </w:r>
          </w:p>
        </w:tc>
        <w:tc>
          <w:tcPr>
            <w:tcW w:w="5176" w:type="dxa"/>
          </w:tcPr>
          <w:p w:rsidR="007F373F" w:rsidRDefault="00000000">
            <w:pPr>
              <w:spacing w:after="0"/>
              <w:jc w:val="left"/>
            </w:pPr>
            <w:r>
              <w:rPr>
                <w:sz w:val="19"/>
              </w:rPr>
              <w:t>BRE + Salesforce for ST LAP; Credit GPT; Fedfina Lite app; 90% e-NACH; 70% digital collections; 35% bot-served requests</w:t>
            </w:r>
          </w:p>
        </w:tc>
        <w:tc>
          <w:tcPr>
            <w:tcW w:w="1518" w:type="dxa"/>
          </w:tcPr>
          <w:p w:rsidR="007F373F" w:rsidRDefault="00000000">
            <w:pPr>
              <w:spacing w:after="0"/>
              <w:jc w:val="left"/>
            </w:pPr>
            <w:r>
              <w:rPr>
                <w:sz w:val="19"/>
              </w:rPr>
              <w:t>Delivered</w:t>
            </w:r>
          </w:p>
        </w:tc>
      </w:tr>
      <w:tr w:rsidR="007F373F">
        <w:trPr>
          <w:jc w:val="center"/>
        </w:trPr>
        <w:tc>
          <w:tcPr>
            <w:tcW w:w="3037" w:type="dxa"/>
          </w:tcPr>
          <w:p w:rsidR="007F373F" w:rsidRDefault="00000000">
            <w:pPr>
              <w:spacing w:after="0"/>
              <w:jc w:val="left"/>
            </w:pPr>
            <w:r>
              <w:rPr>
                <w:sz w:val="19"/>
              </w:rPr>
              <w:t>Protect profitability while restructuring</w:t>
            </w:r>
          </w:p>
        </w:tc>
        <w:tc>
          <w:tcPr>
            <w:tcW w:w="5176" w:type="dxa"/>
          </w:tcPr>
          <w:p w:rsidR="007F373F" w:rsidRDefault="00000000">
            <w:pPr>
              <w:spacing w:after="0"/>
              <w:jc w:val="left"/>
            </w:pPr>
            <w:r>
              <w:rPr>
                <w:sz w:val="19"/>
              </w:rPr>
              <w:t>PAT +53% to ₹343.6 crore; RoA 2.4% (Q4 2.6%); RoE 12.6% (Q4 14.0%); cost-to-income 57.2%</w:t>
            </w:r>
          </w:p>
        </w:tc>
        <w:tc>
          <w:tcPr>
            <w:tcW w:w="1518" w:type="dxa"/>
          </w:tcPr>
          <w:p w:rsidR="007F373F" w:rsidRDefault="00000000">
            <w:pPr>
              <w:spacing w:after="0"/>
              <w:jc w:val="left"/>
            </w:pPr>
            <w:r>
              <w:rPr>
                <w:sz w:val="19"/>
              </w:rPr>
              <w:t>Delivered</w:t>
            </w:r>
          </w:p>
        </w:tc>
      </w:tr>
      <w:tr w:rsidR="007F373F">
        <w:trPr>
          <w:jc w:val="center"/>
        </w:trPr>
        <w:tc>
          <w:tcPr>
            <w:tcW w:w="3037" w:type="dxa"/>
          </w:tcPr>
          <w:p w:rsidR="007F373F" w:rsidRDefault="00000000">
            <w:pPr>
              <w:spacing w:after="0"/>
              <w:jc w:val="left"/>
            </w:pPr>
            <w:r>
              <w:rPr>
                <w:sz w:val="19"/>
              </w:rPr>
              <w:t>Grow sustainably with discipline</w:t>
            </w:r>
          </w:p>
        </w:tc>
        <w:tc>
          <w:tcPr>
            <w:tcW w:w="5176" w:type="dxa"/>
          </w:tcPr>
          <w:p w:rsidR="007F373F" w:rsidRDefault="00000000">
            <w:pPr>
              <w:spacing w:after="0"/>
              <w:jc w:val="left"/>
            </w:pPr>
            <w:r>
              <w:rPr>
                <w:sz w:val="19"/>
              </w:rPr>
              <w:t>AUM +27.5%; GNPA 1.9% / NNPA 1.3%; CRAR 22.4%; but debt-equity rose to 4.6x</w:t>
            </w:r>
          </w:p>
        </w:tc>
        <w:tc>
          <w:tcPr>
            <w:tcW w:w="1518" w:type="dxa"/>
          </w:tcPr>
          <w:p w:rsidR="007F373F" w:rsidRDefault="00000000">
            <w:pPr>
              <w:spacing w:after="0"/>
              <w:jc w:val="left"/>
            </w:pPr>
            <w:r>
              <w:rPr>
                <w:sz w:val="19"/>
              </w:rPr>
              <w:t>Delivered with higher leverage</w:t>
            </w:r>
          </w:p>
        </w:tc>
      </w:tr>
    </w:tbl>
    <w:p w:rsidR="007F373F" w:rsidRDefault="007F373F">
      <w:pPr>
        <w:spacing w:after="40"/>
      </w:pPr>
    </w:p>
    <w:p w:rsidR="007F373F" w:rsidRDefault="00000000">
      <w:r>
        <w:t>What ‘Fedfina 2.0’ meant in practice. The FY25 report described the reset as a move from a growth-at-any-cost posture to a ‘secured, granular and digital’ model: unsecured business loans were discontinued in December 2024, the small-ticket mortgage team was rebuilt around a rules-based engine, collections were brought in-house and verticalised, and the funding desk was asked to lengthen tenor and lock in fixed rates. The FY26 report is the first full year in which all four changes were operating simultaneously, which is why its results are the appropriate test of the programme rather than FY25’s transition-year numbers.</w:t>
      </w:r>
    </w:p>
    <w:p w:rsidR="007F373F" w:rsidRDefault="00000000">
      <w:r>
        <w:t>Reading the table. Eight of nine commitments were met or largely met within one year; the two qualifications are that small-ticket LAP volumes have not yet returned to FY24 levels (₹1,475 crore) and that growth was funded with more debt per rupee of equity. Importantly, management also disclosed the costs of the transition – ₹88 crore of net write-offs on amortised-cost loans, ₹50 crore on FVOCI loans, sale of 814 NPA accounts (₹105 crore principal) to ARCs, and a 24% fall in direct-assignment volume – rather than presenting only the favourable metrics. The FY26 report’s own summary is that the year marked “an inflection point in Fedfina’s financial trajectory … a meaningful recovery in profitability after the portfolio recalibration of FY 2024-25”.</w:t>
      </w:r>
    </w:p>
    <w:p w:rsidR="007F373F" w:rsidRDefault="00000000">
      <w:pPr>
        <w:pStyle w:val="Heading1"/>
        <w:pageBreakBefore/>
      </w:pPr>
      <w:r>
        <w:lastRenderedPageBreak/>
        <w:t>Distribution Network and Geographic Presence</w:t>
      </w:r>
    </w:p>
    <w:p w:rsidR="007F373F" w:rsidRDefault="00000000">
      <w:r>
        <w:t>Fedfina operates a hub-and-spoke ‘phygital’ network of 757 branches in 17 states and union territories (31 March 2026), up from 694 a year earlier and 149 in FY19. The network has three formats: 558 gold-loan branches, 129 MSME (mortgage) hubs and 70 co-located ‘Vyapaar’ branches where small-ticket LAP teams sit inside existing gold-loan premises – a format introduced in FY26 to exploit the 20–25% customer overlap between the two products and reduce operating cost. Field teams extend reach to within about 30 km of each branch, supported by telemarketing and digital engagement, and a network of 200+ connectors, aggregators and trader partners supplies additional leads.</w:t>
      </w:r>
    </w:p>
    <w:p w:rsidR="007F373F" w:rsidRDefault="00000000">
      <w:pPr>
        <w:spacing w:after="0"/>
        <w:jc w:val="center"/>
      </w:pPr>
      <w:r>
        <w:rPr>
          <w:noProof/>
        </w:rPr>
        <w:drawing>
          <wp:inline distT="0" distB="0" distL="0" distR="0">
            <wp:extent cx="5852160" cy="2216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es.png"/>
                    <pic:cNvPicPr/>
                  </pic:nvPicPr>
                  <pic:blipFill>
                    <a:blip r:embed="rId13"/>
                    <a:stretch>
                      <a:fillRect/>
                    </a:stretch>
                  </pic:blipFill>
                  <pic:spPr>
                    <a:xfrm>
                      <a:off x="0" y="0"/>
                      <a:ext cx="5852160" cy="2216727"/>
                    </a:xfrm>
                    <a:prstGeom prst="rect">
                      <a:avLst/>
                    </a:prstGeom>
                  </pic:spPr>
                </pic:pic>
              </a:graphicData>
            </a:graphic>
          </wp:inline>
        </w:drawing>
      </w:r>
    </w:p>
    <w:p w:rsidR="007F373F" w:rsidRDefault="00000000">
      <w:pPr>
        <w:spacing w:after="80"/>
        <w:jc w:val="center"/>
      </w:pPr>
      <w:r>
        <w:rPr>
          <w:i/>
          <w:sz w:val="18"/>
        </w:rPr>
        <w:t>Figure 9 – Branch network by format, FY21–FY26. Sources: Fedfina Annual Report 2023-24 (FY21–FY24), Fedfina Annual Report 2024-25 p.7 (FY25), Fedfina Annual Report 2025-26 Directors’ Report (FY26). FY26 MSME count reflects re-classification of 70 hubs as co-located branches.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141"/>
        <w:gridCol w:w="1035"/>
        <w:gridCol w:w="1035"/>
        <w:gridCol w:w="1242"/>
        <w:gridCol w:w="1035"/>
        <w:gridCol w:w="1242"/>
      </w:tblGrid>
      <w:tr w:rsidR="007F373F">
        <w:trPr>
          <w:jc w:val="center"/>
        </w:trPr>
        <w:tc>
          <w:tcPr>
            <w:tcW w:w="4141" w:type="dxa"/>
          </w:tcPr>
          <w:p w:rsidR="007F373F" w:rsidRDefault="00000000">
            <w:pPr>
              <w:spacing w:after="0"/>
              <w:jc w:val="left"/>
            </w:pPr>
            <w:r>
              <w:rPr>
                <w:b/>
                <w:sz w:val="19"/>
              </w:rPr>
              <w:t>State / UT</w:t>
            </w:r>
          </w:p>
        </w:tc>
        <w:tc>
          <w:tcPr>
            <w:tcW w:w="1035" w:type="dxa"/>
          </w:tcPr>
          <w:p w:rsidR="007F373F" w:rsidRDefault="00000000">
            <w:pPr>
              <w:spacing w:after="0"/>
              <w:jc w:val="left"/>
            </w:pPr>
            <w:r>
              <w:rPr>
                <w:b/>
                <w:sz w:val="19"/>
              </w:rPr>
              <w:t>MSME</w:t>
            </w:r>
          </w:p>
        </w:tc>
        <w:tc>
          <w:tcPr>
            <w:tcW w:w="1035" w:type="dxa"/>
          </w:tcPr>
          <w:p w:rsidR="007F373F" w:rsidRDefault="00000000">
            <w:pPr>
              <w:spacing w:after="0"/>
              <w:jc w:val="left"/>
            </w:pPr>
            <w:r>
              <w:rPr>
                <w:b/>
                <w:sz w:val="19"/>
              </w:rPr>
              <w:t>Gold</w:t>
            </w:r>
          </w:p>
        </w:tc>
        <w:tc>
          <w:tcPr>
            <w:tcW w:w="1242" w:type="dxa"/>
          </w:tcPr>
          <w:p w:rsidR="007F373F" w:rsidRDefault="00000000">
            <w:pPr>
              <w:spacing w:after="0"/>
              <w:jc w:val="left"/>
            </w:pPr>
            <w:r>
              <w:rPr>
                <w:b/>
                <w:sz w:val="19"/>
              </w:rPr>
              <w:t>Co-located</w:t>
            </w:r>
          </w:p>
        </w:tc>
        <w:tc>
          <w:tcPr>
            <w:tcW w:w="1035" w:type="dxa"/>
          </w:tcPr>
          <w:p w:rsidR="007F373F" w:rsidRDefault="00000000">
            <w:pPr>
              <w:spacing w:after="0"/>
              <w:jc w:val="left"/>
            </w:pPr>
            <w:r>
              <w:rPr>
                <w:b/>
                <w:sz w:val="19"/>
              </w:rPr>
              <w:t>Total</w:t>
            </w:r>
          </w:p>
        </w:tc>
        <w:tc>
          <w:tcPr>
            <w:tcW w:w="1242" w:type="dxa"/>
          </w:tcPr>
          <w:p w:rsidR="007F373F" w:rsidRDefault="00000000">
            <w:pPr>
              <w:spacing w:after="0"/>
              <w:jc w:val="left"/>
            </w:pPr>
            <w:r>
              <w:rPr>
                <w:b/>
                <w:sz w:val="19"/>
              </w:rPr>
              <w:t>Share (%)</w:t>
            </w:r>
          </w:p>
        </w:tc>
      </w:tr>
      <w:tr w:rsidR="007F373F">
        <w:trPr>
          <w:jc w:val="center"/>
        </w:trPr>
        <w:tc>
          <w:tcPr>
            <w:tcW w:w="4141" w:type="dxa"/>
          </w:tcPr>
          <w:p w:rsidR="007F373F" w:rsidRDefault="00000000">
            <w:pPr>
              <w:spacing w:after="0"/>
              <w:jc w:val="left"/>
            </w:pPr>
            <w:r>
              <w:rPr>
                <w:sz w:val="19"/>
              </w:rPr>
              <w:t>Maharashtra</w:t>
            </w:r>
          </w:p>
        </w:tc>
        <w:tc>
          <w:tcPr>
            <w:tcW w:w="1035" w:type="dxa"/>
          </w:tcPr>
          <w:p w:rsidR="007F373F" w:rsidRDefault="00000000">
            <w:pPr>
              <w:spacing w:after="0"/>
              <w:jc w:val="right"/>
            </w:pPr>
            <w:r>
              <w:rPr>
                <w:sz w:val="19"/>
              </w:rPr>
              <w:t>31</w:t>
            </w:r>
          </w:p>
        </w:tc>
        <w:tc>
          <w:tcPr>
            <w:tcW w:w="1035" w:type="dxa"/>
          </w:tcPr>
          <w:p w:rsidR="007F373F" w:rsidRDefault="00000000">
            <w:pPr>
              <w:spacing w:after="0"/>
              <w:jc w:val="right"/>
            </w:pPr>
            <w:r>
              <w:rPr>
                <w:sz w:val="19"/>
              </w:rPr>
              <w:t>102</w:t>
            </w:r>
          </w:p>
        </w:tc>
        <w:tc>
          <w:tcPr>
            <w:tcW w:w="1242" w:type="dxa"/>
          </w:tcPr>
          <w:p w:rsidR="007F373F" w:rsidRDefault="00000000">
            <w:pPr>
              <w:spacing w:after="0"/>
              <w:jc w:val="right"/>
            </w:pPr>
            <w:r>
              <w:rPr>
                <w:sz w:val="19"/>
              </w:rPr>
              <w:t>8</w:t>
            </w:r>
          </w:p>
        </w:tc>
        <w:tc>
          <w:tcPr>
            <w:tcW w:w="1035" w:type="dxa"/>
          </w:tcPr>
          <w:p w:rsidR="007F373F" w:rsidRDefault="00000000">
            <w:pPr>
              <w:spacing w:after="0"/>
              <w:jc w:val="right"/>
            </w:pPr>
            <w:r>
              <w:rPr>
                <w:sz w:val="19"/>
              </w:rPr>
              <w:t>141</w:t>
            </w:r>
          </w:p>
        </w:tc>
        <w:tc>
          <w:tcPr>
            <w:tcW w:w="1242" w:type="dxa"/>
          </w:tcPr>
          <w:p w:rsidR="007F373F" w:rsidRDefault="00000000">
            <w:pPr>
              <w:spacing w:after="0"/>
              <w:jc w:val="right"/>
            </w:pPr>
            <w:r>
              <w:rPr>
                <w:sz w:val="19"/>
              </w:rPr>
              <w:t>18.6</w:t>
            </w:r>
          </w:p>
        </w:tc>
      </w:tr>
      <w:tr w:rsidR="007F373F">
        <w:trPr>
          <w:jc w:val="center"/>
        </w:trPr>
        <w:tc>
          <w:tcPr>
            <w:tcW w:w="4141" w:type="dxa"/>
          </w:tcPr>
          <w:p w:rsidR="007F373F" w:rsidRDefault="00000000">
            <w:pPr>
              <w:spacing w:after="0"/>
              <w:jc w:val="left"/>
            </w:pPr>
            <w:r>
              <w:rPr>
                <w:sz w:val="19"/>
              </w:rPr>
              <w:t>Gujarat</w:t>
            </w:r>
          </w:p>
        </w:tc>
        <w:tc>
          <w:tcPr>
            <w:tcW w:w="1035" w:type="dxa"/>
          </w:tcPr>
          <w:p w:rsidR="007F373F" w:rsidRDefault="00000000">
            <w:pPr>
              <w:spacing w:after="0"/>
              <w:jc w:val="right"/>
            </w:pPr>
            <w:r>
              <w:rPr>
                <w:sz w:val="19"/>
              </w:rPr>
              <w:t>11</w:t>
            </w:r>
          </w:p>
        </w:tc>
        <w:tc>
          <w:tcPr>
            <w:tcW w:w="1035" w:type="dxa"/>
          </w:tcPr>
          <w:p w:rsidR="007F373F" w:rsidRDefault="00000000">
            <w:pPr>
              <w:spacing w:after="0"/>
              <w:jc w:val="right"/>
            </w:pPr>
            <w:r>
              <w:rPr>
                <w:sz w:val="19"/>
              </w:rPr>
              <w:t>110</w:t>
            </w:r>
          </w:p>
        </w:tc>
        <w:tc>
          <w:tcPr>
            <w:tcW w:w="1242" w:type="dxa"/>
          </w:tcPr>
          <w:p w:rsidR="007F373F" w:rsidRDefault="00000000">
            <w:pPr>
              <w:spacing w:after="0"/>
              <w:jc w:val="right"/>
            </w:pPr>
            <w:r>
              <w:rPr>
                <w:sz w:val="19"/>
              </w:rPr>
              <w:t>15</w:t>
            </w:r>
          </w:p>
        </w:tc>
        <w:tc>
          <w:tcPr>
            <w:tcW w:w="1035" w:type="dxa"/>
          </w:tcPr>
          <w:p w:rsidR="007F373F" w:rsidRDefault="00000000">
            <w:pPr>
              <w:spacing w:after="0"/>
              <w:jc w:val="right"/>
            </w:pPr>
            <w:r>
              <w:rPr>
                <w:sz w:val="19"/>
              </w:rPr>
              <w:t>136</w:t>
            </w:r>
          </w:p>
        </w:tc>
        <w:tc>
          <w:tcPr>
            <w:tcW w:w="1242" w:type="dxa"/>
          </w:tcPr>
          <w:p w:rsidR="007F373F" w:rsidRDefault="00000000">
            <w:pPr>
              <w:spacing w:after="0"/>
              <w:jc w:val="right"/>
            </w:pPr>
            <w:r>
              <w:rPr>
                <w:sz w:val="19"/>
              </w:rPr>
              <w:t>18.0</w:t>
            </w:r>
          </w:p>
        </w:tc>
      </w:tr>
      <w:tr w:rsidR="007F373F">
        <w:trPr>
          <w:jc w:val="center"/>
        </w:trPr>
        <w:tc>
          <w:tcPr>
            <w:tcW w:w="4141" w:type="dxa"/>
          </w:tcPr>
          <w:p w:rsidR="007F373F" w:rsidRDefault="00000000">
            <w:pPr>
              <w:spacing w:after="0"/>
              <w:jc w:val="left"/>
            </w:pPr>
            <w:r>
              <w:rPr>
                <w:sz w:val="19"/>
              </w:rPr>
              <w:t>Karnataka</w:t>
            </w:r>
          </w:p>
        </w:tc>
        <w:tc>
          <w:tcPr>
            <w:tcW w:w="1035" w:type="dxa"/>
          </w:tcPr>
          <w:p w:rsidR="007F373F" w:rsidRDefault="00000000">
            <w:pPr>
              <w:spacing w:after="0"/>
              <w:jc w:val="right"/>
            </w:pPr>
            <w:r>
              <w:rPr>
                <w:sz w:val="19"/>
              </w:rPr>
              <w:t>9</w:t>
            </w:r>
          </w:p>
        </w:tc>
        <w:tc>
          <w:tcPr>
            <w:tcW w:w="1035" w:type="dxa"/>
          </w:tcPr>
          <w:p w:rsidR="007F373F" w:rsidRDefault="00000000">
            <w:pPr>
              <w:spacing w:after="0"/>
              <w:jc w:val="right"/>
            </w:pPr>
            <w:r>
              <w:rPr>
                <w:sz w:val="19"/>
              </w:rPr>
              <w:t>77</w:t>
            </w:r>
          </w:p>
        </w:tc>
        <w:tc>
          <w:tcPr>
            <w:tcW w:w="1242" w:type="dxa"/>
          </w:tcPr>
          <w:p w:rsidR="007F373F" w:rsidRDefault="00000000">
            <w:pPr>
              <w:spacing w:after="0"/>
              <w:jc w:val="right"/>
            </w:pPr>
            <w:r>
              <w:rPr>
                <w:sz w:val="19"/>
              </w:rPr>
              <w:t>9</w:t>
            </w:r>
          </w:p>
        </w:tc>
        <w:tc>
          <w:tcPr>
            <w:tcW w:w="1035" w:type="dxa"/>
          </w:tcPr>
          <w:p w:rsidR="007F373F" w:rsidRDefault="00000000">
            <w:pPr>
              <w:spacing w:after="0"/>
              <w:jc w:val="right"/>
            </w:pPr>
            <w:r>
              <w:rPr>
                <w:sz w:val="19"/>
              </w:rPr>
              <w:t>95</w:t>
            </w:r>
          </w:p>
        </w:tc>
        <w:tc>
          <w:tcPr>
            <w:tcW w:w="1242" w:type="dxa"/>
          </w:tcPr>
          <w:p w:rsidR="007F373F" w:rsidRDefault="00000000">
            <w:pPr>
              <w:spacing w:after="0"/>
              <w:jc w:val="right"/>
            </w:pPr>
            <w:r>
              <w:rPr>
                <w:sz w:val="19"/>
              </w:rPr>
              <w:t>12.5</w:t>
            </w:r>
          </w:p>
        </w:tc>
      </w:tr>
      <w:tr w:rsidR="007F373F">
        <w:trPr>
          <w:jc w:val="center"/>
        </w:trPr>
        <w:tc>
          <w:tcPr>
            <w:tcW w:w="4141" w:type="dxa"/>
          </w:tcPr>
          <w:p w:rsidR="007F373F" w:rsidRDefault="00000000">
            <w:pPr>
              <w:spacing w:after="0"/>
              <w:jc w:val="left"/>
            </w:pPr>
            <w:r>
              <w:rPr>
                <w:sz w:val="19"/>
              </w:rPr>
              <w:t>Tamil Nadu</w:t>
            </w:r>
          </w:p>
        </w:tc>
        <w:tc>
          <w:tcPr>
            <w:tcW w:w="1035" w:type="dxa"/>
          </w:tcPr>
          <w:p w:rsidR="007F373F" w:rsidRDefault="00000000">
            <w:pPr>
              <w:spacing w:after="0"/>
              <w:jc w:val="right"/>
            </w:pPr>
            <w:r>
              <w:rPr>
                <w:sz w:val="19"/>
              </w:rPr>
              <w:t>26</w:t>
            </w:r>
          </w:p>
        </w:tc>
        <w:tc>
          <w:tcPr>
            <w:tcW w:w="1035" w:type="dxa"/>
          </w:tcPr>
          <w:p w:rsidR="007F373F" w:rsidRDefault="00000000">
            <w:pPr>
              <w:spacing w:after="0"/>
              <w:jc w:val="right"/>
            </w:pPr>
            <w:r>
              <w:rPr>
                <w:sz w:val="19"/>
              </w:rPr>
              <w:t>57</w:t>
            </w:r>
          </w:p>
        </w:tc>
        <w:tc>
          <w:tcPr>
            <w:tcW w:w="1242" w:type="dxa"/>
          </w:tcPr>
          <w:p w:rsidR="007F373F" w:rsidRDefault="00000000">
            <w:pPr>
              <w:spacing w:after="0"/>
              <w:jc w:val="right"/>
            </w:pPr>
            <w:r>
              <w:rPr>
                <w:sz w:val="19"/>
              </w:rPr>
              <w:t>7</w:t>
            </w:r>
          </w:p>
        </w:tc>
        <w:tc>
          <w:tcPr>
            <w:tcW w:w="1035" w:type="dxa"/>
          </w:tcPr>
          <w:p w:rsidR="007F373F" w:rsidRDefault="00000000">
            <w:pPr>
              <w:spacing w:after="0"/>
              <w:jc w:val="right"/>
            </w:pPr>
            <w:r>
              <w:rPr>
                <w:sz w:val="19"/>
              </w:rPr>
              <w:t>90</w:t>
            </w:r>
          </w:p>
        </w:tc>
        <w:tc>
          <w:tcPr>
            <w:tcW w:w="1242" w:type="dxa"/>
          </w:tcPr>
          <w:p w:rsidR="007F373F" w:rsidRDefault="00000000">
            <w:pPr>
              <w:spacing w:after="0"/>
              <w:jc w:val="right"/>
            </w:pPr>
            <w:r>
              <w:rPr>
                <w:sz w:val="19"/>
              </w:rPr>
              <w:t>11.9</w:t>
            </w:r>
          </w:p>
        </w:tc>
      </w:tr>
      <w:tr w:rsidR="007F373F">
        <w:trPr>
          <w:jc w:val="center"/>
        </w:trPr>
        <w:tc>
          <w:tcPr>
            <w:tcW w:w="4141" w:type="dxa"/>
          </w:tcPr>
          <w:p w:rsidR="007F373F" w:rsidRDefault="00000000">
            <w:pPr>
              <w:spacing w:after="0"/>
              <w:jc w:val="left"/>
            </w:pPr>
            <w:r>
              <w:rPr>
                <w:sz w:val="19"/>
              </w:rPr>
              <w:t>Andhra Pradesh</w:t>
            </w:r>
          </w:p>
        </w:tc>
        <w:tc>
          <w:tcPr>
            <w:tcW w:w="1035" w:type="dxa"/>
          </w:tcPr>
          <w:p w:rsidR="007F373F" w:rsidRDefault="00000000">
            <w:pPr>
              <w:spacing w:after="0"/>
              <w:jc w:val="right"/>
            </w:pPr>
            <w:r>
              <w:rPr>
                <w:sz w:val="19"/>
              </w:rPr>
              <w:t>9</w:t>
            </w:r>
          </w:p>
        </w:tc>
        <w:tc>
          <w:tcPr>
            <w:tcW w:w="1035" w:type="dxa"/>
          </w:tcPr>
          <w:p w:rsidR="007F373F" w:rsidRDefault="00000000">
            <w:pPr>
              <w:spacing w:after="0"/>
              <w:jc w:val="right"/>
            </w:pPr>
            <w:r>
              <w:rPr>
                <w:sz w:val="19"/>
              </w:rPr>
              <w:t>42</w:t>
            </w:r>
          </w:p>
        </w:tc>
        <w:tc>
          <w:tcPr>
            <w:tcW w:w="1242" w:type="dxa"/>
          </w:tcPr>
          <w:p w:rsidR="007F373F" w:rsidRDefault="00000000">
            <w:pPr>
              <w:spacing w:after="0"/>
              <w:jc w:val="right"/>
            </w:pPr>
            <w:r>
              <w:rPr>
                <w:sz w:val="19"/>
              </w:rPr>
              <w:t>6</w:t>
            </w:r>
          </w:p>
        </w:tc>
        <w:tc>
          <w:tcPr>
            <w:tcW w:w="1035" w:type="dxa"/>
          </w:tcPr>
          <w:p w:rsidR="007F373F" w:rsidRDefault="00000000">
            <w:pPr>
              <w:spacing w:after="0"/>
              <w:jc w:val="right"/>
            </w:pPr>
            <w:r>
              <w:rPr>
                <w:sz w:val="19"/>
              </w:rPr>
              <w:t>57</w:t>
            </w:r>
          </w:p>
        </w:tc>
        <w:tc>
          <w:tcPr>
            <w:tcW w:w="1242" w:type="dxa"/>
          </w:tcPr>
          <w:p w:rsidR="007F373F" w:rsidRDefault="00000000">
            <w:pPr>
              <w:spacing w:after="0"/>
              <w:jc w:val="right"/>
            </w:pPr>
            <w:r>
              <w:rPr>
                <w:sz w:val="19"/>
              </w:rPr>
              <w:t>7.5</w:t>
            </w:r>
          </w:p>
        </w:tc>
      </w:tr>
      <w:tr w:rsidR="007F373F">
        <w:trPr>
          <w:jc w:val="center"/>
        </w:trPr>
        <w:tc>
          <w:tcPr>
            <w:tcW w:w="4141" w:type="dxa"/>
          </w:tcPr>
          <w:p w:rsidR="007F373F" w:rsidRDefault="00000000">
            <w:pPr>
              <w:spacing w:after="0"/>
              <w:jc w:val="left"/>
            </w:pPr>
            <w:r>
              <w:rPr>
                <w:sz w:val="19"/>
              </w:rPr>
              <w:t>Delhi NCR</w:t>
            </w:r>
          </w:p>
        </w:tc>
        <w:tc>
          <w:tcPr>
            <w:tcW w:w="1035" w:type="dxa"/>
          </w:tcPr>
          <w:p w:rsidR="007F373F" w:rsidRDefault="00000000">
            <w:pPr>
              <w:spacing w:after="0"/>
              <w:jc w:val="right"/>
            </w:pPr>
            <w:r>
              <w:rPr>
                <w:sz w:val="19"/>
              </w:rPr>
              <w:t>1</w:t>
            </w:r>
          </w:p>
        </w:tc>
        <w:tc>
          <w:tcPr>
            <w:tcW w:w="1035" w:type="dxa"/>
          </w:tcPr>
          <w:p w:rsidR="007F373F" w:rsidRDefault="00000000">
            <w:pPr>
              <w:spacing w:after="0"/>
              <w:jc w:val="right"/>
            </w:pPr>
            <w:r>
              <w:rPr>
                <w:sz w:val="19"/>
              </w:rPr>
              <w:t>45</w:t>
            </w:r>
          </w:p>
        </w:tc>
        <w:tc>
          <w:tcPr>
            <w:tcW w:w="1242" w:type="dxa"/>
          </w:tcPr>
          <w:p w:rsidR="007F373F" w:rsidRDefault="00000000">
            <w:pPr>
              <w:spacing w:after="0"/>
              <w:jc w:val="right"/>
            </w:pPr>
            <w:r>
              <w:rPr>
                <w:sz w:val="19"/>
              </w:rPr>
              <w:t>0</w:t>
            </w:r>
          </w:p>
        </w:tc>
        <w:tc>
          <w:tcPr>
            <w:tcW w:w="1035" w:type="dxa"/>
          </w:tcPr>
          <w:p w:rsidR="007F373F" w:rsidRDefault="00000000">
            <w:pPr>
              <w:spacing w:after="0"/>
              <w:jc w:val="right"/>
            </w:pPr>
            <w:r>
              <w:rPr>
                <w:sz w:val="19"/>
              </w:rPr>
              <w:t>46</w:t>
            </w:r>
          </w:p>
        </w:tc>
        <w:tc>
          <w:tcPr>
            <w:tcW w:w="1242" w:type="dxa"/>
          </w:tcPr>
          <w:p w:rsidR="007F373F" w:rsidRDefault="00000000">
            <w:pPr>
              <w:spacing w:after="0"/>
              <w:jc w:val="right"/>
            </w:pPr>
            <w:r>
              <w:rPr>
                <w:sz w:val="19"/>
              </w:rPr>
              <w:t>6.1</w:t>
            </w:r>
          </w:p>
        </w:tc>
      </w:tr>
      <w:tr w:rsidR="007F373F">
        <w:trPr>
          <w:jc w:val="center"/>
        </w:trPr>
        <w:tc>
          <w:tcPr>
            <w:tcW w:w="4141" w:type="dxa"/>
          </w:tcPr>
          <w:p w:rsidR="007F373F" w:rsidRDefault="00000000">
            <w:pPr>
              <w:spacing w:after="0"/>
              <w:jc w:val="left"/>
            </w:pPr>
            <w:r>
              <w:rPr>
                <w:sz w:val="19"/>
              </w:rPr>
              <w:t>Telangana</w:t>
            </w:r>
          </w:p>
        </w:tc>
        <w:tc>
          <w:tcPr>
            <w:tcW w:w="1035" w:type="dxa"/>
          </w:tcPr>
          <w:p w:rsidR="007F373F" w:rsidRDefault="00000000">
            <w:pPr>
              <w:spacing w:after="0"/>
              <w:jc w:val="right"/>
            </w:pPr>
            <w:r>
              <w:rPr>
                <w:sz w:val="19"/>
              </w:rPr>
              <w:t>4</w:t>
            </w:r>
          </w:p>
        </w:tc>
        <w:tc>
          <w:tcPr>
            <w:tcW w:w="1035" w:type="dxa"/>
          </w:tcPr>
          <w:p w:rsidR="007F373F" w:rsidRDefault="00000000">
            <w:pPr>
              <w:spacing w:after="0"/>
              <w:jc w:val="right"/>
            </w:pPr>
            <w:r>
              <w:rPr>
                <w:sz w:val="19"/>
              </w:rPr>
              <w:t>27</w:t>
            </w:r>
          </w:p>
        </w:tc>
        <w:tc>
          <w:tcPr>
            <w:tcW w:w="1242" w:type="dxa"/>
          </w:tcPr>
          <w:p w:rsidR="007F373F" w:rsidRDefault="00000000">
            <w:pPr>
              <w:spacing w:after="0"/>
              <w:jc w:val="right"/>
            </w:pPr>
            <w:r>
              <w:rPr>
                <w:sz w:val="19"/>
              </w:rPr>
              <w:t>11</w:t>
            </w:r>
          </w:p>
        </w:tc>
        <w:tc>
          <w:tcPr>
            <w:tcW w:w="1035" w:type="dxa"/>
          </w:tcPr>
          <w:p w:rsidR="007F373F" w:rsidRDefault="00000000">
            <w:pPr>
              <w:spacing w:after="0"/>
              <w:jc w:val="right"/>
            </w:pPr>
            <w:r>
              <w:rPr>
                <w:sz w:val="19"/>
              </w:rPr>
              <w:t>42</w:t>
            </w:r>
          </w:p>
        </w:tc>
        <w:tc>
          <w:tcPr>
            <w:tcW w:w="1242" w:type="dxa"/>
          </w:tcPr>
          <w:p w:rsidR="007F373F" w:rsidRDefault="00000000">
            <w:pPr>
              <w:spacing w:after="0"/>
              <w:jc w:val="right"/>
            </w:pPr>
            <w:r>
              <w:rPr>
                <w:sz w:val="19"/>
              </w:rPr>
              <w:t>5.5</w:t>
            </w:r>
          </w:p>
        </w:tc>
      </w:tr>
      <w:tr w:rsidR="007F373F">
        <w:trPr>
          <w:jc w:val="center"/>
        </w:trPr>
        <w:tc>
          <w:tcPr>
            <w:tcW w:w="4141" w:type="dxa"/>
          </w:tcPr>
          <w:p w:rsidR="007F373F" w:rsidRDefault="00000000">
            <w:pPr>
              <w:spacing w:after="0"/>
              <w:jc w:val="left"/>
            </w:pPr>
            <w:r>
              <w:rPr>
                <w:sz w:val="19"/>
              </w:rPr>
              <w:t>Rajasthan</w:t>
            </w:r>
          </w:p>
        </w:tc>
        <w:tc>
          <w:tcPr>
            <w:tcW w:w="1035" w:type="dxa"/>
          </w:tcPr>
          <w:p w:rsidR="007F373F" w:rsidRDefault="00000000">
            <w:pPr>
              <w:spacing w:after="0"/>
              <w:jc w:val="right"/>
            </w:pPr>
            <w:r>
              <w:rPr>
                <w:sz w:val="19"/>
              </w:rPr>
              <w:t>10</w:t>
            </w:r>
          </w:p>
        </w:tc>
        <w:tc>
          <w:tcPr>
            <w:tcW w:w="1035" w:type="dxa"/>
          </w:tcPr>
          <w:p w:rsidR="007F373F" w:rsidRDefault="00000000">
            <w:pPr>
              <w:spacing w:after="0"/>
              <w:jc w:val="right"/>
            </w:pPr>
            <w:r>
              <w:rPr>
                <w:sz w:val="19"/>
              </w:rPr>
              <w:t>19</w:t>
            </w:r>
          </w:p>
        </w:tc>
        <w:tc>
          <w:tcPr>
            <w:tcW w:w="1242" w:type="dxa"/>
          </w:tcPr>
          <w:p w:rsidR="007F373F" w:rsidRDefault="00000000">
            <w:pPr>
              <w:spacing w:after="0"/>
              <w:jc w:val="right"/>
            </w:pPr>
            <w:r>
              <w:rPr>
                <w:sz w:val="19"/>
              </w:rPr>
              <w:t>5</w:t>
            </w:r>
          </w:p>
        </w:tc>
        <w:tc>
          <w:tcPr>
            <w:tcW w:w="1035" w:type="dxa"/>
          </w:tcPr>
          <w:p w:rsidR="007F373F" w:rsidRDefault="00000000">
            <w:pPr>
              <w:spacing w:after="0"/>
              <w:jc w:val="right"/>
            </w:pPr>
            <w:r>
              <w:rPr>
                <w:sz w:val="19"/>
              </w:rPr>
              <w:t>34</w:t>
            </w:r>
          </w:p>
        </w:tc>
        <w:tc>
          <w:tcPr>
            <w:tcW w:w="1242" w:type="dxa"/>
          </w:tcPr>
          <w:p w:rsidR="007F373F" w:rsidRDefault="00000000">
            <w:pPr>
              <w:spacing w:after="0"/>
              <w:jc w:val="right"/>
            </w:pPr>
            <w:r>
              <w:rPr>
                <w:sz w:val="19"/>
              </w:rPr>
              <w:t>4.5</w:t>
            </w:r>
          </w:p>
        </w:tc>
      </w:tr>
      <w:tr w:rsidR="007F373F">
        <w:trPr>
          <w:jc w:val="center"/>
        </w:trPr>
        <w:tc>
          <w:tcPr>
            <w:tcW w:w="4141" w:type="dxa"/>
          </w:tcPr>
          <w:p w:rsidR="007F373F" w:rsidRDefault="00000000">
            <w:pPr>
              <w:spacing w:after="0"/>
              <w:jc w:val="left"/>
            </w:pPr>
            <w:r>
              <w:rPr>
                <w:sz w:val="19"/>
              </w:rPr>
              <w:t>Other 9 states/UTs (RJ, HR, UP, MP, PB, UK, Goa, PY, DNH, CH)</w:t>
            </w:r>
          </w:p>
        </w:tc>
        <w:tc>
          <w:tcPr>
            <w:tcW w:w="1035" w:type="dxa"/>
          </w:tcPr>
          <w:p w:rsidR="007F373F" w:rsidRDefault="00000000">
            <w:pPr>
              <w:spacing w:after="0"/>
              <w:jc w:val="right"/>
            </w:pPr>
            <w:r>
              <w:rPr>
                <w:sz w:val="19"/>
              </w:rPr>
              <w:t>28</w:t>
            </w:r>
          </w:p>
        </w:tc>
        <w:tc>
          <w:tcPr>
            <w:tcW w:w="1035" w:type="dxa"/>
          </w:tcPr>
          <w:p w:rsidR="007F373F" w:rsidRDefault="00000000">
            <w:pPr>
              <w:spacing w:after="0"/>
              <w:jc w:val="right"/>
            </w:pPr>
            <w:r>
              <w:rPr>
                <w:sz w:val="19"/>
              </w:rPr>
              <w:t>79</w:t>
            </w:r>
          </w:p>
        </w:tc>
        <w:tc>
          <w:tcPr>
            <w:tcW w:w="1242" w:type="dxa"/>
          </w:tcPr>
          <w:p w:rsidR="007F373F" w:rsidRDefault="00000000">
            <w:pPr>
              <w:spacing w:after="0"/>
              <w:jc w:val="right"/>
            </w:pPr>
            <w:r>
              <w:rPr>
                <w:sz w:val="19"/>
              </w:rPr>
              <w:t>9</w:t>
            </w:r>
          </w:p>
        </w:tc>
        <w:tc>
          <w:tcPr>
            <w:tcW w:w="1035" w:type="dxa"/>
          </w:tcPr>
          <w:p w:rsidR="007F373F" w:rsidRDefault="00000000">
            <w:pPr>
              <w:spacing w:after="0"/>
              <w:jc w:val="right"/>
            </w:pPr>
            <w:r>
              <w:rPr>
                <w:sz w:val="19"/>
              </w:rPr>
              <w:t>116</w:t>
            </w:r>
          </w:p>
        </w:tc>
        <w:tc>
          <w:tcPr>
            <w:tcW w:w="1242" w:type="dxa"/>
          </w:tcPr>
          <w:p w:rsidR="007F373F" w:rsidRDefault="00000000">
            <w:pPr>
              <w:spacing w:after="0"/>
              <w:jc w:val="right"/>
            </w:pPr>
            <w:r>
              <w:rPr>
                <w:sz w:val="19"/>
              </w:rPr>
              <w:t>15.3</w:t>
            </w:r>
          </w:p>
        </w:tc>
      </w:tr>
      <w:tr w:rsidR="007F373F">
        <w:trPr>
          <w:jc w:val="center"/>
        </w:trPr>
        <w:tc>
          <w:tcPr>
            <w:tcW w:w="4141" w:type="dxa"/>
          </w:tcPr>
          <w:p w:rsidR="007F373F" w:rsidRDefault="00000000">
            <w:pPr>
              <w:spacing w:after="0"/>
              <w:jc w:val="left"/>
            </w:pPr>
            <w:r>
              <w:rPr>
                <w:sz w:val="19"/>
              </w:rPr>
              <w:t>Total</w:t>
            </w:r>
          </w:p>
        </w:tc>
        <w:tc>
          <w:tcPr>
            <w:tcW w:w="1035" w:type="dxa"/>
          </w:tcPr>
          <w:p w:rsidR="007F373F" w:rsidRDefault="00000000">
            <w:pPr>
              <w:spacing w:after="0"/>
              <w:jc w:val="right"/>
            </w:pPr>
            <w:r>
              <w:rPr>
                <w:sz w:val="19"/>
              </w:rPr>
              <w:t>129</w:t>
            </w:r>
          </w:p>
        </w:tc>
        <w:tc>
          <w:tcPr>
            <w:tcW w:w="1035" w:type="dxa"/>
          </w:tcPr>
          <w:p w:rsidR="007F373F" w:rsidRDefault="00000000">
            <w:pPr>
              <w:spacing w:after="0"/>
              <w:jc w:val="right"/>
            </w:pPr>
            <w:r>
              <w:rPr>
                <w:sz w:val="19"/>
              </w:rPr>
              <w:t>558</w:t>
            </w:r>
          </w:p>
        </w:tc>
        <w:tc>
          <w:tcPr>
            <w:tcW w:w="1242" w:type="dxa"/>
          </w:tcPr>
          <w:p w:rsidR="007F373F" w:rsidRDefault="00000000">
            <w:pPr>
              <w:spacing w:after="0"/>
              <w:jc w:val="right"/>
            </w:pPr>
            <w:r>
              <w:rPr>
                <w:sz w:val="19"/>
              </w:rPr>
              <w:t>70</w:t>
            </w:r>
          </w:p>
        </w:tc>
        <w:tc>
          <w:tcPr>
            <w:tcW w:w="1035" w:type="dxa"/>
          </w:tcPr>
          <w:p w:rsidR="007F373F" w:rsidRDefault="00000000">
            <w:pPr>
              <w:spacing w:after="0"/>
              <w:jc w:val="right"/>
            </w:pPr>
            <w:r>
              <w:rPr>
                <w:sz w:val="19"/>
              </w:rPr>
              <w:t>757</w:t>
            </w:r>
          </w:p>
        </w:tc>
        <w:tc>
          <w:tcPr>
            <w:tcW w:w="1242" w:type="dxa"/>
          </w:tcPr>
          <w:p w:rsidR="007F373F" w:rsidRDefault="00000000">
            <w:pPr>
              <w:spacing w:after="0"/>
              <w:jc w:val="right"/>
            </w:pPr>
            <w:r>
              <w:rPr>
                <w:sz w:val="19"/>
              </w:rPr>
              <w:t>100.0</w:t>
            </w:r>
          </w:p>
        </w:tc>
      </w:tr>
    </w:tbl>
    <w:p w:rsidR="007F373F" w:rsidRDefault="00000000">
      <w:pPr>
        <w:spacing w:before="40" w:after="80"/>
      </w:pPr>
      <w:r>
        <w:rPr>
          <w:i/>
          <w:sz w:val="18"/>
        </w:rPr>
        <w:t>Source: Fedfina Annual Report 2025-26, Directors’ Report – branch network as at 31 March 2026 (full state-wise list in Appendix C).</w:t>
      </w:r>
    </w:p>
    <w:p w:rsidR="007F373F" w:rsidRDefault="00000000">
      <w:r>
        <w:t>Concentration. Four western and southern states – Maharashtra, Gujarat, Karnataka and Tamil Nadu – host 462 branches (61%), and the top five states accounted for 75.1% of AUM in FY26, down steadily from 85.1% in FY21 as the company expanded into Delhi NCR, Telangana, Rajasthan, Haryana, Uttar Pradesh and Madhya Pradesh. Geographic diversification reduces exposure to state-level events (floods, local regulation, agrarian stress) but adds operating complexity; the company notes it “expanded our reach across non-metro markets” and that the 148 FY26 branches are still young.</w:t>
      </w:r>
    </w:p>
    <w:p w:rsidR="007F373F" w:rsidRDefault="00000000">
      <w:pPr>
        <w:pStyle w:val="Heading1"/>
        <w:pageBreakBefore/>
      </w:pPr>
      <w:r>
        <w:lastRenderedPageBreak/>
        <w:t>Customer Segments and Customer Experience</w:t>
      </w:r>
    </w:p>
    <w:p w:rsidR="007F373F" w:rsidRDefault="00000000">
      <w:r>
        <w:t>Fedfina served 3.44 lakh active customers at 31 March 2026 – about 455 per branch. Its customers sit in what the Chairman calls the gap between India’s household credit-to-GDP ratio of 42% and the 60–76% seen in China, the US and the UK: self-employed households, small business owners and MSME borrowers in Tier 2–4 markets who are typically underserved by conventional banking channels.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725"/>
        <w:gridCol w:w="2899"/>
        <w:gridCol w:w="1794"/>
        <w:gridCol w:w="1518"/>
        <w:gridCol w:w="1794"/>
      </w:tblGrid>
      <w:tr w:rsidR="007F373F">
        <w:trPr>
          <w:jc w:val="center"/>
        </w:trPr>
        <w:tc>
          <w:tcPr>
            <w:tcW w:w="1725" w:type="dxa"/>
          </w:tcPr>
          <w:p w:rsidR="007F373F" w:rsidRDefault="00000000">
            <w:pPr>
              <w:spacing w:after="0"/>
              <w:jc w:val="left"/>
            </w:pPr>
            <w:r>
              <w:rPr>
                <w:b/>
                <w:sz w:val="18"/>
              </w:rPr>
              <w:t>Segment</w:t>
            </w:r>
          </w:p>
        </w:tc>
        <w:tc>
          <w:tcPr>
            <w:tcW w:w="2899" w:type="dxa"/>
          </w:tcPr>
          <w:p w:rsidR="007F373F" w:rsidRDefault="00000000">
            <w:pPr>
              <w:spacing w:after="0"/>
              <w:jc w:val="left"/>
            </w:pPr>
            <w:r>
              <w:rPr>
                <w:b/>
                <w:sz w:val="18"/>
              </w:rPr>
              <w:t>Who they are (company description)</w:t>
            </w:r>
          </w:p>
        </w:tc>
        <w:tc>
          <w:tcPr>
            <w:tcW w:w="1794" w:type="dxa"/>
          </w:tcPr>
          <w:p w:rsidR="007F373F" w:rsidRDefault="00000000">
            <w:pPr>
              <w:spacing w:after="0"/>
              <w:jc w:val="left"/>
            </w:pPr>
            <w:r>
              <w:rPr>
                <w:b/>
                <w:sz w:val="18"/>
              </w:rPr>
              <w:t>Typical need</w:t>
            </w:r>
          </w:p>
        </w:tc>
        <w:tc>
          <w:tcPr>
            <w:tcW w:w="1518" w:type="dxa"/>
          </w:tcPr>
          <w:p w:rsidR="007F373F" w:rsidRDefault="00000000">
            <w:pPr>
              <w:spacing w:after="0"/>
              <w:jc w:val="left"/>
            </w:pPr>
            <w:r>
              <w:rPr>
                <w:b/>
                <w:sz w:val="18"/>
              </w:rPr>
              <w:t>Product</w:t>
            </w:r>
          </w:p>
        </w:tc>
        <w:tc>
          <w:tcPr>
            <w:tcW w:w="1794" w:type="dxa"/>
          </w:tcPr>
          <w:p w:rsidR="007F373F" w:rsidRDefault="00000000">
            <w:pPr>
              <w:spacing w:after="0"/>
              <w:jc w:val="left"/>
            </w:pPr>
            <w:r>
              <w:rPr>
                <w:b/>
                <w:sz w:val="18"/>
              </w:rPr>
              <w:t>Credit profile disclosed</w:t>
            </w:r>
          </w:p>
        </w:tc>
      </w:tr>
      <w:tr w:rsidR="007F373F">
        <w:trPr>
          <w:jc w:val="center"/>
        </w:trPr>
        <w:tc>
          <w:tcPr>
            <w:tcW w:w="1725" w:type="dxa"/>
          </w:tcPr>
          <w:p w:rsidR="007F373F" w:rsidRDefault="00000000">
            <w:pPr>
              <w:spacing w:after="0"/>
              <w:jc w:val="left"/>
            </w:pPr>
            <w:r>
              <w:rPr>
                <w:sz w:val="18"/>
              </w:rPr>
              <w:t>Gold-loan customers</w:t>
            </w:r>
          </w:p>
        </w:tc>
        <w:tc>
          <w:tcPr>
            <w:tcW w:w="2899" w:type="dxa"/>
          </w:tcPr>
          <w:p w:rsidR="007F373F" w:rsidRDefault="00000000">
            <w:pPr>
              <w:spacing w:after="0"/>
              <w:jc w:val="left"/>
            </w:pPr>
            <w:r>
              <w:rPr>
                <w:sz w:val="18"/>
              </w:rPr>
              <w:t>Traders, owners of service and manufacturing units, their staff receiving informal cash wages, individuals with urgent needs (e.g., housewives)</w:t>
            </w:r>
          </w:p>
        </w:tc>
        <w:tc>
          <w:tcPr>
            <w:tcW w:w="1794" w:type="dxa"/>
          </w:tcPr>
          <w:p w:rsidR="007F373F" w:rsidRDefault="00000000">
            <w:pPr>
              <w:spacing w:after="0"/>
              <w:jc w:val="left"/>
            </w:pPr>
            <w:r>
              <w:rPr>
                <w:sz w:val="18"/>
              </w:rPr>
              <w:t>Short-term working capital and emergency liquidity</w:t>
            </w:r>
          </w:p>
        </w:tc>
        <w:tc>
          <w:tcPr>
            <w:tcW w:w="1518" w:type="dxa"/>
          </w:tcPr>
          <w:p w:rsidR="007F373F" w:rsidRDefault="00000000">
            <w:pPr>
              <w:spacing w:after="0"/>
              <w:jc w:val="left"/>
            </w:pPr>
            <w:r>
              <w:rPr>
                <w:sz w:val="18"/>
              </w:rPr>
              <w:t>Gold loan, doorstep gold loan</w:t>
            </w:r>
          </w:p>
        </w:tc>
        <w:tc>
          <w:tcPr>
            <w:tcW w:w="1794" w:type="dxa"/>
          </w:tcPr>
          <w:p w:rsidR="007F373F" w:rsidRDefault="00000000">
            <w:pPr>
              <w:spacing w:after="0"/>
              <w:jc w:val="left"/>
            </w:pPr>
            <w:r>
              <w:rPr>
                <w:sz w:val="18"/>
              </w:rPr>
              <w:t>Collateral-based; portfolio LTV 60.9%; 4,633 accounts auctioned in FY26 (0.2% of 12.6 t book value)</w:t>
            </w:r>
          </w:p>
        </w:tc>
      </w:tr>
      <w:tr w:rsidR="007F373F">
        <w:trPr>
          <w:jc w:val="center"/>
        </w:trPr>
        <w:tc>
          <w:tcPr>
            <w:tcW w:w="1725" w:type="dxa"/>
          </w:tcPr>
          <w:p w:rsidR="007F373F" w:rsidRDefault="00000000">
            <w:pPr>
              <w:spacing w:after="0"/>
              <w:jc w:val="left"/>
            </w:pPr>
            <w:r>
              <w:rPr>
                <w:sz w:val="18"/>
              </w:rPr>
              <w:t>Small-ticket LAP / HL borrowers</w:t>
            </w:r>
          </w:p>
        </w:tc>
        <w:tc>
          <w:tcPr>
            <w:tcW w:w="2899" w:type="dxa"/>
          </w:tcPr>
          <w:p w:rsidR="007F373F" w:rsidRDefault="00000000">
            <w:pPr>
              <w:spacing w:after="0"/>
              <w:jc w:val="left"/>
            </w:pPr>
            <w:r>
              <w:rPr>
                <w:sz w:val="18"/>
              </w:rPr>
              <w:t>Self-employed with informal income, median annual income ≈ ₹5 lakh, outskirts of Tier 1 and Tier 2–3 towns</w:t>
            </w:r>
          </w:p>
        </w:tc>
        <w:tc>
          <w:tcPr>
            <w:tcW w:w="1794" w:type="dxa"/>
          </w:tcPr>
          <w:p w:rsidR="007F373F" w:rsidRDefault="00000000">
            <w:pPr>
              <w:spacing w:after="0"/>
              <w:jc w:val="left"/>
            </w:pPr>
            <w:r>
              <w:rPr>
                <w:sz w:val="18"/>
              </w:rPr>
              <w:t>Business working capital, home purchase/extension</w:t>
            </w:r>
          </w:p>
        </w:tc>
        <w:tc>
          <w:tcPr>
            <w:tcW w:w="1518" w:type="dxa"/>
          </w:tcPr>
          <w:p w:rsidR="007F373F" w:rsidRDefault="00000000">
            <w:pPr>
              <w:spacing w:after="0"/>
              <w:jc w:val="left"/>
            </w:pPr>
            <w:r>
              <w:rPr>
                <w:sz w:val="18"/>
              </w:rPr>
              <w:t>ST LAP, affordable housing loan</w:t>
            </w:r>
          </w:p>
        </w:tc>
        <w:tc>
          <w:tcPr>
            <w:tcW w:w="1794" w:type="dxa"/>
          </w:tcPr>
          <w:p w:rsidR="007F373F" w:rsidRDefault="00000000">
            <w:pPr>
              <w:spacing w:after="0"/>
              <w:jc w:val="left"/>
            </w:pPr>
            <w:r>
              <w:rPr>
                <w:sz w:val="18"/>
              </w:rPr>
              <w:t>68% CIBIL &gt;700, 16% 650–700, 7% &lt;650, 9% new-to-credit</w:t>
            </w:r>
          </w:p>
        </w:tc>
      </w:tr>
      <w:tr w:rsidR="007F373F">
        <w:trPr>
          <w:jc w:val="center"/>
        </w:trPr>
        <w:tc>
          <w:tcPr>
            <w:tcW w:w="1725" w:type="dxa"/>
          </w:tcPr>
          <w:p w:rsidR="007F373F" w:rsidRDefault="00000000">
            <w:pPr>
              <w:spacing w:after="0"/>
              <w:jc w:val="left"/>
            </w:pPr>
            <w:r>
              <w:rPr>
                <w:sz w:val="18"/>
              </w:rPr>
              <w:t>Medium-ticket LAP borrowers</w:t>
            </w:r>
          </w:p>
        </w:tc>
        <w:tc>
          <w:tcPr>
            <w:tcW w:w="2899" w:type="dxa"/>
          </w:tcPr>
          <w:p w:rsidR="007F373F" w:rsidRDefault="00000000">
            <w:pPr>
              <w:spacing w:after="0"/>
              <w:jc w:val="left"/>
            </w:pPr>
            <w:r>
              <w:rPr>
                <w:sz w:val="18"/>
              </w:rPr>
              <w:t>Established traders, wholesalers, distributors, small manufacturers with formal income records</w:t>
            </w:r>
          </w:p>
        </w:tc>
        <w:tc>
          <w:tcPr>
            <w:tcW w:w="1794" w:type="dxa"/>
          </w:tcPr>
          <w:p w:rsidR="007F373F" w:rsidRDefault="00000000">
            <w:pPr>
              <w:spacing w:after="0"/>
              <w:jc w:val="left"/>
            </w:pPr>
            <w:r>
              <w:rPr>
                <w:sz w:val="18"/>
              </w:rPr>
              <w:t>Expansion capital, debt consolidation</w:t>
            </w:r>
          </w:p>
        </w:tc>
        <w:tc>
          <w:tcPr>
            <w:tcW w:w="1518" w:type="dxa"/>
          </w:tcPr>
          <w:p w:rsidR="007F373F" w:rsidRDefault="00000000">
            <w:pPr>
              <w:spacing w:after="0"/>
              <w:jc w:val="left"/>
            </w:pPr>
            <w:r>
              <w:rPr>
                <w:sz w:val="18"/>
              </w:rPr>
              <w:t>MT LAP</w:t>
            </w:r>
          </w:p>
        </w:tc>
        <w:tc>
          <w:tcPr>
            <w:tcW w:w="1794" w:type="dxa"/>
          </w:tcPr>
          <w:p w:rsidR="007F373F" w:rsidRDefault="00000000">
            <w:pPr>
              <w:spacing w:after="0"/>
              <w:jc w:val="left"/>
            </w:pPr>
            <w:r>
              <w:rPr>
                <w:sz w:val="18"/>
              </w:rPr>
              <w:t>81% CIBIL &gt;700, 12% 650–700, 4% &lt;650, 3% new-to-credit</w:t>
            </w:r>
          </w:p>
        </w:tc>
      </w:tr>
      <w:tr w:rsidR="007F373F">
        <w:trPr>
          <w:jc w:val="center"/>
        </w:trPr>
        <w:tc>
          <w:tcPr>
            <w:tcW w:w="1725" w:type="dxa"/>
          </w:tcPr>
          <w:p w:rsidR="007F373F" w:rsidRDefault="00000000">
            <w:pPr>
              <w:spacing w:after="0"/>
              <w:jc w:val="left"/>
            </w:pPr>
            <w:r>
              <w:rPr>
                <w:sz w:val="18"/>
              </w:rPr>
              <w:t>Business-loan customers (legacy)</w:t>
            </w:r>
          </w:p>
        </w:tc>
        <w:tc>
          <w:tcPr>
            <w:tcW w:w="2899" w:type="dxa"/>
          </w:tcPr>
          <w:p w:rsidR="007F373F" w:rsidRDefault="00000000">
            <w:pPr>
              <w:spacing w:after="0"/>
              <w:jc w:val="left"/>
            </w:pPr>
            <w:r>
              <w:rPr>
                <w:sz w:val="18"/>
              </w:rPr>
              <w:t>Eligible MSMEs needing short-term working capital</w:t>
            </w:r>
          </w:p>
        </w:tc>
        <w:tc>
          <w:tcPr>
            <w:tcW w:w="1794" w:type="dxa"/>
          </w:tcPr>
          <w:p w:rsidR="007F373F" w:rsidRDefault="00000000">
            <w:pPr>
              <w:spacing w:after="0"/>
              <w:jc w:val="left"/>
            </w:pPr>
            <w:r>
              <w:rPr>
                <w:sz w:val="18"/>
              </w:rPr>
              <w:t>Unsecured working capital</w:t>
            </w:r>
          </w:p>
        </w:tc>
        <w:tc>
          <w:tcPr>
            <w:tcW w:w="1518" w:type="dxa"/>
          </w:tcPr>
          <w:p w:rsidR="007F373F" w:rsidRDefault="00000000">
            <w:pPr>
              <w:spacing w:after="0"/>
              <w:jc w:val="left"/>
            </w:pPr>
            <w:r>
              <w:rPr>
                <w:sz w:val="18"/>
              </w:rPr>
              <w:t>Discontinued Dec 2024; portfolio assigned</w:t>
            </w:r>
          </w:p>
        </w:tc>
        <w:tc>
          <w:tcPr>
            <w:tcW w:w="1794" w:type="dxa"/>
          </w:tcPr>
          <w:p w:rsidR="007F373F" w:rsidRDefault="00000000">
            <w:pPr>
              <w:spacing w:after="0"/>
              <w:jc w:val="left"/>
            </w:pPr>
            <w:r>
              <w:rPr>
                <w:sz w:val="18"/>
              </w:rPr>
              <w:t>95% CIBIL &gt;700 at the time of exit</w:t>
            </w:r>
          </w:p>
        </w:tc>
      </w:tr>
    </w:tbl>
    <w:p w:rsidR="007F373F" w:rsidRDefault="00000000">
      <w:pPr>
        <w:spacing w:before="40" w:after="80"/>
      </w:pPr>
      <w:r>
        <w:rPr>
          <w:i/>
          <w:sz w:val="18"/>
        </w:rPr>
        <w:t>Source: Fedfina Annual Report 2023-24 MD&amp;A (gold customer profile); Fedfina Annual Report 2025-26 MD&amp;A ‘Portfolio quality’ (CIBIL distribution) and product pages.</w:t>
      </w:r>
    </w:p>
    <w:p w:rsidR="007F373F" w:rsidRDefault="00000000">
      <w:pPr>
        <w:pStyle w:val="Heading2"/>
      </w:pPr>
      <w:r>
        <w:t>Customer experience indicators</w:t>
      </w:r>
    </w:p>
    <w:tbl>
      <w:tblPr>
        <w:tblW w:w="0" w:type="auto"/>
        <w:jc w:val="center"/>
        <w:tblCellMar>
          <w:top w:w="40" w:type="dxa"/>
          <w:left w:w="60" w:type="dxa"/>
          <w:bottom w:w="40" w:type="dxa"/>
          <w:right w:w="60" w:type="dxa"/>
        </w:tblCellMar>
        <w:tblLook w:val="04A0" w:firstRow="1" w:lastRow="0" w:firstColumn="1" w:lastColumn="0" w:noHBand="0" w:noVBand="1"/>
      </w:tblPr>
      <w:tblGrid>
        <w:gridCol w:w="3248"/>
        <w:gridCol w:w="3248"/>
        <w:gridCol w:w="3248"/>
      </w:tblGrid>
      <w:tr w:rsidR="007F373F">
        <w:trPr>
          <w:jc w:val="center"/>
        </w:trPr>
        <w:tc>
          <w:tcPr>
            <w:tcW w:w="3248" w:type="dxa"/>
          </w:tcPr>
          <w:p w:rsidR="007F373F" w:rsidRDefault="00000000">
            <w:pPr>
              <w:spacing w:after="0"/>
              <w:jc w:val="center"/>
            </w:pPr>
            <w:r>
              <w:rPr>
                <w:b/>
                <w:sz w:val="26"/>
              </w:rPr>
              <w:t>85%</w:t>
            </w:r>
          </w:p>
          <w:p w:rsidR="007F373F" w:rsidRDefault="00000000">
            <w:pPr>
              <w:spacing w:after="0"/>
              <w:jc w:val="center"/>
            </w:pPr>
            <w:r>
              <w:rPr>
                <w:sz w:val="18"/>
              </w:rPr>
              <w:t>Positive customer-satisfaction score</w:t>
            </w:r>
          </w:p>
        </w:tc>
        <w:tc>
          <w:tcPr>
            <w:tcW w:w="3248" w:type="dxa"/>
          </w:tcPr>
          <w:p w:rsidR="007F373F" w:rsidRDefault="00000000">
            <w:pPr>
              <w:spacing w:after="0"/>
              <w:jc w:val="center"/>
            </w:pPr>
            <w:r>
              <w:rPr>
                <w:b/>
                <w:sz w:val="26"/>
              </w:rPr>
              <w:t>100%</w:t>
            </w:r>
          </w:p>
          <w:p w:rsidR="007F373F" w:rsidRDefault="00000000">
            <w:pPr>
              <w:spacing w:after="0"/>
              <w:jc w:val="center"/>
            </w:pPr>
            <w:r>
              <w:rPr>
                <w:sz w:val="18"/>
              </w:rPr>
              <w:t>Complaints resolved within TAT</w:t>
            </w:r>
          </w:p>
        </w:tc>
        <w:tc>
          <w:tcPr>
            <w:tcW w:w="3248" w:type="dxa"/>
          </w:tcPr>
          <w:p w:rsidR="007F373F" w:rsidRDefault="00000000">
            <w:pPr>
              <w:spacing w:after="0"/>
              <w:jc w:val="center"/>
            </w:pPr>
            <w:r>
              <w:rPr>
                <w:b/>
                <w:sz w:val="26"/>
              </w:rPr>
              <w:t>35%</w:t>
            </w:r>
          </w:p>
          <w:p w:rsidR="007F373F" w:rsidRDefault="00000000">
            <w:pPr>
              <w:spacing w:after="0"/>
              <w:jc w:val="center"/>
            </w:pPr>
            <w:r>
              <w:rPr>
                <w:sz w:val="18"/>
              </w:rPr>
              <w:t>Service requests auto-served via bot</w:t>
            </w:r>
          </w:p>
        </w:tc>
      </w:tr>
      <w:tr w:rsidR="007F373F">
        <w:trPr>
          <w:jc w:val="center"/>
        </w:trPr>
        <w:tc>
          <w:tcPr>
            <w:tcW w:w="3248" w:type="dxa"/>
          </w:tcPr>
          <w:p w:rsidR="007F373F" w:rsidRDefault="00000000">
            <w:pPr>
              <w:spacing w:after="0"/>
              <w:jc w:val="center"/>
            </w:pPr>
            <w:r>
              <w:rPr>
                <w:b/>
                <w:sz w:val="26"/>
              </w:rPr>
              <w:t>4.58 / 5</w:t>
            </w:r>
          </w:p>
          <w:p w:rsidR="007F373F" w:rsidRDefault="00000000">
            <w:pPr>
              <w:spacing w:after="0"/>
              <w:jc w:val="center"/>
            </w:pPr>
            <w:r>
              <w:rPr>
                <w:sz w:val="18"/>
              </w:rPr>
              <w:t>Google rating; reviews 1,500 → 7,500+</w:t>
            </w:r>
          </w:p>
        </w:tc>
        <w:tc>
          <w:tcPr>
            <w:tcW w:w="3248" w:type="dxa"/>
          </w:tcPr>
          <w:p w:rsidR="007F373F" w:rsidRDefault="00000000">
            <w:pPr>
              <w:spacing w:after="0"/>
              <w:jc w:val="center"/>
            </w:pPr>
            <w:r>
              <w:rPr>
                <w:b/>
                <w:sz w:val="26"/>
              </w:rPr>
              <w:t>10 / 15 days</w:t>
            </w:r>
          </w:p>
          <w:p w:rsidR="007F373F" w:rsidRDefault="00000000">
            <w:pPr>
              <w:spacing w:after="0"/>
              <w:jc w:val="center"/>
            </w:pPr>
            <w:r>
              <w:rPr>
                <w:sz w:val="18"/>
              </w:rPr>
              <w:t>Mortgage approval / disbursement TAT</w:t>
            </w:r>
          </w:p>
        </w:tc>
        <w:tc>
          <w:tcPr>
            <w:tcW w:w="3248" w:type="dxa"/>
          </w:tcPr>
          <w:p w:rsidR="007F373F" w:rsidRDefault="00000000">
            <w:pPr>
              <w:spacing w:after="0"/>
              <w:jc w:val="center"/>
            </w:pPr>
            <w:r>
              <w:rPr>
                <w:b/>
                <w:sz w:val="26"/>
              </w:rPr>
              <w:t>90%</w:t>
            </w:r>
          </w:p>
          <w:p w:rsidR="007F373F" w:rsidRDefault="00000000">
            <w:pPr>
              <w:spacing w:after="0"/>
              <w:jc w:val="center"/>
            </w:pPr>
            <w:r>
              <w:rPr>
                <w:sz w:val="18"/>
              </w:rPr>
              <w:t>Loan accounts on e-NACH (86% registered digitally)</w:t>
            </w:r>
          </w:p>
        </w:tc>
      </w:tr>
    </w:tbl>
    <w:p w:rsidR="007F373F" w:rsidRDefault="007F373F">
      <w:pPr>
        <w:spacing w:after="40"/>
      </w:pPr>
    </w:p>
    <w:p w:rsidR="007F373F" w:rsidRDefault="00000000">
      <w:r>
        <w:t>Acquisition and engagement. The FY26 marketing report describes a hyperlocal approach: geo-targeted digital campaigns on Google and Meta, branch-level SEO through a partnership with Promanage, local activations and festival campaigns aligned to regional demand cycles. Digital channels generated roughly 17 lakh leads and 65,000+ conversions (about 4% lead-to-conversion) and telemarketing a further 3.7 lakh leads and 12,000+ conversions. About 75% of business is now originated by in-house teams, with DSA dependence reduced to 25% – a change management links directly to credit quality “from day one”. Customer-protection measures include a fair-practices code, transparent pricing, a grievance-redressal mechanism with an Internal Ombudsman (RBI Directions 2026), and financial-literacy programmes delivered through educational institutions and self-help groups.</w:t>
      </w:r>
    </w:p>
    <w:p w:rsidR="007F373F" w:rsidRDefault="00000000">
      <w:pPr>
        <w:pStyle w:val="Heading1"/>
        <w:pageBreakBefore/>
      </w:pPr>
      <w:r>
        <w:lastRenderedPageBreak/>
        <w:t>Human Capital</w:t>
      </w:r>
    </w:p>
    <w:p w:rsidR="007F373F" w:rsidRDefault="00000000">
      <w:r>
        <w:t>People are the principal operating cost of a branch-led lender: employee benefits of ₹444 crore were 57.6% of FY26 operating expenses (derived). Headcount rose from 4,298 (FY24) to 4,568 (FY25) and 5,303 at 31 March 2026 – an addition of 735 in the year, largely to staff 148 new branches and the enlarged in-house collections and sales teams. AUM per employee was ₹3.8 crore.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451"/>
        <w:gridCol w:w="966"/>
        <w:gridCol w:w="966"/>
        <w:gridCol w:w="966"/>
        <w:gridCol w:w="3382"/>
      </w:tblGrid>
      <w:tr w:rsidR="007F373F">
        <w:trPr>
          <w:jc w:val="center"/>
        </w:trPr>
        <w:tc>
          <w:tcPr>
            <w:tcW w:w="3451" w:type="dxa"/>
          </w:tcPr>
          <w:p w:rsidR="007F373F" w:rsidRDefault="00000000">
            <w:pPr>
              <w:spacing w:after="0"/>
              <w:jc w:val="left"/>
            </w:pPr>
            <w:r>
              <w:rPr>
                <w:b/>
                <w:sz w:val="19"/>
              </w:rPr>
              <w:t>Indicator</w:t>
            </w:r>
          </w:p>
        </w:tc>
        <w:tc>
          <w:tcPr>
            <w:tcW w:w="966" w:type="dxa"/>
          </w:tcPr>
          <w:p w:rsidR="007F373F" w:rsidRDefault="00000000">
            <w:pPr>
              <w:spacing w:after="0"/>
              <w:jc w:val="left"/>
            </w:pPr>
            <w:r>
              <w:rPr>
                <w:b/>
                <w:sz w:val="19"/>
              </w:rPr>
              <w:t>FY24</w:t>
            </w:r>
          </w:p>
        </w:tc>
        <w:tc>
          <w:tcPr>
            <w:tcW w:w="966" w:type="dxa"/>
          </w:tcPr>
          <w:p w:rsidR="007F373F" w:rsidRDefault="00000000">
            <w:pPr>
              <w:spacing w:after="0"/>
              <w:jc w:val="left"/>
            </w:pPr>
            <w:r>
              <w:rPr>
                <w:b/>
                <w:sz w:val="19"/>
              </w:rPr>
              <w:t>FY25</w:t>
            </w:r>
          </w:p>
        </w:tc>
        <w:tc>
          <w:tcPr>
            <w:tcW w:w="966" w:type="dxa"/>
          </w:tcPr>
          <w:p w:rsidR="007F373F" w:rsidRDefault="00000000">
            <w:pPr>
              <w:spacing w:after="0"/>
              <w:jc w:val="left"/>
            </w:pPr>
            <w:r>
              <w:rPr>
                <w:b/>
                <w:sz w:val="19"/>
              </w:rPr>
              <w:t>FY26</w:t>
            </w:r>
          </w:p>
        </w:tc>
        <w:tc>
          <w:tcPr>
            <w:tcW w:w="3382" w:type="dxa"/>
          </w:tcPr>
          <w:p w:rsidR="007F373F" w:rsidRDefault="00000000">
            <w:pPr>
              <w:spacing w:after="0"/>
              <w:jc w:val="left"/>
            </w:pPr>
            <w:r>
              <w:rPr>
                <w:b/>
                <w:sz w:val="19"/>
              </w:rPr>
              <w:t>Source / note</w:t>
            </w:r>
          </w:p>
        </w:tc>
      </w:tr>
      <w:tr w:rsidR="007F373F">
        <w:trPr>
          <w:jc w:val="center"/>
        </w:trPr>
        <w:tc>
          <w:tcPr>
            <w:tcW w:w="3451" w:type="dxa"/>
          </w:tcPr>
          <w:p w:rsidR="007F373F" w:rsidRDefault="00000000">
            <w:pPr>
              <w:spacing w:after="0"/>
              <w:jc w:val="left"/>
            </w:pPr>
            <w:r>
              <w:rPr>
                <w:sz w:val="19"/>
              </w:rPr>
              <w:t>Permanent employees (31 March)</w:t>
            </w:r>
          </w:p>
        </w:tc>
        <w:tc>
          <w:tcPr>
            <w:tcW w:w="966" w:type="dxa"/>
          </w:tcPr>
          <w:p w:rsidR="007F373F" w:rsidRDefault="00000000">
            <w:pPr>
              <w:spacing w:after="0"/>
              <w:jc w:val="right"/>
            </w:pPr>
            <w:r>
              <w:rPr>
                <w:sz w:val="19"/>
              </w:rPr>
              <w:t>4,298</w:t>
            </w:r>
          </w:p>
        </w:tc>
        <w:tc>
          <w:tcPr>
            <w:tcW w:w="966" w:type="dxa"/>
          </w:tcPr>
          <w:p w:rsidR="007F373F" w:rsidRDefault="00000000">
            <w:pPr>
              <w:spacing w:after="0"/>
              <w:jc w:val="right"/>
            </w:pPr>
            <w:r>
              <w:rPr>
                <w:sz w:val="19"/>
              </w:rPr>
              <w:t>4,568</w:t>
            </w:r>
          </w:p>
        </w:tc>
        <w:tc>
          <w:tcPr>
            <w:tcW w:w="966" w:type="dxa"/>
          </w:tcPr>
          <w:p w:rsidR="007F373F" w:rsidRDefault="00000000">
            <w:pPr>
              <w:spacing w:after="0"/>
              <w:jc w:val="right"/>
            </w:pPr>
            <w:r>
              <w:rPr>
                <w:sz w:val="19"/>
              </w:rPr>
              <w:t>5,303</w:t>
            </w:r>
          </w:p>
        </w:tc>
        <w:tc>
          <w:tcPr>
            <w:tcW w:w="3382" w:type="dxa"/>
          </w:tcPr>
          <w:p w:rsidR="007F373F" w:rsidRDefault="00000000">
            <w:pPr>
              <w:spacing w:after="0"/>
              <w:jc w:val="left"/>
            </w:pPr>
            <w:r>
              <w:rPr>
                <w:sz w:val="19"/>
              </w:rPr>
              <w:t>Directors’ Reports (remuneration disclosure)</w:t>
            </w:r>
          </w:p>
        </w:tc>
      </w:tr>
      <w:tr w:rsidR="007F373F">
        <w:trPr>
          <w:jc w:val="center"/>
        </w:trPr>
        <w:tc>
          <w:tcPr>
            <w:tcW w:w="3451" w:type="dxa"/>
          </w:tcPr>
          <w:p w:rsidR="007F373F" w:rsidRDefault="00000000">
            <w:pPr>
              <w:spacing w:after="0"/>
              <w:jc w:val="left"/>
            </w:pPr>
            <w:r>
              <w:rPr>
                <w:sz w:val="19"/>
              </w:rPr>
              <w:t>Employee benefit expense (₹ crore)</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390.3</w:t>
            </w:r>
          </w:p>
        </w:tc>
        <w:tc>
          <w:tcPr>
            <w:tcW w:w="966" w:type="dxa"/>
          </w:tcPr>
          <w:p w:rsidR="007F373F" w:rsidRDefault="00000000">
            <w:pPr>
              <w:spacing w:after="0"/>
              <w:jc w:val="right"/>
            </w:pPr>
            <w:r>
              <w:rPr>
                <w:sz w:val="19"/>
              </w:rPr>
              <w:t>443.9</w:t>
            </w:r>
          </w:p>
        </w:tc>
        <w:tc>
          <w:tcPr>
            <w:tcW w:w="3382" w:type="dxa"/>
          </w:tcPr>
          <w:p w:rsidR="007F373F" w:rsidRDefault="00000000">
            <w:pPr>
              <w:spacing w:after="0"/>
              <w:jc w:val="left"/>
            </w:pPr>
            <w:r>
              <w:rPr>
                <w:sz w:val="19"/>
              </w:rPr>
              <w:t>Note 33; +13.7% in FY26</w:t>
            </w:r>
          </w:p>
        </w:tc>
      </w:tr>
      <w:tr w:rsidR="007F373F">
        <w:trPr>
          <w:jc w:val="center"/>
        </w:trPr>
        <w:tc>
          <w:tcPr>
            <w:tcW w:w="3451" w:type="dxa"/>
          </w:tcPr>
          <w:p w:rsidR="007F373F" w:rsidRDefault="00000000">
            <w:pPr>
              <w:spacing w:after="0"/>
              <w:jc w:val="left"/>
            </w:pPr>
            <w:r>
              <w:rPr>
                <w:sz w:val="19"/>
              </w:rPr>
              <w:t>Share-based payment expense (₹ crore)</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1.3</w:t>
            </w:r>
          </w:p>
        </w:tc>
        <w:tc>
          <w:tcPr>
            <w:tcW w:w="966" w:type="dxa"/>
          </w:tcPr>
          <w:p w:rsidR="007F373F" w:rsidRDefault="00000000">
            <w:pPr>
              <w:spacing w:after="0"/>
              <w:jc w:val="right"/>
            </w:pPr>
            <w:r>
              <w:rPr>
                <w:sz w:val="19"/>
              </w:rPr>
              <w:t>11.8</w:t>
            </w:r>
          </w:p>
        </w:tc>
        <w:tc>
          <w:tcPr>
            <w:tcW w:w="3382" w:type="dxa"/>
          </w:tcPr>
          <w:p w:rsidR="007F373F" w:rsidRDefault="00000000">
            <w:pPr>
              <w:spacing w:after="0"/>
              <w:jc w:val="left"/>
            </w:pPr>
            <w:r>
              <w:rPr>
                <w:sz w:val="19"/>
              </w:rPr>
              <w:t>Note 33; ESOS 2018 and 2024</w:t>
            </w:r>
          </w:p>
        </w:tc>
      </w:tr>
      <w:tr w:rsidR="007F373F">
        <w:trPr>
          <w:jc w:val="center"/>
        </w:trPr>
        <w:tc>
          <w:tcPr>
            <w:tcW w:w="3451" w:type="dxa"/>
          </w:tcPr>
          <w:p w:rsidR="007F373F" w:rsidRDefault="00000000">
            <w:pPr>
              <w:spacing w:after="0"/>
              <w:jc w:val="left"/>
            </w:pPr>
            <w:r>
              <w:rPr>
                <w:sz w:val="19"/>
              </w:rPr>
              <w:t>Women in workforce (%)</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15.7</w:t>
            </w:r>
          </w:p>
        </w:tc>
        <w:tc>
          <w:tcPr>
            <w:tcW w:w="966" w:type="dxa"/>
          </w:tcPr>
          <w:p w:rsidR="007F373F" w:rsidRDefault="00000000">
            <w:pPr>
              <w:spacing w:after="0"/>
              <w:jc w:val="right"/>
            </w:pPr>
            <w:r>
              <w:rPr>
                <w:sz w:val="19"/>
              </w:rPr>
              <w:t>16.4</w:t>
            </w:r>
          </w:p>
        </w:tc>
        <w:tc>
          <w:tcPr>
            <w:tcW w:w="3382" w:type="dxa"/>
          </w:tcPr>
          <w:p w:rsidR="007F373F" w:rsidRDefault="00000000">
            <w:pPr>
              <w:spacing w:after="0"/>
              <w:jc w:val="left"/>
            </w:pPr>
            <w:r>
              <w:rPr>
                <w:sz w:val="19"/>
              </w:rPr>
              <w:t>BRSR; target ≥22% women in senior management by FY28</w:t>
            </w:r>
          </w:p>
        </w:tc>
      </w:tr>
      <w:tr w:rsidR="007F373F">
        <w:trPr>
          <w:jc w:val="center"/>
        </w:trPr>
        <w:tc>
          <w:tcPr>
            <w:tcW w:w="3451" w:type="dxa"/>
          </w:tcPr>
          <w:p w:rsidR="007F373F" w:rsidRDefault="00000000">
            <w:pPr>
              <w:spacing w:after="0"/>
              <w:jc w:val="left"/>
            </w:pPr>
            <w:r>
              <w:rPr>
                <w:sz w:val="19"/>
              </w:rPr>
              <w:t>Average voluntary turnover (%)</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35.85</w:t>
            </w:r>
          </w:p>
        </w:tc>
        <w:tc>
          <w:tcPr>
            <w:tcW w:w="3382" w:type="dxa"/>
          </w:tcPr>
          <w:p w:rsidR="007F373F" w:rsidRDefault="00000000">
            <w:pPr>
              <w:spacing w:after="0"/>
              <w:jc w:val="left"/>
            </w:pPr>
            <w:r>
              <w:rPr>
                <w:sz w:val="19"/>
              </w:rPr>
              <w:t>BRSR</w:t>
            </w:r>
          </w:p>
        </w:tc>
      </w:tr>
      <w:tr w:rsidR="007F373F">
        <w:trPr>
          <w:jc w:val="center"/>
        </w:trPr>
        <w:tc>
          <w:tcPr>
            <w:tcW w:w="3451" w:type="dxa"/>
          </w:tcPr>
          <w:p w:rsidR="007F373F" w:rsidRDefault="00000000">
            <w:pPr>
              <w:spacing w:after="0"/>
              <w:jc w:val="left"/>
            </w:pPr>
            <w:r>
              <w:rPr>
                <w:sz w:val="19"/>
              </w:rPr>
              <w:t>Average training hours per employee</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7.44</w:t>
            </w:r>
          </w:p>
        </w:tc>
        <w:tc>
          <w:tcPr>
            <w:tcW w:w="3382" w:type="dxa"/>
          </w:tcPr>
          <w:p w:rsidR="007F373F" w:rsidRDefault="00000000">
            <w:pPr>
              <w:spacing w:after="0"/>
              <w:jc w:val="left"/>
            </w:pPr>
            <w:r>
              <w:rPr>
                <w:sz w:val="19"/>
              </w:rPr>
              <w:t>Corporate Overview; 70.3% attended ≥1 targeted session; 57 online modules</w:t>
            </w:r>
          </w:p>
        </w:tc>
      </w:tr>
      <w:tr w:rsidR="007F373F">
        <w:trPr>
          <w:jc w:val="center"/>
        </w:trPr>
        <w:tc>
          <w:tcPr>
            <w:tcW w:w="3451" w:type="dxa"/>
          </w:tcPr>
          <w:p w:rsidR="007F373F" w:rsidRDefault="00000000">
            <w:pPr>
              <w:spacing w:after="0"/>
              <w:jc w:val="left"/>
            </w:pPr>
            <w:r>
              <w:rPr>
                <w:sz w:val="19"/>
              </w:rPr>
              <w:t>Investment in employee development (₹ crore)</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0.27</w:t>
            </w:r>
          </w:p>
        </w:tc>
        <w:tc>
          <w:tcPr>
            <w:tcW w:w="3382" w:type="dxa"/>
          </w:tcPr>
          <w:p w:rsidR="007F373F" w:rsidRDefault="00000000">
            <w:pPr>
              <w:spacing w:after="0"/>
              <w:jc w:val="left"/>
            </w:pPr>
            <w:r>
              <w:rPr>
                <w:sz w:val="19"/>
              </w:rPr>
              <w:t>Corporate Overview</w:t>
            </w:r>
          </w:p>
        </w:tc>
      </w:tr>
      <w:tr w:rsidR="007F373F">
        <w:trPr>
          <w:jc w:val="center"/>
        </w:trPr>
        <w:tc>
          <w:tcPr>
            <w:tcW w:w="3451" w:type="dxa"/>
          </w:tcPr>
          <w:p w:rsidR="007F373F" w:rsidRDefault="00000000">
            <w:pPr>
              <w:spacing w:after="0"/>
              <w:jc w:val="left"/>
            </w:pPr>
            <w:r>
              <w:rPr>
                <w:sz w:val="19"/>
              </w:rPr>
              <w:t>Apprentices engaged</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w:t>
            </w:r>
          </w:p>
        </w:tc>
        <w:tc>
          <w:tcPr>
            <w:tcW w:w="966" w:type="dxa"/>
          </w:tcPr>
          <w:p w:rsidR="007F373F" w:rsidRDefault="00000000">
            <w:pPr>
              <w:spacing w:after="0"/>
              <w:jc w:val="left"/>
            </w:pPr>
            <w:r>
              <w:rPr>
                <w:sz w:val="19"/>
              </w:rPr>
              <w:t>400+</w:t>
            </w:r>
          </w:p>
        </w:tc>
        <w:tc>
          <w:tcPr>
            <w:tcW w:w="3382" w:type="dxa"/>
          </w:tcPr>
          <w:p w:rsidR="007F373F" w:rsidRDefault="00000000">
            <w:pPr>
              <w:spacing w:after="0"/>
              <w:jc w:val="left"/>
            </w:pPr>
            <w:r>
              <w:rPr>
                <w:sz w:val="19"/>
              </w:rPr>
              <w:t>Corporate Overview</w:t>
            </w:r>
          </w:p>
        </w:tc>
      </w:tr>
      <w:tr w:rsidR="007F373F">
        <w:trPr>
          <w:jc w:val="center"/>
        </w:trPr>
        <w:tc>
          <w:tcPr>
            <w:tcW w:w="3451" w:type="dxa"/>
          </w:tcPr>
          <w:p w:rsidR="007F373F" w:rsidRDefault="00000000">
            <w:pPr>
              <w:spacing w:after="0"/>
              <w:jc w:val="left"/>
            </w:pPr>
            <w:r>
              <w:rPr>
                <w:sz w:val="19"/>
              </w:rPr>
              <w:t>Median remuneration increase (%)</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6.32</w:t>
            </w:r>
          </w:p>
        </w:tc>
        <w:tc>
          <w:tcPr>
            <w:tcW w:w="3382" w:type="dxa"/>
          </w:tcPr>
          <w:p w:rsidR="007F373F" w:rsidRDefault="00000000">
            <w:pPr>
              <w:spacing w:after="0"/>
              <w:jc w:val="left"/>
            </w:pPr>
            <w:r>
              <w:rPr>
                <w:sz w:val="19"/>
              </w:rPr>
              <w:t>Directors’ Report; MD&amp;CEO ratio to median 40.6:1</w:t>
            </w:r>
          </w:p>
        </w:tc>
      </w:tr>
      <w:tr w:rsidR="007F373F">
        <w:trPr>
          <w:jc w:val="center"/>
        </w:trPr>
        <w:tc>
          <w:tcPr>
            <w:tcW w:w="3451" w:type="dxa"/>
          </w:tcPr>
          <w:p w:rsidR="007F373F" w:rsidRDefault="00000000">
            <w:pPr>
              <w:spacing w:after="0"/>
              <w:jc w:val="left"/>
            </w:pPr>
            <w:r>
              <w:rPr>
                <w:sz w:val="19"/>
              </w:rPr>
              <w:t>POSH complaints (received / resolved / pending)</w:t>
            </w:r>
          </w:p>
        </w:tc>
        <w:tc>
          <w:tcPr>
            <w:tcW w:w="966" w:type="dxa"/>
          </w:tcPr>
          <w:p w:rsidR="007F373F" w:rsidRDefault="00000000">
            <w:pPr>
              <w:spacing w:after="0"/>
              <w:jc w:val="right"/>
            </w:pPr>
            <w:r>
              <w:rPr>
                <w:sz w:val="19"/>
              </w:rPr>
              <w:t>–</w:t>
            </w:r>
          </w:p>
        </w:tc>
        <w:tc>
          <w:tcPr>
            <w:tcW w:w="966" w:type="dxa"/>
          </w:tcPr>
          <w:p w:rsidR="007F373F" w:rsidRDefault="00000000">
            <w:pPr>
              <w:spacing w:after="0"/>
              <w:jc w:val="right"/>
            </w:pPr>
            <w:r>
              <w:rPr>
                <w:sz w:val="19"/>
              </w:rPr>
              <w:t>–</w:t>
            </w:r>
          </w:p>
        </w:tc>
        <w:tc>
          <w:tcPr>
            <w:tcW w:w="966" w:type="dxa"/>
          </w:tcPr>
          <w:p w:rsidR="007F373F" w:rsidRDefault="00000000">
            <w:pPr>
              <w:spacing w:after="0"/>
              <w:jc w:val="left"/>
            </w:pPr>
            <w:r>
              <w:rPr>
                <w:sz w:val="19"/>
              </w:rPr>
              <w:t>3 / 3 / 0</w:t>
            </w:r>
          </w:p>
        </w:tc>
        <w:tc>
          <w:tcPr>
            <w:tcW w:w="3382" w:type="dxa"/>
          </w:tcPr>
          <w:p w:rsidR="007F373F" w:rsidRDefault="00000000">
            <w:pPr>
              <w:spacing w:after="0"/>
              <w:jc w:val="left"/>
            </w:pPr>
            <w:r>
              <w:rPr>
                <w:sz w:val="19"/>
              </w:rPr>
              <w:t>Directors’ Report</w:t>
            </w:r>
          </w:p>
        </w:tc>
      </w:tr>
    </w:tbl>
    <w:p w:rsidR="007F373F" w:rsidRDefault="007F373F">
      <w:pPr>
        <w:spacing w:after="40"/>
      </w:pPr>
    </w:p>
    <w:p w:rsidR="007F373F" w:rsidRDefault="00000000">
      <w:pPr>
        <w:pStyle w:val="Heading2"/>
      </w:pPr>
      <w:r>
        <w:t>Capability building and culture</w:t>
      </w:r>
    </w:p>
    <w:p w:rsidR="007F373F" w:rsidRDefault="00000000">
      <w:r>
        <w:t>The FY26 report describes a deliberate investment in capability alongside performance: the Gurukul programme delivers product and process training across gold, LAP and MT LAP teams and was extended to “Branch Gurukul Days” for face-to-face frontline learning; the DREAM programme targets high-performing relationship managers to build the leadership pipeline; monthly technology sessions with start-ups build AI awareness; and regular town halls and open leadership forums support internal communication. Employees are given a ‘voluntary day off’ for CSR volunteering. Rewards include ESOS 2018 and ESOS 2024 – 14,89,247 shares were allotted to employees on exercise of options during FY26 – and the ‘Fedfina Lite’ mobile app was launched to raise field productivity.</w:t>
      </w:r>
    </w:p>
    <w:p w:rsidR="007F373F" w:rsidRDefault="00000000">
      <w:r>
        <w:t>Assessment. Voluntary attrition of 35.85% is the number to watch: it is typical of field-sales-heavy NBFCs but expensive in underwriting and collections roles, where tenure drives judgement. The Directors’ Report describes employee strength as having “grown 6.3%”, whereas the disclosed headcount rose about 16%; the report records both and treats the headcount figures as authoritative. Female representation (16.4%) is low but rising, and the FY28 senior-management target is specific and time-bound.</w:t>
      </w:r>
    </w:p>
    <w:p w:rsidR="007F373F" w:rsidRDefault="00000000">
      <w:pPr>
        <w:pStyle w:val="Heading1"/>
        <w:pageBreakBefore/>
      </w:pPr>
      <w:r>
        <w:lastRenderedPageBreak/>
        <w:t>Technology, Digital Transformation and Cyber-Security</w:t>
      </w:r>
    </w:p>
    <w:p w:rsidR="007F373F" w:rsidRDefault="00000000">
      <w:r>
        <w:t>The company’s FY25 report described a migration to a fully digital loan-origination platform and the FY26 report documents the next layer: integration of the loan-origination system, loan-management system and CRM; an API-led, system-driven operating model for small-ticket LAP anchored on a business rule engine (BRE) and Salesforce; and AI tools (“Credit GPT” and AI-powered assistants) for query resolution and credit evaluation. Through the ‘Startup Friday’ initiative, 89 start-ups were evaluated, 6 onboarded and 8 are under proof-of-concept.</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932"/>
        <w:gridCol w:w="4279"/>
        <w:gridCol w:w="3520"/>
      </w:tblGrid>
      <w:tr w:rsidR="007F373F">
        <w:trPr>
          <w:jc w:val="center"/>
        </w:trPr>
        <w:tc>
          <w:tcPr>
            <w:tcW w:w="1932" w:type="dxa"/>
          </w:tcPr>
          <w:p w:rsidR="007F373F" w:rsidRDefault="00000000">
            <w:pPr>
              <w:spacing w:after="0"/>
              <w:jc w:val="left"/>
            </w:pPr>
            <w:r>
              <w:rPr>
                <w:b/>
                <w:sz w:val="19"/>
              </w:rPr>
              <w:t>Layer</w:t>
            </w:r>
          </w:p>
        </w:tc>
        <w:tc>
          <w:tcPr>
            <w:tcW w:w="4279" w:type="dxa"/>
          </w:tcPr>
          <w:p w:rsidR="007F373F" w:rsidRDefault="00000000">
            <w:pPr>
              <w:spacing w:after="0"/>
              <w:jc w:val="left"/>
            </w:pPr>
            <w:r>
              <w:rPr>
                <w:b/>
                <w:sz w:val="19"/>
              </w:rPr>
              <w:t>Systems / partners named in the FY26 report</w:t>
            </w:r>
          </w:p>
        </w:tc>
        <w:tc>
          <w:tcPr>
            <w:tcW w:w="3520" w:type="dxa"/>
          </w:tcPr>
          <w:p w:rsidR="007F373F" w:rsidRDefault="00000000">
            <w:pPr>
              <w:spacing w:after="0"/>
              <w:jc w:val="left"/>
            </w:pPr>
            <w:r>
              <w:rPr>
                <w:b/>
                <w:sz w:val="19"/>
              </w:rPr>
              <w:t>Business outcome disclosed</w:t>
            </w:r>
          </w:p>
        </w:tc>
      </w:tr>
      <w:tr w:rsidR="007F373F">
        <w:trPr>
          <w:jc w:val="center"/>
        </w:trPr>
        <w:tc>
          <w:tcPr>
            <w:tcW w:w="1932" w:type="dxa"/>
          </w:tcPr>
          <w:p w:rsidR="007F373F" w:rsidRDefault="00000000">
            <w:pPr>
              <w:spacing w:after="0"/>
              <w:jc w:val="left"/>
            </w:pPr>
            <w:r>
              <w:rPr>
                <w:sz w:val="19"/>
              </w:rPr>
              <w:t>Origination and underwriting</w:t>
            </w:r>
          </w:p>
        </w:tc>
        <w:tc>
          <w:tcPr>
            <w:tcW w:w="4279" w:type="dxa"/>
          </w:tcPr>
          <w:p w:rsidR="007F373F" w:rsidRDefault="00000000">
            <w:pPr>
              <w:spacing w:after="0"/>
              <w:jc w:val="left"/>
            </w:pPr>
            <w:r>
              <w:rPr>
                <w:sz w:val="19"/>
              </w:rPr>
              <w:t>Digital LOS; Business Rule Engine; Salesforce; Perfios, Experian, TrackWizz, Setu (Account Aggregator), Digio, SignDesk, Lentra, Nucleus Software</w:t>
            </w:r>
          </w:p>
        </w:tc>
        <w:tc>
          <w:tcPr>
            <w:tcW w:w="3520" w:type="dxa"/>
          </w:tcPr>
          <w:p w:rsidR="007F373F" w:rsidRDefault="00000000">
            <w:pPr>
              <w:spacing w:after="0"/>
              <w:jc w:val="left"/>
            </w:pPr>
            <w:r>
              <w:rPr>
                <w:sz w:val="19"/>
              </w:rPr>
              <w:t>Consistent ST LAP decisions; reduced process variability; 10-day approval TAT; ~76% of mortgage AUM from CIBIL &gt;700</w:t>
            </w:r>
          </w:p>
        </w:tc>
      </w:tr>
      <w:tr w:rsidR="007F373F">
        <w:trPr>
          <w:jc w:val="center"/>
        </w:trPr>
        <w:tc>
          <w:tcPr>
            <w:tcW w:w="1932" w:type="dxa"/>
          </w:tcPr>
          <w:p w:rsidR="007F373F" w:rsidRDefault="00000000">
            <w:pPr>
              <w:spacing w:after="0"/>
              <w:jc w:val="left"/>
            </w:pPr>
            <w:r>
              <w:rPr>
                <w:sz w:val="19"/>
              </w:rPr>
              <w:t>Customer servicing</w:t>
            </w:r>
          </w:p>
        </w:tc>
        <w:tc>
          <w:tcPr>
            <w:tcW w:w="4279" w:type="dxa"/>
          </w:tcPr>
          <w:p w:rsidR="007F373F" w:rsidRDefault="00000000">
            <w:pPr>
              <w:spacing w:after="0"/>
              <w:jc w:val="left"/>
            </w:pPr>
            <w:r>
              <w:rPr>
                <w:sz w:val="19"/>
              </w:rPr>
              <w:t>Fedfina Loans app; chatbot; e-NACH; BillDesk, Paytm</w:t>
            </w:r>
          </w:p>
        </w:tc>
        <w:tc>
          <w:tcPr>
            <w:tcW w:w="3520" w:type="dxa"/>
          </w:tcPr>
          <w:p w:rsidR="007F373F" w:rsidRDefault="00000000">
            <w:pPr>
              <w:spacing w:after="0"/>
              <w:jc w:val="left"/>
            </w:pPr>
            <w:r>
              <w:rPr>
                <w:sz w:val="19"/>
              </w:rPr>
              <w:t>35% of service requests auto-served; 90% e-NACH coverage, 86% registered digitally; 100% resolution within TAT</w:t>
            </w:r>
          </w:p>
        </w:tc>
      </w:tr>
      <w:tr w:rsidR="007F373F">
        <w:trPr>
          <w:jc w:val="center"/>
        </w:trPr>
        <w:tc>
          <w:tcPr>
            <w:tcW w:w="1932" w:type="dxa"/>
          </w:tcPr>
          <w:p w:rsidR="007F373F" w:rsidRDefault="00000000">
            <w:pPr>
              <w:spacing w:after="0"/>
              <w:jc w:val="left"/>
            </w:pPr>
            <w:r>
              <w:rPr>
                <w:sz w:val="19"/>
              </w:rPr>
              <w:t>Collections</w:t>
            </w:r>
          </w:p>
        </w:tc>
        <w:tc>
          <w:tcPr>
            <w:tcW w:w="4279" w:type="dxa"/>
          </w:tcPr>
          <w:p w:rsidR="007F373F" w:rsidRDefault="00000000">
            <w:pPr>
              <w:spacing w:after="0"/>
              <w:jc w:val="left"/>
            </w:pPr>
            <w:r>
              <w:rPr>
                <w:sz w:val="19"/>
              </w:rPr>
              <w:t>Fedfina Collect app; digital payment rails</w:t>
            </w:r>
          </w:p>
        </w:tc>
        <w:tc>
          <w:tcPr>
            <w:tcW w:w="3520" w:type="dxa"/>
          </w:tcPr>
          <w:p w:rsidR="007F373F" w:rsidRDefault="00000000">
            <w:pPr>
              <w:spacing w:after="0"/>
              <w:jc w:val="left"/>
            </w:pPr>
            <w:r>
              <w:rPr>
                <w:sz w:val="19"/>
              </w:rPr>
              <w:t>Over 70% of monthly collections through digital channels; collection efficiency 99.7%</w:t>
            </w:r>
          </w:p>
        </w:tc>
      </w:tr>
      <w:tr w:rsidR="007F373F">
        <w:trPr>
          <w:jc w:val="center"/>
        </w:trPr>
        <w:tc>
          <w:tcPr>
            <w:tcW w:w="1932" w:type="dxa"/>
          </w:tcPr>
          <w:p w:rsidR="007F373F" w:rsidRDefault="00000000">
            <w:pPr>
              <w:spacing w:after="0"/>
              <w:jc w:val="left"/>
            </w:pPr>
            <w:r>
              <w:rPr>
                <w:sz w:val="19"/>
              </w:rPr>
              <w:t>Field productivity</w:t>
            </w:r>
          </w:p>
        </w:tc>
        <w:tc>
          <w:tcPr>
            <w:tcW w:w="4279" w:type="dxa"/>
          </w:tcPr>
          <w:p w:rsidR="007F373F" w:rsidRDefault="00000000">
            <w:pPr>
              <w:spacing w:after="0"/>
              <w:jc w:val="left"/>
            </w:pPr>
            <w:r>
              <w:rPr>
                <w:sz w:val="19"/>
              </w:rPr>
              <w:t>Fedfina Lite app (unified lead, application and tracking interface); Tableau analytics</w:t>
            </w:r>
          </w:p>
        </w:tc>
        <w:tc>
          <w:tcPr>
            <w:tcW w:w="3520" w:type="dxa"/>
          </w:tcPr>
          <w:p w:rsidR="007F373F" w:rsidRDefault="00000000">
            <w:pPr>
              <w:spacing w:after="0"/>
              <w:jc w:val="left"/>
            </w:pPr>
            <w:r>
              <w:rPr>
                <w:sz w:val="19"/>
              </w:rPr>
              <w:t>Faster field processing; data-led branch-level campaign targeting</w:t>
            </w:r>
          </w:p>
        </w:tc>
      </w:tr>
      <w:tr w:rsidR="007F373F">
        <w:trPr>
          <w:jc w:val="center"/>
        </w:trPr>
        <w:tc>
          <w:tcPr>
            <w:tcW w:w="1932" w:type="dxa"/>
          </w:tcPr>
          <w:p w:rsidR="007F373F" w:rsidRDefault="00000000">
            <w:pPr>
              <w:spacing w:after="0"/>
              <w:jc w:val="left"/>
            </w:pPr>
            <w:r>
              <w:rPr>
                <w:sz w:val="19"/>
              </w:rPr>
              <w:t>Infrastructure and security</w:t>
            </w:r>
          </w:p>
        </w:tc>
        <w:tc>
          <w:tcPr>
            <w:tcW w:w="4279" w:type="dxa"/>
          </w:tcPr>
          <w:p w:rsidR="007F373F" w:rsidRDefault="00000000">
            <w:pPr>
              <w:spacing w:after="0"/>
              <w:jc w:val="left"/>
            </w:pPr>
            <w:r>
              <w:rPr>
                <w:sz w:val="19"/>
              </w:rPr>
              <w:t>AWS cloud; Microsoft 365/Teams; Palo Alto, Fortinet, Netskope, Forcepoint, Klassify, ManageEngine; Zero Trust network access, MFA, EDR/XDR, VAPT, red-team exercises, vendor risk management</w:t>
            </w:r>
          </w:p>
        </w:tc>
        <w:tc>
          <w:tcPr>
            <w:tcW w:w="3520" w:type="dxa"/>
          </w:tcPr>
          <w:p w:rsidR="007F373F" w:rsidRDefault="00000000">
            <w:pPr>
              <w:spacing w:after="0"/>
              <w:jc w:val="left"/>
            </w:pPr>
            <w:r>
              <w:rPr>
                <w:sz w:val="19"/>
              </w:rPr>
              <w:t>No material cyber incident disclosed; IT Strategy Committee met 4 times; prototype ‘security box’ for doorstep gold (dual authentication, live tracking, remote unlock)</w:t>
            </w:r>
          </w:p>
        </w:tc>
      </w:tr>
    </w:tbl>
    <w:p w:rsidR="007F373F" w:rsidRDefault="00000000">
      <w:pPr>
        <w:spacing w:before="40" w:after="80"/>
      </w:pPr>
      <w:r>
        <w:rPr>
          <w:i/>
          <w:sz w:val="18"/>
        </w:rPr>
        <w:t>Source: Fedfina Annual Report 2025-26, Corporate Overview – ‘Our Digital Landscape’, technology and cyber-security sections; MD&amp;CEO statement; Report on Corporate Governance (IT Strategy Committee).</w:t>
      </w:r>
    </w:p>
    <w:p w:rsidR="007F373F" w:rsidRDefault="00000000">
      <w:pPr>
        <w:pStyle w:val="Heading2"/>
      </w:pPr>
      <w:r>
        <w:t>Cost of technology</w:t>
      </w:r>
    </w:p>
    <w:p w:rsidR="007F373F" w:rsidRDefault="00000000">
      <w:r>
        <w:t>Technology cost in other expenses was ₹43.9 crore in FY26 (FY25: ₹43.5 crore) – flat year-on-year despite a 23% larger loan book, suggesting the platform investments were largely made in earlier years and are now being leveraged. Intangible assets on the balance sheet were small (₹3.6 crore plus ₹0.3 crore under development), consistent with a software-as-a-service model in which most technology spend is expensed.</w:t>
      </w:r>
    </w:p>
    <w:p w:rsidR="007F373F" w:rsidRDefault="00000000">
      <w:pPr>
        <w:pStyle w:val="Heading2"/>
      </w:pPr>
      <w:r>
        <w:t>Why technology matters to the thesis</w:t>
      </w:r>
    </w:p>
    <w:p w:rsidR="007F373F" w:rsidRDefault="00000000">
      <w:r>
        <w:t xml:space="preserve">The FY25 problem – collections infrastructure lagging growth – was fundamentally an information problem: the company could not see early delinquency quickly enough or allocate collectors efficiently. The FY26 tools address precisely this: BRE-driven underwriting removes discretion at origination, early-warning signals and digital collections shorten resolution cycles (early-bucket cure rates up ~2 percentage points, Stage 1–2 cure rates up 5–6 points, monthly Stage 3 recoveries up from ₹6.5 crore to ₹14.5 crore), and the integrated LOS–LMS–CRM stack gives management a single view of each customer. Cyber-security is the other side of the coin: the company’s own MD&amp;A flags a sharp rise in attacks on BFSI digital portals, and the Zero-Trust/MFA/EDR stack is the mitigation. The analytical conclusion is that technology has moved from enabler to control </w:t>
      </w:r>
      <w:r>
        <w:lastRenderedPageBreak/>
        <w:t>function at Fedfina – a positive for sustainability of asset quality, provided the controls keep pace with the 148 new branches.</w:t>
      </w:r>
    </w:p>
    <w:p w:rsidR="007F373F" w:rsidRDefault="00000000">
      <w:pPr>
        <w:pStyle w:val="Heading1"/>
        <w:pageBreakBefore/>
      </w:pPr>
      <w:r>
        <w:lastRenderedPageBreak/>
        <w:t>Board of Directors and Corporate Governance</w:t>
      </w:r>
    </w:p>
    <w:p w:rsidR="007F373F" w:rsidRDefault="00000000">
      <w:r>
        <w:t>At the date of the FY26 Directors’ Report the Board comprised nine directors: one non-executive non-independent Chairman, two nominee directors of Federal Bank, five independent directors (including two women) and the Managing Director &amp; CEO. The Chairman is not related to the MD&amp;CEO. A third nominee director, representing True North Fund VI LLP, resigned on 14 May 2026 following the fund’s exit. The Board met 11 times during FY26 (23 and 28–29 April, 2 May, 28 July, 25 August, 17 October, 7 November 2025; 15 January, 26 February and 3 March 2026) with no gap exceeding 120 days.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346"/>
        <w:gridCol w:w="2761"/>
        <w:gridCol w:w="4624"/>
      </w:tblGrid>
      <w:tr w:rsidR="007F373F">
        <w:trPr>
          <w:jc w:val="center"/>
        </w:trPr>
        <w:tc>
          <w:tcPr>
            <w:tcW w:w="2346" w:type="dxa"/>
          </w:tcPr>
          <w:p w:rsidR="007F373F" w:rsidRDefault="00000000">
            <w:pPr>
              <w:spacing w:after="0"/>
              <w:jc w:val="left"/>
            </w:pPr>
            <w:r>
              <w:rPr>
                <w:b/>
                <w:sz w:val="19"/>
              </w:rPr>
              <w:t>Director</w:t>
            </w:r>
          </w:p>
        </w:tc>
        <w:tc>
          <w:tcPr>
            <w:tcW w:w="2761" w:type="dxa"/>
          </w:tcPr>
          <w:p w:rsidR="007F373F" w:rsidRDefault="00000000">
            <w:pPr>
              <w:spacing w:after="0"/>
              <w:jc w:val="left"/>
            </w:pPr>
            <w:r>
              <w:rPr>
                <w:b/>
                <w:sz w:val="19"/>
              </w:rPr>
              <w:t>Category</w:t>
            </w:r>
          </w:p>
        </w:tc>
        <w:tc>
          <w:tcPr>
            <w:tcW w:w="4624" w:type="dxa"/>
          </w:tcPr>
          <w:p w:rsidR="007F373F" w:rsidRDefault="00000000">
            <w:pPr>
              <w:spacing w:after="0"/>
              <w:jc w:val="left"/>
            </w:pPr>
            <w:r>
              <w:rPr>
                <w:b/>
                <w:sz w:val="19"/>
              </w:rPr>
              <w:t>Background / role (as disclosed)</w:t>
            </w:r>
          </w:p>
        </w:tc>
      </w:tr>
      <w:tr w:rsidR="007F373F">
        <w:trPr>
          <w:jc w:val="center"/>
        </w:trPr>
        <w:tc>
          <w:tcPr>
            <w:tcW w:w="2346" w:type="dxa"/>
          </w:tcPr>
          <w:p w:rsidR="007F373F" w:rsidRDefault="00000000">
            <w:pPr>
              <w:spacing w:after="0"/>
              <w:jc w:val="left"/>
            </w:pPr>
            <w:r>
              <w:rPr>
                <w:sz w:val="19"/>
              </w:rPr>
              <w:t>Mr. Shyam Srinivasan</w:t>
            </w:r>
          </w:p>
        </w:tc>
        <w:tc>
          <w:tcPr>
            <w:tcW w:w="2761" w:type="dxa"/>
          </w:tcPr>
          <w:p w:rsidR="007F373F" w:rsidRDefault="00000000">
            <w:pPr>
              <w:spacing w:after="0"/>
              <w:jc w:val="left"/>
            </w:pPr>
            <w:r>
              <w:rPr>
                <w:sz w:val="19"/>
              </w:rPr>
              <w:t>Non-Executive Chairman</w:t>
            </w:r>
          </w:p>
        </w:tc>
        <w:tc>
          <w:tcPr>
            <w:tcW w:w="4624" w:type="dxa"/>
          </w:tcPr>
          <w:p w:rsidR="007F373F" w:rsidRDefault="00000000">
            <w:pPr>
              <w:spacing w:after="0"/>
              <w:jc w:val="left"/>
            </w:pPr>
            <w:r>
              <w:rPr>
                <w:sz w:val="19"/>
              </w:rPr>
              <w:t>Former MD&amp;CEO of Federal Bank for fourteen years; earlier Citibank and Standard Chartered; DIN 02274773</w:t>
            </w:r>
          </w:p>
        </w:tc>
      </w:tr>
      <w:tr w:rsidR="007F373F">
        <w:trPr>
          <w:jc w:val="center"/>
        </w:trPr>
        <w:tc>
          <w:tcPr>
            <w:tcW w:w="2346" w:type="dxa"/>
          </w:tcPr>
          <w:p w:rsidR="007F373F" w:rsidRDefault="00000000">
            <w:pPr>
              <w:spacing w:after="0"/>
              <w:jc w:val="left"/>
            </w:pPr>
            <w:r>
              <w:rPr>
                <w:sz w:val="19"/>
              </w:rPr>
              <w:t>Mr. K.V.S. Manian</w:t>
            </w:r>
          </w:p>
        </w:tc>
        <w:tc>
          <w:tcPr>
            <w:tcW w:w="2761" w:type="dxa"/>
          </w:tcPr>
          <w:p w:rsidR="007F373F" w:rsidRDefault="00000000">
            <w:pPr>
              <w:spacing w:after="0"/>
              <w:jc w:val="left"/>
            </w:pPr>
            <w:r>
              <w:rPr>
                <w:sz w:val="19"/>
              </w:rPr>
              <w:t>Nominee Director (Federal Bank)</w:t>
            </w:r>
          </w:p>
        </w:tc>
        <w:tc>
          <w:tcPr>
            <w:tcW w:w="4624" w:type="dxa"/>
          </w:tcPr>
          <w:p w:rsidR="007F373F" w:rsidRDefault="00000000">
            <w:pPr>
              <w:spacing w:after="0"/>
              <w:jc w:val="left"/>
            </w:pPr>
            <w:r>
              <w:rPr>
                <w:sz w:val="19"/>
              </w:rPr>
              <w:t>MD&amp;CEO of Federal Bank</w:t>
            </w:r>
          </w:p>
        </w:tc>
      </w:tr>
      <w:tr w:rsidR="007F373F">
        <w:trPr>
          <w:jc w:val="center"/>
        </w:trPr>
        <w:tc>
          <w:tcPr>
            <w:tcW w:w="2346" w:type="dxa"/>
          </w:tcPr>
          <w:p w:rsidR="007F373F" w:rsidRDefault="00000000">
            <w:pPr>
              <w:spacing w:after="0"/>
              <w:jc w:val="left"/>
            </w:pPr>
            <w:r>
              <w:rPr>
                <w:sz w:val="19"/>
              </w:rPr>
              <w:t>Mr. Harsh Dugar</w:t>
            </w:r>
          </w:p>
        </w:tc>
        <w:tc>
          <w:tcPr>
            <w:tcW w:w="2761" w:type="dxa"/>
          </w:tcPr>
          <w:p w:rsidR="007F373F" w:rsidRDefault="00000000">
            <w:pPr>
              <w:spacing w:after="0"/>
              <w:jc w:val="left"/>
            </w:pPr>
            <w:r>
              <w:rPr>
                <w:sz w:val="19"/>
              </w:rPr>
              <w:t>Nominee Director (Federal Bank)</w:t>
            </w:r>
          </w:p>
        </w:tc>
        <w:tc>
          <w:tcPr>
            <w:tcW w:w="4624" w:type="dxa"/>
          </w:tcPr>
          <w:p w:rsidR="007F373F" w:rsidRDefault="00000000">
            <w:pPr>
              <w:spacing w:after="0"/>
              <w:jc w:val="left"/>
            </w:pPr>
            <w:r>
              <w:rPr>
                <w:sz w:val="19"/>
              </w:rPr>
              <w:t>Executive Director, Federal Bank; retires by rotation at the 31st AGM and offers himself for re-appointment</w:t>
            </w:r>
          </w:p>
        </w:tc>
      </w:tr>
      <w:tr w:rsidR="007F373F">
        <w:trPr>
          <w:jc w:val="center"/>
        </w:trPr>
        <w:tc>
          <w:tcPr>
            <w:tcW w:w="2346" w:type="dxa"/>
          </w:tcPr>
          <w:p w:rsidR="007F373F" w:rsidRDefault="00000000">
            <w:pPr>
              <w:spacing w:after="0"/>
              <w:jc w:val="left"/>
            </w:pPr>
            <w:r>
              <w:rPr>
                <w:sz w:val="19"/>
              </w:rPr>
              <w:t>Mr. Maninder Singh Juneja</w:t>
            </w:r>
          </w:p>
        </w:tc>
        <w:tc>
          <w:tcPr>
            <w:tcW w:w="2761" w:type="dxa"/>
          </w:tcPr>
          <w:p w:rsidR="007F373F" w:rsidRDefault="00000000">
            <w:pPr>
              <w:spacing w:after="0"/>
              <w:jc w:val="left"/>
            </w:pPr>
            <w:r>
              <w:rPr>
                <w:sz w:val="19"/>
              </w:rPr>
              <w:t>Nominee Director (True North) – resigned 14 May 2026</w:t>
            </w:r>
          </w:p>
        </w:tc>
        <w:tc>
          <w:tcPr>
            <w:tcW w:w="4624" w:type="dxa"/>
          </w:tcPr>
          <w:p w:rsidR="007F373F" w:rsidRDefault="00000000">
            <w:pPr>
              <w:spacing w:after="0"/>
              <w:jc w:val="left"/>
            </w:pPr>
            <w:r>
              <w:rPr>
                <w:sz w:val="19"/>
              </w:rPr>
              <w:t>Represented True North Fund VI LLP until its exit</w:t>
            </w:r>
          </w:p>
        </w:tc>
      </w:tr>
      <w:tr w:rsidR="007F373F">
        <w:trPr>
          <w:jc w:val="center"/>
        </w:trPr>
        <w:tc>
          <w:tcPr>
            <w:tcW w:w="2346" w:type="dxa"/>
          </w:tcPr>
          <w:p w:rsidR="007F373F" w:rsidRDefault="00000000">
            <w:pPr>
              <w:spacing w:after="0"/>
              <w:jc w:val="left"/>
            </w:pPr>
            <w:r>
              <w:rPr>
                <w:sz w:val="19"/>
              </w:rPr>
              <w:t>Mr. Sunil Gulati</w:t>
            </w:r>
          </w:p>
        </w:tc>
        <w:tc>
          <w:tcPr>
            <w:tcW w:w="2761" w:type="dxa"/>
          </w:tcPr>
          <w:p w:rsidR="007F373F" w:rsidRDefault="00000000">
            <w:pPr>
              <w:spacing w:after="0"/>
              <w:jc w:val="left"/>
            </w:pPr>
            <w:r>
              <w:rPr>
                <w:sz w:val="19"/>
              </w:rPr>
              <w:t>Independent Director</w:t>
            </w:r>
          </w:p>
        </w:tc>
        <w:tc>
          <w:tcPr>
            <w:tcW w:w="4624" w:type="dxa"/>
          </w:tcPr>
          <w:p w:rsidR="007F373F" w:rsidRDefault="00000000">
            <w:pPr>
              <w:spacing w:after="0"/>
              <w:jc w:val="left"/>
            </w:pPr>
            <w:r>
              <w:rPr>
                <w:sz w:val="19"/>
              </w:rPr>
              <w:t>Banking and financial services professional; remuneration ratio to median 3.9:1</w:t>
            </w:r>
          </w:p>
        </w:tc>
      </w:tr>
      <w:tr w:rsidR="007F373F">
        <w:trPr>
          <w:jc w:val="center"/>
        </w:trPr>
        <w:tc>
          <w:tcPr>
            <w:tcW w:w="2346" w:type="dxa"/>
          </w:tcPr>
          <w:p w:rsidR="007F373F" w:rsidRDefault="00000000">
            <w:pPr>
              <w:spacing w:after="0"/>
              <w:jc w:val="left"/>
            </w:pPr>
            <w:r>
              <w:rPr>
                <w:sz w:val="19"/>
              </w:rPr>
              <w:t>Mr. Ramesh Sundararajan</w:t>
            </w:r>
          </w:p>
        </w:tc>
        <w:tc>
          <w:tcPr>
            <w:tcW w:w="2761" w:type="dxa"/>
          </w:tcPr>
          <w:p w:rsidR="007F373F" w:rsidRDefault="00000000">
            <w:pPr>
              <w:spacing w:after="0"/>
              <w:jc w:val="left"/>
            </w:pPr>
            <w:r>
              <w:rPr>
                <w:sz w:val="19"/>
              </w:rPr>
              <w:t>Independent Director</w:t>
            </w:r>
          </w:p>
        </w:tc>
        <w:tc>
          <w:tcPr>
            <w:tcW w:w="4624" w:type="dxa"/>
          </w:tcPr>
          <w:p w:rsidR="007F373F" w:rsidRDefault="00000000">
            <w:pPr>
              <w:spacing w:after="0"/>
              <w:jc w:val="left"/>
            </w:pPr>
            <w:r>
              <w:rPr>
                <w:sz w:val="19"/>
              </w:rPr>
              <w:t>Remuneration ratio to median 4.2:1</w:t>
            </w:r>
          </w:p>
        </w:tc>
      </w:tr>
      <w:tr w:rsidR="007F373F">
        <w:trPr>
          <w:jc w:val="center"/>
        </w:trPr>
        <w:tc>
          <w:tcPr>
            <w:tcW w:w="2346" w:type="dxa"/>
          </w:tcPr>
          <w:p w:rsidR="007F373F" w:rsidRDefault="00000000">
            <w:pPr>
              <w:spacing w:after="0"/>
              <w:jc w:val="left"/>
            </w:pPr>
            <w:r>
              <w:rPr>
                <w:sz w:val="19"/>
              </w:rPr>
              <w:t>Ms. Sonal Dave</w:t>
            </w:r>
          </w:p>
        </w:tc>
        <w:tc>
          <w:tcPr>
            <w:tcW w:w="2761" w:type="dxa"/>
          </w:tcPr>
          <w:p w:rsidR="007F373F" w:rsidRDefault="00000000">
            <w:pPr>
              <w:spacing w:after="0"/>
              <w:jc w:val="left"/>
            </w:pPr>
            <w:r>
              <w:rPr>
                <w:sz w:val="19"/>
              </w:rPr>
              <w:t>Independent Director</w:t>
            </w:r>
          </w:p>
        </w:tc>
        <w:tc>
          <w:tcPr>
            <w:tcW w:w="4624" w:type="dxa"/>
          </w:tcPr>
          <w:p w:rsidR="007F373F" w:rsidRDefault="00000000">
            <w:pPr>
              <w:spacing w:after="0"/>
              <w:jc w:val="left"/>
            </w:pPr>
            <w:r>
              <w:rPr>
                <w:sz w:val="19"/>
              </w:rPr>
              <w:t>Remuneration ratio 4.02:1</w:t>
            </w:r>
          </w:p>
        </w:tc>
      </w:tr>
      <w:tr w:rsidR="007F373F">
        <w:trPr>
          <w:jc w:val="center"/>
        </w:trPr>
        <w:tc>
          <w:tcPr>
            <w:tcW w:w="2346" w:type="dxa"/>
          </w:tcPr>
          <w:p w:rsidR="007F373F" w:rsidRDefault="00000000">
            <w:pPr>
              <w:spacing w:after="0"/>
              <w:jc w:val="left"/>
            </w:pPr>
            <w:r>
              <w:rPr>
                <w:sz w:val="19"/>
              </w:rPr>
              <w:t>Ms. Mona Bhide</w:t>
            </w:r>
          </w:p>
        </w:tc>
        <w:tc>
          <w:tcPr>
            <w:tcW w:w="2761" w:type="dxa"/>
          </w:tcPr>
          <w:p w:rsidR="007F373F" w:rsidRDefault="00000000">
            <w:pPr>
              <w:spacing w:after="0"/>
              <w:jc w:val="left"/>
            </w:pPr>
            <w:r>
              <w:rPr>
                <w:sz w:val="19"/>
              </w:rPr>
              <w:t>Independent Director</w:t>
            </w:r>
          </w:p>
        </w:tc>
        <w:tc>
          <w:tcPr>
            <w:tcW w:w="4624" w:type="dxa"/>
          </w:tcPr>
          <w:p w:rsidR="007F373F" w:rsidRDefault="00000000">
            <w:pPr>
              <w:spacing w:after="0"/>
              <w:jc w:val="left"/>
            </w:pPr>
            <w:r>
              <w:rPr>
                <w:sz w:val="19"/>
              </w:rPr>
              <w:t>Remuneration ratio 3.2:1</w:t>
            </w:r>
          </w:p>
        </w:tc>
      </w:tr>
      <w:tr w:rsidR="007F373F">
        <w:trPr>
          <w:jc w:val="center"/>
        </w:trPr>
        <w:tc>
          <w:tcPr>
            <w:tcW w:w="2346" w:type="dxa"/>
          </w:tcPr>
          <w:p w:rsidR="007F373F" w:rsidRDefault="00000000">
            <w:pPr>
              <w:spacing w:after="0"/>
              <w:jc w:val="left"/>
            </w:pPr>
            <w:r>
              <w:rPr>
                <w:sz w:val="19"/>
              </w:rPr>
              <w:t>Mr. Muralidharan Rajamani</w:t>
            </w:r>
          </w:p>
        </w:tc>
        <w:tc>
          <w:tcPr>
            <w:tcW w:w="2761" w:type="dxa"/>
          </w:tcPr>
          <w:p w:rsidR="007F373F" w:rsidRDefault="00000000">
            <w:pPr>
              <w:spacing w:after="0"/>
              <w:jc w:val="left"/>
            </w:pPr>
            <w:r>
              <w:rPr>
                <w:sz w:val="19"/>
              </w:rPr>
              <w:t>Independent Director (from 24 Jan 2025; approved 16 Apr 2025)</w:t>
            </w:r>
          </w:p>
        </w:tc>
        <w:tc>
          <w:tcPr>
            <w:tcW w:w="4624" w:type="dxa"/>
          </w:tcPr>
          <w:p w:rsidR="007F373F" w:rsidRDefault="00000000">
            <w:pPr>
              <w:spacing w:after="0"/>
              <w:jc w:val="left"/>
            </w:pPr>
            <w:r>
              <w:rPr>
                <w:sz w:val="19"/>
              </w:rPr>
              <w:t>Remuneration ratio 4.1:1</w:t>
            </w:r>
          </w:p>
        </w:tc>
      </w:tr>
      <w:tr w:rsidR="007F373F">
        <w:trPr>
          <w:jc w:val="center"/>
        </w:trPr>
        <w:tc>
          <w:tcPr>
            <w:tcW w:w="2346" w:type="dxa"/>
          </w:tcPr>
          <w:p w:rsidR="007F373F" w:rsidRDefault="00000000">
            <w:pPr>
              <w:spacing w:after="0"/>
              <w:jc w:val="left"/>
            </w:pPr>
            <w:r>
              <w:rPr>
                <w:sz w:val="19"/>
              </w:rPr>
              <w:t>Mr. Parvez Mulla</w:t>
            </w:r>
          </w:p>
        </w:tc>
        <w:tc>
          <w:tcPr>
            <w:tcW w:w="2761" w:type="dxa"/>
          </w:tcPr>
          <w:p w:rsidR="007F373F" w:rsidRDefault="00000000">
            <w:pPr>
              <w:spacing w:after="0"/>
              <w:jc w:val="left"/>
            </w:pPr>
            <w:r>
              <w:rPr>
                <w:sz w:val="19"/>
              </w:rPr>
              <w:t>Managing Director &amp; CEO</w:t>
            </w:r>
          </w:p>
        </w:tc>
        <w:tc>
          <w:tcPr>
            <w:tcW w:w="4624" w:type="dxa"/>
          </w:tcPr>
          <w:p w:rsidR="007F373F" w:rsidRDefault="00000000">
            <w:pPr>
              <w:spacing w:after="0"/>
              <w:jc w:val="left"/>
            </w:pPr>
            <w:r>
              <w:rPr>
                <w:sz w:val="19"/>
              </w:rPr>
              <w:t>Leads Fedfina 2.0; remuneration ratio to median 40.6:1; 15% increase in FY26</w:t>
            </w:r>
          </w:p>
        </w:tc>
      </w:tr>
    </w:tbl>
    <w:p w:rsidR="007F373F" w:rsidRDefault="00000000">
      <w:pPr>
        <w:spacing w:before="40" w:after="80"/>
      </w:pPr>
      <w:r>
        <w:rPr>
          <w:i/>
          <w:sz w:val="18"/>
        </w:rPr>
        <w:t>Source: Fedfina Annual Report 2025-26, Corporate Information, Directors’ Report (changes in directorship; remuneration disclosure under Rule 5(1)).</w:t>
      </w:r>
    </w:p>
    <w:p w:rsidR="007F373F" w:rsidRDefault="00000000">
      <w:pPr>
        <w:pStyle w:val="Heading2"/>
      </w:pPr>
      <w:r>
        <w:t>Governance architecture and FY26 disclosures</w:t>
      </w:r>
    </w:p>
    <w:p w:rsidR="007F373F" w:rsidRDefault="00000000">
      <w:pPr>
        <w:pStyle w:val="ListBullet"/>
      </w:pPr>
      <w:r>
        <w:rPr>
          <w:b/>
        </w:rPr>
        <w:t xml:space="preserve">Committees: </w:t>
      </w:r>
      <w:r>
        <w:t>Audit, Nomination &amp; Remuneration, Stakeholders’ Relationship, Risk Management, CSR, IT Strategy (met 4 times), plus ALCO, Business Development, Committee of Directors (Operations), Wilful Default Review, Customer Service and a Special Committee for monitoring frauds.</w:t>
      </w:r>
    </w:p>
    <w:p w:rsidR="007F373F" w:rsidRDefault="00000000">
      <w:pPr>
        <w:pStyle w:val="ListBullet"/>
      </w:pPr>
      <w:r>
        <w:rPr>
          <w:b/>
        </w:rPr>
        <w:t xml:space="preserve">Auditors: </w:t>
      </w:r>
      <w:r>
        <w:t>Statutory – KKC &amp; Associates LLP (unmodified opinion; term to the 32nd AGM); joint statutory auditor V. Sankar Aiyar &amp; Co. proposed from the 31st AGM under RBI’s 2026 directions for NBFCs with assets ≥ ₹15,000 crore; secretarial – DKJ &amp; Associates (no qualification).</w:t>
      </w:r>
    </w:p>
    <w:p w:rsidR="007F373F" w:rsidRDefault="00000000">
      <w:pPr>
        <w:pStyle w:val="ListBullet"/>
      </w:pPr>
      <w:r>
        <w:rPr>
          <w:b/>
        </w:rPr>
        <w:t xml:space="preserve">KMP changes: </w:t>
      </w:r>
      <w:r>
        <w:t>Company Secretary Mr. Rajaraman Sundaresan completed his term on 31 July 2025; Mr. Parthasarathy Iyengar appointed from 1 August 2025. CFO: Mr. C.V. Ganesh.</w:t>
      </w:r>
    </w:p>
    <w:p w:rsidR="007F373F" w:rsidRDefault="00000000">
      <w:pPr>
        <w:pStyle w:val="ListBullet"/>
      </w:pPr>
      <w:r>
        <w:rPr>
          <w:b/>
        </w:rPr>
        <w:t xml:space="preserve">Integrity mechanisms: </w:t>
      </w:r>
      <w:r>
        <w:t>whistle-blower policy (16 complaints in FY26, 3 under the vigil mechanism); POSH committee (3 complaints, all resolved); fraud policy (₹110 lakh of frauds reported to RBI); related-party transactions at arm’s length (Federal Bank interest paid ₹84.8 crore).</w:t>
      </w:r>
    </w:p>
    <w:p w:rsidR="007F373F" w:rsidRDefault="00000000">
      <w:pPr>
        <w:pStyle w:val="ListBullet"/>
      </w:pPr>
      <w:r>
        <w:rPr>
          <w:b/>
        </w:rPr>
        <w:lastRenderedPageBreak/>
        <w:t xml:space="preserve">Regulatory record: </w:t>
      </w:r>
      <w:r>
        <w:t>no RBI penalty disclosed; three BSE fines for filing delays (₹10,000 and ₹1,53,400 relating to 2023; ₹10,000 relating to 2024, later waived).</w:t>
      </w:r>
    </w:p>
    <w:p w:rsidR="007F373F" w:rsidRDefault="00000000">
      <w:pPr>
        <w:pStyle w:val="Heading1"/>
        <w:pageBreakBefore/>
      </w:pPr>
      <w:r>
        <w:lastRenderedPageBreak/>
        <w:t>Capital Raising, Listing History and Credit Ratings</w:t>
      </w:r>
    </w:p>
    <w:p w:rsidR="007F373F" w:rsidRDefault="00000000">
      <w:r>
        <w:t>Equity. Fedfina’s equity base was built in three stages: promoter capital from Federal Bank; a ₹168.6 crore investment by True North in 2018 (which later exited in FY26); and the November 2023 IPO of ₹1,092 crore comprising a ₹600 crore fresh issue and an offer for sale, subscribed about 2.2 times. Share capital at 31 March 2026 was ₹374.2 crore (37,42,06,101 shares of ₹10) after the allotment of 14,89,247 ESOP shares during the year; other equity was ₹2,551.9 crore. No equity has been raised since the IPO – FY24–FY26 growth was funded entirely by retained earnings and debt, which is why debt-equity rose from 3.6x (FY24, derived) to 4.6x.</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141"/>
        <w:gridCol w:w="1380"/>
        <w:gridCol w:w="1380"/>
        <w:gridCol w:w="1380"/>
        <w:gridCol w:w="1449"/>
      </w:tblGrid>
      <w:tr w:rsidR="007F373F">
        <w:trPr>
          <w:jc w:val="center"/>
        </w:trPr>
        <w:tc>
          <w:tcPr>
            <w:tcW w:w="4141" w:type="dxa"/>
          </w:tcPr>
          <w:p w:rsidR="007F373F" w:rsidRDefault="00000000">
            <w:pPr>
              <w:spacing w:after="0"/>
              <w:jc w:val="left"/>
            </w:pPr>
            <w:r>
              <w:rPr>
                <w:b/>
                <w:sz w:val="20"/>
              </w:rPr>
              <w:t>Equity indicator</w:t>
            </w:r>
          </w:p>
        </w:tc>
        <w:tc>
          <w:tcPr>
            <w:tcW w:w="1380" w:type="dxa"/>
          </w:tcPr>
          <w:p w:rsidR="007F373F" w:rsidRDefault="00000000">
            <w:pPr>
              <w:spacing w:after="0"/>
              <w:jc w:val="left"/>
            </w:pPr>
            <w:r>
              <w:rPr>
                <w:b/>
                <w:sz w:val="20"/>
              </w:rPr>
              <w:t>FY23</w:t>
            </w:r>
          </w:p>
        </w:tc>
        <w:tc>
          <w:tcPr>
            <w:tcW w:w="1380" w:type="dxa"/>
          </w:tcPr>
          <w:p w:rsidR="007F373F" w:rsidRDefault="00000000">
            <w:pPr>
              <w:spacing w:after="0"/>
              <w:jc w:val="left"/>
            </w:pPr>
            <w:r>
              <w:rPr>
                <w:b/>
                <w:sz w:val="20"/>
              </w:rPr>
              <w:t>FY24</w:t>
            </w:r>
          </w:p>
        </w:tc>
        <w:tc>
          <w:tcPr>
            <w:tcW w:w="1380" w:type="dxa"/>
          </w:tcPr>
          <w:p w:rsidR="007F373F" w:rsidRDefault="00000000">
            <w:pPr>
              <w:spacing w:after="0"/>
              <w:jc w:val="left"/>
            </w:pPr>
            <w:r>
              <w:rPr>
                <w:b/>
                <w:sz w:val="20"/>
              </w:rPr>
              <w:t>FY25</w:t>
            </w:r>
          </w:p>
        </w:tc>
        <w:tc>
          <w:tcPr>
            <w:tcW w:w="1449" w:type="dxa"/>
          </w:tcPr>
          <w:p w:rsidR="007F373F" w:rsidRDefault="00000000">
            <w:pPr>
              <w:spacing w:after="0"/>
              <w:jc w:val="left"/>
            </w:pPr>
            <w:r>
              <w:rPr>
                <w:b/>
                <w:sz w:val="20"/>
              </w:rPr>
              <w:t>FY26</w:t>
            </w:r>
          </w:p>
        </w:tc>
      </w:tr>
      <w:tr w:rsidR="007F373F">
        <w:trPr>
          <w:jc w:val="center"/>
        </w:trPr>
        <w:tc>
          <w:tcPr>
            <w:tcW w:w="4141" w:type="dxa"/>
          </w:tcPr>
          <w:p w:rsidR="007F373F" w:rsidRDefault="00000000">
            <w:pPr>
              <w:spacing w:after="0"/>
              <w:jc w:val="left"/>
            </w:pPr>
            <w:r>
              <w:rPr>
                <w:sz w:val="20"/>
              </w:rPr>
              <w:t>Net worth (₹ crore)</w:t>
            </w:r>
          </w:p>
        </w:tc>
        <w:tc>
          <w:tcPr>
            <w:tcW w:w="1380" w:type="dxa"/>
          </w:tcPr>
          <w:p w:rsidR="007F373F" w:rsidRDefault="00000000">
            <w:pPr>
              <w:spacing w:after="0"/>
              <w:jc w:val="right"/>
            </w:pPr>
            <w:r>
              <w:rPr>
                <w:sz w:val="20"/>
              </w:rPr>
              <w:t>1,356</w:t>
            </w:r>
          </w:p>
        </w:tc>
        <w:tc>
          <w:tcPr>
            <w:tcW w:w="1380" w:type="dxa"/>
          </w:tcPr>
          <w:p w:rsidR="007F373F" w:rsidRDefault="00000000">
            <w:pPr>
              <w:spacing w:after="0"/>
              <w:jc w:val="right"/>
            </w:pPr>
            <w:r>
              <w:rPr>
                <w:sz w:val="20"/>
              </w:rPr>
              <w:t>2,261</w:t>
            </w:r>
          </w:p>
        </w:tc>
        <w:tc>
          <w:tcPr>
            <w:tcW w:w="1380" w:type="dxa"/>
          </w:tcPr>
          <w:p w:rsidR="007F373F" w:rsidRDefault="00000000">
            <w:pPr>
              <w:spacing w:after="0"/>
              <w:jc w:val="right"/>
            </w:pPr>
            <w:r>
              <w:rPr>
                <w:sz w:val="20"/>
              </w:rPr>
              <w:t>2,547</w:t>
            </w:r>
          </w:p>
        </w:tc>
        <w:tc>
          <w:tcPr>
            <w:tcW w:w="1449" w:type="dxa"/>
          </w:tcPr>
          <w:p w:rsidR="007F373F" w:rsidRDefault="00000000">
            <w:pPr>
              <w:spacing w:after="0"/>
              <w:jc w:val="right"/>
            </w:pPr>
            <w:r>
              <w:rPr>
                <w:sz w:val="20"/>
              </w:rPr>
              <w:t>2,926</w:t>
            </w:r>
          </w:p>
        </w:tc>
      </w:tr>
      <w:tr w:rsidR="007F373F">
        <w:trPr>
          <w:jc w:val="center"/>
        </w:trPr>
        <w:tc>
          <w:tcPr>
            <w:tcW w:w="4141" w:type="dxa"/>
          </w:tcPr>
          <w:p w:rsidR="007F373F" w:rsidRDefault="00000000">
            <w:pPr>
              <w:spacing w:after="0"/>
              <w:jc w:val="left"/>
            </w:pPr>
            <w:r>
              <w:rPr>
                <w:sz w:val="20"/>
              </w:rPr>
              <w:t>Book value per share (₹)</w:t>
            </w:r>
          </w:p>
        </w:tc>
        <w:tc>
          <w:tcPr>
            <w:tcW w:w="1380" w:type="dxa"/>
          </w:tcPr>
          <w:p w:rsidR="007F373F" w:rsidRDefault="00000000">
            <w:pPr>
              <w:spacing w:after="0"/>
              <w:jc w:val="right"/>
            </w:pPr>
            <w:r>
              <w:rPr>
                <w:sz w:val="20"/>
              </w:rPr>
              <w:t>42.11</w:t>
            </w:r>
          </w:p>
        </w:tc>
        <w:tc>
          <w:tcPr>
            <w:tcW w:w="1380" w:type="dxa"/>
          </w:tcPr>
          <w:p w:rsidR="007F373F" w:rsidRDefault="00000000">
            <w:pPr>
              <w:spacing w:after="0"/>
              <w:jc w:val="right"/>
            </w:pPr>
            <w:r>
              <w:rPr>
                <w:sz w:val="20"/>
              </w:rPr>
              <w:t>61.20</w:t>
            </w:r>
          </w:p>
        </w:tc>
        <w:tc>
          <w:tcPr>
            <w:tcW w:w="1380" w:type="dxa"/>
          </w:tcPr>
          <w:p w:rsidR="007F373F" w:rsidRDefault="00000000">
            <w:pPr>
              <w:spacing w:after="0"/>
              <w:jc w:val="right"/>
            </w:pPr>
            <w:r>
              <w:rPr>
                <w:sz w:val="20"/>
              </w:rPr>
              <w:t>68.35</w:t>
            </w:r>
          </w:p>
        </w:tc>
        <w:tc>
          <w:tcPr>
            <w:tcW w:w="1449" w:type="dxa"/>
          </w:tcPr>
          <w:p w:rsidR="007F373F" w:rsidRDefault="00000000">
            <w:pPr>
              <w:spacing w:after="0"/>
              <w:jc w:val="right"/>
            </w:pPr>
            <w:r>
              <w:rPr>
                <w:sz w:val="20"/>
              </w:rPr>
              <w:t>78.19</w:t>
            </w:r>
          </w:p>
        </w:tc>
      </w:tr>
      <w:tr w:rsidR="007F373F">
        <w:trPr>
          <w:jc w:val="center"/>
        </w:trPr>
        <w:tc>
          <w:tcPr>
            <w:tcW w:w="4141" w:type="dxa"/>
          </w:tcPr>
          <w:p w:rsidR="007F373F" w:rsidRDefault="00000000">
            <w:pPr>
              <w:spacing w:after="0"/>
              <w:jc w:val="left"/>
            </w:pPr>
            <w:r>
              <w:rPr>
                <w:sz w:val="20"/>
              </w:rPr>
              <w:t>Basic EPS (₹)</w:t>
            </w:r>
          </w:p>
        </w:tc>
        <w:tc>
          <w:tcPr>
            <w:tcW w:w="1380" w:type="dxa"/>
          </w:tcPr>
          <w:p w:rsidR="007F373F" w:rsidRDefault="00000000">
            <w:pPr>
              <w:spacing w:after="0"/>
              <w:jc w:val="right"/>
            </w:pPr>
            <w:r>
              <w:rPr>
                <w:sz w:val="20"/>
              </w:rPr>
              <w:t>5.60</w:t>
            </w:r>
          </w:p>
        </w:tc>
        <w:tc>
          <w:tcPr>
            <w:tcW w:w="1380" w:type="dxa"/>
          </w:tcPr>
          <w:p w:rsidR="007F373F" w:rsidRDefault="00000000">
            <w:pPr>
              <w:spacing w:after="0"/>
              <w:jc w:val="right"/>
            </w:pPr>
            <w:r>
              <w:rPr>
                <w:sz w:val="20"/>
              </w:rPr>
              <w:t>7.22</w:t>
            </w:r>
          </w:p>
        </w:tc>
        <w:tc>
          <w:tcPr>
            <w:tcW w:w="1380" w:type="dxa"/>
          </w:tcPr>
          <w:p w:rsidR="007F373F" w:rsidRDefault="00000000">
            <w:pPr>
              <w:spacing w:after="0"/>
              <w:jc w:val="right"/>
            </w:pPr>
            <w:r>
              <w:rPr>
                <w:sz w:val="20"/>
              </w:rPr>
              <w:t>6.06</w:t>
            </w:r>
          </w:p>
        </w:tc>
        <w:tc>
          <w:tcPr>
            <w:tcW w:w="1449" w:type="dxa"/>
          </w:tcPr>
          <w:p w:rsidR="007F373F" w:rsidRDefault="00000000">
            <w:pPr>
              <w:spacing w:after="0"/>
              <w:jc w:val="right"/>
            </w:pPr>
            <w:r>
              <w:rPr>
                <w:sz w:val="20"/>
              </w:rPr>
              <w:t>9.20</w:t>
            </w:r>
          </w:p>
        </w:tc>
      </w:tr>
      <w:tr w:rsidR="007F373F">
        <w:trPr>
          <w:jc w:val="center"/>
        </w:trPr>
        <w:tc>
          <w:tcPr>
            <w:tcW w:w="4141" w:type="dxa"/>
          </w:tcPr>
          <w:p w:rsidR="007F373F" w:rsidRDefault="00000000">
            <w:pPr>
              <w:spacing w:after="0"/>
              <w:jc w:val="left"/>
            </w:pPr>
            <w:r>
              <w:rPr>
                <w:sz w:val="20"/>
              </w:rPr>
              <w:t>Dividend</w:t>
            </w:r>
          </w:p>
        </w:tc>
        <w:tc>
          <w:tcPr>
            <w:tcW w:w="1380" w:type="dxa"/>
          </w:tcPr>
          <w:p w:rsidR="007F373F" w:rsidRDefault="00000000">
            <w:pPr>
              <w:spacing w:after="0"/>
              <w:jc w:val="right"/>
            </w:pPr>
            <w:r>
              <w:rPr>
                <w:sz w:val="20"/>
              </w:rPr>
              <w:t>Nil</w:t>
            </w:r>
          </w:p>
        </w:tc>
        <w:tc>
          <w:tcPr>
            <w:tcW w:w="1380" w:type="dxa"/>
          </w:tcPr>
          <w:p w:rsidR="007F373F" w:rsidRDefault="00000000">
            <w:pPr>
              <w:spacing w:after="0"/>
              <w:jc w:val="right"/>
            </w:pPr>
            <w:r>
              <w:rPr>
                <w:sz w:val="20"/>
              </w:rPr>
              <w:t>Nil</w:t>
            </w:r>
          </w:p>
        </w:tc>
        <w:tc>
          <w:tcPr>
            <w:tcW w:w="1380" w:type="dxa"/>
          </w:tcPr>
          <w:p w:rsidR="007F373F" w:rsidRDefault="00000000">
            <w:pPr>
              <w:spacing w:after="0"/>
              <w:jc w:val="right"/>
            </w:pPr>
            <w:r>
              <w:rPr>
                <w:sz w:val="20"/>
              </w:rPr>
              <w:t>Nil</w:t>
            </w:r>
          </w:p>
        </w:tc>
        <w:tc>
          <w:tcPr>
            <w:tcW w:w="1449" w:type="dxa"/>
          </w:tcPr>
          <w:p w:rsidR="007F373F" w:rsidRDefault="00000000">
            <w:pPr>
              <w:spacing w:after="0"/>
              <w:jc w:val="left"/>
            </w:pPr>
            <w:r>
              <w:rPr>
                <w:sz w:val="20"/>
              </w:rPr>
              <w:t>Nil (recommended)</w:t>
            </w:r>
          </w:p>
        </w:tc>
      </w:tr>
      <w:tr w:rsidR="007F373F">
        <w:trPr>
          <w:jc w:val="center"/>
        </w:trPr>
        <w:tc>
          <w:tcPr>
            <w:tcW w:w="4141" w:type="dxa"/>
          </w:tcPr>
          <w:p w:rsidR="007F373F" w:rsidRDefault="00000000">
            <w:pPr>
              <w:spacing w:after="0"/>
              <w:jc w:val="left"/>
            </w:pPr>
            <w:r>
              <w:rPr>
                <w:sz w:val="20"/>
              </w:rPr>
              <w:t>Debt / equity (x, derived = borrowings ÷ net worth)</w:t>
            </w:r>
          </w:p>
        </w:tc>
        <w:tc>
          <w:tcPr>
            <w:tcW w:w="1380" w:type="dxa"/>
          </w:tcPr>
          <w:p w:rsidR="007F373F" w:rsidRDefault="00000000">
            <w:pPr>
              <w:spacing w:after="0"/>
              <w:jc w:val="right"/>
            </w:pPr>
            <w:r>
              <w:rPr>
                <w:sz w:val="20"/>
              </w:rPr>
              <w:t>5.26</w:t>
            </w:r>
          </w:p>
        </w:tc>
        <w:tc>
          <w:tcPr>
            <w:tcW w:w="1380" w:type="dxa"/>
          </w:tcPr>
          <w:p w:rsidR="007F373F" w:rsidRDefault="00000000">
            <w:pPr>
              <w:spacing w:after="0"/>
              <w:jc w:val="right"/>
            </w:pPr>
            <w:r>
              <w:rPr>
                <w:sz w:val="20"/>
              </w:rPr>
              <w:t>3.63</w:t>
            </w:r>
          </w:p>
        </w:tc>
        <w:tc>
          <w:tcPr>
            <w:tcW w:w="1380" w:type="dxa"/>
          </w:tcPr>
          <w:p w:rsidR="007F373F" w:rsidRDefault="00000000">
            <w:pPr>
              <w:spacing w:after="0"/>
              <w:jc w:val="right"/>
            </w:pPr>
            <w:r>
              <w:rPr>
                <w:sz w:val="20"/>
              </w:rPr>
              <w:t>4.03</w:t>
            </w:r>
          </w:p>
        </w:tc>
        <w:tc>
          <w:tcPr>
            <w:tcW w:w="1449" w:type="dxa"/>
          </w:tcPr>
          <w:p w:rsidR="007F373F" w:rsidRDefault="00000000">
            <w:pPr>
              <w:spacing w:after="0"/>
              <w:jc w:val="right"/>
            </w:pPr>
            <w:r>
              <w:rPr>
                <w:sz w:val="20"/>
              </w:rPr>
              <w:t>4.61</w:t>
            </w:r>
          </w:p>
        </w:tc>
      </w:tr>
      <w:tr w:rsidR="007F373F">
        <w:trPr>
          <w:jc w:val="center"/>
        </w:trPr>
        <w:tc>
          <w:tcPr>
            <w:tcW w:w="4141" w:type="dxa"/>
          </w:tcPr>
          <w:p w:rsidR="007F373F" w:rsidRDefault="00000000">
            <w:pPr>
              <w:spacing w:after="0"/>
              <w:jc w:val="left"/>
            </w:pPr>
            <w:r>
              <w:rPr>
                <w:sz w:val="20"/>
              </w:rPr>
              <w:t>Market capitalisation (₹ crore, 31 March)</w:t>
            </w:r>
          </w:p>
        </w:tc>
        <w:tc>
          <w:tcPr>
            <w:tcW w:w="1380" w:type="dxa"/>
          </w:tcPr>
          <w:p w:rsidR="007F373F" w:rsidRDefault="00000000">
            <w:pPr>
              <w:spacing w:after="0"/>
              <w:jc w:val="left"/>
            </w:pPr>
            <w:r>
              <w:rPr>
                <w:sz w:val="20"/>
              </w:rPr>
              <w:t>unlisted</w:t>
            </w:r>
          </w:p>
        </w:tc>
        <w:tc>
          <w:tcPr>
            <w:tcW w:w="1380" w:type="dxa"/>
          </w:tcPr>
          <w:p w:rsidR="007F373F" w:rsidRDefault="00000000">
            <w:pPr>
              <w:spacing w:after="0"/>
              <w:jc w:val="right"/>
            </w:pPr>
            <w:r>
              <w:rPr>
                <w:sz w:val="20"/>
              </w:rPr>
              <w:t>n.a.</w:t>
            </w:r>
          </w:p>
        </w:tc>
        <w:tc>
          <w:tcPr>
            <w:tcW w:w="1380" w:type="dxa"/>
          </w:tcPr>
          <w:p w:rsidR="007F373F" w:rsidRDefault="00000000">
            <w:pPr>
              <w:spacing w:after="0"/>
              <w:jc w:val="right"/>
            </w:pPr>
            <w:r>
              <w:rPr>
                <w:sz w:val="20"/>
              </w:rPr>
              <w:t>n.a.</w:t>
            </w:r>
          </w:p>
        </w:tc>
        <w:tc>
          <w:tcPr>
            <w:tcW w:w="1449" w:type="dxa"/>
          </w:tcPr>
          <w:p w:rsidR="007F373F" w:rsidRDefault="00000000">
            <w:pPr>
              <w:spacing w:after="0"/>
              <w:jc w:val="right"/>
            </w:pPr>
            <w:r>
              <w:rPr>
                <w:sz w:val="20"/>
              </w:rPr>
              <w:t>4,642</w:t>
            </w:r>
          </w:p>
        </w:tc>
      </w:tr>
    </w:tbl>
    <w:p w:rsidR="007F373F" w:rsidRDefault="00000000">
      <w:pPr>
        <w:spacing w:before="40" w:after="80"/>
      </w:pPr>
      <w:r>
        <w:rPr>
          <w:i/>
          <w:sz w:val="18"/>
        </w:rPr>
        <w:t>Source: Directors’ Reports FY24–FY26 (financial highlights); Fedfina Annual Report 2025-26 inside cover (market capitalisation).</w:t>
      </w:r>
    </w:p>
    <w:p w:rsidR="007F373F" w:rsidRDefault="00000000">
      <w:pPr>
        <w:pStyle w:val="Heading2"/>
      </w:pPr>
      <w:r>
        <w:t>Debt capital markets activity in FY26</w:t>
      </w:r>
    </w:p>
    <w:p w:rsidR="007F373F" w:rsidRDefault="00000000">
      <w:r>
        <w:t>The Board approved fresh NCD issuance of up to ₹2,500 crore on 25 August 2025 and the company issued ₹200 crore of 7.29% secured reset-rate NCDs (6 January 2026), ₹250 crore of 8.85% and ₹200 crore of 8.90% unsecured subordinated Tier II NCDs (24 March 2026). Commercial paper outstanding peaked at ₹1,375 crore during the year (FY25: ₹575 crore). The USD 250 million ECB programme, fully hedged through cross-currency swaps, lifted ECB borrowings from ₹257 crore to ₹2,382 crore. The debenture trustees are Axis Trustee, Beacon Trusteeship and IDBI Trusteeship; the registrar is MUFG Intime India. Appendix D lists all NCDs outstanding.</w:t>
      </w:r>
    </w:p>
    <w:p w:rsidR="007F373F" w:rsidRDefault="00000000">
      <w:pPr>
        <w:pStyle w:val="Heading2"/>
      </w:pPr>
      <w:r>
        <w:t>Credit ratings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070"/>
        <w:gridCol w:w="3589"/>
        <w:gridCol w:w="1380"/>
        <w:gridCol w:w="2691"/>
      </w:tblGrid>
      <w:tr w:rsidR="007F373F">
        <w:trPr>
          <w:jc w:val="center"/>
        </w:trPr>
        <w:tc>
          <w:tcPr>
            <w:tcW w:w="2070" w:type="dxa"/>
          </w:tcPr>
          <w:p w:rsidR="007F373F" w:rsidRDefault="00000000">
            <w:pPr>
              <w:spacing w:after="0"/>
              <w:jc w:val="left"/>
            </w:pPr>
            <w:r>
              <w:rPr>
                <w:b/>
                <w:sz w:val="20"/>
              </w:rPr>
              <w:t>Agency</w:t>
            </w:r>
          </w:p>
        </w:tc>
        <w:tc>
          <w:tcPr>
            <w:tcW w:w="3589" w:type="dxa"/>
          </w:tcPr>
          <w:p w:rsidR="007F373F" w:rsidRDefault="00000000">
            <w:pPr>
              <w:spacing w:after="0"/>
              <w:jc w:val="left"/>
            </w:pPr>
            <w:r>
              <w:rPr>
                <w:b/>
                <w:sz w:val="20"/>
              </w:rPr>
              <w:t>Long-term instruments (bank loans / NCDs / sub-debt)</w:t>
            </w:r>
          </w:p>
        </w:tc>
        <w:tc>
          <w:tcPr>
            <w:tcW w:w="1380" w:type="dxa"/>
          </w:tcPr>
          <w:p w:rsidR="007F373F" w:rsidRDefault="00000000">
            <w:pPr>
              <w:spacing w:after="0"/>
              <w:jc w:val="left"/>
            </w:pPr>
            <w:r>
              <w:rPr>
                <w:b/>
                <w:sz w:val="20"/>
              </w:rPr>
              <w:t>Short-term (CP)</w:t>
            </w:r>
          </w:p>
        </w:tc>
        <w:tc>
          <w:tcPr>
            <w:tcW w:w="2691" w:type="dxa"/>
          </w:tcPr>
          <w:p w:rsidR="007F373F" w:rsidRDefault="00000000">
            <w:pPr>
              <w:spacing w:after="0"/>
              <w:jc w:val="left"/>
            </w:pPr>
            <w:r>
              <w:rPr>
                <w:b/>
                <w:sz w:val="20"/>
              </w:rPr>
              <w:t>Change over study period</w:t>
            </w:r>
          </w:p>
        </w:tc>
      </w:tr>
      <w:tr w:rsidR="007F373F">
        <w:trPr>
          <w:jc w:val="center"/>
        </w:trPr>
        <w:tc>
          <w:tcPr>
            <w:tcW w:w="2070" w:type="dxa"/>
          </w:tcPr>
          <w:p w:rsidR="007F373F" w:rsidRDefault="00000000">
            <w:pPr>
              <w:spacing w:after="0"/>
              <w:jc w:val="left"/>
            </w:pPr>
            <w:r>
              <w:rPr>
                <w:sz w:val="20"/>
              </w:rPr>
              <w:t>CARE Ratings</w:t>
            </w:r>
          </w:p>
        </w:tc>
        <w:tc>
          <w:tcPr>
            <w:tcW w:w="3589" w:type="dxa"/>
          </w:tcPr>
          <w:p w:rsidR="007F373F" w:rsidRDefault="00000000">
            <w:pPr>
              <w:spacing w:after="0"/>
              <w:jc w:val="left"/>
            </w:pPr>
            <w:r>
              <w:rPr>
                <w:sz w:val="20"/>
              </w:rPr>
              <w:t>AA+ / Stable</w:t>
            </w:r>
          </w:p>
        </w:tc>
        <w:tc>
          <w:tcPr>
            <w:tcW w:w="1380" w:type="dxa"/>
          </w:tcPr>
          <w:p w:rsidR="007F373F" w:rsidRDefault="00000000">
            <w:pPr>
              <w:spacing w:after="0"/>
              <w:jc w:val="left"/>
            </w:pPr>
            <w:r>
              <w:rPr>
                <w:sz w:val="20"/>
              </w:rPr>
              <w:t>A1+</w:t>
            </w:r>
          </w:p>
        </w:tc>
        <w:tc>
          <w:tcPr>
            <w:tcW w:w="2691" w:type="dxa"/>
          </w:tcPr>
          <w:p w:rsidR="007F373F" w:rsidRDefault="00000000">
            <w:pPr>
              <w:spacing w:after="0"/>
              <w:jc w:val="left"/>
            </w:pPr>
            <w:r>
              <w:rPr>
                <w:sz w:val="20"/>
              </w:rPr>
              <w:t>Upgraded to AA+/Stable in FY24</w:t>
            </w:r>
          </w:p>
        </w:tc>
      </w:tr>
      <w:tr w:rsidR="007F373F">
        <w:trPr>
          <w:jc w:val="center"/>
        </w:trPr>
        <w:tc>
          <w:tcPr>
            <w:tcW w:w="2070" w:type="dxa"/>
          </w:tcPr>
          <w:p w:rsidR="007F373F" w:rsidRDefault="00000000">
            <w:pPr>
              <w:spacing w:after="0"/>
              <w:jc w:val="left"/>
            </w:pPr>
            <w:r>
              <w:rPr>
                <w:sz w:val="20"/>
              </w:rPr>
              <w:t>CRISIL Ratings</w:t>
            </w:r>
          </w:p>
        </w:tc>
        <w:tc>
          <w:tcPr>
            <w:tcW w:w="3589" w:type="dxa"/>
          </w:tcPr>
          <w:p w:rsidR="007F373F" w:rsidRDefault="00000000">
            <w:pPr>
              <w:spacing w:after="0"/>
              <w:jc w:val="left"/>
            </w:pPr>
            <w:r>
              <w:rPr>
                <w:sz w:val="20"/>
              </w:rPr>
              <w:t>AA+ / Stable</w:t>
            </w:r>
          </w:p>
        </w:tc>
        <w:tc>
          <w:tcPr>
            <w:tcW w:w="1380" w:type="dxa"/>
          </w:tcPr>
          <w:p w:rsidR="007F373F" w:rsidRDefault="00000000">
            <w:pPr>
              <w:spacing w:after="0"/>
              <w:jc w:val="left"/>
            </w:pPr>
            <w:r>
              <w:rPr>
                <w:sz w:val="20"/>
              </w:rPr>
              <w:t>A1+</w:t>
            </w:r>
          </w:p>
        </w:tc>
        <w:tc>
          <w:tcPr>
            <w:tcW w:w="2691" w:type="dxa"/>
          </w:tcPr>
          <w:p w:rsidR="007F373F" w:rsidRDefault="00000000">
            <w:pPr>
              <w:spacing w:after="0"/>
              <w:jc w:val="left"/>
            </w:pPr>
            <w:r>
              <w:rPr>
                <w:sz w:val="20"/>
              </w:rPr>
              <w:t>AA/Positive in FY24 → AA+/Stable</w:t>
            </w:r>
          </w:p>
        </w:tc>
      </w:tr>
      <w:tr w:rsidR="007F373F">
        <w:trPr>
          <w:jc w:val="center"/>
        </w:trPr>
        <w:tc>
          <w:tcPr>
            <w:tcW w:w="2070" w:type="dxa"/>
          </w:tcPr>
          <w:p w:rsidR="007F373F" w:rsidRDefault="00000000">
            <w:pPr>
              <w:spacing w:after="0"/>
              <w:jc w:val="left"/>
            </w:pPr>
            <w:r>
              <w:rPr>
                <w:sz w:val="20"/>
              </w:rPr>
              <w:t>India Ratings &amp; Research</w:t>
            </w:r>
          </w:p>
        </w:tc>
        <w:tc>
          <w:tcPr>
            <w:tcW w:w="3589" w:type="dxa"/>
          </w:tcPr>
          <w:p w:rsidR="007F373F" w:rsidRDefault="00000000">
            <w:pPr>
              <w:spacing w:after="0"/>
              <w:jc w:val="left"/>
            </w:pPr>
            <w:r>
              <w:rPr>
                <w:sz w:val="20"/>
              </w:rPr>
              <w:t>AA+ / Stable</w:t>
            </w:r>
          </w:p>
        </w:tc>
        <w:tc>
          <w:tcPr>
            <w:tcW w:w="1380" w:type="dxa"/>
          </w:tcPr>
          <w:p w:rsidR="007F373F" w:rsidRDefault="00000000">
            <w:pPr>
              <w:spacing w:after="0"/>
              <w:jc w:val="left"/>
            </w:pPr>
            <w:r>
              <w:rPr>
                <w:sz w:val="20"/>
              </w:rPr>
              <w:t>A1+</w:t>
            </w:r>
          </w:p>
        </w:tc>
        <w:tc>
          <w:tcPr>
            <w:tcW w:w="2691" w:type="dxa"/>
          </w:tcPr>
          <w:p w:rsidR="007F373F" w:rsidRDefault="00000000">
            <w:pPr>
              <w:spacing w:after="0"/>
              <w:jc w:val="left"/>
            </w:pPr>
            <w:r>
              <w:rPr>
                <w:sz w:val="20"/>
              </w:rPr>
              <w:t>AA+/Stable since FY24</w:t>
            </w:r>
          </w:p>
        </w:tc>
      </w:tr>
      <w:tr w:rsidR="007F373F">
        <w:trPr>
          <w:jc w:val="center"/>
        </w:trPr>
        <w:tc>
          <w:tcPr>
            <w:tcW w:w="2070" w:type="dxa"/>
          </w:tcPr>
          <w:p w:rsidR="007F373F" w:rsidRDefault="00000000">
            <w:pPr>
              <w:spacing w:after="0"/>
              <w:jc w:val="left"/>
            </w:pPr>
            <w:r>
              <w:rPr>
                <w:sz w:val="20"/>
              </w:rPr>
              <w:t>ICRA</w:t>
            </w:r>
          </w:p>
        </w:tc>
        <w:tc>
          <w:tcPr>
            <w:tcW w:w="3589" w:type="dxa"/>
          </w:tcPr>
          <w:p w:rsidR="007F373F" w:rsidRDefault="00000000">
            <w:pPr>
              <w:spacing w:after="0"/>
              <w:jc w:val="left"/>
            </w:pPr>
            <w:r>
              <w:rPr>
                <w:sz w:val="20"/>
              </w:rPr>
              <w:t>AA+ / Stable</w:t>
            </w:r>
          </w:p>
        </w:tc>
        <w:tc>
          <w:tcPr>
            <w:tcW w:w="1380" w:type="dxa"/>
          </w:tcPr>
          <w:p w:rsidR="007F373F" w:rsidRDefault="00000000">
            <w:pPr>
              <w:spacing w:after="0"/>
              <w:jc w:val="left"/>
            </w:pPr>
            <w:r>
              <w:rPr>
                <w:sz w:val="20"/>
              </w:rPr>
              <w:t>A1+</w:t>
            </w:r>
          </w:p>
        </w:tc>
        <w:tc>
          <w:tcPr>
            <w:tcW w:w="2691" w:type="dxa"/>
          </w:tcPr>
          <w:p w:rsidR="007F373F" w:rsidRDefault="00000000">
            <w:pPr>
              <w:spacing w:after="0"/>
              <w:jc w:val="left"/>
            </w:pPr>
            <w:r>
              <w:rPr>
                <w:sz w:val="20"/>
              </w:rPr>
              <w:t>Added as fourth agency</w:t>
            </w:r>
          </w:p>
        </w:tc>
      </w:tr>
    </w:tbl>
    <w:p w:rsidR="007F373F" w:rsidRDefault="00000000">
      <w:pPr>
        <w:spacing w:before="40" w:after="80"/>
      </w:pPr>
      <w:r>
        <w:rPr>
          <w:i/>
          <w:sz w:val="18"/>
        </w:rPr>
        <w:t>Source: Fedfina Annual Report 2025-26, Report on Corporate Governance – credit ratings; Fedfina Annual Report 2023-24 journey page (FY24 ratings).</w:t>
      </w:r>
    </w:p>
    <w:p w:rsidR="007F373F" w:rsidRDefault="00000000">
      <w:r>
        <w:t xml:space="preserve">Four AA+/Stable ratings place Fedfina one notch below the AAA enjoyed by the largest NBFCs and bank-backed lenders, and give it access to mutual funds, insurers and pension funds for its NCDs and </w:t>
      </w:r>
      <w:r>
        <w:lastRenderedPageBreak/>
        <w:t>CP. The rating headroom is important for the funding-cost analysis in Chapter 5: any downgrade would raise the cost of the 13% of debt that is market-sourced and could restrict CP access.</w:t>
      </w:r>
    </w:p>
    <w:p w:rsidR="007F373F" w:rsidRDefault="00000000">
      <w:pPr>
        <w:pStyle w:val="Heading1"/>
        <w:pageBreakBefore/>
      </w:pPr>
      <w:r>
        <w:lastRenderedPageBreak/>
        <w:t>Chapter 4 — Product Portfolio Overview</w:t>
      </w:r>
    </w:p>
    <w:p w:rsidR="007F373F" w:rsidRDefault="00000000">
      <w:r>
        <w:t>Fedfina offers four products: gold loans, medium-ticket loans against property (MT LAP), small-ticket loans against property and housing loans (ST LAP + HL), and – until its discontinuation in December 2024 – unsecured business loans. The table summarises the FY26 key numbers for each product exactly as disclosed on the product pages of the FY26 annual report, followed by the five-year disbursement trend.</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070"/>
        <w:gridCol w:w="1380"/>
        <w:gridCol w:w="1242"/>
        <w:gridCol w:w="1518"/>
        <w:gridCol w:w="1104"/>
        <w:gridCol w:w="2415"/>
      </w:tblGrid>
      <w:tr w:rsidR="007F373F">
        <w:trPr>
          <w:jc w:val="center"/>
        </w:trPr>
        <w:tc>
          <w:tcPr>
            <w:tcW w:w="2070" w:type="dxa"/>
          </w:tcPr>
          <w:p w:rsidR="007F373F" w:rsidRDefault="00000000">
            <w:pPr>
              <w:spacing w:after="0"/>
              <w:jc w:val="left"/>
            </w:pPr>
            <w:r>
              <w:rPr>
                <w:b/>
                <w:sz w:val="19"/>
              </w:rPr>
              <w:t>Product</w:t>
            </w:r>
          </w:p>
        </w:tc>
        <w:tc>
          <w:tcPr>
            <w:tcW w:w="1380" w:type="dxa"/>
          </w:tcPr>
          <w:p w:rsidR="007F373F" w:rsidRDefault="00000000">
            <w:pPr>
              <w:spacing w:after="0"/>
              <w:jc w:val="left"/>
            </w:pPr>
            <w:r>
              <w:rPr>
                <w:b/>
                <w:sz w:val="19"/>
              </w:rPr>
              <w:t>AUM 31 Mar 2026 (₹ cr)</w:t>
            </w:r>
          </w:p>
        </w:tc>
        <w:tc>
          <w:tcPr>
            <w:tcW w:w="1242" w:type="dxa"/>
          </w:tcPr>
          <w:p w:rsidR="007F373F" w:rsidRDefault="00000000">
            <w:pPr>
              <w:spacing w:after="0"/>
              <w:jc w:val="left"/>
            </w:pPr>
            <w:r>
              <w:rPr>
                <w:b/>
                <w:sz w:val="19"/>
              </w:rPr>
              <w:t>Share of AUM</w:t>
            </w:r>
          </w:p>
        </w:tc>
        <w:tc>
          <w:tcPr>
            <w:tcW w:w="1518" w:type="dxa"/>
          </w:tcPr>
          <w:p w:rsidR="007F373F" w:rsidRDefault="00000000">
            <w:pPr>
              <w:spacing w:after="0"/>
              <w:jc w:val="left"/>
            </w:pPr>
            <w:r>
              <w:rPr>
                <w:b/>
                <w:sz w:val="19"/>
              </w:rPr>
              <w:t>FY26 disbursements (₹ cr)</w:t>
            </w:r>
          </w:p>
        </w:tc>
        <w:tc>
          <w:tcPr>
            <w:tcW w:w="1104" w:type="dxa"/>
          </w:tcPr>
          <w:p w:rsidR="007F373F" w:rsidRDefault="00000000">
            <w:pPr>
              <w:spacing w:after="0"/>
              <w:jc w:val="left"/>
            </w:pPr>
            <w:r>
              <w:rPr>
                <w:b/>
                <w:sz w:val="19"/>
              </w:rPr>
              <w:t>Average ticket</w:t>
            </w:r>
          </w:p>
        </w:tc>
        <w:tc>
          <w:tcPr>
            <w:tcW w:w="2415" w:type="dxa"/>
          </w:tcPr>
          <w:p w:rsidR="007F373F" w:rsidRDefault="00000000">
            <w:pPr>
              <w:spacing w:after="0"/>
              <w:jc w:val="left"/>
            </w:pPr>
            <w:r>
              <w:rPr>
                <w:b/>
                <w:sz w:val="19"/>
              </w:rPr>
              <w:t>Growth drivers cited</w:t>
            </w:r>
          </w:p>
        </w:tc>
      </w:tr>
      <w:tr w:rsidR="007F373F">
        <w:trPr>
          <w:jc w:val="center"/>
        </w:trPr>
        <w:tc>
          <w:tcPr>
            <w:tcW w:w="2070" w:type="dxa"/>
          </w:tcPr>
          <w:p w:rsidR="007F373F" w:rsidRDefault="00000000">
            <w:pPr>
              <w:spacing w:after="0"/>
              <w:jc w:val="left"/>
            </w:pPr>
            <w:r>
              <w:rPr>
                <w:sz w:val="19"/>
              </w:rPr>
              <w:t>Gold loans</w:t>
            </w:r>
          </w:p>
        </w:tc>
        <w:tc>
          <w:tcPr>
            <w:tcW w:w="1380" w:type="dxa"/>
          </w:tcPr>
          <w:p w:rsidR="007F373F" w:rsidRDefault="00000000">
            <w:pPr>
              <w:spacing w:after="0"/>
              <w:jc w:val="right"/>
            </w:pPr>
            <w:r>
              <w:rPr>
                <w:sz w:val="19"/>
              </w:rPr>
              <w:t>10,352</w:t>
            </w:r>
          </w:p>
        </w:tc>
        <w:tc>
          <w:tcPr>
            <w:tcW w:w="1242" w:type="dxa"/>
          </w:tcPr>
          <w:p w:rsidR="007F373F" w:rsidRDefault="00000000">
            <w:pPr>
              <w:spacing w:after="0"/>
              <w:jc w:val="right"/>
            </w:pPr>
            <w:r>
              <w:rPr>
                <w:sz w:val="19"/>
              </w:rPr>
              <w:t>51.4%</w:t>
            </w:r>
          </w:p>
        </w:tc>
        <w:tc>
          <w:tcPr>
            <w:tcW w:w="1518" w:type="dxa"/>
          </w:tcPr>
          <w:p w:rsidR="007F373F" w:rsidRDefault="00000000">
            <w:pPr>
              <w:spacing w:after="0"/>
              <w:jc w:val="right"/>
            </w:pPr>
            <w:r>
              <w:rPr>
                <w:sz w:val="19"/>
              </w:rPr>
              <w:t>28,326</w:t>
            </w:r>
          </w:p>
        </w:tc>
        <w:tc>
          <w:tcPr>
            <w:tcW w:w="1104" w:type="dxa"/>
          </w:tcPr>
          <w:p w:rsidR="007F373F" w:rsidRDefault="00000000">
            <w:pPr>
              <w:spacing w:after="0"/>
              <w:jc w:val="left"/>
            </w:pPr>
            <w:r>
              <w:rPr>
                <w:sz w:val="19"/>
              </w:rPr>
              <w:t>₹2.7 lakh</w:t>
            </w:r>
          </w:p>
        </w:tc>
        <w:tc>
          <w:tcPr>
            <w:tcW w:w="2415" w:type="dxa"/>
          </w:tcPr>
          <w:p w:rsidR="007F373F" w:rsidRDefault="00000000">
            <w:pPr>
              <w:spacing w:after="0"/>
              <w:jc w:val="left"/>
            </w:pPr>
            <w:r>
              <w:rPr>
                <w:sz w:val="19"/>
              </w:rPr>
              <w:t>Gold price rally; shift to secured credit; branch expansion; doorstep channel; co-lending</w:t>
            </w:r>
          </w:p>
        </w:tc>
      </w:tr>
      <w:tr w:rsidR="007F373F">
        <w:trPr>
          <w:jc w:val="center"/>
        </w:trPr>
        <w:tc>
          <w:tcPr>
            <w:tcW w:w="2070" w:type="dxa"/>
          </w:tcPr>
          <w:p w:rsidR="007F373F" w:rsidRDefault="00000000">
            <w:pPr>
              <w:spacing w:after="0"/>
              <w:jc w:val="left"/>
            </w:pPr>
            <w:r>
              <w:rPr>
                <w:sz w:val="19"/>
              </w:rPr>
              <w:t>Medium-ticket LAP</w:t>
            </w:r>
          </w:p>
        </w:tc>
        <w:tc>
          <w:tcPr>
            <w:tcW w:w="1380" w:type="dxa"/>
          </w:tcPr>
          <w:p w:rsidR="007F373F" w:rsidRDefault="00000000">
            <w:pPr>
              <w:spacing w:after="0"/>
              <w:jc w:val="right"/>
            </w:pPr>
            <w:r>
              <w:rPr>
                <w:sz w:val="19"/>
              </w:rPr>
              <w:t>5,570</w:t>
            </w:r>
          </w:p>
        </w:tc>
        <w:tc>
          <w:tcPr>
            <w:tcW w:w="1242" w:type="dxa"/>
          </w:tcPr>
          <w:p w:rsidR="007F373F" w:rsidRDefault="00000000">
            <w:pPr>
              <w:spacing w:after="0"/>
              <w:jc w:val="right"/>
            </w:pPr>
            <w:r>
              <w:rPr>
                <w:sz w:val="19"/>
              </w:rPr>
              <w:t>27.6%</w:t>
            </w:r>
          </w:p>
        </w:tc>
        <w:tc>
          <w:tcPr>
            <w:tcW w:w="1518" w:type="dxa"/>
          </w:tcPr>
          <w:p w:rsidR="007F373F" w:rsidRDefault="00000000">
            <w:pPr>
              <w:spacing w:after="0"/>
              <w:jc w:val="right"/>
            </w:pPr>
            <w:r>
              <w:rPr>
                <w:sz w:val="19"/>
              </w:rPr>
              <w:t>2,180</w:t>
            </w:r>
          </w:p>
        </w:tc>
        <w:tc>
          <w:tcPr>
            <w:tcW w:w="1104" w:type="dxa"/>
          </w:tcPr>
          <w:p w:rsidR="007F373F" w:rsidRDefault="00000000">
            <w:pPr>
              <w:spacing w:after="0"/>
              <w:jc w:val="left"/>
            </w:pPr>
            <w:r>
              <w:rPr>
                <w:sz w:val="19"/>
              </w:rPr>
              <w:t>₹72.4 lakh</w:t>
            </w:r>
          </w:p>
        </w:tc>
        <w:tc>
          <w:tcPr>
            <w:tcW w:w="2415" w:type="dxa"/>
          </w:tcPr>
          <w:p w:rsidR="007F373F" w:rsidRDefault="00000000">
            <w:pPr>
              <w:spacing w:after="0"/>
              <w:jc w:val="left"/>
            </w:pPr>
            <w:r>
              <w:rPr>
                <w:sz w:val="19"/>
              </w:rPr>
              <w:t>MSME demand; property-led wealth effect; Tier 2–3 growth; digital underwriting</w:t>
            </w:r>
          </w:p>
        </w:tc>
      </w:tr>
      <w:tr w:rsidR="007F373F">
        <w:trPr>
          <w:jc w:val="center"/>
        </w:trPr>
        <w:tc>
          <w:tcPr>
            <w:tcW w:w="2070" w:type="dxa"/>
          </w:tcPr>
          <w:p w:rsidR="007F373F" w:rsidRDefault="00000000">
            <w:pPr>
              <w:spacing w:after="0"/>
              <w:jc w:val="left"/>
            </w:pPr>
            <w:r>
              <w:rPr>
                <w:sz w:val="19"/>
              </w:rPr>
              <w:t>Small-ticket LAP and housing loans</w:t>
            </w:r>
          </w:p>
        </w:tc>
        <w:tc>
          <w:tcPr>
            <w:tcW w:w="1380" w:type="dxa"/>
          </w:tcPr>
          <w:p w:rsidR="007F373F" w:rsidRDefault="00000000">
            <w:pPr>
              <w:spacing w:after="0"/>
              <w:jc w:val="right"/>
            </w:pPr>
            <w:r>
              <w:rPr>
                <w:sz w:val="19"/>
              </w:rPr>
              <w:t>3,792</w:t>
            </w:r>
          </w:p>
        </w:tc>
        <w:tc>
          <w:tcPr>
            <w:tcW w:w="1242" w:type="dxa"/>
          </w:tcPr>
          <w:p w:rsidR="007F373F" w:rsidRDefault="00000000">
            <w:pPr>
              <w:spacing w:after="0"/>
              <w:jc w:val="right"/>
            </w:pPr>
            <w:r>
              <w:rPr>
                <w:sz w:val="19"/>
              </w:rPr>
              <w:t>18.8%</w:t>
            </w:r>
          </w:p>
        </w:tc>
        <w:tc>
          <w:tcPr>
            <w:tcW w:w="1518" w:type="dxa"/>
          </w:tcPr>
          <w:p w:rsidR="007F373F" w:rsidRDefault="00000000">
            <w:pPr>
              <w:spacing w:after="0"/>
              <w:jc w:val="right"/>
            </w:pPr>
            <w:r>
              <w:rPr>
                <w:sz w:val="19"/>
              </w:rPr>
              <w:t>904</w:t>
            </w:r>
          </w:p>
        </w:tc>
        <w:tc>
          <w:tcPr>
            <w:tcW w:w="1104" w:type="dxa"/>
          </w:tcPr>
          <w:p w:rsidR="007F373F" w:rsidRDefault="00000000">
            <w:pPr>
              <w:spacing w:after="0"/>
              <w:jc w:val="left"/>
            </w:pPr>
            <w:r>
              <w:rPr>
                <w:sz w:val="19"/>
              </w:rPr>
              <w:t>₹16.1 lakh</w:t>
            </w:r>
          </w:p>
        </w:tc>
        <w:tc>
          <w:tcPr>
            <w:tcW w:w="2415" w:type="dxa"/>
          </w:tcPr>
          <w:p w:rsidR="007F373F" w:rsidRDefault="00000000">
            <w:pPr>
              <w:spacing w:after="0"/>
              <w:jc w:val="left"/>
            </w:pPr>
            <w:r>
              <w:rPr>
                <w:sz w:val="19"/>
              </w:rPr>
              <w:t>Softening rates; affordable-housing demand; self-employed/informal-income reach; branch co-location</w:t>
            </w:r>
          </w:p>
        </w:tc>
      </w:tr>
      <w:tr w:rsidR="007F373F">
        <w:trPr>
          <w:jc w:val="center"/>
        </w:trPr>
        <w:tc>
          <w:tcPr>
            <w:tcW w:w="2070" w:type="dxa"/>
          </w:tcPr>
          <w:p w:rsidR="007F373F" w:rsidRDefault="00000000">
            <w:pPr>
              <w:spacing w:after="0"/>
              <w:jc w:val="left"/>
            </w:pPr>
            <w:r>
              <w:rPr>
                <w:sz w:val="19"/>
              </w:rPr>
              <w:t>Business loans (legacy, on book)</w:t>
            </w:r>
          </w:p>
        </w:tc>
        <w:tc>
          <w:tcPr>
            <w:tcW w:w="1380" w:type="dxa"/>
          </w:tcPr>
          <w:p w:rsidR="007F373F" w:rsidRDefault="00000000">
            <w:pPr>
              <w:spacing w:after="0"/>
              <w:jc w:val="left"/>
            </w:pPr>
            <w:r>
              <w:rPr>
                <w:sz w:val="19"/>
              </w:rPr>
              <w:t>≈ 48</w:t>
            </w:r>
          </w:p>
        </w:tc>
        <w:tc>
          <w:tcPr>
            <w:tcW w:w="1242" w:type="dxa"/>
          </w:tcPr>
          <w:p w:rsidR="007F373F" w:rsidRDefault="00000000">
            <w:pPr>
              <w:spacing w:after="0"/>
              <w:jc w:val="left"/>
            </w:pPr>
            <w:r>
              <w:rPr>
                <w:sz w:val="19"/>
              </w:rPr>
              <w:t>0.4% (unsecured ≈ 2%)</w:t>
            </w:r>
          </w:p>
        </w:tc>
        <w:tc>
          <w:tcPr>
            <w:tcW w:w="1518" w:type="dxa"/>
          </w:tcPr>
          <w:p w:rsidR="007F373F" w:rsidRDefault="00000000">
            <w:pPr>
              <w:spacing w:after="0"/>
              <w:jc w:val="left"/>
            </w:pPr>
            <w:r>
              <w:rPr>
                <w:sz w:val="19"/>
              </w:rPr>
              <w:t>nil</w:t>
            </w:r>
          </w:p>
        </w:tc>
        <w:tc>
          <w:tcPr>
            <w:tcW w:w="1104" w:type="dxa"/>
          </w:tcPr>
          <w:p w:rsidR="007F373F" w:rsidRDefault="00000000">
            <w:pPr>
              <w:spacing w:after="0"/>
              <w:jc w:val="right"/>
            </w:pPr>
            <w:r>
              <w:rPr>
                <w:sz w:val="19"/>
              </w:rPr>
              <w:t>–</w:t>
            </w:r>
          </w:p>
        </w:tc>
        <w:tc>
          <w:tcPr>
            <w:tcW w:w="2415" w:type="dxa"/>
          </w:tcPr>
          <w:p w:rsidR="007F373F" w:rsidRDefault="00000000">
            <w:pPr>
              <w:spacing w:after="0"/>
              <w:jc w:val="left"/>
            </w:pPr>
            <w:r>
              <w:rPr>
                <w:sz w:val="19"/>
              </w:rPr>
              <w:t>Phased down under Fedfina 2.0; ₹886 crore assigned</w:t>
            </w:r>
          </w:p>
        </w:tc>
      </w:tr>
      <w:tr w:rsidR="007F373F">
        <w:trPr>
          <w:jc w:val="center"/>
        </w:trPr>
        <w:tc>
          <w:tcPr>
            <w:tcW w:w="2070" w:type="dxa"/>
          </w:tcPr>
          <w:p w:rsidR="007F373F" w:rsidRDefault="00000000">
            <w:pPr>
              <w:spacing w:after="0"/>
              <w:jc w:val="left"/>
            </w:pPr>
            <w:r>
              <w:rPr>
                <w:sz w:val="19"/>
              </w:rPr>
              <w:t>Total</w:t>
            </w:r>
          </w:p>
        </w:tc>
        <w:tc>
          <w:tcPr>
            <w:tcW w:w="1380" w:type="dxa"/>
          </w:tcPr>
          <w:p w:rsidR="007F373F" w:rsidRDefault="00000000">
            <w:pPr>
              <w:spacing w:after="0"/>
              <w:jc w:val="right"/>
            </w:pPr>
            <w:r>
              <w:rPr>
                <w:sz w:val="19"/>
              </w:rPr>
              <w:t>20,153</w:t>
            </w:r>
          </w:p>
        </w:tc>
        <w:tc>
          <w:tcPr>
            <w:tcW w:w="1242" w:type="dxa"/>
          </w:tcPr>
          <w:p w:rsidR="007F373F" w:rsidRDefault="00000000">
            <w:pPr>
              <w:spacing w:after="0"/>
              <w:jc w:val="right"/>
            </w:pPr>
            <w:r>
              <w:rPr>
                <w:sz w:val="19"/>
              </w:rPr>
              <w:t>100%</w:t>
            </w:r>
          </w:p>
        </w:tc>
        <w:tc>
          <w:tcPr>
            <w:tcW w:w="1518" w:type="dxa"/>
          </w:tcPr>
          <w:p w:rsidR="007F373F" w:rsidRDefault="00000000">
            <w:pPr>
              <w:spacing w:after="0"/>
              <w:jc w:val="right"/>
            </w:pPr>
            <w:r>
              <w:rPr>
                <w:sz w:val="19"/>
              </w:rPr>
              <w:t>31,410</w:t>
            </w:r>
          </w:p>
        </w:tc>
        <w:tc>
          <w:tcPr>
            <w:tcW w:w="1104" w:type="dxa"/>
          </w:tcPr>
          <w:p w:rsidR="007F373F" w:rsidRDefault="007F373F">
            <w:pPr>
              <w:spacing w:after="0"/>
              <w:jc w:val="left"/>
            </w:pPr>
          </w:p>
        </w:tc>
        <w:tc>
          <w:tcPr>
            <w:tcW w:w="2415" w:type="dxa"/>
          </w:tcPr>
          <w:p w:rsidR="007F373F" w:rsidRDefault="00000000">
            <w:pPr>
              <w:spacing w:after="0"/>
              <w:jc w:val="left"/>
            </w:pPr>
            <w:r>
              <w:rPr>
                <w:sz w:val="19"/>
              </w:rPr>
              <w:t>AUM +27.5%; disbursements +67%</w:t>
            </w:r>
          </w:p>
        </w:tc>
      </w:tr>
    </w:tbl>
    <w:p w:rsidR="007F373F" w:rsidRDefault="00000000">
      <w:pPr>
        <w:spacing w:before="40" w:after="80"/>
      </w:pPr>
      <w:r>
        <w:rPr>
          <w:i/>
          <w:sz w:val="18"/>
        </w:rPr>
        <w:t>Source: Fedfina Annual Report 2025-26, product pages p.10–13 and Key Highlights p.2–3; Directors’ Report (total disbursements ₹31,41,014 lakh). Shares sum to 98.2% because the residual is business loans/other.</w:t>
      </w:r>
    </w:p>
    <w:p w:rsidR="007F373F" w:rsidRDefault="00000000">
      <w:pPr>
        <w:spacing w:after="0"/>
        <w:jc w:val="center"/>
      </w:pPr>
      <w:r>
        <w:rPr>
          <w:noProof/>
        </w:rPr>
        <w:drawing>
          <wp:inline distT="0" distB="0" distL="0" distR="0">
            <wp:extent cx="5120640" cy="193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b.png"/>
                    <pic:cNvPicPr/>
                  </pic:nvPicPr>
                  <pic:blipFill>
                    <a:blip r:embed="rId14"/>
                    <a:stretch>
                      <a:fillRect/>
                    </a:stretch>
                  </pic:blipFill>
                  <pic:spPr>
                    <a:xfrm>
                      <a:off x="0" y="0"/>
                      <a:ext cx="5120640" cy="1939636"/>
                    </a:xfrm>
                    <a:prstGeom prst="rect">
                      <a:avLst/>
                    </a:prstGeom>
                  </pic:spPr>
                </pic:pic>
              </a:graphicData>
            </a:graphic>
          </wp:inline>
        </w:drawing>
      </w:r>
    </w:p>
    <w:p w:rsidR="007F373F" w:rsidRDefault="00000000">
      <w:pPr>
        <w:spacing w:after="80"/>
        <w:jc w:val="center"/>
      </w:pPr>
      <w:r>
        <w:rPr>
          <w:i/>
          <w:sz w:val="18"/>
        </w:rPr>
        <w:t>Figure 10 – Disbursements by product, FY22–FY26 (₹ crore). Source: Fedfina Annual Report 2025-26, five-year product disbursement charts (Corporate Overview); FY22–FY24 cross-checked with Fedfina Annual Report 2023-24.</w:t>
      </w:r>
    </w:p>
    <w:p w:rsidR="007F373F" w:rsidRDefault="00000000">
      <w:r>
        <w:t>The chart makes the shift visible. Gold disbursements rose from ₹5,515 crore in FY22 to ₹28,326 crore in FY26 (51% CAGR, derived), 90% of all disbursements – though short-tenor gold volume adds less AUM than equal mortgage volume. MT LAP disbursements quadrupled between FY22 and FY25 before a 5% pause in FY26; ST LAP peaked at ₹1,475 crore in FY24 and was cut to ₹1,004 crore and ₹904 crore during the rebuild. Total FY26 disbursements of ₹31,410 crore were 67% above FY25 (₹18,787 crore) and 2.3x FY24 (₹13,578 crore).</w:t>
      </w:r>
    </w:p>
    <w:p w:rsidR="007F373F" w:rsidRDefault="00000000">
      <w:pPr>
        <w:pStyle w:val="Heading1"/>
        <w:pageBreakBefore/>
      </w:pPr>
      <w:r>
        <w:lastRenderedPageBreak/>
        <w:t>Gold Loans: Performance Review</w:t>
      </w:r>
    </w:p>
    <w:p w:rsidR="007F373F" w:rsidRDefault="00000000">
      <w:r>
        <w:t>Gold loans became Fedfina’s largest product in FY26. AUM grew 76% to ₹10,352 crore and crossed the ₹10,000 crore mark for the first time; gold under custody rose 12% to 12.6 tonnes; disbursements nearly doubled to ₹28,326 crore; and the product contributed 51.4% of AUM against 32.6% two years earlier. Gold-backed loans were 46.93% of total assets at 31 March 2026 (FY25: 35.85%) – a regulatory disclosure that also marks the scale of the shift.</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312"/>
        <w:gridCol w:w="1242"/>
        <w:gridCol w:w="2069"/>
        <w:gridCol w:w="1655"/>
        <w:gridCol w:w="1608"/>
      </w:tblGrid>
      <w:tr w:rsidR="007F373F">
        <w:trPr>
          <w:jc w:val="center"/>
        </w:trPr>
        <w:tc>
          <w:tcPr>
            <w:tcW w:w="3313" w:type="dxa"/>
          </w:tcPr>
          <w:p w:rsidR="007F373F" w:rsidRDefault="00000000">
            <w:pPr>
              <w:spacing w:after="0"/>
              <w:jc w:val="left"/>
            </w:pPr>
            <w:r>
              <w:rPr>
                <w:b/>
                <w:sz w:val="19"/>
              </w:rPr>
              <w:t>Metric</w:t>
            </w:r>
          </w:p>
        </w:tc>
        <w:tc>
          <w:tcPr>
            <w:tcW w:w="1242" w:type="dxa"/>
          </w:tcPr>
          <w:p w:rsidR="007F373F" w:rsidRDefault="00000000">
            <w:pPr>
              <w:spacing w:after="0"/>
              <w:jc w:val="left"/>
            </w:pPr>
            <w:r>
              <w:rPr>
                <w:b/>
                <w:sz w:val="19"/>
              </w:rPr>
              <w:t>FY24</w:t>
            </w:r>
          </w:p>
        </w:tc>
        <w:tc>
          <w:tcPr>
            <w:tcW w:w="2070" w:type="dxa"/>
          </w:tcPr>
          <w:p w:rsidR="007F373F" w:rsidRDefault="00000000">
            <w:pPr>
              <w:spacing w:after="0"/>
              <w:jc w:val="left"/>
            </w:pPr>
            <w:r>
              <w:rPr>
                <w:b/>
                <w:sz w:val="19"/>
              </w:rPr>
              <w:t>FY25</w:t>
            </w:r>
          </w:p>
        </w:tc>
        <w:tc>
          <w:tcPr>
            <w:tcW w:w="1656" w:type="dxa"/>
          </w:tcPr>
          <w:p w:rsidR="007F373F" w:rsidRDefault="00000000">
            <w:pPr>
              <w:spacing w:after="0"/>
              <w:jc w:val="left"/>
            </w:pPr>
            <w:r>
              <w:rPr>
                <w:b/>
                <w:sz w:val="19"/>
              </w:rPr>
              <w:t>FY26</w:t>
            </w:r>
          </w:p>
        </w:tc>
        <w:tc>
          <w:tcPr>
            <w:tcW w:w="1449" w:type="dxa"/>
          </w:tcPr>
          <w:p w:rsidR="007F373F" w:rsidRDefault="00000000">
            <w:pPr>
              <w:spacing w:after="0"/>
              <w:jc w:val="left"/>
            </w:pPr>
            <w:r>
              <w:rPr>
                <w:b/>
                <w:sz w:val="19"/>
              </w:rPr>
              <w:t>Source</w:t>
            </w:r>
          </w:p>
        </w:tc>
      </w:tr>
      <w:tr w:rsidR="007F373F">
        <w:trPr>
          <w:jc w:val="center"/>
        </w:trPr>
        <w:tc>
          <w:tcPr>
            <w:tcW w:w="3313" w:type="dxa"/>
          </w:tcPr>
          <w:p w:rsidR="007F373F" w:rsidRDefault="00000000">
            <w:pPr>
              <w:spacing w:after="0"/>
              <w:jc w:val="left"/>
            </w:pPr>
            <w:r>
              <w:rPr>
                <w:sz w:val="19"/>
              </w:rPr>
              <w:t>Gold AUM (₹ crore)</w:t>
            </w:r>
          </w:p>
        </w:tc>
        <w:tc>
          <w:tcPr>
            <w:tcW w:w="1242" w:type="dxa"/>
          </w:tcPr>
          <w:p w:rsidR="007F373F" w:rsidRDefault="00000000">
            <w:pPr>
              <w:spacing w:after="0"/>
              <w:jc w:val="right"/>
            </w:pPr>
            <w:r>
              <w:rPr>
                <w:sz w:val="19"/>
              </w:rPr>
              <w:t>3,969</w:t>
            </w:r>
          </w:p>
        </w:tc>
        <w:tc>
          <w:tcPr>
            <w:tcW w:w="2070" w:type="dxa"/>
          </w:tcPr>
          <w:p w:rsidR="007F373F" w:rsidRDefault="00000000">
            <w:pPr>
              <w:spacing w:after="0"/>
              <w:jc w:val="right"/>
            </w:pPr>
            <w:r>
              <w:rPr>
                <w:sz w:val="19"/>
              </w:rPr>
              <w:t>5,880</w:t>
            </w:r>
          </w:p>
        </w:tc>
        <w:tc>
          <w:tcPr>
            <w:tcW w:w="1656" w:type="dxa"/>
          </w:tcPr>
          <w:p w:rsidR="007F373F" w:rsidRDefault="00000000">
            <w:pPr>
              <w:spacing w:after="0"/>
              <w:jc w:val="right"/>
            </w:pPr>
            <w:r>
              <w:rPr>
                <w:sz w:val="19"/>
              </w:rPr>
              <w:t>10,352</w:t>
            </w:r>
          </w:p>
        </w:tc>
        <w:tc>
          <w:tcPr>
            <w:tcW w:w="1449" w:type="dxa"/>
          </w:tcPr>
          <w:p w:rsidR="007F373F" w:rsidRDefault="00000000">
            <w:pPr>
              <w:spacing w:after="0"/>
              <w:jc w:val="left"/>
            </w:pPr>
            <w:r>
              <w:rPr>
                <w:sz w:val="19"/>
              </w:rPr>
              <w:t>AR24 MD&amp;A; AR25 CEO letter; AR26 p.10</w:t>
            </w:r>
          </w:p>
        </w:tc>
      </w:tr>
      <w:tr w:rsidR="007F373F">
        <w:trPr>
          <w:jc w:val="center"/>
        </w:trPr>
        <w:tc>
          <w:tcPr>
            <w:tcW w:w="3313" w:type="dxa"/>
          </w:tcPr>
          <w:p w:rsidR="007F373F" w:rsidRDefault="00000000">
            <w:pPr>
              <w:spacing w:after="0"/>
              <w:jc w:val="left"/>
            </w:pPr>
            <w:r>
              <w:rPr>
                <w:sz w:val="19"/>
              </w:rPr>
              <w:t>Share of total AUM</w:t>
            </w:r>
          </w:p>
        </w:tc>
        <w:tc>
          <w:tcPr>
            <w:tcW w:w="1242" w:type="dxa"/>
          </w:tcPr>
          <w:p w:rsidR="007F373F" w:rsidRDefault="00000000">
            <w:pPr>
              <w:spacing w:after="0"/>
              <w:jc w:val="right"/>
            </w:pPr>
            <w:r>
              <w:rPr>
                <w:sz w:val="19"/>
              </w:rPr>
              <w:t>32.6%</w:t>
            </w:r>
          </w:p>
        </w:tc>
        <w:tc>
          <w:tcPr>
            <w:tcW w:w="2070" w:type="dxa"/>
          </w:tcPr>
          <w:p w:rsidR="007F373F" w:rsidRDefault="00000000">
            <w:pPr>
              <w:spacing w:after="0"/>
              <w:jc w:val="right"/>
            </w:pPr>
            <w:r>
              <w:rPr>
                <w:sz w:val="19"/>
              </w:rPr>
              <w:t>37.2%</w:t>
            </w:r>
          </w:p>
        </w:tc>
        <w:tc>
          <w:tcPr>
            <w:tcW w:w="1656" w:type="dxa"/>
          </w:tcPr>
          <w:p w:rsidR="007F373F" w:rsidRDefault="00000000">
            <w:pPr>
              <w:spacing w:after="0"/>
              <w:jc w:val="right"/>
            </w:pPr>
            <w:r>
              <w:rPr>
                <w:sz w:val="19"/>
              </w:rPr>
              <w:t>51.4%</w:t>
            </w:r>
          </w:p>
        </w:tc>
        <w:tc>
          <w:tcPr>
            <w:tcW w:w="1449" w:type="dxa"/>
          </w:tcPr>
          <w:p w:rsidR="007F373F" w:rsidRDefault="00000000">
            <w:pPr>
              <w:spacing w:after="0"/>
              <w:jc w:val="left"/>
            </w:pPr>
            <w:r>
              <w:rPr>
                <w:sz w:val="19"/>
              </w:rPr>
              <w:t>as above</w:t>
            </w:r>
          </w:p>
        </w:tc>
      </w:tr>
      <w:tr w:rsidR="007F373F">
        <w:trPr>
          <w:jc w:val="center"/>
        </w:trPr>
        <w:tc>
          <w:tcPr>
            <w:tcW w:w="3313" w:type="dxa"/>
          </w:tcPr>
          <w:p w:rsidR="007F373F" w:rsidRDefault="00000000">
            <w:pPr>
              <w:spacing w:after="0"/>
              <w:jc w:val="left"/>
            </w:pPr>
            <w:r>
              <w:rPr>
                <w:sz w:val="19"/>
              </w:rPr>
              <w:t>Disbursements (₹ crore)</w:t>
            </w:r>
          </w:p>
        </w:tc>
        <w:tc>
          <w:tcPr>
            <w:tcW w:w="1242" w:type="dxa"/>
          </w:tcPr>
          <w:p w:rsidR="007F373F" w:rsidRDefault="00000000">
            <w:pPr>
              <w:spacing w:after="0"/>
              <w:jc w:val="right"/>
            </w:pPr>
            <w:r>
              <w:rPr>
                <w:sz w:val="19"/>
              </w:rPr>
              <w:t>9,377</w:t>
            </w:r>
          </w:p>
        </w:tc>
        <w:tc>
          <w:tcPr>
            <w:tcW w:w="2070" w:type="dxa"/>
          </w:tcPr>
          <w:p w:rsidR="007F373F" w:rsidRDefault="00000000">
            <w:pPr>
              <w:spacing w:after="0"/>
              <w:jc w:val="right"/>
            </w:pPr>
            <w:r>
              <w:rPr>
                <w:sz w:val="19"/>
              </w:rPr>
              <w:t>14,603</w:t>
            </w:r>
          </w:p>
        </w:tc>
        <w:tc>
          <w:tcPr>
            <w:tcW w:w="1656" w:type="dxa"/>
          </w:tcPr>
          <w:p w:rsidR="007F373F" w:rsidRDefault="00000000">
            <w:pPr>
              <w:spacing w:after="0"/>
              <w:jc w:val="right"/>
            </w:pPr>
            <w:r>
              <w:rPr>
                <w:sz w:val="19"/>
              </w:rPr>
              <w:t>28,326</w:t>
            </w:r>
          </w:p>
        </w:tc>
        <w:tc>
          <w:tcPr>
            <w:tcW w:w="1449" w:type="dxa"/>
          </w:tcPr>
          <w:p w:rsidR="007F373F" w:rsidRDefault="00000000">
            <w:pPr>
              <w:spacing w:after="0"/>
              <w:jc w:val="left"/>
            </w:pPr>
            <w:r>
              <w:rPr>
                <w:sz w:val="19"/>
              </w:rPr>
              <w:t>AR26 five-year chart</w:t>
            </w:r>
          </w:p>
        </w:tc>
      </w:tr>
      <w:tr w:rsidR="007F373F">
        <w:trPr>
          <w:jc w:val="center"/>
        </w:trPr>
        <w:tc>
          <w:tcPr>
            <w:tcW w:w="3313" w:type="dxa"/>
          </w:tcPr>
          <w:p w:rsidR="007F373F" w:rsidRDefault="00000000">
            <w:pPr>
              <w:spacing w:after="0"/>
              <w:jc w:val="left"/>
            </w:pPr>
            <w:r>
              <w:rPr>
                <w:sz w:val="19"/>
              </w:rPr>
              <w:t>Average ticket size</w:t>
            </w:r>
          </w:p>
        </w:tc>
        <w:tc>
          <w:tcPr>
            <w:tcW w:w="1242" w:type="dxa"/>
          </w:tcPr>
          <w:p w:rsidR="007F373F" w:rsidRDefault="00000000">
            <w:pPr>
              <w:spacing w:after="0"/>
              <w:jc w:val="left"/>
            </w:pPr>
            <w:r>
              <w:rPr>
                <w:sz w:val="19"/>
              </w:rPr>
              <w:t>₹1.1 lakh</w:t>
            </w:r>
          </w:p>
        </w:tc>
        <w:tc>
          <w:tcPr>
            <w:tcW w:w="2070" w:type="dxa"/>
          </w:tcPr>
          <w:p w:rsidR="007F373F" w:rsidRDefault="00000000">
            <w:pPr>
              <w:spacing w:after="0"/>
              <w:jc w:val="right"/>
            </w:pPr>
            <w:r>
              <w:rPr>
                <w:sz w:val="19"/>
              </w:rPr>
              <w:t>n.a.</w:t>
            </w:r>
          </w:p>
        </w:tc>
        <w:tc>
          <w:tcPr>
            <w:tcW w:w="1656" w:type="dxa"/>
          </w:tcPr>
          <w:p w:rsidR="007F373F" w:rsidRDefault="00000000">
            <w:pPr>
              <w:spacing w:after="0"/>
              <w:jc w:val="left"/>
            </w:pPr>
            <w:r>
              <w:rPr>
                <w:sz w:val="19"/>
              </w:rPr>
              <w:t>₹2.7 lakh</w:t>
            </w:r>
          </w:p>
        </w:tc>
        <w:tc>
          <w:tcPr>
            <w:tcW w:w="1449" w:type="dxa"/>
          </w:tcPr>
          <w:p w:rsidR="007F373F" w:rsidRDefault="00000000">
            <w:pPr>
              <w:spacing w:after="0"/>
              <w:jc w:val="left"/>
            </w:pPr>
            <w:r>
              <w:rPr>
                <w:sz w:val="19"/>
              </w:rPr>
              <w:t>AR24 MD&amp;A; AR26 Key Highlights</w:t>
            </w:r>
          </w:p>
        </w:tc>
      </w:tr>
      <w:tr w:rsidR="007F373F">
        <w:trPr>
          <w:jc w:val="center"/>
        </w:trPr>
        <w:tc>
          <w:tcPr>
            <w:tcW w:w="3313" w:type="dxa"/>
          </w:tcPr>
          <w:p w:rsidR="007F373F" w:rsidRDefault="00000000">
            <w:pPr>
              <w:spacing w:after="0"/>
              <w:jc w:val="left"/>
            </w:pPr>
            <w:r>
              <w:rPr>
                <w:sz w:val="19"/>
              </w:rPr>
              <w:t>Portfolio LTV</w:t>
            </w:r>
          </w:p>
        </w:tc>
        <w:tc>
          <w:tcPr>
            <w:tcW w:w="1242" w:type="dxa"/>
          </w:tcPr>
          <w:p w:rsidR="007F373F" w:rsidRDefault="00000000">
            <w:pPr>
              <w:spacing w:after="0"/>
              <w:jc w:val="right"/>
            </w:pPr>
            <w:r>
              <w:rPr>
                <w:sz w:val="19"/>
              </w:rPr>
              <w:t>70.5%</w:t>
            </w:r>
          </w:p>
        </w:tc>
        <w:tc>
          <w:tcPr>
            <w:tcW w:w="2070" w:type="dxa"/>
          </w:tcPr>
          <w:p w:rsidR="007F373F" w:rsidRDefault="00000000">
            <w:pPr>
              <w:spacing w:after="0"/>
              <w:jc w:val="right"/>
            </w:pPr>
            <w:r>
              <w:rPr>
                <w:sz w:val="19"/>
              </w:rPr>
              <w:t>n.a.</w:t>
            </w:r>
          </w:p>
        </w:tc>
        <w:tc>
          <w:tcPr>
            <w:tcW w:w="1656" w:type="dxa"/>
          </w:tcPr>
          <w:p w:rsidR="007F373F" w:rsidRDefault="00000000">
            <w:pPr>
              <w:spacing w:after="0"/>
              <w:jc w:val="right"/>
            </w:pPr>
            <w:r>
              <w:rPr>
                <w:sz w:val="19"/>
              </w:rPr>
              <w:t>60.9%</w:t>
            </w:r>
          </w:p>
        </w:tc>
        <w:tc>
          <w:tcPr>
            <w:tcW w:w="1449" w:type="dxa"/>
          </w:tcPr>
          <w:p w:rsidR="007F373F" w:rsidRDefault="00000000">
            <w:pPr>
              <w:spacing w:after="0"/>
              <w:jc w:val="left"/>
            </w:pPr>
            <w:r>
              <w:rPr>
                <w:sz w:val="19"/>
              </w:rPr>
              <w:t>AR24 MD&amp;A; AR26 MD&amp;CEO</w:t>
            </w:r>
          </w:p>
        </w:tc>
      </w:tr>
      <w:tr w:rsidR="007F373F">
        <w:trPr>
          <w:jc w:val="center"/>
        </w:trPr>
        <w:tc>
          <w:tcPr>
            <w:tcW w:w="3313" w:type="dxa"/>
          </w:tcPr>
          <w:p w:rsidR="007F373F" w:rsidRDefault="00000000">
            <w:pPr>
              <w:spacing w:after="0"/>
              <w:jc w:val="left"/>
            </w:pPr>
            <w:r>
              <w:rPr>
                <w:sz w:val="19"/>
              </w:rPr>
              <w:t>Gold branches</w:t>
            </w:r>
          </w:p>
        </w:tc>
        <w:tc>
          <w:tcPr>
            <w:tcW w:w="1242" w:type="dxa"/>
          </w:tcPr>
          <w:p w:rsidR="007F373F" w:rsidRDefault="00000000">
            <w:pPr>
              <w:spacing w:after="0"/>
              <w:jc w:val="right"/>
            </w:pPr>
            <w:r>
              <w:rPr>
                <w:sz w:val="19"/>
              </w:rPr>
              <w:t>438</w:t>
            </w:r>
          </w:p>
        </w:tc>
        <w:tc>
          <w:tcPr>
            <w:tcW w:w="2070" w:type="dxa"/>
          </w:tcPr>
          <w:p w:rsidR="007F373F" w:rsidRDefault="00000000">
            <w:pPr>
              <w:spacing w:after="0"/>
              <w:jc w:val="right"/>
            </w:pPr>
            <w:r>
              <w:rPr>
                <w:sz w:val="19"/>
              </w:rPr>
              <w:t>484</w:t>
            </w:r>
          </w:p>
        </w:tc>
        <w:tc>
          <w:tcPr>
            <w:tcW w:w="1656" w:type="dxa"/>
          </w:tcPr>
          <w:p w:rsidR="007F373F" w:rsidRDefault="00000000">
            <w:pPr>
              <w:spacing w:after="0"/>
              <w:jc w:val="right"/>
            </w:pPr>
            <w:r>
              <w:rPr>
                <w:sz w:val="19"/>
              </w:rPr>
              <w:t>558</w:t>
            </w:r>
          </w:p>
        </w:tc>
        <w:tc>
          <w:tcPr>
            <w:tcW w:w="1449" w:type="dxa"/>
          </w:tcPr>
          <w:p w:rsidR="007F373F" w:rsidRDefault="00000000">
            <w:pPr>
              <w:spacing w:after="0"/>
              <w:jc w:val="left"/>
            </w:pPr>
            <w:r>
              <w:rPr>
                <w:sz w:val="19"/>
              </w:rPr>
              <w:t>AR24/AR25/AR26 branch tables</w:t>
            </w:r>
          </w:p>
        </w:tc>
      </w:tr>
      <w:tr w:rsidR="007F373F">
        <w:trPr>
          <w:jc w:val="center"/>
        </w:trPr>
        <w:tc>
          <w:tcPr>
            <w:tcW w:w="3313" w:type="dxa"/>
          </w:tcPr>
          <w:p w:rsidR="007F373F" w:rsidRDefault="00000000">
            <w:pPr>
              <w:spacing w:after="0"/>
              <w:jc w:val="left"/>
            </w:pPr>
            <w:r>
              <w:rPr>
                <w:sz w:val="19"/>
              </w:rPr>
              <w:t>Doorstep gold loan (DSGL) share of gold AUM</w:t>
            </w:r>
          </w:p>
        </w:tc>
        <w:tc>
          <w:tcPr>
            <w:tcW w:w="1242" w:type="dxa"/>
          </w:tcPr>
          <w:p w:rsidR="007F373F" w:rsidRDefault="00000000">
            <w:pPr>
              <w:spacing w:after="0"/>
              <w:jc w:val="right"/>
            </w:pPr>
            <w:r>
              <w:rPr>
                <w:sz w:val="19"/>
              </w:rPr>
              <w:t>n.a.</w:t>
            </w:r>
          </w:p>
        </w:tc>
        <w:tc>
          <w:tcPr>
            <w:tcW w:w="2070" w:type="dxa"/>
          </w:tcPr>
          <w:p w:rsidR="007F373F" w:rsidRDefault="00000000">
            <w:pPr>
              <w:spacing w:after="0"/>
              <w:jc w:val="left"/>
            </w:pPr>
            <w:r>
              <w:rPr>
                <w:sz w:val="19"/>
              </w:rPr>
              <w:t>just under 15% (AUM doubled; 13,000+ new customers)</w:t>
            </w:r>
          </w:p>
        </w:tc>
        <w:tc>
          <w:tcPr>
            <w:tcW w:w="1656" w:type="dxa"/>
          </w:tcPr>
          <w:p w:rsidR="007F373F" w:rsidRDefault="00000000">
            <w:pPr>
              <w:spacing w:after="0"/>
              <w:jc w:val="left"/>
            </w:pPr>
            <w:r>
              <w:rPr>
                <w:sz w:val="19"/>
              </w:rPr>
              <w:t>₹1,730 crore (≈16.7%, derived)</w:t>
            </w:r>
          </w:p>
        </w:tc>
        <w:tc>
          <w:tcPr>
            <w:tcW w:w="1449" w:type="dxa"/>
          </w:tcPr>
          <w:p w:rsidR="007F373F" w:rsidRDefault="00000000">
            <w:pPr>
              <w:spacing w:after="0"/>
              <w:jc w:val="left"/>
            </w:pPr>
            <w:r>
              <w:rPr>
                <w:sz w:val="19"/>
              </w:rPr>
              <w:t>AR25 CEO letter; AR26 p.10</w:t>
            </w:r>
          </w:p>
        </w:tc>
      </w:tr>
      <w:tr w:rsidR="007F373F">
        <w:trPr>
          <w:jc w:val="center"/>
        </w:trPr>
        <w:tc>
          <w:tcPr>
            <w:tcW w:w="3313" w:type="dxa"/>
          </w:tcPr>
          <w:p w:rsidR="007F373F" w:rsidRDefault="00000000">
            <w:pPr>
              <w:spacing w:after="0"/>
              <w:jc w:val="left"/>
            </w:pPr>
            <w:r>
              <w:rPr>
                <w:sz w:val="19"/>
              </w:rPr>
              <w:t>Gold auctions – accounts / principal (₹ lakh)</w:t>
            </w:r>
          </w:p>
        </w:tc>
        <w:tc>
          <w:tcPr>
            <w:tcW w:w="1242" w:type="dxa"/>
          </w:tcPr>
          <w:p w:rsidR="007F373F" w:rsidRDefault="00000000">
            <w:pPr>
              <w:spacing w:after="0"/>
              <w:jc w:val="right"/>
            </w:pPr>
            <w:r>
              <w:rPr>
                <w:sz w:val="19"/>
              </w:rPr>
              <w:t>n.a.</w:t>
            </w:r>
          </w:p>
        </w:tc>
        <w:tc>
          <w:tcPr>
            <w:tcW w:w="2070" w:type="dxa"/>
          </w:tcPr>
          <w:p w:rsidR="007F373F" w:rsidRDefault="00000000">
            <w:pPr>
              <w:spacing w:after="0"/>
              <w:jc w:val="left"/>
            </w:pPr>
            <w:r>
              <w:rPr>
                <w:sz w:val="19"/>
              </w:rPr>
              <w:t>10,906 / 5,080</w:t>
            </w:r>
          </w:p>
        </w:tc>
        <w:tc>
          <w:tcPr>
            <w:tcW w:w="1656" w:type="dxa"/>
          </w:tcPr>
          <w:p w:rsidR="007F373F" w:rsidRDefault="00000000">
            <w:pPr>
              <w:spacing w:after="0"/>
              <w:jc w:val="left"/>
            </w:pPr>
            <w:r>
              <w:rPr>
                <w:sz w:val="19"/>
              </w:rPr>
              <w:t>4,633 / 2,039</w:t>
            </w:r>
          </w:p>
        </w:tc>
        <w:tc>
          <w:tcPr>
            <w:tcW w:w="1449" w:type="dxa"/>
          </w:tcPr>
          <w:p w:rsidR="007F373F" w:rsidRDefault="00000000">
            <w:pPr>
              <w:spacing w:after="0"/>
              <w:jc w:val="left"/>
            </w:pPr>
            <w:r>
              <w:rPr>
                <w:sz w:val="19"/>
              </w:rPr>
              <w:t>AR26 Directors’ Report and note 48</w:t>
            </w:r>
          </w:p>
        </w:tc>
      </w:tr>
    </w:tbl>
    <w:p w:rsidR="007F373F" w:rsidRDefault="007F373F">
      <w:pPr>
        <w:spacing w:after="40"/>
      </w:pPr>
    </w:p>
    <w:p w:rsidR="007F373F" w:rsidRDefault="00000000">
      <w:pPr>
        <w:pStyle w:val="Heading2"/>
      </w:pPr>
      <w:r>
        <w:t>Price versus tonnage</w:t>
      </w:r>
    </w:p>
    <w:p w:rsidR="007F373F" w:rsidRDefault="00000000">
      <w:r>
        <w:t>Because gold prices rose about 65% during calendar 2025, part of the AUM growth is a valuation effect. The company itself separates the two: tonnage grew 12%, so the remaining growth came from higher loan amounts per gram and higher onboarding LTV (≈70%) on new loans. On a simple decomposition (derived), a 12% tonnage increase combined with a 76% AUM increase implies AUM per gram rose about 57% – consistent with the price move. The Chairman nonetheless states that growth was “driven by physical tonnage growth rather than price effects alone”, and management targets a 10–12% long-term tonnage CAGR “rather than relying solely on gold price movements”. For the analyst the implication is that roughly one-sixth of FY26 gold growth is replicable without price support, and the rest depends on gold staying near current levels.</w:t>
      </w:r>
    </w:p>
    <w:p w:rsidR="007F373F" w:rsidRDefault="00000000">
      <w:r>
        <w:t>Branch productivity. With 558 gold branches, AUM per branch was ₹16.5 crore, up ₹4.4 crore in the year even though 74 of the branches were newly opened. Mature-branch productivity is therefore higher than the average, and the FY26 cohort provides built-in growth as it seasons. Co-lending (₹2,433 crore) and sell-downs are used to keep part of the gold book off balance sheet, while the DSGL channel (₹1,730 crore, +108%) extends reach without new premises.</w:t>
      </w:r>
    </w:p>
    <w:p w:rsidR="007F373F" w:rsidRDefault="00000000">
      <w:pPr>
        <w:pStyle w:val="Heading1"/>
        <w:pageBreakBefore/>
      </w:pPr>
      <w:r>
        <w:lastRenderedPageBreak/>
        <w:t>Gold Loans: Risk Controls, LTV Policy and Auctions</w:t>
      </w:r>
    </w:p>
    <w:p w:rsidR="007F373F" w:rsidRDefault="00000000">
      <w:r>
        <w:t>A gold loan is only as safe as its custody, purity assessment and LTV discipline. The company discloses several layers of control, which are summarised here together with the FY26 auction data and the changes required by the RBI’s 2025 Directions.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794"/>
        <w:gridCol w:w="4279"/>
        <w:gridCol w:w="3658"/>
      </w:tblGrid>
      <w:tr w:rsidR="007F373F">
        <w:trPr>
          <w:jc w:val="center"/>
        </w:trPr>
        <w:tc>
          <w:tcPr>
            <w:tcW w:w="1794" w:type="dxa"/>
          </w:tcPr>
          <w:p w:rsidR="007F373F" w:rsidRDefault="00000000">
            <w:pPr>
              <w:spacing w:after="0"/>
              <w:jc w:val="left"/>
            </w:pPr>
            <w:r>
              <w:rPr>
                <w:b/>
                <w:sz w:val="19"/>
              </w:rPr>
              <w:t>Control area</w:t>
            </w:r>
          </w:p>
        </w:tc>
        <w:tc>
          <w:tcPr>
            <w:tcW w:w="4279" w:type="dxa"/>
          </w:tcPr>
          <w:p w:rsidR="007F373F" w:rsidRDefault="00000000">
            <w:pPr>
              <w:spacing w:after="0"/>
              <w:jc w:val="left"/>
            </w:pPr>
            <w:r>
              <w:rPr>
                <w:b/>
                <w:sz w:val="19"/>
              </w:rPr>
              <w:t>Practice disclosed</w:t>
            </w:r>
          </w:p>
        </w:tc>
        <w:tc>
          <w:tcPr>
            <w:tcW w:w="3658" w:type="dxa"/>
          </w:tcPr>
          <w:p w:rsidR="007F373F" w:rsidRDefault="00000000">
            <w:pPr>
              <w:spacing w:after="0"/>
              <w:jc w:val="left"/>
            </w:pPr>
            <w:r>
              <w:rPr>
                <w:b/>
                <w:sz w:val="19"/>
              </w:rPr>
              <w:t>FY26 evidence</w:t>
            </w:r>
          </w:p>
        </w:tc>
      </w:tr>
      <w:tr w:rsidR="007F373F">
        <w:trPr>
          <w:jc w:val="center"/>
        </w:trPr>
        <w:tc>
          <w:tcPr>
            <w:tcW w:w="1794" w:type="dxa"/>
          </w:tcPr>
          <w:p w:rsidR="007F373F" w:rsidRDefault="00000000">
            <w:pPr>
              <w:spacing w:after="0"/>
              <w:jc w:val="left"/>
            </w:pPr>
            <w:r>
              <w:rPr>
                <w:sz w:val="19"/>
              </w:rPr>
              <w:t>Loan-to-value</w:t>
            </w:r>
          </w:p>
        </w:tc>
        <w:tc>
          <w:tcPr>
            <w:tcW w:w="4279" w:type="dxa"/>
          </w:tcPr>
          <w:p w:rsidR="007F373F" w:rsidRDefault="00000000">
            <w:pPr>
              <w:spacing w:after="0"/>
              <w:jc w:val="left"/>
            </w:pPr>
            <w:r>
              <w:rPr>
                <w:sz w:val="19"/>
              </w:rPr>
              <w:t>Portfolio LTV held at 60.9% against the regulatory ceiling (75% in FY26; 75–85% tiered from 1 April 2026); onboarding LTV calibrated at ≈70%; prices tracked daily</w:t>
            </w:r>
          </w:p>
        </w:tc>
        <w:tc>
          <w:tcPr>
            <w:tcW w:w="3658" w:type="dxa"/>
          </w:tcPr>
          <w:p w:rsidR="007F373F" w:rsidRDefault="00000000">
            <w:pPr>
              <w:spacing w:after="0"/>
              <w:jc w:val="left"/>
            </w:pPr>
            <w:r>
              <w:rPr>
                <w:sz w:val="19"/>
              </w:rPr>
              <w:t>A 35–40% price fall would be needed before principal is uncovered on the average loan (derived)</w:t>
            </w:r>
          </w:p>
        </w:tc>
      </w:tr>
      <w:tr w:rsidR="007F373F">
        <w:trPr>
          <w:jc w:val="center"/>
        </w:trPr>
        <w:tc>
          <w:tcPr>
            <w:tcW w:w="1794" w:type="dxa"/>
          </w:tcPr>
          <w:p w:rsidR="007F373F" w:rsidRDefault="00000000">
            <w:pPr>
              <w:spacing w:after="0"/>
              <w:jc w:val="left"/>
            </w:pPr>
            <w:r>
              <w:rPr>
                <w:sz w:val="19"/>
              </w:rPr>
              <w:t>Valuation and purity</w:t>
            </w:r>
          </w:p>
        </w:tc>
        <w:tc>
          <w:tcPr>
            <w:tcW w:w="4279" w:type="dxa"/>
          </w:tcPr>
          <w:p w:rsidR="007F373F" w:rsidRDefault="00000000">
            <w:pPr>
              <w:spacing w:after="0"/>
              <w:jc w:val="left"/>
            </w:pPr>
            <w:r>
              <w:rPr>
                <w:sz w:val="19"/>
              </w:rPr>
              <w:t>Standardised appraisal at branch; AI/analytics for fraud detection; cash disbursal capped at ₹20,000 per RBI</w:t>
            </w:r>
          </w:p>
        </w:tc>
        <w:tc>
          <w:tcPr>
            <w:tcW w:w="3658" w:type="dxa"/>
          </w:tcPr>
          <w:p w:rsidR="007F373F" w:rsidRDefault="00000000">
            <w:pPr>
              <w:spacing w:after="0"/>
              <w:jc w:val="left"/>
            </w:pPr>
            <w:r>
              <w:rPr>
                <w:sz w:val="19"/>
              </w:rPr>
              <w:t>Frauds reported to RBI ₹110 lakh across all products (0.005% of AUM, derived)</w:t>
            </w:r>
          </w:p>
        </w:tc>
      </w:tr>
      <w:tr w:rsidR="007F373F">
        <w:trPr>
          <w:jc w:val="center"/>
        </w:trPr>
        <w:tc>
          <w:tcPr>
            <w:tcW w:w="1794" w:type="dxa"/>
          </w:tcPr>
          <w:p w:rsidR="007F373F" w:rsidRDefault="00000000">
            <w:pPr>
              <w:spacing w:after="0"/>
              <w:jc w:val="left"/>
            </w:pPr>
            <w:r>
              <w:rPr>
                <w:sz w:val="19"/>
              </w:rPr>
              <w:t>Custody</w:t>
            </w:r>
          </w:p>
        </w:tc>
        <w:tc>
          <w:tcPr>
            <w:tcW w:w="4279" w:type="dxa"/>
          </w:tcPr>
          <w:p w:rsidR="007F373F" w:rsidRDefault="00000000">
            <w:pPr>
              <w:spacing w:after="0"/>
              <w:jc w:val="left"/>
            </w:pPr>
            <w:r>
              <w:rPr>
                <w:sz w:val="19"/>
              </w:rPr>
              <w:t>Branch strong-rooms; insurance; prototype portable ‘security box’ with dual authentication, live GPS tracking and remote unlocking for doorstep loans</w:t>
            </w:r>
          </w:p>
        </w:tc>
        <w:tc>
          <w:tcPr>
            <w:tcW w:w="3658" w:type="dxa"/>
          </w:tcPr>
          <w:p w:rsidR="007F373F" w:rsidRDefault="00000000">
            <w:pPr>
              <w:spacing w:after="0"/>
              <w:jc w:val="left"/>
            </w:pPr>
            <w:r>
              <w:rPr>
                <w:sz w:val="19"/>
              </w:rPr>
              <w:t>DSGL AUM ₹1,730 crore delivered without a disclosed custody loss</w:t>
            </w:r>
          </w:p>
        </w:tc>
      </w:tr>
      <w:tr w:rsidR="007F373F">
        <w:trPr>
          <w:jc w:val="center"/>
        </w:trPr>
        <w:tc>
          <w:tcPr>
            <w:tcW w:w="1794" w:type="dxa"/>
          </w:tcPr>
          <w:p w:rsidR="007F373F" w:rsidRDefault="00000000">
            <w:pPr>
              <w:spacing w:after="0"/>
              <w:jc w:val="left"/>
            </w:pPr>
            <w:r>
              <w:rPr>
                <w:sz w:val="19"/>
              </w:rPr>
              <w:t>Collections and auctions</w:t>
            </w:r>
          </w:p>
        </w:tc>
        <w:tc>
          <w:tcPr>
            <w:tcW w:w="4279" w:type="dxa"/>
          </w:tcPr>
          <w:p w:rsidR="007F373F" w:rsidRDefault="00000000">
            <w:pPr>
              <w:spacing w:after="0"/>
              <w:jc w:val="left"/>
            </w:pPr>
            <w:r>
              <w:rPr>
                <w:sz w:val="19"/>
              </w:rPr>
              <w:t>Borrower notices, renewal/top-up options, auction as last resort under RBI norms; surplus refunded</w:t>
            </w:r>
          </w:p>
        </w:tc>
        <w:tc>
          <w:tcPr>
            <w:tcW w:w="3658" w:type="dxa"/>
          </w:tcPr>
          <w:p w:rsidR="007F373F" w:rsidRDefault="00000000">
            <w:pPr>
              <w:spacing w:after="0"/>
              <w:jc w:val="left"/>
            </w:pPr>
            <w:r>
              <w:rPr>
                <w:sz w:val="19"/>
              </w:rPr>
              <w:t>4,633 accounts auctioned (FY25: 10,906); principal ₹20.4 crore and interest ₹27.6 crore outstanding; ₹44.0 crore realised</w:t>
            </w:r>
          </w:p>
        </w:tc>
      </w:tr>
      <w:tr w:rsidR="007F373F">
        <w:trPr>
          <w:jc w:val="center"/>
        </w:trPr>
        <w:tc>
          <w:tcPr>
            <w:tcW w:w="1794" w:type="dxa"/>
          </w:tcPr>
          <w:p w:rsidR="007F373F" w:rsidRDefault="00000000">
            <w:pPr>
              <w:spacing w:after="0"/>
              <w:jc w:val="left"/>
            </w:pPr>
            <w:r>
              <w:rPr>
                <w:sz w:val="19"/>
              </w:rPr>
              <w:t>Concentration</w:t>
            </w:r>
          </w:p>
        </w:tc>
        <w:tc>
          <w:tcPr>
            <w:tcW w:w="4279" w:type="dxa"/>
          </w:tcPr>
          <w:p w:rsidR="007F373F" w:rsidRDefault="00000000">
            <w:pPr>
              <w:spacing w:after="0"/>
              <w:jc w:val="left"/>
            </w:pPr>
            <w:r>
              <w:rPr>
                <w:sz w:val="19"/>
              </w:rPr>
              <w:t>Small tickets (₹2.7 lakh) and ~3.4 lakh customers; top-20 borrowers 0.47% of advances (all products)</w:t>
            </w:r>
          </w:p>
        </w:tc>
        <w:tc>
          <w:tcPr>
            <w:tcW w:w="3658" w:type="dxa"/>
          </w:tcPr>
          <w:p w:rsidR="007F373F" w:rsidRDefault="00000000">
            <w:pPr>
              <w:spacing w:after="0"/>
              <w:jc w:val="left"/>
            </w:pPr>
            <w:r>
              <w:rPr>
                <w:sz w:val="19"/>
              </w:rPr>
              <w:t>Portfolio granular by construction</w:t>
            </w:r>
          </w:p>
        </w:tc>
      </w:tr>
      <w:tr w:rsidR="007F373F">
        <w:trPr>
          <w:jc w:val="center"/>
        </w:trPr>
        <w:tc>
          <w:tcPr>
            <w:tcW w:w="1794" w:type="dxa"/>
          </w:tcPr>
          <w:p w:rsidR="007F373F" w:rsidRDefault="00000000">
            <w:pPr>
              <w:spacing w:after="0"/>
              <w:jc w:val="left"/>
            </w:pPr>
            <w:r>
              <w:rPr>
                <w:sz w:val="19"/>
              </w:rPr>
              <w:t>Co-lending</w:t>
            </w:r>
          </w:p>
        </w:tc>
        <w:tc>
          <w:tcPr>
            <w:tcW w:w="4279" w:type="dxa"/>
          </w:tcPr>
          <w:p w:rsidR="007F373F" w:rsidRDefault="00000000">
            <w:pPr>
              <w:spacing w:after="0"/>
              <w:jc w:val="left"/>
            </w:pPr>
            <w:r>
              <w:rPr>
                <w:sz w:val="19"/>
              </w:rPr>
              <w:t>Gold loans originated under RBI co-lending with bank partners (₹2,433 crore)</w:t>
            </w:r>
          </w:p>
        </w:tc>
        <w:tc>
          <w:tcPr>
            <w:tcW w:w="3658" w:type="dxa"/>
          </w:tcPr>
          <w:p w:rsidR="007F373F" w:rsidRDefault="00000000">
            <w:pPr>
              <w:spacing w:after="0"/>
              <w:jc w:val="left"/>
            </w:pPr>
            <w:r>
              <w:rPr>
                <w:sz w:val="19"/>
              </w:rPr>
              <w:t>Risk shared with partners; income recognised on retained share and servicing</w:t>
            </w:r>
          </w:p>
        </w:tc>
      </w:tr>
    </w:tbl>
    <w:p w:rsidR="007F373F" w:rsidRDefault="00000000">
      <w:pPr>
        <w:spacing w:before="40" w:after="80"/>
      </w:pPr>
      <w:r>
        <w:rPr>
          <w:i/>
          <w:sz w:val="18"/>
        </w:rPr>
        <w:t>Source: Fedfina Annual Report 2025-26, MD&amp;CEO statement, Directors’ Report (gold auctions, frauds), note 48 (concentration, auctions), technology section.</w:t>
      </w:r>
    </w:p>
    <w:p w:rsidR="007F373F" w:rsidRDefault="00000000">
      <w:pPr>
        <w:pStyle w:val="Heading2"/>
      </w:pPr>
      <w:r>
        <w:t>Auction economics</w:t>
      </w:r>
    </w:p>
    <w:p w:rsidR="007F373F" w:rsidRDefault="00000000">
      <w:r>
        <w:t>Accounts auctioned fell 58% (10,906 → 4,633) and principal at auction fell 60% (₹50.8 crore → ₹20.4 crore) as rising prices let more borrowers redeem or refinance. Realisation of ₹44.0 crore against total dues of ₹48.0 crore indicates recovery of about 92% of dues, with the shortfall confined to accrued interest. No sister-concern participation in auctions is reported.</w:t>
      </w:r>
    </w:p>
    <w:p w:rsidR="007F373F" w:rsidRDefault="00000000">
      <w:pPr>
        <w:pStyle w:val="Heading2"/>
      </w:pPr>
      <w:r>
        <w:t>Impact of the 2025 RBI Directions</w:t>
      </w:r>
    </w:p>
    <w:p w:rsidR="007F373F" w:rsidRDefault="00000000">
      <w:r>
        <w:t>From 1 April 2026 the tiered LTV ceiling (85%/80%/75%), the requirement to maintain LTV through the tenor (computed on the maturity amount for bullet loans), the 12-month cap on bullet loans, mandatory credit assessment above ₹2.5 lakh and standardised auction/return-of-gold norms apply. Fedfina’s conservative portfolio LTV, daily price tracking and existing short-tenor design mean the direct balance-sheet impact should be limited; the operational impact lies in renewal/top-up behaviour (the FY25 report already noted volume pressure from revised rollover rules) and in documentation for larger tickets. Higher permitted LTV on small loans could support growth in the ₹2.5 lakh and below segment that forms the bulk of the book.</w:t>
      </w:r>
    </w:p>
    <w:p w:rsidR="007F373F" w:rsidRDefault="00000000">
      <w:r>
        <w:t>Assessment. Low average LTV, granular tickets, falling auction counts and a 92% realisation rate make the gold book the lowest-risk part of the balance sheet in credit terms; its risks are market (price) and operational (custody, fraud) rather than borrower default – a theme developed in Chapter 6.</w:t>
      </w:r>
    </w:p>
    <w:p w:rsidR="007F373F" w:rsidRDefault="00000000">
      <w:pPr>
        <w:pStyle w:val="Heading1"/>
        <w:pageBreakBefore/>
      </w:pPr>
      <w:r>
        <w:lastRenderedPageBreak/>
        <w:t>Medium-Ticket Loans Against Property (MT LAP)</w:t>
      </w:r>
    </w:p>
    <w:p w:rsidR="007F373F" w:rsidRDefault="00000000">
      <w:r>
        <w:t>Medium-ticket LAP serves established MSMEs – traders, wholesalers, distributors and small manufacturers with formal income records – with property-backed term loans averaging ₹72.4 lakh. It is Fedfina’s second-largest product (₹5,570 crore, 27.6% of AUM) and its oldest mortgage business (launched 2012). The product competes directly with private banks and large NBFCs, so pricing discipline and service are its differentiators; the FY26 origination yield was 12.0%, the lowest in the portfolio.</w:t>
      </w:r>
    </w:p>
    <w:tbl>
      <w:tblPr>
        <w:tblW w:w="0" w:type="auto"/>
        <w:jc w:val="center"/>
        <w:tblCellMar>
          <w:top w:w="40" w:type="dxa"/>
          <w:left w:w="60" w:type="dxa"/>
          <w:bottom w:w="40" w:type="dxa"/>
          <w:right w:w="60" w:type="dxa"/>
        </w:tblCellMar>
        <w:tblLook w:val="04A0" w:firstRow="1" w:lastRow="0" w:firstColumn="1" w:lastColumn="0" w:noHBand="0" w:noVBand="1"/>
      </w:tblPr>
      <w:tblGrid>
        <w:gridCol w:w="3248"/>
        <w:gridCol w:w="3248"/>
        <w:gridCol w:w="3248"/>
      </w:tblGrid>
      <w:tr w:rsidR="007F373F">
        <w:trPr>
          <w:jc w:val="center"/>
        </w:trPr>
        <w:tc>
          <w:tcPr>
            <w:tcW w:w="3248" w:type="dxa"/>
          </w:tcPr>
          <w:p w:rsidR="007F373F" w:rsidRDefault="00000000">
            <w:pPr>
              <w:spacing w:after="0"/>
              <w:jc w:val="center"/>
            </w:pPr>
            <w:r>
              <w:rPr>
                <w:b/>
                <w:sz w:val="26"/>
              </w:rPr>
              <w:t>₹5,570 cr</w:t>
            </w:r>
          </w:p>
          <w:p w:rsidR="007F373F" w:rsidRDefault="00000000">
            <w:pPr>
              <w:spacing w:after="0"/>
              <w:jc w:val="center"/>
            </w:pPr>
            <w:r>
              <w:rPr>
                <w:sz w:val="18"/>
              </w:rPr>
              <w:t>AUM, 31 Mar 2026</w:t>
            </w:r>
          </w:p>
        </w:tc>
        <w:tc>
          <w:tcPr>
            <w:tcW w:w="3248" w:type="dxa"/>
          </w:tcPr>
          <w:p w:rsidR="007F373F" w:rsidRDefault="00000000">
            <w:pPr>
              <w:spacing w:after="0"/>
              <w:jc w:val="center"/>
            </w:pPr>
            <w:r>
              <w:rPr>
                <w:b/>
                <w:sz w:val="26"/>
              </w:rPr>
              <w:t>₹2,180 cr</w:t>
            </w:r>
          </w:p>
          <w:p w:rsidR="007F373F" w:rsidRDefault="00000000">
            <w:pPr>
              <w:spacing w:after="0"/>
              <w:jc w:val="center"/>
            </w:pPr>
            <w:r>
              <w:rPr>
                <w:sz w:val="18"/>
              </w:rPr>
              <w:t>FY26 disbursements (Q4: ₹632 cr, +16% QoQ)</w:t>
            </w:r>
          </w:p>
        </w:tc>
        <w:tc>
          <w:tcPr>
            <w:tcW w:w="3248" w:type="dxa"/>
          </w:tcPr>
          <w:p w:rsidR="007F373F" w:rsidRDefault="00000000">
            <w:pPr>
              <w:spacing w:after="0"/>
              <w:jc w:val="center"/>
            </w:pPr>
            <w:r>
              <w:rPr>
                <w:b/>
                <w:sz w:val="26"/>
              </w:rPr>
              <w:t>₹72.4 lakh</w:t>
            </w:r>
          </w:p>
          <w:p w:rsidR="007F373F" w:rsidRDefault="00000000">
            <w:pPr>
              <w:spacing w:after="0"/>
              <w:jc w:val="center"/>
            </w:pPr>
            <w:r>
              <w:rPr>
                <w:sz w:val="18"/>
              </w:rPr>
              <w:t>Average ticket</w:t>
            </w:r>
          </w:p>
        </w:tc>
      </w:tr>
      <w:tr w:rsidR="007F373F">
        <w:trPr>
          <w:jc w:val="center"/>
        </w:trPr>
        <w:tc>
          <w:tcPr>
            <w:tcW w:w="3248" w:type="dxa"/>
          </w:tcPr>
          <w:p w:rsidR="007F373F" w:rsidRDefault="00000000">
            <w:pPr>
              <w:spacing w:after="0"/>
              <w:jc w:val="center"/>
            </w:pPr>
            <w:r>
              <w:rPr>
                <w:b/>
                <w:sz w:val="26"/>
              </w:rPr>
              <w:t>12.0%</w:t>
            </w:r>
          </w:p>
          <w:p w:rsidR="007F373F" w:rsidRDefault="00000000">
            <w:pPr>
              <w:spacing w:after="0"/>
              <w:jc w:val="center"/>
            </w:pPr>
            <w:r>
              <w:rPr>
                <w:sz w:val="18"/>
              </w:rPr>
              <w:t>Origination yield</w:t>
            </w:r>
          </w:p>
        </w:tc>
        <w:tc>
          <w:tcPr>
            <w:tcW w:w="3248" w:type="dxa"/>
          </w:tcPr>
          <w:p w:rsidR="007F373F" w:rsidRDefault="00000000">
            <w:pPr>
              <w:spacing w:after="0"/>
              <w:jc w:val="center"/>
            </w:pPr>
            <w:r>
              <w:rPr>
                <w:b/>
                <w:sz w:val="26"/>
              </w:rPr>
              <w:t>81%</w:t>
            </w:r>
          </w:p>
          <w:p w:rsidR="007F373F" w:rsidRDefault="00000000">
            <w:pPr>
              <w:spacing w:after="0"/>
              <w:jc w:val="center"/>
            </w:pPr>
            <w:r>
              <w:rPr>
                <w:sz w:val="18"/>
              </w:rPr>
              <w:t>AUM from CIBIL &gt;700 customers</w:t>
            </w:r>
          </w:p>
        </w:tc>
        <w:tc>
          <w:tcPr>
            <w:tcW w:w="3248" w:type="dxa"/>
          </w:tcPr>
          <w:p w:rsidR="007F373F" w:rsidRDefault="00000000">
            <w:pPr>
              <w:spacing w:after="0"/>
              <w:jc w:val="center"/>
            </w:pPr>
            <w:r>
              <w:rPr>
                <w:b/>
                <w:sz w:val="26"/>
              </w:rPr>
              <w:t>129</w:t>
            </w:r>
          </w:p>
          <w:p w:rsidR="007F373F" w:rsidRDefault="00000000">
            <w:pPr>
              <w:spacing w:after="0"/>
              <w:jc w:val="center"/>
            </w:pPr>
            <w:r>
              <w:rPr>
                <w:sz w:val="18"/>
              </w:rPr>
              <w:t>MSME hubs</w:t>
            </w:r>
          </w:p>
        </w:tc>
      </w:tr>
    </w:tbl>
    <w:p w:rsidR="007F373F" w:rsidRDefault="007F373F">
      <w:pPr>
        <w:spacing w:after="40"/>
      </w:pP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589"/>
        <w:gridCol w:w="1173"/>
        <w:gridCol w:w="1173"/>
        <w:gridCol w:w="1242"/>
        <w:gridCol w:w="1242"/>
        <w:gridCol w:w="1311"/>
      </w:tblGrid>
      <w:tr w:rsidR="007F373F">
        <w:trPr>
          <w:jc w:val="center"/>
        </w:trPr>
        <w:tc>
          <w:tcPr>
            <w:tcW w:w="3589" w:type="dxa"/>
          </w:tcPr>
          <w:p w:rsidR="007F373F" w:rsidRDefault="00000000">
            <w:pPr>
              <w:spacing w:after="0"/>
              <w:jc w:val="left"/>
            </w:pPr>
            <w:r>
              <w:rPr>
                <w:b/>
                <w:sz w:val="20"/>
              </w:rPr>
              <w:t>Metric</w:t>
            </w:r>
          </w:p>
        </w:tc>
        <w:tc>
          <w:tcPr>
            <w:tcW w:w="1173" w:type="dxa"/>
          </w:tcPr>
          <w:p w:rsidR="007F373F" w:rsidRDefault="00000000">
            <w:pPr>
              <w:spacing w:after="0"/>
              <w:jc w:val="left"/>
            </w:pPr>
            <w:r>
              <w:rPr>
                <w:b/>
                <w:sz w:val="20"/>
              </w:rPr>
              <w:t>FY22</w:t>
            </w:r>
          </w:p>
        </w:tc>
        <w:tc>
          <w:tcPr>
            <w:tcW w:w="1173" w:type="dxa"/>
          </w:tcPr>
          <w:p w:rsidR="007F373F" w:rsidRDefault="00000000">
            <w:pPr>
              <w:spacing w:after="0"/>
              <w:jc w:val="left"/>
            </w:pPr>
            <w:r>
              <w:rPr>
                <w:b/>
                <w:sz w:val="20"/>
              </w:rPr>
              <w:t>FY23</w:t>
            </w:r>
          </w:p>
        </w:tc>
        <w:tc>
          <w:tcPr>
            <w:tcW w:w="1242" w:type="dxa"/>
          </w:tcPr>
          <w:p w:rsidR="007F373F" w:rsidRDefault="00000000">
            <w:pPr>
              <w:spacing w:after="0"/>
              <w:jc w:val="left"/>
            </w:pPr>
            <w:r>
              <w:rPr>
                <w:b/>
                <w:sz w:val="20"/>
              </w:rPr>
              <w:t>FY24</w:t>
            </w:r>
          </w:p>
        </w:tc>
        <w:tc>
          <w:tcPr>
            <w:tcW w:w="1242" w:type="dxa"/>
          </w:tcPr>
          <w:p w:rsidR="007F373F" w:rsidRDefault="00000000">
            <w:pPr>
              <w:spacing w:after="0"/>
              <w:jc w:val="left"/>
            </w:pPr>
            <w:r>
              <w:rPr>
                <w:b/>
                <w:sz w:val="20"/>
              </w:rPr>
              <w:t>FY25</w:t>
            </w:r>
          </w:p>
        </w:tc>
        <w:tc>
          <w:tcPr>
            <w:tcW w:w="1311" w:type="dxa"/>
          </w:tcPr>
          <w:p w:rsidR="007F373F" w:rsidRDefault="00000000">
            <w:pPr>
              <w:spacing w:after="0"/>
              <w:jc w:val="left"/>
            </w:pPr>
            <w:r>
              <w:rPr>
                <w:b/>
                <w:sz w:val="20"/>
              </w:rPr>
              <w:t>FY26</w:t>
            </w:r>
          </w:p>
        </w:tc>
      </w:tr>
      <w:tr w:rsidR="007F373F">
        <w:trPr>
          <w:jc w:val="center"/>
        </w:trPr>
        <w:tc>
          <w:tcPr>
            <w:tcW w:w="3589" w:type="dxa"/>
          </w:tcPr>
          <w:p w:rsidR="007F373F" w:rsidRDefault="00000000">
            <w:pPr>
              <w:spacing w:after="0"/>
              <w:jc w:val="left"/>
            </w:pPr>
            <w:r>
              <w:rPr>
                <w:sz w:val="20"/>
              </w:rPr>
              <w:t>Disbursements (₹ crore)</w:t>
            </w:r>
          </w:p>
        </w:tc>
        <w:tc>
          <w:tcPr>
            <w:tcW w:w="1173" w:type="dxa"/>
          </w:tcPr>
          <w:p w:rsidR="007F373F" w:rsidRDefault="00000000">
            <w:pPr>
              <w:spacing w:after="0"/>
              <w:jc w:val="right"/>
            </w:pPr>
            <w:r>
              <w:rPr>
                <w:sz w:val="20"/>
              </w:rPr>
              <w:t>518</w:t>
            </w:r>
          </w:p>
        </w:tc>
        <w:tc>
          <w:tcPr>
            <w:tcW w:w="1173" w:type="dxa"/>
          </w:tcPr>
          <w:p w:rsidR="007F373F" w:rsidRDefault="00000000">
            <w:pPr>
              <w:spacing w:after="0"/>
              <w:jc w:val="right"/>
            </w:pPr>
            <w:r>
              <w:rPr>
                <w:sz w:val="20"/>
              </w:rPr>
              <w:t>1,091</w:t>
            </w:r>
          </w:p>
        </w:tc>
        <w:tc>
          <w:tcPr>
            <w:tcW w:w="1242" w:type="dxa"/>
          </w:tcPr>
          <w:p w:rsidR="007F373F" w:rsidRDefault="00000000">
            <w:pPr>
              <w:spacing w:after="0"/>
              <w:jc w:val="right"/>
            </w:pPr>
            <w:r>
              <w:rPr>
                <w:sz w:val="20"/>
              </w:rPr>
              <w:t>1,359</w:t>
            </w:r>
          </w:p>
        </w:tc>
        <w:tc>
          <w:tcPr>
            <w:tcW w:w="1242" w:type="dxa"/>
          </w:tcPr>
          <w:p w:rsidR="007F373F" w:rsidRDefault="00000000">
            <w:pPr>
              <w:spacing w:after="0"/>
              <w:jc w:val="right"/>
            </w:pPr>
            <w:r>
              <w:rPr>
                <w:sz w:val="20"/>
              </w:rPr>
              <w:t>2,303</w:t>
            </w:r>
          </w:p>
        </w:tc>
        <w:tc>
          <w:tcPr>
            <w:tcW w:w="1311" w:type="dxa"/>
          </w:tcPr>
          <w:p w:rsidR="007F373F" w:rsidRDefault="00000000">
            <w:pPr>
              <w:spacing w:after="0"/>
              <w:jc w:val="right"/>
            </w:pPr>
            <w:r>
              <w:rPr>
                <w:sz w:val="20"/>
              </w:rPr>
              <w:t>2,180</w:t>
            </w:r>
          </w:p>
        </w:tc>
      </w:tr>
      <w:tr w:rsidR="007F373F">
        <w:trPr>
          <w:jc w:val="center"/>
        </w:trPr>
        <w:tc>
          <w:tcPr>
            <w:tcW w:w="3589" w:type="dxa"/>
          </w:tcPr>
          <w:p w:rsidR="007F373F" w:rsidRDefault="00000000">
            <w:pPr>
              <w:spacing w:after="0"/>
              <w:jc w:val="left"/>
            </w:pPr>
            <w:r>
              <w:rPr>
                <w:sz w:val="20"/>
              </w:rPr>
              <w:t>YoY growth (derived)</w:t>
            </w:r>
          </w:p>
        </w:tc>
        <w:tc>
          <w:tcPr>
            <w:tcW w:w="1173" w:type="dxa"/>
          </w:tcPr>
          <w:p w:rsidR="007F373F" w:rsidRDefault="00000000">
            <w:pPr>
              <w:spacing w:after="0"/>
              <w:jc w:val="right"/>
            </w:pPr>
            <w:r>
              <w:rPr>
                <w:sz w:val="20"/>
              </w:rPr>
              <w:t>–</w:t>
            </w:r>
          </w:p>
        </w:tc>
        <w:tc>
          <w:tcPr>
            <w:tcW w:w="1173" w:type="dxa"/>
          </w:tcPr>
          <w:p w:rsidR="007F373F" w:rsidRDefault="00000000">
            <w:pPr>
              <w:spacing w:after="0"/>
              <w:jc w:val="right"/>
            </w:pPr>
            <w:r>
              <w:rPr>
                <w:sz w:val="20"/>
              </w:rPr>
              <w:t>+111%</w:t>
            </w:r>
          </w:p>
        </w:tc>
        <w:tc>
          <w:tcPr>
            <w:tcW w:w="1242" w:type="dxa"/>
          </w:tcPr>
          <w:p w:rsidR="007F373F" w:rsidRDefault="00000000">
            <w:pPr>
              <w:spacing w:after="0"/>
              <w:jc w:val="right"/>
            </w:pPr>
            <w:r>
              <w:rPr>
                <w:sz w:val="20"/>
              </w:rPr>
              <w:t>+25%</w:t>
            </w:r>
          </w:p>
        </w:tc>
        <w:tc>
          <w:tcPr>
            <w:tcW w:w="1242" w:type="dxa"/>
          </w:tcPr>
          <w:p w:rsidR="007F373F" w:rsidRDefault="00000000">
            <w:pPr>
              <w:spacing w:after="0"/>
              <w:jc w:val="right"/>
            </w:pPr>
            <w:r>
              <w:rPr>
                <w:sz w:val="20"/>
              </w:rPr>
              <w:t>+69%</w:t>
            </w:r>
          </w:p>
        </w:tc>
        <w:tc>
          <w:tcPr>
            <w:tcW w:w="1311" w:type="dxa"/>
          </w:tcPr>
          <w:p w:rsidR="007F373F" w:rsidRDefault="00000000">
            <w:pPr>
              <w:spacing w:after="0"/>
              <w:jc w:val="right"/>
            </w:pPr>
            <w:r>
              <w:rPr>
                <w:sz w:val="20"/>
              </w:rPr>
              <w:t>-5%</w:t>
            </w:r>
          </w:p>
        </w:tc>
      </w:tr>
      <w:tr w:rsidR="007F373F">
        <w:trPr>
          <w:jc w:val="center"/>
        </w:trPr>
        <w:tc>
          <w:tcPr>
            <w:tcW w:w="3589" w:type="dxa"/>
          </w:tcPr>
          <w:p w:rsidR="007F373F" w:rsidRDefault="00000000">
            <w:pPr>
              <w:spacing w:after="0"/>
              <w:jc w:val="left"/>
            </w:pPr>
            <w:r>
              <w:rPr>
                <w:sz w:val="20"/>
              </w:rPr>
              <w:t>Mortgage AUM, all LAP + HL (₹ crore)</w:t>
            </w:r>
          </w:p>
        </w:tc>
        <w:tc>
          <w:tcPr>
            <w:tcW w:w="1173" w:type="dxa"/>
          </w:tcPr>
          <w:p w:rsidR="007F373F" w:rsidRDefault="00000000">
            <w:pPr>
              <w:spacing w:after="0"/>
              <w:jc w:val="right"/>
            </w:pPr>
            <w:r>
              <w:rPr>
                <w:sz w:val="20"/>
              </w:rPr>
              <w:t>n.a.</w:t>
            </w:r>
          </w:p>
        </w:tc>
        <w:tc>
          <w:tcPr>
            <w:tcW w:w="1173" w:type="dxa"/>
          </w:tcPr>
          <w:p w:rsidR="007F373F" w:rsidRDefault="00000000">
            <w:pPr>
              <w:spacing w:after="0"/>
              <w:jc w:val="right"/>
            </w:pPr>
            <w:r>
              <w:rPr>
                <w:sz w:val="20"/>
              </w:rPr>
              <w:t>n.a.</w:t>
            </w:r>
          </w:p>
        </w:tc>
        <w:tc>
          <w:tcPr>
            <w:tcW w:w="1242" w:type="dxa"/>
          </w:tcPr>
          <w:p w:rsidR="007F373F" w:rsidRDefault="00000000">
            <w:pPr>
              <w:spacing w:after="0"/>
              <w:jc w:val="right"/>
            </w:pPr>
            <w:r>
              <w:rPr>
                <w:sz w:val="20"/>
              </w:rPr>
              <w:t>6,218</w:t>
            </w:r>
          </w:p>
        </w:tc>
        <w:tc>
          <w:tcPr>
            <w:tcW w:w="1242" w:type="dxa"/>
          </w:tcPr>
          <w:p w:rsidR="007F373F" w:rsidRDefault="00000000">
            <w:pPr>
              <w:spacing w:after="0"/>
              <w:jc w:val="right"/>
            </w:pPr>
            <w:r>
              <w:rPr>
                <w:sz w:val="20"/>
              </w:rPr>
              <w:t>8,060</w:t>
            </w:r>
          </w:p>
        </w:tc>
        <w:tc>
          <w:tcPr>
            <w:tcW w:w="1311" w:type="dxa"/>
          </w:tcPr>
          <w:p w:rsidR="007F373F" w:rsidRDefault="00000000">
            <w:pPr>
              <w:spacing w:after="0"/>
              <w:jc w:val="right"/>
            </w:pPr>
            <w:r>
              <w:rPr>
                <w:sz w:val="20"/>
              </w:rPr>
              <w:t>9,362</w:t>
            </w:r>
          </w:p>
        </w:tc>
      </w:tr>
      <w:tr w:rsidR="007F373F">
        <w:trPr>
          <w:jc w:val="center"/>
        </w:trPr>
        <w:tc>
          <w:tcPr>
            <w:tcW w:w="3589" w:type="dxa"/>
          </w:tcPr>
          <w:p w:rsidR="007F373F" w:rsidRDefault="00000000">
            <w:pPr>
              <w:spacing w:after="0"/>
              <w:jc w:val="left"/>
            </w:pPr>
            <w:r>
              <w:rPr>
                <w:sz w:val="20"/>
              </w:rPr>
              <w:t>Mortgage share of AUM</w:t>
            </w:r>
          </w:p>
        </w:tc>
        <w:tc>
          <w:tcPr>
            <w:tcW w:w="1173" w:type="dxa"/>
          </w:tcPr>
          <w:p w:rsidR="007F373F" w:rsidRDefault="00000000">
            <w:pPr>
              <w:spacing w:after="0"/>
              <w:jc w:val="right"/>
            </w:pPr>
            <w:r>
              <w:rPr>
                <w:sz w:val="20"/>
              </w:rPr>
              <w:t>n.a.</w:t>
            </w:r>
          </w:p>
        </w:tc>
        <w:tc>
          <w:tcPr>
            <w:tcW w:w="1173" w:type="dxa"/>
          </w:tcPr>
          <w:p w:rsidR="007F373F" w:rsidRDefault="00000000">
            <w:pPr>
              <w:spacing w:after="0"/>
              <w:jc w:val="right"/>
            </w:pPr>
            <w:r>
              <w:rPr>
                <w:sz w:val="20"/>
              </w:rPr>
              <w:t>n.a.</w:t>
            </w:r>
          </w:p>
        </w:tc>
        <w:tc>
          <w:tcPr>
            <w:tcW w:w="1242" w:type="dxa"/>
          </w:tcPr>
          <w:p w:rsidR="007F373F" w:rsidRDefault="00000000">
            <w:pPr>
              <w:spacing w:after="0"/>
              <w:jc w:val="right"/>
            </w:pPr>
            <w:r>
              <w:rPr>
                <w:sz w:val="20"/>
              </w:rPr>
              <w:t>51.0%</w:t>
            </w:r>
          </w:p>
        </w:tc>
        <w:tc>
          <w:tcPr>
            <w:tcW w:w="1242" w:type="dxa"/>
          </w:tcPr>
          <w:p w:rsidR="007F373F" w:rsidRDefault="00000000">
            <w:pPr>
              <w:spacing w:after="0"/>
              <w:jc w:val="right"/>
            </w:pPr>
            <w:r>
              <w:rPr>
                <w:sz w:val="20"/>
              </w:rPr>
              <w:t>51.0%</w:t>
            </w:r>
          </w:p>
        </w:tc>
        <w:tc>
          <w:tcPr>
            <w:tcW w:w="1311" w:type="dxa"/>
          </w:tcPr>
          <w:p w:rsidR="007F373F" w:rsidRDefault="00000000">
            <w:pPr>
              <w:spacing w:after="0"/>
              <w:jc w:val="right"/>
            </w:pPr>
            <w:r>
              <w:rPr>
                <w:sz w:val="20"/>
              </w:rPr>
              <w:t>46.5%</w:t>
            </w:r>
          </w:p>
        </w:tc>
      </w:tr>
    </w:tbl>
    <w:p w:rsidR="007F373F" w:rsidRDefault="00000000">
      <w:pPr>
        <w:spacing w:before="40" w:after="80"/>
      </w:pPr>
      <w:r>
        <w:rPr>
          <w:i/>
          <w:sz w:val="18"/>
        </w:rPr>
        <w:t>Source: Fedfina Annual Report 2025-26 five-year disbursement chart and product page; Fedfina Annual Report 2023-24 MD&amp;A; Fedfina Annual Report 2024-25 CEO letter. Product-level AUM for MT LAP is disclosed only for FY26.</w:t>
      </w:r>
    </w:p>
    <w:p w:rsidR="007F373F" w:rsidRDefault="00000000">
      <w:pPr>
        <w:pStyle w:val="Heading2"/>
      </w:pPr>
      <w:r>
        <w:t>FY26 performance and outlook</w:t>
      </w:r>
    </w:p>
    <w:p w:rsidR="007F373F" w:rsidRDefault="00000000">
      <w:r>
        <w:t>Disbursements of ₹2,180 crore were 5% lower than FY25’s ₹2,303 crore, reflecting a deliberate slowdown in H1 while the mortgage business was re-staffed and re-tooled, followed by a strong recovery in H2: Q4 disbursements of ₹632 crore were 16% higher sequentially. Management acknowledges “broader industry yield pressures” in this segment – a consequence of bank competition and falling policy rates – and has therefore positioned MT LAP as the capital-efficient, lower-risk engine to be scaled “in a capital-efficient manner” (FY25 strategy) rather than the margin driver. Credit quality is the strongest among the mortgage products: 81% of AUM is from customers with CIBIL above 700 and only 3% is new-to-credit.</w:t>
      </w:r>
    </w:p>
    <w:p w:rsidR="007F373F" w:rsidRDefault="00000000">
      <w:pPr>
        <w:pStyle w:val="Heading2"/>
      </w:pPr>
      <w:r>
        <w:t>Sourcing, underwriting and collateral</w:t>
      </w:r>
    </w:p>
    <w:p w:rsidR="007F373F" w:rsidRDefault="00000000">
      <w:pPr>
        <w:pStyle w:val="ListBullet"/>
      </w:pPr>
      <w:r>
        <w:t>Sourcing through 129 MSME hubs, in-house relationship managers (≈75% of total origination is in-house), DSAs (25%), builder tie-ups and digital channels; 200+ connectors and trader partners.</w:t>
      </w:r>
    </w:p>
    <w:p w:rsidR="007F373F" w:rsidRDefault="00000000">
      <w:pPr>
        <w:pStyle w:val="ListBullet"/>
      </w:pPr>
      <w:r>
        <w:t>Underwriting on documented income (GST, bank statements via Account Aggregator, financials) plus property valuation; 10-day approval and 15-day disbursement TAT.</w:t>
      </w:r>
    </w:p>
    <w:p w:rsidR="007F373F" w:rsidRDefault="00000000">
      <w:pPr>
        <w:pStyle w:val="ListBullet"/>
      </w:pPr>
      <w:r>
        <w:t>Collateral is predominantly residential and self-occupied property (82.2% of mortgage AUM backed by self-occupied property); regulatory real-estate exposure at 31 March 2026 was ₹5,413 crore residential and ₹852 crore commercial (note 48).</w:t>
      </w:r>
    </w:p>
    <w:p w:rsidR="007F373F" w:rsidRDefault="00000000">
      <w:pPr>
        <w:pStyle w:val="ListBullet"/>
      </w:pPr>
      <w:r>
        <w:t>Loans against property to MSMEs qualify as priority-sector lending for bank co-lenders and assignees, supporting sell-down demand (₹2,579 crore sold down across products in FY26).</w:t>
      </w:r>
    </w:p>
    <w:p w:rsidR="007F373F" w:rsidRDefault="00000000">
      <w:r>
        <w:lastRenderedPageBreak/>
        <w:t>Assessment. MT LAP’s role is stability rather than growth: it carries the longest duration, the best bureau profile and the lowest yield. Its principal risks are yield compression and balance-transfer attrition as banks compete for the same prime MSME borrowers; its principal opportunity is cross-selling into the 3.4 lakh customer base and the 70 co-located branches.</w:t>
      </w:r>
    </w:p>
    <w:p w:rsidR="007F373F" w:rsidRDefault="00000000">
      <w:pPr>
        <w:pStyle w:val="Heading1"/>
        <w:pageBreakBefore/>
      </w:pPr>
      <w:r>
        <w:lastRenderedPageBreak/>
        <w:t>Small-Ticket LAP and Housing Loans: Reset and Rebuild</w:t>
      </w:r>
    </w:p>
    <w:p w:rsidR="007F373F" w:rsidRDefault="00000000">
      <w:r>
        <w:t>Small-ticket LAP and affordable housing loans (average ticket ₹16.1 lakh; AUM ₹3,792 crore, 18.8% of total) serve self-employed borrowers with informal incomes – median annual income around ₹5 lakh – in the outskirts of Tier 1 cities and in Tier 2–3 towns. It is the highest-yielding mortgage product (origination yield 15.1%) and the most operationally demanding. It is also the product whose FY25 stress triggered the Fedfina 2.0 reset, making it the most important product to understand for a judgement on sustainability.</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932"/>
        <w:gridCol w:w="4831"/>
        <w:gridCol w:w="2968"/>
      </w:tblGrid>
      <w:tr w:rsidR="007F373F">
        <w:trPr>
          <w:jc w:val="center"/>
        </w:trPr>
        <w:tc>
          <w:tcPr>
            <w:tcW w:w="1932" w:type="dxa"/>
          </w:tcPr>
          <w:p w:rsidR="007F373F" w:rsidRDefault="00000000">
            <w:pPr>
              <w:spacing w:after="0"/>
              <w:jc w:val="left"/>
            </w:pPr>
            <w:r>
              <w:rPr>
                <w:b/>
                <w:sz w:val="19"/>
              </w:rPr>
              <w:t>Phase</w:t>
            </w:r>
          </w:p>
        </w:tc>
        <w:tc>
          <w:tcPr>
            <w:tcW w:w="4831" w:type="dxa"/>
          </w:tcPr>
          <w:p w:rsidR="007F373F" w:rsidRDefault="00000000">
            <w:pPr>
              <w:spacing w:after="0"/>
              <w:jc w:val="left"/>
            </w:pPr>
            <w:r>
              <w:rPr>
                <w:b/>
                <w:sz w:val="19"/>
              </w:rPr>
              <w:t>What the company disclosed</w:t>
            </w:r>
          </w:p>
        </w:tc>
        <w:tc>
          <w:tcPr>
            <w:tcW w:w="2968" w:type="dxa"/>
          </w:tcPr>
          <w:p w:rsidR="007F373F" w:rsidRDefault="00000000">
            <w:pPr>
              <w:spacing w:after="0"/>
              <w:jc w:val="left"/>
            </w:pPr>
            <w:r>
              <w:rPr>
                <w:b/>
                <w:sz w:val="19"/>
              </w:rPr>
              <w:t>Numbers</w:t>
            </w:r>
          </w:p>
        </w:tc>
      </w:tr>
      <w:tr w:rsidR="007F373F">
        <w:trPr>
          <w:jc w:val="center"/>
        </w:trPr>
        <w:tc>
          <w:tcPr>
            <w:tcW w:w="1932" w:type="dxa"/>
          </w:tcPr>
          <w:p w:rsidR="007F373F" w:rsidRDefault="00000000">
            <w:pPr>
              <w:spacing w:after="0"/>
              <w:jc w:val="left"/>
            </w:pPr>
            <w:r>
              <w:rPr>
                <w:sz w:val="19"/>
              </w:rPr>
              <w:t>FY22–FY24: rapid growth</w:t>
            </w:r>
          </w:p>
        </w:tc>
        <w:tc>
          <w:tcPr>
            <w:tcW w:w="4831" w:type="dxa"/>
          </w:tcPr>
          <w:p w:rsidR="007F373F" w:rsidRDefault="00000000">
            <w:pPr>
              <w:spacing w:after="0"/>
              <w:jc w:val="left"/>
            </w:pPr>
            <w:r>
              <w:rPr>
                <w:sz w:val="19"/>
              </w:rPr>
              <w:t>ST LAP disbursements grew every year; small-ticket book built through branch expansion and DSA sourcing</w:t>
            </w:r>
          </w:p>
        </w:tc>
        <w:tc>
          <w:tcPr>
            <w:tcW w:w="2968" w:type="dxa"/>
          </w:tcPr>
          <w:p w:rsidR="007F373F" w:rsidRDefault="00000000">
            <w:pPr>
              <w:spacing w:after="0"/>
              <w:jc w:val="left"/>
            </w:pPr>
            <w:r>
              <w:rPr>
                <w:sz w:val="19"/>
              </w:rPr>
              <w:t>Disbursements ₹765 cr → ₹1,102 cr → ₹1,475 cr; MSME hubs 109 → 183</w:t>
            </w:r>
          </w:p>
        </w:tc>
      </w:tr>
      <w:tr w:rsidR="007F373F">
        <w:trPr>
          <w:jc w:val="center"/>
        </w:trPr>
        <w:tc>
          <w:tcPr>
            <w:tcW w:w="1932" w:type="dxa"/>
          </w:tcPr>
          <w:p w:rsidR="007F373F" w:rsidRDefault="00000000">
            <w:pPr>
              <w:spacing w:after="0"/>
              <w:jc w:val="left"/>
            </w:pPr>
            <w:r>
              <w:rPr>
                <w:sz w:val="19"/>
              </w:rPr>
              <w:t>FY25: stress and reset</w:t>
            </w:r>
          </w:p>
        </w:tc>
        <w:tc>
          <w:tcPr>
            <w:tcW w:w="4831" w:type="dxa"/>
          </w:tcPr>
          <w:p w:rsidR="007F373F" w:rsidRDefault="00000000">
            <w:pPr>
              <w:spacing w:after="0"/>
              <w:jc w:val="left"/>
            </w:pPr>
            <w:r>
              <w:rPr>
                <w:sz w:val="19"/>
              </w:rPr>
              <w:t>“Elevated level of delinquencies with a delay and drop in realisation for deeper-bucket NPA pools … attributable to our collection infrastructure having not kept pace with business growth”; provisions shored up; new leadership</w:t>
            </w:r>
          </w:p>
        </w:tc>
        <w:tc>
          <w:tcPr>
            <w:tcW w:w="2968" w:type="dxa"/>
          </w:tcPr>
          <w:p w:rsidR="007F373F" w:rsidRDefault="00000000">
            <w:pPr>
              <w:spacing w:after="0"/>
              <w:jc w:val="left"/>
            </w:pPr>
            <w:r>
              <w:rPr>
                <w:sz w:val="19"/>
              </w:rPr>
              <w:t>Credit cost 1.8% (FY24 0.7%); impairment ₹216 crore; disbursements cut to ₹1,004 cr; Stage 2 loans 5.1% of amortised book</w:t>
            </w:r>
          </w:p>
        </w:tc>
      </w:tr>
      <w:tr w:rsidR="007F373F">
        <w:trPr>
          <w:jc w:val="center"/>
        </w:trPr>
        <w:tc>
          <w:tcPr>
            <w:tcW w:w="1932" w:type="dxa"/>
          </w:tcPr>
          <w:p w:rsidR="007F373F" w:rsidRDefault="00000000">
            <w:pPr>
              <w:spacing w:after="0"/>
              <w:jc w:val="left"/>
            </w:pPr>
            <w:r>
              <w:rPr>
                <w:sz w:val="19"/>
              </w:rPr>
              <w:t>FY26: rebuild</w:t>
            </w:r>
          </w:p>
        </w:tc>
        <w:tc>
          <w:tcPr>
            <w:tcW w:w="4831" w:type="dxa"/>
          </w:tcPr>
          <w:p w:rsidR="007F373F" w:rsidRDefault="00000000">
            <w:pPr>
              <w:spacing w:after="0"/>
              <w:jc w:val="left"/>
            </w:pPr>
            <w:r>
              <w:rPr>
                <w:sz w:val="19"/>
              </w:rPr>
              <w:t>API-led, system-driven operating model anchored by a Business Rule Engine and Salesforce; in-house collections 1.8x; agency reliance 0.4x; 70 ST LAP branches co-located in gold premises; sale of deeply delinquent pools to ARCs</w:t>
            </w:r>
          </w:p>
        </w:tc>
        <w:tc>
          <w:tcPr>
            <w:tcW w:w="2968" w:type="dxa"/>
          </w:tcPr>
          <w:p w:rsidR="007F373F" w:rsidRDefault="00000000">
            <w:pPr>
              <w:spacing w:after="0"/>
              <w:jc w:val="left"/>
            </w:pPr>
            <w:r>
              <w:rPr>
                <w:sz w:val="19"/>
              </w:rPr>
              <w:t>Disbursements ₹904 cr with rising quarterly run-rate; new book quality better than old book; Stage 2 share 1.9%; 814 NPA accounts (₹105 cr) sold to ARCs; credit cost 0.8%</w:t>
            </w:r>
          </w:p>
        </w:tc>
      </w:tr>
    </w:tbl>
    <w:p w:rsidR="007F373F" w:rsidRDefault="00000000">
      <w:pPr>
        <w:spacing w:before="40" w:after="80"/>
      </w:pPr>
      <w:r>
        <w:rPr>
          <w:i/>
          <w:sz w:val="18"/>
        </w:rPr>
        <w:t>Source: Fedfina Annual Report 2024-25, MD&amp;CEO letter p.12–15; Fedfina Annual Report 2025-26, MD&amp;CEO statement p.18–21, product page p.11, note 48 (NPA sales).</w:t>
      </w:r>
    </w:p>
    <w:p w:rsidR="007F373F" w:rsidRDefault="00000000">
      <w:pPr>
        <w:pStyle w:val="Heading2"/>
      </w:pPr>
      <w:r>
        <w:t>Credit profile of the new book</w:t>
      </w:r>
    </w:p>
    <w:p w:rsidR="007F373F" w:rsidRDefault="00000000">
      <w:r>
        <w:t>The FY26 MD&amp;A discloses the bureau distribution of the small-ticket LAP and housing-loan portfolio: 68% of AUM from customers with CIBIL above 700, 16% between 650 and 700, 7% below 650 and 9% new-to-credit (score 0/−1). Compared with MT LAP (81% above 700) this is a riskier profile, as expected for the segment, but the company states that the new book is performing better than the old book, that early-bucket cure rates improved by about 2 percentage points and Stage 1–2 cure rates by 5–6 points, and that monthly Stage 3 recoveries more than doubled to ₹14.5 crore. Collateral is mostly self-occupied residential property, and borrowers are assessed on observed household cash flows rather than documents alone.</w:t>
      </w:r>
    </w:p>
    <w:p w:rsidR="007F373F" w:rsidRDefault="00000000">
      <w:pPr>
        <w:pStyle w:val="Heading2"/>
      </w:pPr>
      <w:r>
        <w:t>Housing loans</w:t>
      </w:r>
    </w:p>
    <w:p w:rsidR="007F373F" w:rsidRDefault="00000000">
      <w:r>
        <w:t>Affordable housing loans are bundled with ST LAP in reporting and distributed through the same hubs. The FY26 report cites softening interest rates, improved affordability and eligibility, healthy demand in affordable and Tier 2–3 markets, expansion of sourcing through branches, DSAs, builder tie-ups and digital channels, and stable funding access as the segment’s growth drivers. Housing loans lengthen the portfolio’s duration and carry lower yields than LAP, but they also qualify for priority-sector treatment within limits and support co-lending.</w:t>
      </w:r>
    </w:p>
    <w:p w:rsidR="007F373F" w:rsidRDefault="00000000">
      <w:r>
        <w:t xml:space="preserve">Assessment. ST LAP is where the thesis will be proved or disproved. The evidence so far – lower Stage 2, better cure rates, system-driven underwriting, in-house collections and a conservative restart in volumes – is positive, but the FY26 cohort is less than a year old. The appropriate analytical </w:t>
      </w:r>
      <w:r>
        <w:lastRenderedPageBreak/>
        <w:t>stance is to monitor 30+ and 90+ day delinquency on the FY26 vintage through FY27 before concluding that the rebuild is complete.</w:t>
      </w:r>
    </w:p>
    <w:p w:rsidR="007F373F" w:rsidRDefault="00000000">
      <w:pPr>
        <w:pStyle w:val="Heading1"/>
        <w:pageBreakBefore/>
      </w:pPr>
      <w:r>
        <w:lastRenderedPageBreak/>
        <w:t>Exit from Unsecured Business Loans</w:t>
      </w:r>
    </w:p>
    <w:p w:rsidR="007F373F" w:rsidRDefault="00000000">
      <w:r>
        <w:t>Fedfina began distributing unsecured business loans in 2018 and built the book to roughly 16% of AUM by FY24 (derived from the FY24 product mix) and ₹1,656 crore (10.5%) by March 2025. The product offered high yields and quick disbursement to MSMEs needing short-term working capital, but it also carried the highest credit losses and the greatest sensitivity to the unsecured-credit stress that spread across the industry in FY25. Fresh origination was stopped in December 2024 and, under Fedfina 2.0, the portfolio was “gradually phased down as the Company transitions towards a predominantly secured lending portfolio”.</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932"/>
        <w:gridCol w:w="1518"/>
        <w:gridCol w:w="4141"/>
        <w:gridCol w:w="2139"/>
      </w:tblGrid>
      <w:tr w:rsidR="007F373F">
        <w:trPr>
          <w:jc w:val="center"/>
        </w:trPr>
        <w:tc>
          <w:tcPr>
            <w:tcW w:w="1932" w:type="dxa"/>
          </w:tcPr>
          <w:p w:rsidR="007F373F" w:rsidRDefault="00000000">
            <w:pPr>
              <w:spacing w:after="0"/>
              <w:jc w:val="left"/>
            </w:pPr>
            <w:r>
              <w:rPr>
                <w:b/>
                <w:sz w:val="19"/>
              </w:rPr>
              <w:t>Step</w:t>
            </w:r>
          </w:p>
        </w:tc>
        <w:tc>
          <w:tcPr>
            <w:tcW w:w="1518" w:type="dxa"/>
          </w:tcPr>
          <w:p w:rsidR="007F373F" w:rsidRDefault="00000000">
            <w:pPr>
              <w:spacing w:after="0"/>
              <w:jc w:val="left"/>
            </w:pPr>
            <w:r>
              <w:rPr>
                <w:b/>
                <w:sz w:val="19"/>
              </w:rPr>
              <w:t>Date / period</w:t>
            </w:r>
          </w:p>
        </w:tc>
        <w:tc>
          <w:tcPr>
            <w:tcW w:w="4141" w:type="dxa"/>
          </w:tcPr>
          <w:p w:rsidR="007F373F" w:rsidRDefault="00000000">
            <w:pPr>
              <w:spacing w:after="0"/>
              <w:jc w:val="left"/>
            </w:pPr>
            <w:r>
              <w:rPr>
                <w:b/>
                <w:sz w:val="19"/>
              </w:rPr>
              <w:t>Detail</w:t>
            </w:r>
          </w:p>
        </w:tc>
        <w:tc>
          <w:tcPr>
            <w:tcW w:w="2139" w:type="dxa"/>
          </w:tcPr>
          <w:p w:rsidR="007F373F" w:rsidRDefault="00000000">
            <w:pPr>
              <w:spacing w:after="0"/>
              <w:jc w:val="left"/>
            </w:pPr>
            <w:r>
              <w:rPr>
                <w:b/>
                <w:sz w:val="19"/>
              </w:rPr>
              <w:t>Effect</w:t>
            </w:r>
          </w:p>
        </w:tc>
      </w:tr>
      <w:tr w:rsidR="007F373F">
        <w:trPr>
          <w:jc w:val="center"/>
        </w:trPr>
        <w:tc>
          <w:tcPr>
            <w:tcW w:w="1932" w:type="dxa"/>
          </w:tcPr>
          <w:p w:rsidR="007F373F" w:rsidRDefault="00000000">
            <w:pPr>
              <w:spacing w:after="0"/>
              <w:jc w:val="left"/>
            </w:pPr>
            <w:r>
              <w:rPr>
                <w:sz w:val="19"/>
              </w:rPr>
              <w:t>Stop new origination</w:t>
            </w:r>
          </w:p>
        </w:tc>
        <w:tc>
          <w:tcPr>
            <w:tcW w:w="1518" w:type="dxa"/>
          </w:tcPr>
          <w:p w:rsidR="007F373F" w:rsidRDefault="00000000">
            <w:pPr>
              <w:spacing w:after="0"/>
              <w:jc w:val="left"/>
            </w:pPr>
            <w:r>
              <w:rPr>
                <w:sz w:val="19"/>
              </w:rPr>
              <w:t>December 2024</w:t>
            </w:r>
          </w:p>
        </w:tc>
        <w:tc>
          <w:tcPr>
            <w:tcW w:w="4141" w:type="dxa"/>
          </w:tcPr>
          <w:p w:rsidR="007F373F" w:rsidRDefault="00000000">
            <w:pPr>
              <w:spacing w:after="0"/>
              <w:jc w:val="left"/>
            </w:pPr>
            <w:r>
              <w:rPr>
                <w:sz w:val="19"/>
              </w:rPr>
              <w:t>FY25 report: unsecured business lending discontinued</w:t>
            </w:r>
          </w:p>
        </w:tc>
        <w:tc>
          <w:tcPr>
            <w:tcW w:w="2139" w:type="dxa"/>
          </w:tcPr>
          <w:p w:rsidR="007F373F" w:rsidRDefault="00000000">
            <w:pPr>
              <w:spacing w:after="0"/>
              <w:jc w:val="left"/>
            </w:pPr>
            <w:r>
              <w:rPr>
                <w:sz w:val="19"/>
              </w:rPr>
              <w:t>No new unsecured exposure</w:t>
            </w:r>
          </w:p>
        </w:tc>
      </w:tr>
      <w:tr w:rsidR="007F373F">
        <w:trPr>
          <w:jc w:val="center"/>
        </w:trPr>
        <w:tc>
          <w:tcPr>
            <w:tcW w:w="1932" w:type="dxa"/>
          </w:tcPr>
          <w:p w:rsidR="007F373F" w:rsidRDefault="00000000">
            <w:pPr>
              <w:spacing w:after="0"/>
              <w:jc w:val="left"/>
            </w:pPr>
            <w:r>
              <w:rPr>
                <w:sz w:val="19"/>
              </w:rPr>
              <w:t>Opening position FY26</w:t>
            </w:r>
          </w:p>
        </w:tc>
        <w:tc>
          <w:tcPr>
            <w:tcW w:w="1518" w:type="dxa"/>
          </w:tcPr>
          <w:p w:rsidR="007F373F" w:rsidRDefault="00000000">
            <w:pPr>
              <w:spacing w:after="0"/>
              <w:jc w:val="left"/>
            </w:pPr>
            <w:r>
              <w:rPr>
                <w:sz w:val="19"/>
              </w:rPr>
              <w:t>1 April 2025</w:t>
            </w:r>
          </w:p>
        </w:tc>
        <w:tc>
          <w:tcPr>
            <w:tcW w:w="4141" w:type="dxa"/>
          </w:tcPr>
          <w:p w:rsidR="007F373F" w:rsidRDefault="00000000">
            <w:pPr>
              <w:spacing w:after="0"/>
              <w:jc w:val="left"/>
            </w:pPr>
            <w:r>
              <w:rPr>
                <w:sz w:val="19"/>
              </w:rPr>
              <w:t>Business-loan AUM ₹1,656 crore; assets under finance (on-book) ₹1,216 crore</w:t>
            </w:r>
          </w:p>
        </w:tc>
        <w:tc>
          <w:tcPr>
            <w:tcW w:w="2139" w:type="dxa"/>
          </w:tcPr>
          <w:p w:rsidR="007F373F" w:rsidRDefault="00000000">
            <w:pPr>
              <w:spacing w:after="0"/>
              <w:jc w:val="left"/>
            </w:pPr>
            <w:r>
              <w:rPr>
                <w:sz w:val="19"/>
              </w:rPr>
              <w:t>≈10.5% of AUM unsecured</w:t>
            </w:r>
          </w:p>
        </w:tc>
      </w:tr>
      <w:tr w:rsidR="007F373F">
        <w:trPr>
          <w:jc w:val="center"/>
        </w:trPr>
        <w:tc>
          <w:tcPr>
            <w:tcW w:w="1932" w:type="dxa"/>
          </w:tcPr>
          <w:p w:rsidR="007F373F" w:rsidRDefault="00000000">
            <w:pPr>
              <w:spacing w:after="0"/>
              <w:jc w:val="left"/>
            </w:pPr>
            <w:r>
              <w:rPr>
                <w:sz w:val="19"/>
              </w:rPr>
              <w:t>Portfolio assignment</w:t>
            </w:r>
          </w:p>
        </w:tc>
        <w:tc>
          <w:tcPr>
            <w:tcW w:w="1518" w:type="dxa"/>
          </w:tcPr>
          <w:p w:rsidR="007F373F" w:rsidRDefault="00000000">
            <w:pPr>
              <w:spacing w:after="0"/>
              <w:jc w:val="left"/>
            </w:pPr>
            <w:r>
              <w:rPr>
                <w:sz w:val="19"/>
              </w:rPr>
              <w:t>H1 FY26</w:t>
            </w:r>
          </w:p>
        </w:tc>
        <w:tc>
          <w:tcPr>
            <w:tcW w:w="4141" w:type="dxa"/>
          </w:tcPr>
          <w:p w:rsidR="007F373F" w:rsidRDefault="00000000">
            <w:pPr>
              <w:spacing w:after="0"/>
              <w:jc w:val="left"/>
            </w:pPr>
            <w:r>
              <w:rPr>
                <w:sz w:val="19"/>
              </w:rPr>
              <w:t>Complete assignment of ₹886 crore business-loan portfolio; sale of deeply delinquent pools to ARCs</w:t>
            </w:r>
          </w:p>
        </w:tc>
        <w:tc>
          <w:tcPr>
            <w:tcW w:w="2139" w:type="dxa"/>
          </w:tcPr>
          <w:p w:rsidR="007F373F" w:rsidRDefault="00000000">
            <w:pPr>
              <w:spacing w:after="0"/>
              <w:jc w:val="left"/>
            </w:pPr>
            <w:r>
              <w:rPr>
                <w:sz w:val="19"/>
              </w:rPr>
              <w:t>Took the company “out of unsecured lending in H1 FY 2025-26”</w:t>
            </w:r>
          </w:p>
        </w:tc>
      </w:tr>
      <w:tr w:rsidR="007F373F">
        <w:trPr>
          <w:jc w:val="center"/>
        </w:trPr>
        <w:tc>
          <w:tcPr>
            <w:tcW w:w="1932" w:type="dxa"/>
          </w:tcPr>
          <w:p w:rsidR="007F373F" w:rsidRDefault="00000000">
            <w:pPr>
              <w:spacing w:after="0"/>
              <w:jc w:val="left"/>
            </w:pPr>
            <w:r>
              <w:rPr>
                <w:sz w:val="19"/>
              </w:rPr>
              <w:t>Closing position FY26</w:t>
            </w:r>
          </w:p>
        </w:tc>
        <w:tc>
          <w:tcPr>
            <w:tcW w:w="1518" w:type="dxa"/>
          </w:tcPr>
          <w:p w:rsidR="007F373F" w:rsidRDefault="00000000">
            <w:pPr>
              <w:spacing w:after="0"/>
              <w:jc w:val="left"/>
            </w:pPr>
            <w:r>
              <w:rPr>
                <w:sz w:val="19"/>
              </w:rPr>
              <w:t>31 March 2026</w:t>
            </w:r>
          </w:p>
        </w:tc>
        <w:tc>
          <w:tcPr>
            <w:tcW w:w="4141" w:type="dxa"/>
          </w:tcPr>
          <w:p w:rsidR="007F373F" w:rsidRDefault="00000000">
            <w:pPr>
              <w:spacing w:after="0"/>
              <w:jc w:val="left"/>
            </w:pPr>
            <w:r>
              <w:rPr>
                <w:sz w:val="19"/>
              </w:rPr>
              <w:t>On-book business loans ≈ ₹48 crore (0.4% of AUF); unsecured loans in note 8 ₹48.4 crore (FY25: ₹1,232 crore); secured AUM 98.9%</w:t>
            </w:r>
          </w:p>
        </w:tc>
        <w:tc>
          <w:tcPr>
            <w:tcW w:w="2139" w:type="dxa"/>
          </w:tcPr>
          <w:p w:rsidR="007F373F" w:rsidRDefault="00000000">
            <w:pPr>
              <w:spacing w:after="0"/>
              <w:jc w:val="left"/>
            </w:pPr>
            <w:r>
              <w:rPr>
                <w:sz w:val="19"/>
              </w:rPr>
              <w:t>Fully secured construct achieved</w:t>
            </w:r>
          </w:p>
        </w:tc>
      </w:tr>
      <w:tr w:rsidR="007F373F">
        <w:trPr>
          <w:jc w:val="center"/>
        </w:trPr>
        <w:tc>
          <w:tcPr>
            <w:tcW w:w="1932" w:type="dxa"/>
          </w:tcPr>
          <w:p w:rsidR="007F373F" w:rsidRDefault="00000000">
            <w:pPr>
              <w:spacing w:after="0"/>
              <w:jc w:val="left"/>
            </w:pPr>
            <w:r>
              <w:rPr>
                <w:sz w:val="19"/>
              </w:rPr>
              <w:t>P&amp;L cost</w:t>
            </w:r>
          </w:p>
        </w:tc>
        <w:tc>
          <w:tcPr>
            <w:tcW w:w="1518" w:type="dxa"/>
          </w:tcPr>
          <w:p w:rsidR="007F373F" w:rsidRDefault="00000000">
            <w:pPr>
              <w:spacing w:after="0"/>
              <w:jc w:val="left"/>
            </w:pPr>
            <w:r>
              <w:rPr>
                <w:sz w:val="19"/>
              </w:rPr>
              <w:t>FY26</w:t>
            </w:r>
          </w:p>
        </w:tc>
        <w:tc>
          <w:tcPr>
            <w:tcW w:w="4141" w:type="dxa"/>
          </w:tcPr>
          <w:p w:rsidR="007F373F" w:rsidRDefault="00000000">
            <w:pPr>
              <w:spacing w:after="0"/>
              <w:jc w:val="left"/>
            </w:pPr>
            <w:r>
              <w:rPr>
                <w:sz w:val="19"/>
              </w:rPr>
              <w:t>Bad debts net of recovery ₹83.5 crore (amortised) and ₹50.2 crore (FVOCI); ECL provisions released ₹12.3 crore as the unsecured book left the balance sheet</w:t>
            </w:r>
          </w:p>
        </w:tc>
        <w:tc>
          <w:tcPr>
            <w:tcW w:w="2139" w:type="dxa"/>
          </w:tcPr>
          <w:p w:rsidR="007F373F" w:rsidRDefault="00000000">
            <w:pPr>
              <w:spacing w:after="0"/>
              <w:jc w:val="left"/>
            </w:pPr>
            <w:r>
              <w:rPr>
                <w:sz w:val="19"/>
              </w:rPr>
              <w:t>Credit cost 0.8% despite clean-up</w:t>
            </w:r>
          </w:p>
        </w:tc>
      </w:tr>
    </w:tbl>
    <w:p w:rsidR="007F373F" w:rsidRDefault="00000000">
      <w:pPr>
        <w:spacing w:before="40" w:after="80"/>
      </w:pPr>
      <w:r>
        <w:rPr>
          <w:i/>
          <w:sz w:val="18"/>
        </w:rPr>
        <w:t>Source: Fedfina Annual Report 2025-26, MD&amp;CEO statement (‘Our Fully Secured Construct’), note 8 (secured/unsecured split), note 32 (impairment); Fedfina Annual Report 2024-25, MD&amp;CEO letter.</w:t>
      </w:r>
    </w:p>
    <w:p w:rsidR="007F373F" w:rsidRDefault="00000000">
      <w:pPr>
        <w:pStyle w:val="Heading2"/>
      </w:pPr>
      <w:r>
        <w:t>Why the exit matters analytically</w:t>
      </w:r>
    </w:p>
    <w:p w:rsidR="007F373F" w:rsidRDefault="00000000">
      <w:pPr>
        <w:pStyle w:val="ListBullet"/>
      </w:pPr>
      <w:r>
        <w:rPr>
          <w:b/>
        </w:rPr>
        <w:t xml:space="preserve">Loss-given-default: </w:t>
      </w:r>
      <w:r>
        <w:t>an unsecured MSME loan that defaults is largely written off, whereas a gold or property loan recovers most of its principal. Removing the unsecured book structurally lowers expected credit cost; the FY26 impairment note shows provision releases on both amortised and FVOCI books.</w:t>
      </w:r>
    </w:p>
    <w:p w:rsidR="007F373F" w:rsidRDefault="00000000">
      <w:pPr>
        <w:pStyle w:val="ListBullet"/>
      </w:pPr>
      <w:r>
        <w:rPr>
          <w:b/>
        </w:rPr>
        <w:t xml:space="preserve">Capital: </w:t>
      </w:r>
      <w:r>
        <w:t>unsecured loans attract 100% risk weight; gold loans and qualifying mortgages attract lower weights. The exit therefore supports the CRAR (22.4%) even as the balance sheet grows.</w:t>
      </w:r>
    </w:p>
    <w:p w:rsidR="007F373F" w:rsidRDefault="00000000">
      <w:pPr>
        <w:pStyle w:val="ListBullet"/>
      </w:pPr>
      <w:r>
        <w:rPr>
          <w:b/>
        </w:rPr>
        <w:t xml:space="preserve">Earnings mix: </w:t>
      </w:r>
      <w:r>
        <w:t>the business-loan yield premium is lost, but FY26 shows NIM of 8.8% and spread of 8.6% – above FY25 – because gold yields and lower funding costs more than compensated.</w:t>
      </w:r>
    </w:p>
    <w:p w:rsidR="007F373F" w:rsidRDefault="00000000">
      <w:pPr>
        <w:pStyle w:val="ListBullet"/>
      </w:pPr>
      <w:r>
        <w:rPr>
          <w:b/>
        </w:rPr>
        <w:t xml:space="preserve">Credibility: </w:t>
      </w:r>
      <w:r>
        <w:t>the company chose to crystallise losses (ARC sales, write-offs) rather than carry them, and disclosed the amounts; the FY25 provision build (₹216 crore impairment) was the price of that choice.</w:t>
      </w:r>
    </w:p>
    <w:p w:rsidR="007F373F" w:rsidRDefault="00000000">
      <w:r>
        <w:t>Assessment. The exit converts Fedfina into a pure secured lender comparable in risk construct to the large gold-loan NBFCs and the affordable-housing financiers, at the cost of a slightly lower blended yield. Given sector-wide stress in unsecured small-business credit, the decision looks well-timed; its success will be measured by whether credit cost stays within the sub-1% commitment through FY27.</w:t>
      </w:r>
    </w:p>
    <w:p w:rsidR="007F373F" w:rsidRDefault="00000000">
      <w:pPr>
        <w:pStyle w:val="Heading1"/>
        <w:pageBreakBefore/>
      </w:pPr>
      <w:r>
        <w:lastRenderedPageBreak/>
        <w:t>Co-lending, Direct Assignment and Off-Book AUM</w:t>
      </w:r>
    </w:p>
    <w:p w:rsidR="007F373F" w:rsidRDefault="00000000">
      <w:r>
        <w:t>Fedfina uses two capital-light mechanisms. Under RBI’s co-lending model a bank funds most of a loan originated and serviced by the NBFC, which retains a minority share on book. Under direct assignment (DA) the NBFC sells a seasoned pool to a bank, retains minimum risk and services the loans; the excess interest spread is recognised as DA income. Both keep AUM off balance sheet and improve capital efficiency, but DA income is front-loaded and affects earnings quality.</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313"/>
        <w:gridCol w:w="1104"/>
        <w:gridCol w:w="1104"/>
        <w:gridCol w:w="2208"/>
        <w:gridCol w:w="2001"/>
      </w:tblGrid>
      <w:tr w:rsidR="007F373F">
        <w:trPr>
          <w:jc w:val="center"/>
        </w:trPr>
        <w:tc>
          <w:tcPr>
            <w:tcW w:w="3313" w:type="dxa"/>
          </w:tcPr>
          <w:p w:rsidR="007F373F" w:rsidRDefault="00000000">
            <w:pPr>
              <w:spacing w:after="0"/>
              <w:jc w:val="left"/>
            </w:pPr>
            <w:r>
              <w:rPr>
                <w:b/>
                <w:sz w:val="19"/>
              </w:rPr>
              <w:t>Indicator</w:t>
            </w:r>
          </w:p>
        </w:tc>
        <w:tc>
          <w:tcPr>
            <w:tcW w:w="1104" w:type="dxa"/>
          </w:tcPr>
          <w:p w:rsidR="007F373F" w:rsidRDefault="00000000">
            <w:pPr>
              <w:spacing w:after="0"/>
              <w:jc w:val="left"/>
            </w:pPr>
            <w:r>
              <w:rPr>
                <w:b/>
                <w:sz w:val="19"/>
              </w:rPr>
              <w:t>FY24</w:t>
            </w:r>
          </w:p>
        </w:tc>
        <w:tc>
          <w:tcPr>
            <w:tcW w:w="1104" w:type="dxa"/>
          </w:tcPr>
          <w:p w:rsidR="007F373F" w:rsidRDefault="00000000">
            <w:pPr>
              <w:spacing w:after="0"/>
              <w:jc w:val="left"/>
            </w:pPr>
            <w:r>
              <w:rPr>
                <w:b/>
                <w:sz w:val="19"/>
              </w:rPr>
              <w:t>FY25</w:t>
            </w:r>
          </w:p>
        </w:tc>
        <w:tc>
          <w:tcPr>
            <w:tcW w:w="2208" w:type="dxa"/>
          </w:tcPr>
          <w:p w:rsidR="007F373F" w:rsidRDefault="00000000">
            <w:pPr>
              <w:spacing w:after="0"/>
              <w:jc w:val="left"/>
            </w:pPr>
            <w:r>
              <w:rPr>
                <w:b/>
                <w:sz w:val="19"/>
              </w:rPr>
              <w:t>FY26</w:t>
            </w:r>
          </w:p>
        </w:tc>
        <w:tc>
          <w:tcPr>
            <w:tcW w:w="2001" w:type="dxa"/>
          </w:tcPr>
          <w:p w:rsidR="007F373F" w:rsidRDefault="00000000">
            <w:pPr>
              <w:spacing w:after="0"/>
              <w:jc w:val="left"/>
            </w:pPr>
            <w:r>
              <w:rPr>
                <w:b/>
                <w:sz w:val="19"/>
              </w:rPr>
              <w:t>Source</w:t>
            </w:r>
          </w:p>
        </w:tc>
      </w:tr>
      <w:tr w:rsidR="007F373F">
        <w:trPr>
          <w:jc w:val="center"/>
        </w:trPr>
        <w:tc>
          <w:tcPr>
            <w:tcW w:w="3313" w:type="dxa"/>
          </w:tcPr>
          <w:p w:rsidR="007F373F" w:rsidRDefault="00000000">
            <w:pPr>
              <w:spacing w:after="0"/>
              <w:jc w:val="left"/>
            </w:pPr>
            <w:r>
              <w:rPr>
                <w:sz w:val="19"/>
              </w:rPr>
              <w:t>Off-book AUM as % of total AUM</w:t>
            </w:r>
          </w:p>
        </w:tc>
        <w:tc>
          <w:tcPr>
            <w:tcW w:w="1104" w:type="dxa"/>
          </w:tcPr>
          <w:p w:rsidR="007F373F" w:rsidRDefault="00000000">
            <w:pPr>
              <w:spacing w:after="0"/>
              <w:jc w:val="right"/>
            </w:pPr>
            <w:r>
              <w:rPr>
                <w:sz w:val="19"/>
              </w:rPr>
              <w:t>18.7%</w:t>
            </w:r>
          </w:p>
        </w:tc>
        <w:tc>
          <w:tcPr>
            <w:tcW w:w="1104" w:type="dxa"/>
          </w:tcPr>
          <w:p w:rsidR="007F373F" w:rsidRDefault="00000000">
            <w:pPr>
              <w:spacing w:after="0"/>
              <w:jc w:val="right"/>
            </w:pPr>
            <w:r>
              <w:rPr>
                <w:sz w:val="19"/>
              </w:rPr>
              <w:t>25.1%</w:t>
            </w:r>
          </w:p>
        </w:tc>
        <w:tc>
          <w:tcPr>
            <w:tcW w:w="2208" w:type="dxa"/>
          </w:tcPr>
          <w:p w:rsidR="007F373F" w:rsidRDefault="00000000">
            <w:pPr>
              <w:spacing w:after="0"/>
              <w:jc w:val="right"/>
            </w:pPr>
            <w:r>
              <w:rPr>
                <w:sz w:val="19"/>
              </w:rPr>
              <w:t>12.1%</w:t>
            </w:r>
          </w:p>
        </w:tc>
        <w:tc>
          <w:tcPr>
            <w:tcW w:w="2001" w:type="dxa"/>
          </w:tcPr>
          <w:p w:rsidR="007F373F" w:rsidRDefault="00000000">
            <w:pPr>
              <w:spacing w:after="0"/>
              <w:jc w:val="left"/>
            </w:pPr>
            <w:r>
              <w:rPr>
                <w:sz w:val="19"/>
              </w:rPr>
              <w:t>Directors’ Reports FY24–FY26</w:t>
            </w:r>
          </w:p>
        </w:tc>
      </w:tr>
      <w:tr w:rsidR="007F373F">
        <w:trPr>
          <w:jc w:val="center"/>
        </w:trPr>
        <w:tc>
          <w:tcPr>
            <w:tcW w:w="3313" w:type="dxa"/>
          </w:tcPr>
          <w:p w:rsidR="007F373F" w:rsidRDefault="00000000">
            <w:pPr>
              <w:spacing w:after="0"/>
              <w:jc w:val="left"/>
            </w:pPr>
            <w:r>
              <w:rPr>
                <w:sz w:val="19"/>
              </w:rPr>
              <w:t>Co-lending AUM (₹ crore)</w:t>
            </w:r>
          </w:p>
        </w:tc>
        <w:tc>
          <w:tcPr>
            <w:tcW w:w="1104" w:type="dxa"/>
          </w:tcPr>
          <w:p w:rsidR="007F373F" w:rsidRDefault="00000000">
            <w:pPr>
              <w:spacing w:after="0"/>
              <w:jc w:val="right"/>
            </w:pPr>
            <w:r>
              <w:rPr>
                <w:sz w:val="19"/>
              </w:rPr>
              <w:t>522</w:t>
            </w:r>
          </w:p>
        </w:tc>
        <w:tc>
          <w:tcPr>
            <w:tcW w:w="1104" w:type="dxa"/>
          </w:tcPr>
          <w:p w:rsidR="007F373F" w:rsidRDefault="00000000">
            <w:pPr>
              <w:spacing w:after="0"/>
              <w:jc w:val="right"/>
            </w:pPr>
            <w:r>
              <w:rPr>
                <w:sz w:val="19"/>
              </w:rPr>
              <w:t>1,131</w:t>
            </w:r>
          </w:p>
        </w:tc>
        <w:tc>
          <w:tcPr>
            <w:tcW w:w="2208" w:type="dxa"/>
          </w:tcPr>
          <w:p w:rsidR="007F373F" w:rsidRDefault="00000000">
            <w:pPr>
              <w:spacing w:after="0"/>
              <w:jc w:val="right"/>
            </w:pPr>
            <w:r>
              <w:rPr>
                <w:sz w:val="19"/>
              </w:rPr>
              <w:t>2,433</w:t>
            </w:r>
          </w:p>
        </w:tc>
        <w:tc>
          <w:tcPr>
            <w:tcW w:w="2001" w:type="dxa"/>
          </w:tcPr>
          <w:p w:rsidR="007F373F" w:rsidRDefault="00000000">
            <w:pPr>
              <w:spacing w:after="0"/>
              <w:jc w:val="left"/>
            </w:pPr>
            <w:r>
              <w:rPr>
                <w:sz w:val="19"/>
              </w:rPr>
              <w:t>Directors’ Reports (co-lending); FY26 gold loans</w:t>
            </w:r>
          </w:p>
        </w:tc>
      </w:tr>
      <w:tr w:rsidR="007F373F">
        <w:trPr>
          <w:jc w:val="center"/>
        </w:trPr>
        <w:tc>
          <w:tcPr>
            <w:tcW w:w="3313" w:type="dxa"/>
          </w:tcPr>
          <w:p w:rsidR="007F373F" w:rsidRDefault="00000000">
            <w:pPr>
              <w:spacing w:after="0"/>
              <w:jc w:val="left"/>
            </w:pPr>
            <w:r>
              <w:rPr>
                <w:sz w:val="19"/>
              </w:rPr>
              <w:t>Sell-down / DA during the year (₹ crore)</w:t>
            </w:r>
          </w:p>
        </w:tc>
        <w:tc>
          <w:tcPr>
            <w:tcW w:w="1104" w:type="dxa"/>
          </w:tcPr>
          <w:p w:rsidR="007F373F" w:rsidRDefault="00000000">
            <w:pPr>
              <w:spacing w:after="0"/>
              <w:jc w:val="right"/>
            </w:pPr>
            <w:r>
              <w:rPr>
                <w:sz w:val="19"/>
              </w:rPr>
              <w:t>1,461</w:t>
            </w:r>
          </w:p>
        </w:tc>
        <w:tc>
          <w:tcPr>
            <w:tcW w:w="1104" w:type="dxa"/>
          </w:tcPr>
          <w:p w:rsidR="007F373F" w:rsidRDefault="00000000">
            <w:pPr>
              <w:spacing w:after="0"/>
              <w:jc w:val="right"/>
            </w:pPr>
            <w:r>
              <w:rPr>
                <w:sz w:val="19"/>
              </w:rPr>
              <w:t>2,130</w:t>
            </w:r>
          </w:p>
        </w:tc>
        <w:tc>
          <w:tcPr>
            <w:tcW w:w="2208" w:type="dxa"/>
          </w:tcPr>
          <w:p w:rsidR="007F373F" w:rsidRDefault="00000000">
            <w:pPr>
              <w:spacing w:after="0"/>
              <w:jc w:val="right"/>
            </w:pPr>
            <w:r>
              <w:rPr>
                <w:sz w:val="19"/>
              </w:rPr>
              <w:t>2,579</w:t>
            </w:r>
          </w:p>
        </w:tc>
        <w:tc>
          <w:tcPr>
            <w:tcW w:w="2001" w:type="dxa"/>
          </w:tcPr>
          <w:p w:rsidR="007F373F" w:rsidRDefault="00000000">
            <w:pPr>
              <w:spacing w:after="0"/>
              <w:jc w:val="left"/>
            </w:pPr>
            <w:r>
              <w:rPr>
                <w:sz w:val="19"/>
              </w:rPr>
              <w:t>Directors’ Reports</w:t>
            </w:r>
          </w:p>
        </w:tc>
      </w:tr>
      <w:tr w:rsidR="007F373F">
        <w:trPr>
          <w:jc w:val="center"/>
        </w:trPr>
        <w:tc>
          <w:tcPr>
            <w:tcW w:w="3313" w:type="dxa"/>
          </w:tcPr>
          <w:p w:rsidR="007F373F" w:rsidRDefault="00000000">
            <w:pPr>
              <w:spacing w:after="0"/>
              <w:jc w:val="left"/>
            </w:pPr>
            <w:r>
              <w:rPr>
                <w:sz w:val="19"/>
              </w:rPr>
              <w:t>Direct-assignment balance (₹ crore)</w:t>
            </w:r>
          </w:p>
        </w:tc>
        <w:tc>
          <w:tcPr>
            <w:tcW w:w="1104" w:type="dxa"/>
          </w:tcPr>
          <w:p w:rsidR="007F373F" w:rsidRDefault="00000000">
            <w:pPr>
              <w:spacing w:after="0"/>
              <w:jc w:val="right"/>
            </w:pPr>
            <w:r>
              <w:rPr>
                <w:sz w:val="19"/>
              </w:rPr>
              <w:t>n.a.</w:t>
            </w:r>
          </w:p>
        </w:tc>
        <w:tc>
          <w:tcPr>
            <w:tcW w:w="1104" w:type="dxa"/>
          </w:tcPr>
          <w:p w:rsidR="007F373F" w:rsidRDefault="00000000">
            <w:pPr>
              <w:spacing w:after="0"/>
              <w:jc w:val="right"/>
            </w:pPr>
            <w:r>
              <w:rPr>
                <w:sz w:val="19"/>
              </w:rPr>
              <w:t>2,349</w:t>
            </w:r>
          </w:p>
        </w:tc>
        <w:tc>
          <w:tcPr>
            <w:tcW w:w="2208" w:type="dxa"/>
          </w:tcPr>
          <w:p w:rsidR="007F373F" w:rsidRDefault="00000000">
            <w:pPr>
              <w:spacing w:after="0"/>
              <w:jc w:val="right"/>
            </w:pPr>
            <w:r>
              <w:rPr>
                <w:sz w:val="19"/>
              </w:rPr>
              <w:t>1,901</w:t>
            </w:r>
          </w:p>
        </w:tc>
        <w:tc>
          <w:tcPr>
            <w:tcW w:w="2001" w:type="dxa"/>
          </w:tcPr>
          <w:p w:rsidR="007F373F" w:rsidRDefault="00000000">
            <w:pPr>
              <w:spacing w:after="0"/>
              <w:jc w:val="left"/>
            </w:pPr>
            <w:r>
              <w:rPr>
                <w:sz w:val="19"/>
              </w:rPr>
              <w:t>Corporate Overview (‘DA book down 24%’, derived from the two figures: −19%)</w:t>
            </w:r>
          </w:p>
        </w:tc>
      </w:tr>
      <w:tr w:rsidR="007F373F">
        <w:trPr>
          <w:jc w:val="center"/>
        </w:trPr>
        <w:tc>
          <w:tcPr>
            <w:tcW w:w="3313" w:type="dxa"/>
          </w:tcPr>
          <w:p w:rsidR="007F373F" w:rsidRDefault="00000000">
            <w:pPr>
              <w:spacing w:after="0"/>
              <w:jc w:val="left"/>
            </w:pPr>
            <w:r>
              <w:rPr>
                <w:sz w:val="19"/>
              </w:rPr>
              <w:t>Income on direct assignment (₹ crore)</w:t>
            </w:r>
          </w:p>
        </w:tc>
        <w:tc>
          <w:tcPr>
            <w:tcW w:w="1104" w:type="dxa"/>
          </w:tcPr>
          <w:p w:rsidR="007F373F" w:rsidRDefault="00000000">
            <w:pPr>
              <w:spacing w:after="0"/>
              <w:jc w:val="right"/>
            </w:pPr>
            <w:r>
              <w:rPr>
                <w:sz w:val="19"/>
              </w:rPr>
              <w:t>n.a.</w:t>
            </w:r>
          </w:p>
        </w:tc>
        <w:tc>
          <w:tcPr>
            <w:tcW w:w="1104" w:type="dxa"/>
          </w:tcPr>
          <w:p w:rsidR="007F373F" w:rsidRDefault="00000000">
            <w:pPr>
              <w:spacing w:after="0"/>
              <w:jc w:val="right"/>
            </w:pPr>
            <w:r>
              <w:rPr>
                <w:sz w:val="19"/>
              </w:rPr>
              <w:t>152.3</w:t>
            </w:r>
          </w:p>
        </w:tc>
        <w:tc>
          <w:tcPr>
            <w:tcW w:w="2208" w:type="dxa"/>
          </w:tcPr>
          <w:p w:rsidR="007F373F" w:rsidRDefault="00000000">
            <w:pPr>
              <w:spacing w:after="0"/>
              <w:jc w:val="right"/>
            </w:pPr>
            <w:r>
              <w:rPr>
                <w:sz w:val="19"/>
              </w:rPr>
              <w:t>102.0</w:t>
            </w:r>
          </w:p>
        </w:tc>
        <w:tc>
          <w:tcPr>
            <w:tcW w:w="2001" w:type="dxa"/>
          </w:tcPr>
          <w:p w:rsidR="007F373F" w:rsidRDefault="00000000">
            <w:pPr>
              <w:spacing w:after="0"/>
              <w:jc w:val="left"/>
            </w:pPr>
            <w:r>
              <w:rPr>
                <w:sz w:val="19"/>
              </w:rPr>
              <w:t>Note 26 (interest income)</w:t>
            </w:r>
          </w:p>
        </w:tc>
      </w:tr>
      <w:tr w:rsidR="007F373F">
        <w:trPr>
          <w:jc w:val="center"/>
        </w:trPr>
        <w:tc>
          <w:tcPr>
            <w:tcW w:w="3313" w:type="dxa"/>
          </w:tcPr>
          <w:p w:rsidR="007F373F" w:rsidRDefault="00000000">
            <w:pPr>
              <w:spacing w:after="0"/>
              <w:jc w:val="left"/>
            </w:pPr>
            <w:r>
              <w:rPr>
                <w:sz w:val="19"/>
              </w:rPr>
              <w:t>DA income as % of PBT</w:t>
            </w:r>
          </w:p>
        </w:tc>
        <w:tc>
          <w:tcPr>
            <w:tcW w:w="1104" w:type="dxa"/>
          </w:tcPr>
          <w:p w:rsidR="007F373F" w:rsidRDefault="00000000">
            <w:pPr>
              <w:spacing w:after="0"/>
              <w:jc w:val="right"/>
            </w:pPr>
            <w:r>
              <w:rPr>
                <w:sz w:val="19"/>
              </w:rPr>
              <w:t>n.a.</w:t>
            </w:r>
          </w:p>
        </w:tc>
        <w:tc>
          <w:tcPr>
            <w:tcW w:w="1104" w:type="dxa"/>
          </w:tcPr>
          <w:p w:rsidR="007F373F" w:rsidRDefault="00000000">
            <w:pPr>
              <w:spacing w:after="0"/>
              <w:jc w:val="right"/>
            </w:pPr>
            <w:r>
              <w:rPr>
                <w:sz w:val="19"/>
              </w:rPr>
              <w:t>21.7%</w:t>
            </w:r>
          </w:p>
        </w:tc>
        <w:tc>
          <w:tcPr>
            <w:tcW w:w="2208" w:type="dxa"/>
          </w:tcPr>
          <w:p w:rsidR="007F373F" w:rsidRDefault="00000000">
            <w:pPr>
              <w:spacing w:after="0"/>
              <w:jc w:val="left"/>
            </w:pPr>
            <w:r>
              <w:rPr>
                <w:sz w:val="19"/>
              </w:rPr>
              <w:t>1.6% (company) / 22.1% (derived from note 26 ÷ PBT)</w:t>
            </w:r>
          </w:p>
        </w:tc>
        <w:tc>
          <w:tcPr>
            <w:tcW w:w="2001" w:type="dxa"/>
          </w:tcPr>
          <w:p w:rsidR="007F373F" w:rsidRDefault="00000000">
            <w:pPr>
              <w:spacing w:after="0"/>
              <w:jc w:val="left"/>
            </w:pPr>
            <w:r>
              <w:rPr>
                <w:sz w:val="19"/>
              </w:rPr>
              <w:t>FY26 Corporate Overview vs derived – see note below</w:t>
            </w:r>
          </w:p>
        </w:tc>
      </w:tr>
      <w:tr w:rsidR="007F373F">
        <w:trPr>
          <w:jc w:val="center"/>
        </w:trPr>
        <w:tc>
          <w:tcPr>
            <w:tcW w:w="3313" w:type="dxa"/>
          </w:tcPr>
          <w:p w:rsidR="007F373F" w:rsidRDefault="00000000">
            <w:pPr>
              <w:spacing w:after="0"/>
              <w:jc w:val="left"/>
            </w:pPr>
            <w:r>
              <w:rPr>
                <w:sz w:val="19"/>
              </w:rPr>
              <w:t>Loans at FVOCI (held for sale, ₹ crore)</w:t>
            </w:r>
          </w:p>
        </w:tc>
        <w:tc>
          <w:tcPr>
            <w:tcW w:w="1104" w:type="dxa"/>
          </w:tcPr>
          <w:p w:rsidR="007F373F" w:rsidRDefault="00000000">
            <w:pPr>
              <w:spacing w:after="0"/>
              <w:jc w:val="right"/>
            </w:pPr>
            <w:r>
              <w:rPr>
                <w:sz w:val="19"/>
              </w:rPr>
              <w:t>n.a.</w:t>
            </w:r>
          </w:p>
        </w:tc>
        <w:tc>
          <w:tcPr>
            <w:tcW w:w="1104" w:type="dxa"/>
          </w:tcPr>
          <w:p w:rsidR="007F373F" w:rsidRDefault="00000000">
            <w:pPr>
              <w:spacing w:after="0"/>
              <w:jc w:val="right"/>
            </w:pPr>
            <w:r>
              <w:rPr>
                <w:sz w:val="19"/>
              </w:rPr>
              <w:t>3,444</w:t>
            </w:r>
          </w:p>
        </w:tc>
        <w:tc>
          <w:tcPr>
            <w:tcW w:w="2208" w:type="dxa"/>
          </w:tcPr>
          <w:p w:rsidR="007F373F" w:rsidRDefault="00000000">
            <w:pPr>
              <w:spacing w:after="0"/>
              <w:jc w:val="right"/>
            </w:pPr>
            <w:r>
              <w:rPr>
                <w:sz w:val="19"/>
              </w:rPr>
              <w:t>2,982</w:t>
            </w:r>
          </w:p>
        </w:tc>
        <w:tc>
          <w:tcPr>
            <w:tcW w:w="2001" w:type="dxa"/>
          </w:tcPr>
          <w:p w:rsidR="007F373F" w:rsidRDefault="00000000">
            <w:pPr>
              <w:spacing w:after="0"/>
              <w:jc w:val="left"/>
            </w:pPr>
            <w:r>
              <w:rPr>
                <w:sz w:val="19"/>
              </w:rPr>
              <w:t>Note 8</w:t>
            </w:r>
          </w:p>
        </w:tc>
      </w:tr>
      <w:tr w:rsidR="007F373F">
        <w:trPr>
          <w:jc w:val="center"/>
        </w:trPr>
        <w:tc>
          <w:tcPr>
            <w:tcW w:w="3313" w:type="dxa"/>
          </w:tcPr>
          <w:p w:rsidR="007F373F" w:rsidRDefault="00000000">
            <w:pPr>
              <w:spacing w:after="0"/>
              <w:jc w:val="left"/>
            </w:pPr>
            <w:r>
              <w:rPr>
                <w:sz w:val="19"/>
              </w:rPr>
              <w:t>Securitisation expenses (₹ crore)</w:t>
            </w:r>
          </w:p>
        </w:tc>
        <w:tc>
          <w:tcPr>
            <w:tcW w:w="1104" w:type="dxa"/>
          </w:tcPr>
          <w:p w:rsidR="007F373F" w:rsidRDefault="00000000">
            <w:pPr>
              <w:spacing w:after="0"/>
              <w:jc w:val="right"/>
            </w:pPr>
            <w:r>
              <w:rPr>
                <w:sz w:val="19"/>
              </w:rPr>
              <w:t>n.a.</w:t>
            </w:r>
          </w:p>
        </w:tc>
        <w:tc>
          <w:tcPr>
            <w:tcW w:w="1104" w:type="dxa"/>
          </w:tcPr>
          <w:p w:rsidR="007F373F" w:rsidRDefault="00000000">
            <w:pPr>
              <w:spacing w:after="0"/>
              <w:jc w:val="right"/>
            </w:pPr>
            <w:r>
              <w:rPr>
                <w:sz w:val="19"/>
              </w:rPr>
              <w:t>6.7</w:t>
            </w:r>
          </w:p>
        </w:tc>
        <w:tc>
          <w:tcPr>
            <w:tcW w:w="2208" w:type="dxa"/>
          </w:tcPr>
          <w:p w:rsidR="007F373F" w:rsidRDefault="00000000">
            <w:pPr>
              <w:spacing w:after="0"/>
              <w:jc w:val="right"/>
            </w:pPr>
            <w:r>
              <w:rPr>
                <w:sz w:val="19"/>
              </w:rPr>
              <w:t>11.6</w:t>
            </w:r>
          </w:p>
        </w:tc>
        <w:tc>
          <w:tcPr>
            <w:tcW w:w="2001" w:type="dxa"/>
          </w:tcPr>
          <w:p w:rsidR="007F373F" w:rsidRDefault="00000000">
            <w:pPr>
              <w:spacing w:after="0"/>
              <w:jc w:val="left"/>
            </w:pPr>
            <w:r>
              <w:rPr>
                <w:sz w:val="19"/>
              </w:rPr>
              <w:t>Note 34</w:t>
            </w:r>
          </w:p>
        </w:tc>
      </w:tr>
    </w:tbl>
    <w:p w:rsidR="007F373F" w:rsidRDefault="007F373F">
      <w:pPr>
        <w:spacing w:after="40"/>
      </w:pPr>
    </w:p>
    <w:p w:rsidR="007F373F" w:rsidRDefault="00000000">
      <w:r>
        <w:t>Note on DA income. The Corporate Overview states that income from direct assignment fell to ₹7.4 crore (−88.8%), 1.6% of PBT, whereas note 26 shows “income on direct assignment” of ₹102.0 crore (FY25: ₹152.3 crore). The definitions evidently differ (up-front gain on new assignments versus total accruals on the assigned pool). Both are shown; on either basis dependence on DA income fell sharply.</w:t>
      </w:r>
    </w:p>
    <w:p w:rsidR="007F373F" w:rsidRDefault="00000000">
      <w:pPr>
        <w:pStyle w:val="Heading2"/>
      </w:pPr>
      <w:r>
        <w:t>Interpretation</w:t>
      </w:r>
    </w:p>
    <w:p w:rsidR="007F373F" w:rsidRDefault="00000000">
      <w:pPr>
        <w:pStyle w:val="ListBullet"/>
      </w:pPr>
      <w:r>
        <w:rPr>
          <w:b/>
        </w:rPr>
        <w:t xml:space="preserve">Shift from DA to co-lending: </w:t>
      </w:r>
      <w:r>
        <w:t>co-lending AUM more than doubled while the DA balance shrank 19%, and off-book AUM fell from 25.1% to 12.1%. Co-lending income accrues over the life of the loan and is less volatile than DA gains – a positive for earnings quality.</w:t>
      </w:r>
    </w:p>
    <w:p w:rsidR="007F373F" w:rsidRDefault="00000000">
      <w:pPr>
        <w:pStyle w:val="ListBullet"/>
      </w:pPr>
      <w:r>
        <w:rPr>
          <w:b/>
        </w:rPr>
        <w:t xml:space="preserve">AUM versus on-book loans: </w:t>
      </w:r>
      <w:r>
        <w:t>AUM of ₹20,153 crore compares with gross on-book loans of ₹14,505 crore (note 8); the ₹5,648 crore gap (28%) exceeds the 12.1% off-book disclosure, indicating that AUM also includes co-lending partners’ shares and possibly other managed assets. The company does not publish a full bridge, and this report does not attempt to construct one.</w:t>
      </w:r>
    </w:p>
    <w:p w:rsidR="007F373F" w:rsidRDefault="00000000">
      <w:pPr>
        <w:pStyle w:val="Heading1"/>
        <w:pageBreakBefore/>
      </w:pPr>
      <w:r>
        <w:lastRenderedPageBreak/>
        <w:t>Product Economics and Portfolio Quality by Product</w:t>
      </w:r>
    </w:p>
    <w:p w:rsidR="007F373F" w:rsidRDefault="00000000">
      <w:r>
        <w:t>Public disclosures do not give a product-level profit and loss, but they do give enough to compare the economics of each product on yield, ticket size, tenor, collateral and bureau quality. The table consolidates those datapoints; where a figure is a derived approximation it is marked.</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001"/>
        <w:gridCol w:w="2070"/>
        <w:gridCol w:w="1932"/>
        <w:gridCol w:w="2001"/>
        <w:gridCol w:w="1725"/>
      </w:tblGrid>
      <w:tr w:rsidR="007F373F">
        <w:trPr>
          <w:jc w:val="center"/>
        </w:trPr>
        <w:tc>
          <w:tcPr>
            <w:tcW w:w="2001" w:type="dxa"/>
          </w:tcPr>
          <w:p w:rsidR="007F373F" w:rsidRDefault="00000000">
            <w:pPr>
              <w:spacing w:after="0"/>
              <w:jc w:val="left"/>
            </w:pPr>
            <w:r>
              <w:rPr>
                <w:b/>
                <w:sz w:val="18"/>
              </w:rPr>
              <w:t>Dimension</w:t>
            </w:r>
          </w:p>
        </w:tc>
        <w:tc>
          <w:tcPr>
            <w:tcW w:w="2070" w:type="dxa"/>
          </w:tcPr>
          <w:p w:rsidR="007F373F" w:rsidRDefault="00000000">
            <w:pPr>
              <w:spacing w:after="0"/>
              <w:jc w:val="left"/>
            </w:pPr>
            <w:r>
              <w:rPr>
                <w:b/>
                <w:sz w:val="18"/>
              </w:rPr>
              <w:t>Gold loans</w:t>
            </w:r>
          </w:p>
        </w:tc>
        <w:tc>
          <w:tcPr>
            <w:tcW w:w="1932" w:type="dxa"/>
          </w:tcPr>
          <w:p w:rsidR="007F373F" w:rsidRDefault="00000000">
            <w:pPr>
              <w:spacing w:after="0"/>
              <w:jc w:val="left"/>
            </w:pPr>
            <w:r>
              <w:rPr>
                <w:b/>
                <w:sz w:val="18"/>
              </w:rPr>
              <w:t>Medium-ticket LAP</w:t>
            </w:r>
          </w:p>
        </w:tc>
        <w:tc>
          <w:tcPr>
            <w:tcW w:w="2001" w:type="dxa"/>
          </w:tcPr>
          <w:p w:rsidR="007F373F" w:rsidRDefault="00000000">
            <w:pPr>
              <w:spacing w:after="0"/>
              <w:jc w:val="left"/>
            </w:pPr>
            <w:r>
              <w:rPr>
                <w:b/>
                <w:sz w:val="18"/>
              </w:rPr>
              <w:t>Small-ticket LAP + HL</w:t>
            </w:r>
          </w:p>
        </w:tc>
        <w:tc>
          <w:tcPr>
            <w:tcW w:w="1725" w:type="dxa"/>
          </w:tcPr>
          <w:p w:rsidR="007F373F" w:rsidRDefault="00000000">
            <w:pPr>
              <w:spacing w:after="0"/>
              <w:jc w:val="left"/>
            </w:pPr>
            <w:r>
              <w:rPr>
                <w:b/>
                <w:sz w:val="18"/>
              </w:rPr>
              <w:t>Business loans (exited)</w:t>
            </w:r>
          </w:p>
        </w:tc>
      </w:tr>
      <w:tr w:rsidR="007F373F">
        <w:trPr>
          <w:jc w:val="center"/>
        </w:trPr>
        <w:tc>
          <w:tcPr>
            <w:tcW w:w="2001" w:type="dxa"/>
          </w:tcPr>
          <w:p w:rsidR="007F373F" w:rsidRDefault="00000000">
            <w:pPr>
              <w:spacing w:after="0"/>
              <w:jc w:val="left"/>
            </w:pPr>
            <w:r>
              <w:rPr>
                <w:sz w:val="18"/>
              </w:rPr>
              <w:t>AUM FY26 / share</w:t>
            </w:r>
          </w:p>
        </w:tc>
        <w:tc>
          <w:tcPr>
            <w:tcW w:w="2070" w:type="dxa"/>
          </w:tcPr>
          <w:p w:rsidR="007F373F" w:rsidRDefault="00000000">
            <w:pPr>
              <w:spacing w:after="0"/>
              <w:jc w:val="left"/>
            </w:pPr>
            <w:r>
              <w:rPr>
                <w:sz w:val="18"/>
              </w:rPr>
              <w:t>₹10,352 cr / 51.4%</w:t>
            </w:r>
          </w:p>
        </w:tc>
        <w:tc>
          <w:tcPr>
            <w:tcW w:w="1932" w:type="dxa"/>
          </w:tcPr>
          <w:p w:rsidR="007F373F" w:rsidRDefault="00000000">
            <w:pPr>
              <w:spacing w:after="0"/>
              <w:jc w:val="left"/>
            </w:pPr>
            <w:r>
              <w:rPr>
                <w:sz w:val="18"/>
              </w:rPr>
              <w:t>₹5,570 cr / 27.6%</w:t>
            </w:r>
          </w:p>
        </w:tc>
        <w:tc>
          <w:tcPr>
            <w:tcW w:w="2001" w:type="dxa"/>
          </w:tcPr>
          <w:p w:rsidR="007F373F" w:rsidRDefault="00000000">
            <w:pPr>
              <w:spacing w:after="0"/>
              <w:jc w:val="left"/>
            </w:pPr>
            <w:r>
              <w:rPr>
                <w:sz w:val="18"/>
              </w:rPr>
              <w:t>₹3,792 cr / 18.8%</w:t>
            </w:r>
          </w:p>
        </w:tc>
        <w:tc>
          <w:tcPr>
            <w:tcW w:w="1725" w:type="dxa"/>
          </w:tcPr>
          <w:p w:rsidR="007F373F" w:rsidRDefault="00000000">
            <w:pPr>
              <w:spacing w:after="0"/>
              <w:jc w:val="left"/>
            </w:pPr>
            <w:r>
              <w:rPr>
                <w:sz w:val="18"/>
              </w:rPr>
              <w:t>≈ ₹48 cr on book / 0.4%</w:t>
            </w:r>
          </w:p>
        </w:tc>
      </w:tr>
      <w:tr w:rsidR="007F373F">
        <w:trPr>
          <w:jc w:val="center"/>
        </w:trPr>
        <w:tc>
          <w:tcPr>
            <w:tcW w:w="2001" w:type="dxa"/>
          </w:tcPr>
          <w:p w:rsidR="007F373F" w:rsidRDefault="00000000">
            <w:pPr>
              <w:spacing w:after="0"/>
              <w:jc w:val="left"/>
            </w:pPr>
            <w:r>
              <w:rPr>
                <w:sz w:val="18"/>
              </w:rPr>
              <w:t>Average ticket</w:t>
            </w:r>
          </w:p>
        </w:tc>
        <w:tc>
          <w:tcPr>
            <w:tcW w:w="2070" w:type="dxa"/>
          </w:tcPr>
          <w:p w:rsidR="007F373F" w:rsidRDefault="00000000">
            <w:pPr>
              <w:spacing w:after="0"/>
              <w:jc w:val="left"/>
            </w:pPr>
            <w:r>
              <w:rPr>
                <w:sz w:val="18"/>
              </w:rPr>
              <w:t>₹2.7 lakh</w:t>
            </w:r>
          </w:p>
        </w:tc>
        <w:tc>
          <w:tcPr>
            <w:tcW w:w="1932" w:type="dxa"/>
          </w:tcPr>
          <w:p w:rsidR="007F373F" w:rsidRDefault="00000000">
            <w:pPr>
              <w:spacing w:after="0"/>
              <w:jc w:val="left"/>
            </w:pPr>
            <w:r>
              <w:rPr>
                <w:sz w:val="18"/>
              </w:rPr>
              <w:t>₹72.4 lakh</w:t>
            </w:r>
          </w:p>
        </w:tc>
        <w:tc>
          <w:tcPr>
            <w:tcW w:w="2001" w:type="dxa"/>
          </w:tcPr>
          <w:p w:rsidR="007F373F" w:rsidRDefault="00000000">
            <w:pPr>
              <w:spacing w:after="0"/>
              <w:jc w:val="left"/>
            </w:pPr>
            <w:r>
              <w:rPr>
                <w:sz w:val="18"/>
              </w:rPr>
              <w:t>₹16.1 lakh</w:t>
            </w:r>
          </w:p>
        </w:tc>
        <w:tc>
          <w:tcPr>
            <w:tcW w:w="1725" w:type="dxa"/>
          </w:tcPr>
          <w:p w:rsidR="007F373F" w:rsidRDefault="00000000">
            <w:pPr>
              <w:spacing w:after="0"/>
              <w:jc w:val="right"/>
            </w:pPr>
            <w:r>
              <w:rPr>
                <w:sz w:val="18"/>
              </w:rPr>
              <w:t>n.a.</w:t>
            </w:r>
          </w:p>
        </w:tc>
      </w:tr>
      <w:tr w:rsidR="007F373F">
        <w:trPr>
          <w:jc w:val="center"/>
        </w:trPr>
        <w:tc>
          <w:tcPr>
            <w:tcW w:w="2001" w:type="dxa"/>
          </w:tcPr>
          <w:p w:rsidR="007F373F" w:rsidRDefault="00000000">
            <w:pPr>
              <w:spacing w:after="0"/>
              <w:jc w:val="left"/>
            </w:pPr>
            <w:r>
              <w:rPr>
                <w:sz w:val="18"/>
              </w:rPr>
              <w:t>Origination yield (FY26)</w:t>
            </w:r>
          </w:p>
        </w:tc>
        <w:tc>
          <w:tcPr>
            <w:tcW w:w="2070" w:type="dxa"/>
          </w:tcPr>
          <w:p w:rsidR="007F373F" w:rsidRDefault="00000000">
            <w:pPr>
              <w:spacing w:after="0"/>
              <w:jc w:val="left"/>
            </w:pPr>
            <w:r>
              <w:rPr>
                <w:sz w:val="18"/>
              </w:rPr>
              <w:t>n.a. (portfolio yield 16.7% overall)</w:t>
            </w:r>
          </w:p>
        </w:tc>
        <w:tc>
          <w:tcPr>
            <w:tcW w:w="1932" w:type="dxa"/>
          </w:tcPr>
          <w:p w:rsidR="007F373F" w:rsidRDefault="00000000">
            <w:pPr>
              <w:spacing w:after="0"/>
              <w:jc w:val="right"/>
            </w:pPr>
            <w:r>
              <w:rPr>
                <w:sz w:val="18"/>
              </w:rPr>
              <w:t>12.0%</w:t>
            </w:r>
          </w:p>
        </w:tc>
        <w:tc>
          <w:tcPr>
            <w:tcW w:w="2001" w:type="dxa"/>
          </w:tcPr>
          <w:p w:rsidR="007F373F" w:rsidRDefault="00000000">
            <w:pPr>
              <w:spacing w:after="0"/>
              <w:jc w:val="right"/>
            </w:pPr>
            <w:r>
              <w:rPr>
                <w:sz w:val="18"/>
              </w:rPr>
              <w:t>15.1%</w:t>
            </w:r>
          </w:p>
        </w:tc>
        <w:tc>
          <w:tcPr>
            <w:tcW w:w="1725" w:type="dxa"/>
          </w:tcPr>
          <w:p w:rsidR="007F373F" w:rsidRDefault="00000000">
            <w:pPr>
              <w:spacing w:after="0"/>
              <w:jc w:val="right"/>
            </w:pPr>
            <w:r>
              <w:rPr>
                <w:sz w:val="18"/>
              </w:rPr>
              <w:t>n.a.</w:t>
            </w:r>
          </w:p>
        </w:tc>
      </w:tr>
      <w:tr w:rsidR="007F373F">
        <w:trPr>
          <w:jc w:val="center"/>
        </w:trPr>
        <w:tc>
          <w:tcPr>
            <w:tcW w:w="2001" w:type="dxa"/>
          </w:tcPr>
          <w:p w:rsidR="007F373F" w:rsidRDefault="00000000">
            <w:pPr>
              <w:spacing w:after="0"/>
              <w:jc w:val="left"/>
            </w:pPr>
            <w:r>
              <w:rPr>
                <w:sz w:val="18"/>
              </w:rPr>
              <w:t>Typical tenor</w:t>
            </w:r>
          </w:p>
        </w:tc>
        <w:tc>
          <w:tcPr>
            <w:tcW w:w="2070" w:type="dxa"/>
          </w:tcPr>
          <w:p w:rsidR="007F373F" w:rsidRDefault="00000000">
            <w:pPr>
              <w:spacing w:after="0"/>
              <w:jc w:val="left"/>
            </w:pPr>
            <w:r>
              <w:rPr>
                <w:sz w:val="18"/>
              </w:rPr>
              <w:t>≤ 12 months (bullet / EMI)</w:t>
            </w:r>
          </w:p>
        </w:tc>
        <w:tc>
          <w:tcPr>
            <w:tcW w:w="1932" w:type="dxa"/>
          </w:tcPr>
          <w:p w:rsidR="007F373F" w:rsidRDefault="00000000">
            <w:pPr>
              <w:spacing w:after="0"/>
              <w:jc w:val="left"/>
            </w:pPr>
            <w:r>
              <w:rPr>
                <w:sz w:val="18"/>
              </w:rPr>
              <w:t>Long (multi-year EMI)</w:t>
            </w:r>
          </w:p>
        </w:tc>
        <w:tc>
          <w:tcPr>
            <w:tcW w:w="2001" w:type="dxa"/>
          </w:tcPr>
          <w:p w:rsidR="007F373F" w:rsidRDefault="00000000">
            <w:pPr>
              <w:spacing w:after="0"/>
              <w:jc w:val="left"/>
            </w:pPr>
            <w:r>
              <w:rPr>
                <w:sz w:val="18"/>
              </w:rPr>
              <w:t>Long (multi-year EMI)</w:t>
            </w:r>
          </w:p>
        </w:tc>
        <w:tc>
          <w:tcPr>
            <w:tcW w:w="1725" w:type="dxa"/>
          </w:tcPr>
          <w:p w:rsidR="007F373F" w:rsidRDefault="00000000">
            <w:pPr>
              <w:spacing w:after="0"/>
              <w:jc w:val="left"/>
            </w:pPr>
            <w:r>
              <w:rPr>
                <w:sz w:val="18"/>
              </w:rPr>
              <w:t>Short (1–3 years)</w:t>
            </w:r>
          </w:p>
        </w:tc>
      </w:tr>
      <w:tr w:rsidR="007F373F">
        <w:trPr>
          <w:jc w:val="center"/>
        </w:trPr>
        <w:tc>
          <w:tcPr>
            <w:tcW w:w="2001" w:type="dxa"/>
          </w:tcPr>
          <w:p w:rsidR="007F373F" w:rsidRDefault="00000000">
            <w:pPr>
              <w:spacing w:after="0"/>
              <w:jc w:val="left"/>
            </w:pPr>
            <w:r>
              <w:rPr>
                <w:sz w:val="18"/>
              </w:rPr>
              <w:t>Collateral / cover</w:t>
            </w:r>
          </w:p>
        </w:tc>
        <w:tc>
          <w:tcPr>
            <w:tcW w:w="2070" w:type="dxa"/>
          </w:tcPr>
          <w:p w:rsidR="007F373F" w:rsidRDefault="00000000">
            <w:pPr>
              <w:spacing w:after="0"/>
              <w:jc w:val="left"/>
            </w:pPr>
            <w:r>
              <w:rPr>
                <w:sz w:val="18"/>
              </w:rPr>
              <w:t>Gold jewellery; LTV 60.9%</w:t>
            </w:r>
          </w:p>
        </w:tc>
        <w:tc>
          <w:tcPr>
            <w:tcW w:w="1932" w:type="dxa"/>
          </w:tcPr>
          <w:p w:rsidR="007F373F" w:rsidRDefault="00000000">
            <w:pPr>
              <w:spacing w:after="0"/>
              <w:jc w:val="left"/>
            </w:pPr>
            <w:r>
              <w:rPr>
                <w:sz w:val="18"/>
              </w:rPr>
              <w:t>Property; 82.2% of mortgage AUM self-occupied</w:t>
            </w:r>
          </w:p>
        </w:tc>
        <w:tc>
          <w:tcPr>
            <w:tcW w:w="2001" w:type="dxa"/>
          </w:tcPr>
          <w:p w:rsidR="007F373F" w:rsidRDefault="00000000">
            <w:pPr>
              <w:spacing w:after="0"/>
              <w:jc w:val="left"/>
            </w:pPr>
            <w:r>
              <w:rPr>
                <w:sz w:val="18"/>
              </w:rPr>
              <w:t>Property; mostly self-occupied residential</w:t>
            </w:r>
          </w:p>
        </w:tc>
        <w:tc>
          <w:tcPr>
            <w:tcW w:w="1725" w:type="dxa"/>
          </w:tcPr>
          <w:p w:rsidR="007F373F" w:rsidRDefault="00000000">
            <w:pPr>
              <w:spacing w:after="0"/>
              <w:jc w:val="left"/>
            </w:pPr>
            <w:r>
              <w:rPr>
                <w:sz w:val="18"/>
              </w:rPr>
              <w:t>None</w:t>
            </w:r>
          </w:p>
        </w:tc>
      </w:tr>
      <w:tr w:rsidR="007F373F">
        <w:trPr>
          <w:jc w:val="center"/>
        </w:trPr>
        <w:tc>
          <w:tcPr>
            <w:tcW w:w="2001" w:type="dxa"/>
          </w:tcPr>
          <w:p w:rsidR="007F373F" w:rsidRDefault="00000000">
            <w:pPr>
              <w:spacing w:after="0"/>
              <w:jc w:val="left"/>
            </w:pPr>
            <w:r>
              <w:rPr>
                <w:sz w:val="18"/>
              </w:rPr>
              <w:t>Bureau profile (% AUM CIBIL &gt;700)</w:t>
            </w:r>
          </w:p>
        </w:tc>
        <w:tc>
          <w:tcPr>
            <w:tcW w:w="2070" w:type="dxa"/>
          </w:tcPr>
          <w:p w:rsidR="007F373F" w:rsidRDefault="00000000">
            <w:pPr>
              <w:spacing w:after="0"/>
              <w:jc w:val="left"/>
            </w:pPr>
            <w:r>
              <w:rPr>
                <w:sz w:val="18"/>
              </w:rPr>
              <w:t>Collateral-led; not disclosed</w:t>
            </w:r>
          </w:p>
        </w:tc>
        <w:tc>
          <w:tcPr>
            <w:tcW w:w="1932" w:type="dxa"/>
          </w:tcPr>
          <w:p w:rsidR="007F373F" w:rsidRDefault="00000000">
            <w:pPr>
              <w:spacing w:after="0"/>
              <w:jc w:val="right"/>
            </w:pPr>
            <w:r>
              <w:rPr>
                <w:sz w:val="18"/>
              </w:rPr>
              <w:t>81%</w:t>
            </w:r>
          </w:p>
        </w:tc>
        <w:tc>
          <w:tcPr>
            <w:tcW w:w="2001" w:type="dxa"/>
          </w:tcPr>
          <w:p w:rsidR="007F373F" w:rsidRDefault="00000000">
            <w:pPr>
              <w:spacing w:after="0"/>
              <w:jc w:val="left"/>
            </w:pPr>
            <w:r>
              <w:rPr>
                <w:sz w:val="18"/>
              </w:rPr>
              <w:t>68% (9% new-to-credit)</w:t>
            </w:r>
          </w:p>
        </w:tc>
        <w:tc>
          <w:tcPr>
            <w:tcW w:w="1725" w:type="dxa"/>
          </w:tcPr>
          <w:p w:rsidR="007F373F" w:rsidRDefault="00000000">
            <w:pPr>
              <w:spacing w:after="0"/>
              <w:jc w:val="right"/>
            </w:pPr>
            <w:r>
              <w:rPr>
                <w:sz w:val="18"/>
              </w:rPr>
              <w:t>95%</w:t>
            </w:r>
          </w:p>
        </w:tc>
      </w:tr>
      <w:tr w:rsidR="007F373F">
        <w:trPr>
          <w:jc w:val="center"/>
        </w:trPr>
        <w:tc>
          <w:tcPr>
            <w:tcW w:w="2001" w:type="dxa"/>
          </w:tcPr>
          <w:p w:rsidR="007F373F" w:rsidRDefault="00000000">
            <w:pPr>
              <w:spacing w:after="0"/>
              <w:jc w:val="left"/>
            </w:pPr>
            <w:r>
              <w:rPr>
                <w:sz w:val="18"/>
              </w:rPr>
              <w:t>Main risk</w:t>
            </w:r>
          </w:p>
        </w:tc>
        <w:tc>
          <w:tcPr>
            <w:tcW w:w="2070" w:type="dxa"/>
          </w:tcPr>
          <w:p w:rsidR="007F373F" w:rsidRDefault="00000000">
            <w:pPr>
              <w:spacing w:after="0"/>
              <w:jc w:val="left"/>
            </w:pPr>
            <w:r>
              <w:rPr>
                <w:sz w:val="18"/>
              </w:rPr>
              <w:t>Gold price; custody/fraud</w:t>
            </w:r>
          </w:p>
        </w:tc>
        <w:tc>
          <w:tcPr>
            <w:tcW w:w="1932" w:type="dxa"/>
          </w:tcPr>
          <w:p w:rsidR="007F373F" w:rsidRDefault="00000000">
            <w:pPr>
              <w:spacing w:after="0"/>
              <w:jc w:val="left"/>
            </w:pPr>
            <w:r>
              <w:rPr>
                <w:sz w:val="18"/>
              </w:rPr>
              <w:t>Yield pressure; attrition</w:t>
            </w:r>
          </w:p>
        </w:tc>
        <w:tc>
          <w:tcPr>
            <w:tcW w:w="2001" w:type="dxa"/>
          </w:tcPr>
          <w:p w:rsidR="007F373F" w:rsidRDefault="00000000">
            <w:pPr>
              <w:spacing w:after="0"/>
              <w:jc w:val="left"/>
            </w:pPr>
            <w:r>
              <w:rPr>
                <w:sz w:val="18"/>
              </w:rPr>
              <w:t>Collections; early delinquency</w:t>
            </w:r>
          </w:p>
        </w:tc>
        <w:tc>
          <w:tcPr>
            <w:tcW w:w="1725" w:type="dxa"/>
          </w:tcPr>
          <w:p w:rsidR="007F373F" w:rsidRDefault="00000000">
            <w:pPr>
              <w:spacing w:after="0"/>
              <w:jc w:val="left"/>
            </w:pPr>
            <w:r>
              <w:rPr>
                <w:sz w:val="18"/>
              </w:rPr>
              <w:t>Default; write-off</w:t>
            </w:r>
          </w:p>
        </w:tc>
      </w:tr>
      <w:tr w:rsidR="007F373F">
        <w:trPr>
          <w:jc w:val="center"/>
        </w:trPr>
        <w:tc>
          <w:tcPr>
            <w:tcW w:w="2001" w:type="dxa"/>
          </w:tcPr>
          <w:p w:rsidR="007F373F" w:rsidRDefault="00000000">
            <w:pPr>
              <w:spacing w:after="0"/>
              <w:jc w:val="left"/>
            </w:pPr>
            <w:r>
              <w:rPr>
                <w:sz w:val="18"/>
              </w:rPr>
              <w:t>Capital treatment</w:t>
            </w:r>
          </w:p>
        </w:tc>
        <w:tc>
          <w:tcPr>
            <w:tcW w:w="2070" w:type="dxa"/>
          </w:tcPr>
          <w:p w:rsidR="007F373F" w:rsidRDefault="00000000">
            <w:pPr>
              <w:spacing w:after="0"/>
              <w:jc w:val="left"/>
            </w:pPr>
            <w:r>
              <w:rPr>
                <w:sz w:val="18"/>
              </w:rPr>
              <w:t>Low risk weight; co-lending eligible</w:t>
            </w:r>
          </w:p>
        </w:tc>
        <w:tc>
          <w:tcPr>
            <w:tcW w:w="1932" w:type="dxa"/>
          </w:tcPr>
          <w:p w:rsidR="007F373F" w:rsidRDefault="00000000">
            <w:pPr>
              <w:spacing w:after="0"/>
              <w:jc w:val="left"/>
            </w:pPr>
            <w:r>
              <w:rPr>
                <w:sz w:val="18"/>
              </w:rPr>
              <w:t>Priority-sector for MSME; DA/co-lending eligible</w:t>
            </w:r>
          </w:p>
        </w:tc>
        <w:tc>
          <w:tcPr>
            <w:tcW w:w="2001" w:type="dxa"/>
          </w:tcPr>
          <w:p w:rsidR="007F373F" w:rsidRDefault="00000000">
            <w:pPr>
              <w:spacing w:after="0"/>
              <w:jc w:val="left"/>
            </w:pPr>
            <w:r>
              <w:rPr>
                <w:sz w:val="18"/>
              </w:rPr>
              <w:t>Priority-sector / affordable housing</w:t>
            </w:r>
          </w:p>
        </w:tc>
        <w:tc>
          <w:tcPr>
            <w:tcW w:w="1725" w:type="dxa"/>
          </w:tcPr>
          <w:p w:rsidR="007F373F" w:rsidRDefault="00000000">
            <w:pPr>
              <w:spacing w:after="0"/>
              <w:jc w:val="left"/>
            </w:pPr>
            <w:r>
              <w:rPr>
                <w:sz w:val="18"/>
              </w:rPr>
              <w:t>100% risk weight</w:t>
            </w:r>
          </w:p>
        </w:tc>
      </w:tr>
      <w:tr w:rsidR="007F373F">
        <w:trPr>
          <w:jc w:val="center"/>
        </w:trPr>
        <w:tc>
          <w:tcPr>
            <w:tcW w:w="2001" w:type="dxa"/>
          </w:tcPr>
          <w:p w:rsidR="007F373F" w:rsidRDefault="00000000">
            <w:pPr>
              <w:spacing w:after="0"/>
              <w:jc w:val="left"/>
            </w:pPr>
            <w:r>
              <w:rPr>
                <w:sz w:val="18"/>
              </w:rPr>
              <w:t>Role FY26</w:t>
            </w:r>
          </w:p>
        </w:tc>
        <w:tc>
          <w:tcPr>
            <w:tcW w:w="2070" w:type="dxa"/>
          </w:tcPr>
          <w:p w:rsidR="007F373F" w:rsidRDefault="00000000">
            <w:pPr>
              <w:spacing w:after="0"/>
              <w:jc w:val="left"/>
            </w:pPr>
            <w:r>
              <w:rPr>
                <w:sz w:val="18"/>
              </w:rPr>
              <w:t>Growth and liquidity engine</w:t>
            </w:r>
          </w:p>
        </w:tc>
        <w:tc>
          <w:tcPr>
            <w:tcW w:w="1932" w:type="dxa"/>
          </w:tcPr>
          <w:p w:rsidR="007F373F" w:rsidRDefault="00000000">
            <w:pPr>
              <w:spacing w:after="0"/>
              <w:jc w:val="left"/>
            </w:pPr>
            <w:r>
              <w:rPr>
                <w:sz w:val="18"/>
              </w:rPr>
              <w:t>Stability and duration</w:t>
            </w:r>
          </w:p>
        </w:tc>
        <w:tc>
          <w:tcPr>
            <w:tcW w:w="2001" w:type="dxa"/>
          </w:tcPr>
          <w:p w:rsidR="007F373F" w:rsidRDefault="00000000">
            <w:pPr>
              <w:spacing w:after="0"/>
              <w:jc w:val="left"/>
            </w:pPr>
            <w:r>
              <w:rPr>
                <w:sz w:val="18"/>
              </w:rPr>
              <w:t>Yield and inclusion; rebuilt</w:t>
            </w:r>
          </w:p>
        </w:tc>
        <w:tc>
          <w:tcPr>
            <w:tcW w:w="1725" w:type="dxa"/>
          </w:tcPr>
          <w:p w:rsidR="007F373F" w:rsidRDefault="00000000">
            <w:pPr>
              <w:spacing w:after="0"/>
              <w:jc w:val="left"/>
            </w:pPr>
            <w:r>
              <w:rPr>
                <w:sz w:val="18"/>
              </w:rPr>
              <w:t>Eliminated</w:t>
            </w:r>
          </w:p>
        </w:tc>
      </w:tr>
    </w:tbl>
    <w:p w:rsidR="007F373F" w:rsidRDefault="00000000">
      <w:pPr>
        <w:spacing w:before="40" w:after="80"/>
      </w:pPr>
      <w:r>
        <w:rPr>
          <w:i/>
          <w:sz w:val="18"/>
        </w:rPr>
        <w:t>Source: Fedfina Annual Report 2025-26, product pages, MD&amp;CEO statement, MD&amp;A portfolio-quality section, note 48; Fedfina Annual Report 2023-24 MD&amp;A for gold LTV history.</w:t>
      </w:r>
    </w:p>
    <w:p w:rsidR="007F373F" w:rsidRDefault="00000000">
      <w:pPr>
        <w:pStyle w:val="Heading2"/>
      </w:pPr>
      <w:r>
        <w:t>Portfolio quality by stage and security</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417"/>
        <w:gridCol w:w="1656"/>
        <w:gridCol w:w="1656"/>
        <w:gridCol w:w="2001"/>
      </w:tblGrid>
      <w:tr w:rsidR="007F373F">
        <w:trPr>
          <w:jc w:val="center"/>
        </w:trPr>
        <w:tc>
          <w:tcPr>
            <w:tcW w:w="4417" w:type="dxa"/>
          </w:tcPr>
          <w:p w:rsidR="007F373F" w:rsidRDefault="00000000">
            <w:pPr>
              <w:spacing w:after="0"/>
              <w:jc w:val="left"/>
            </w:pPr>
            <w:r>
              <w:rPr>
                <w:b/>
                <w:sz w:val="19"/>
              </w:rPr>
              <w:t>Note 8 disclosure (₹ crore)</w:t>
            </w:r>
          </w:p>
        </w:tc>
        <w:tc>
          <w:tcPr>
            <w:tcW w:w="1656" w:type="dxa"/>
          </w:tcPr>
          <w:p w:rsidR="007F373F" w:rsidRDefault="00000000">
            <w:pPr>
              <w:spacing w:after="0"/>
              <w:jc w:val="left"/>
            </w:pPr>
            <w:r>
              <w:rPr>
                <w:b/>
                <w:sz w:val="19"/>
              </w:rPr>
              <w:t>31 Mar 2025</w:t>
            </w:r>
          </w:p>
        </w:tc>
        <w:tc>
          <w:tcPr>
            <w:tcW w:w="1656" w:type="dxa"/>
          </w:tcPr>
          <w:p w:rsidR="007F373F" w:rsidRDefault="00000000">
            <w:pPr>
              <w:spacing w:after="0"/>
              <w:jc w:val="left"/>
            </w:pPr>
            <w:r>
              <w:rPr>
                <w:b/>
                <w:sz w:val="19"/>
              </w:rPr>
              <w:t>31 Mar 2026</w:t>
            </w:r>
          </w:p>
        </w:tc>
        <w:tc>
          <w:tcPr>
            <w:tcW w:w="2001" w:type="dxa"/>
          </w:tcPr>
          <w:p w:rsidR="007F373F" w:rsidRDefault="00000000">
            <w:pPr>
              <w:spacing w:after="0"/>
              <w:jc w:val="left"/>
            </w:pPr>
            <w:r>
              <w:rPr>
                <w:b/>
                <w:sz w:val="19"/>
              </w:rPr>
              <w:t>Change</w:t>
            </w:r>
          </w:p>
        </w:tc>
      </w:tr>
      <w:tr w:rsidR="007F373F">
        <w:trPr>
          <w:jc w:val="center"/>
        </w:trPr>
        <w:tc>
          <w:tcPr>
            <w:tcW w:w="4417" w:type="dxa"/>
          </w:tcPr>
          <w:p w:rsidR="007F373F" w:rsidRDefault="00000000">
            <w:pPr>
              <w:spacing w:after="0"/>
              <w:jc w:val="left"/>
            </w:pPr>
            <w:r>
              <w:rPr>
                <w:sz w:val="19"/>
              </w:rPr>
              <w:t>Gross loans (amortised cost + FVOCI)</w:t>
            </w:r>
          </w:p>
        </w:tc>
        <w:tc>
          <w:tcPr>
            <w:tcW w:w="1656" w:type="dxa"/>
          </w:tcPr>
          <w:p w:rsidR="007F373F" w:rsidRDefault="00000000">
            <w:pPr>
              <w:spacing w:after="0"/>
              <w:jc w:val="right"/>
            </w:pPr>
            <w:r>
              <w:rPr>
                <w:sz w:val="19"/>
              </w:rPr>
              <w:t>11,838</w:t>
            </w:r>
          </w:p>
        </w:tc>
        <w:tc>
          <w:tcPr>
            <w:tcW w:w="1656" w:type="dxa"/>
          </w:tcPr>
          <w:p w:rsidR="007F373F" w:rsidRDefault="00000000">
            <w:pPr>
              <w:spacing w:after="0"/>
              <w:jc w:val="right"/>
            </w:pPr>
            <w:r>
              <w:rPr>
                <w:sz w:val="19"/>
              </w:rPr>
              <w:t>14,505</w:t>
            </w:r>
          </w:p>
        </w:tc>
        <w:tc>
          <w:tcPr>
            <w:tcW w:w="2001" w:type="dxa"/>
          </w:tcPr>
          <w:p w:rsidR="007F373F" w:rsidRDefault="00000000">
            <w:pPr>
              <w:spacing w:after="0"/>
              <w:jc w:val="right"/>
            </w:pPr>
            <w:r>
              <w:rPr>
                <w:sz w:val="19"/>
              </w:rPr>
              <w:t>+22.5%</w:t>
            </w:r>
          </w:p>
        </w:tc>
      </w:tr>
      <w:tr w:rsidR="007F373F">
        <w:trPr>
          <w:jc w:val="center"/>
        </w:trPr>
        <w:tc>
          <w:tcPr>
            <w:tcW w:w="4417" w:type="dxa"/>
          </w:tcPr>
          <w:p w:rsidR="007F373F" w:rsidRDefault="00000000">
            <w:pPr>
              <w:spacing w:after="0"/>
              <w:jc w:val="left"/>
            </w:pPr>
            <w:r>
              <w:rPr>
                <w:sz w:val="19"/>
              </w:rPr>
              <w:t>– secured by tangible assets</w:t>
            </w:r>
          </w:p>
        </w:tc>
        <w:tc>
          <w:tcPr>
            <w:tcW w:w="1656" w:type="dxa"/>
          </w:tcPr>
          <w:p w:rsidR="007F373F" w:rsidRDefault="00000000">
            <w:pPr>
              <w:spacing w:after="0"/>
              <w:jc w:val="right"/>
            </w:pPr>
            <w:r>
              <w:rPr>
                <w:sz w:val="19"/>
              </w:rPr>
              <w:t>10,603</w:t>
            </w:r>
          </w:p>
        </w:tc>
        <w:tc>
          <w:tcPr>
            <w:tcW w:w="1656" w:type="dxa"/>
          </w:tcPr>
          <w:p w:rsidR="007F373F" w:rsidRDefault="00000000">
            <w:pPr>
              <w:spacing w:after="0"/>
              <w:jc w:val="right"/>
            </w:pPr>
            <w:r>
              <w:rPr>
                <w:sz w:val="19"/>
              </w:rPr>
              <w:t>14,439</w:t>
            </w:r>
          </w:p>
        </w:tc>
        <w:tc>
          <w:tcPr>
            <w:tcW w:w="2001" w:type="dxa"/>
          </w:tcPr>
          <w:p w:rsidR="007F373F" w:rsidRDefault="00000000">
            <w:pPr>
              <w:spacing w:after="0"/>
              <w:jc w:val="right"/>
            </w:pPr>
            <w:r>
              <w:rPr>
                <w:sz w:val="19"/>
              </w:rPr>
              <w:t>+36.2%</w:t>
            </w:r>
          </w:p>
        </w:tc>
      </w:tr>
      <w:tr w:rsidR="007F373F">
        <w:trPr>
          <w:jc w:val="center"/>
        </w:trPr>
        <w:tc>
          <w:tcPr>
            <w:tcW w:w="4417" w:type="dxa"/>
          </w:tcPr>
          <w:p w:rsidR="007F373F" w:rsidRDefault="00000000">
            <w:pPr>
              <w:spacing w:after="0"/>
              <w:jc w:val="left"/>
            </w:pPr>
            <w:r>
              <w:rPr>
                <w:sz w:val="19"/>
              </w:rPr>
              <w:t>– unsecured</w:t>
            </w:r>
          </w:p>
        </w:tc>
        <w:tc>
          <w:tcPr>
            <w:tcW w:w="1656" w:type="dxa"/>
          </w:tcPr>
          <w:p w:rsidR="007F373F" w:rsidRDefault="00000000">
            <w:pPr>
              <w:spacing w:after="0"/>
              <w:jc w:val="right"/>
            </w:pPr>
            <w:r>
              <w:rPr>
                <w:sz w:val="19"/>
              </w:rPr>
              <w:t>1,232</w:t>
            </w:r>
          </w:p>
        </w:tc>
        <w:tc>
          <w:tcPr>
            <w:tcW w:w="1656" w:type="dxa"/>
          </w:tcPr>
          <w:p w:rsidR="007F373F" w:rsidRDefault="00000000">
            <w:pPr>
              <w:spacing w:after="0"/>
              <w:jc w:val="right"/>
            </w:pPr>
            <w:r>
              <w:rPr>
                <w:sz w:val="19"/>
              </w:rPr>
              <w:t>48</w:t>
            </w:r>
          </w:p>
        </w:tc>
        <w:tc>
          <w:tcPr>
            <w:tcW w:w="2001" w:type="dxa"/>
          </w:tcPr>
          <w:p w:rsidR="007F373F" w:rsidRDefault="00000000">
            <w:pPr>
              <w:spacing w:after="0"/>
              <w:jc w:val="right"/>
            </w:pPr>
            <w:r>
              <w:rPr>
                <w:sz w:val="19"/>
              </w:rPr>
              <w:t>-96.1%</w:t>
            </w:r>
          </w:p>
        </w:tc>
      </w:tr>
      <w:tr w:rsidR="007F373F">
        <w:trPr>
          <w:jc w:val="center"/>
        </w:trPr>
        <w:tc>
          <w:tcPr>
            <w:tcW w:w="4417" w:type="dxa"/>
          </w:tcPr>
          <w:p w:rsidR="007F373F" w:rsidRDefault="00000000">
            <w:pPr>
              <w:spacing w:after="0"/>
              <w:jc w:val="left"/>
            </w:pPr>
            <w:r>
              <w:rPr>
                <w:sz w:val="19"/>
              </w:rPr>
              <w:t>Secured share of gross loans (derived)</w:t>
            </w:r>
          </w:p>
        </w:tc>
        <w:tc>
          <w:tcPr>
            <w:tcW w:w="1656" w:type="dxa"/>
          </w:tcPr>
          <w:p w:rsidR="007F373F" w:rsidRDefault="00000000">
            <w:pPr>
              <w:spacing w:after="0"/>
              <w:jc w:val="right"/>
            </w:pPr>
            <w:r>
              <w:rPr>
                <w:sz w:val="19"/>
              </w:rPr>
              <w:t>89.6%</w:t>
            </w:r>
          </w:p>
        </w:tc>
        <w:tc>
          <w:tcPr>
            <w:tcW w:w="1656" w:type="dxa"/>
          </w:tcPr>
          <w:p w:rsidR="007F373F" w:rsidRDefault="00000000">
            <w:pPr>
              <w:spacing w:after="0"/>
              <w:jc w:val="right"/>
            </w:pPr>
            <w:r>
              <w:rPr>
                <w:sz w:val="19"/>
              </w:rPr>
              <w:t>99.5%</w:t>
            </w:r>
          </w:p>
        </w:tc>
        <w:tc>
          <w:tcPr>
            <w:tcW w:w="2001" w:type="dxa"/>
          </w:tcPr>
          <w:p w:rsidR="007F373F" w:rsidRDefault="007F373F">
            <w:pPr>
              <w:spacing w:after="0"/>
              <w:jc w:val="left"/>
            </w:pPr>
          </w:p>
        </w:tc>
      </w:tr>
      <w:tr w:rsidR="007F373F">
        <w:trPr>
          <w:jc w:val="center"/>
        </w:trPr>
        <w:tc>
          <w:tcPr>
            <w:tcW w:w="4417" w:type="dxa"/>
          </w:tcPr>
          <w:p w:rsidR="007F373F" w:rsidRDefault="00000000">
            <w:pPr>
              <w:spacing w:after="0"/>
              <w:jc w:val="left"/>
            </w:pPr>
            <w:r>
              <w:rPr>
                <w:sz w:val="19"/>
              </w:rPr>
              <w:t>Loans against gold jewellery (gross)</w:t>
            </w:r>
          </w:p>
        </w:tc>
        <w:tc>
          <w:tcPr>
            <w:tcW w:w="1656" w:type="dxa"/>
          </w:tcPr>
          <w:p w:rsidR="007F373F" w:rsidRDefault="00000000">
            <w:pPr>
              <w:spacing w:after="0"/>
              <w:jc w:val="right"/>
            </w:pPr>
            <w:r>
              <w:rPr>
                <w:sz w:val="19"/>
              </w:rPr>
              <w:t>4,750</w:t>
            </w:r>
          </w:p>
        </w:tc>
        <w:tc>
          <w:tcPr>
            <w:tcW w:w="1656" w:type="dxa"/>
          </w:tcPr>
          <w:p w:rsidR="007F373F" w:rsidRDefault="00000000">
            <w:pPr>
              <w:spacing w:after="0"/>
              <w:jc w:val="right"/>
            </w:pPr>
            <w:r>
              <w:rPr>
                <w:sz w:val="19"/>
              </w:rPr>
              <w:t>7,919</w:t>
            </w:r>
          </w:p>
        </w:tc>
        <w:tc>
          <w:tcPr>
            <w:tcW w:w="2001" w:type="dxa"/>
          </w:tcPr>
          <w:p w:rsidR="007F373F" w:rsidRDefault="00000000">
            <w:pPr>
              <w:spacing w:after="0"/>
              <w:jc w:val="right"/>
            </w:pPr>
            <w:r>
              <w:rPr>
                <w:sz w:val="19"/>
              </w:rPr>
              <w:t>+66.7%</w:t>
            </w:r>
          </w:p>
        </w:tc>
      </w:tr>
      <w:tr w:rsidR="007F373F">
        <w:trPr>
          <w:jc w:val="center"/>
        </w:trPr>
        <w:tc>
          <w:tcPr>
            <w:tcW w:w="4417" w:type="dxa"/>
          </w:tcPr>
          <w:p w:rsidR="007F373F" w:rsidRDefault="00000000">
            <w:pPr>
              <w:spacing w:after="0"/>
              <w:jc w:val="left"/>
            </w:pPr>
            <w:r>
              <w:rPr>
                <w:sz w:val="19"/>
              </w:rPr>
              <w:t>ECL allowance</w:t>
            </w:r>
          </w:p>
        </w:tc>
        <w:tc>
          <w:tcPr>
            <w:tcW w:w="1656" w:type="dxa"/>
          </w:tcPr>
          <w:p w:rsidR="007F373F" w:rsidRDefault="00000000">
            <w:pPr>
              <w:spacing w:after="0"/>
              <w:jc w:val="right"/>
            </w:pPr>
            <w:r>
              <w:rPr>
                <w:sz w:val="19"/>
              </w:rPr>
              <w:t>192</w:t>
            </w:r>
          </w:p>
        </w:tc>
        <w:tc>
          <w:tcPr>
            <w:tcW w:w="1656" w:type="dxa"/>
          </w:tcPr>
          <w:p w:rsidR="007F373F" w:rsidRDefault="00000000">
            <w:pPr>
              <w:spacing w:after="0"/>
              <w:jc w:val="right"/>
            </w:pPr>
            <w:r>
              <w:rPr>
                <w:sz w:val="19"/>
              </w:rPr>
              <w:t>187</w:t>
            </w:r>
          </w:p>
        </w:tc>
        <w:tc>
          <w:tcPr>
            <w:tcW w:w="2001" w:type="dxa"/>
          </w:tcPr>
          <w:p w:rsidR="007F373F" w:rsidRDefault="00000000">
            <w:pPr>
              <w:spacing w:after="0"/>
              <w:jc w:val="right"/>
            </w:pPr>
            <w:r>
              <w:rPr>
                <w:sz w:val="19"/>
              </w:rPr>
              <w:t>-2.8%</w:t>
            </w:r>
          </w:p>
        </w:tc>
      </w:tr>
      <w:tr w:rsidR="007F373F">
        <w:trPr>
          <w:jc w:val="center"/>
        </w:trPr>
        <w:tc>
          <w:tcPr>
            <w:tcW w:w="4417" w:type="dxa"/>
          </w:tcPr>
          <w:p w:rsidR="007F373F" w:rsidRDefault="00000000">
            <w:pPr>
              <w:spacing w:after="0"/>
              <w:jc w:val="left"/>
            </w:pPr>
            <w:r>
              <w:rPr>
                <w:sz w:val="19"/>
              </w:rPr>
              <w:t>ECL as % of gross loans (derived)</w:t>
            </w:r>
          </w:p>
        </w:tc>
        <w:tc>
          <w:tcPr>
            <w:tcW w:w="1656" w:type="dxa"/>
          </w:tcPr>
          <w:p w:rsidR="007F373F" w:rsidRDefault="00000000">
            <w:pPr>
              <w:spacing w:after="0"/>
              <w:jc w:val="right"/>
            </w:pPr>
            <w:r>
              <w:rPr>
                <w:sz w:val="19"/>
              </w:rPr>
              <w:t>1.62%</w:t>
            </w:r>
          </w:p>
        </w:tc>
        <w:tc>
          <w:tcPr>
            <w:tcW w:w="1656" w:type="dxa"/>
          </w:tcPr>
          <w:p w:rsidR="007F373F" w:rsidRDefault="00000000">
            <w:pPr>
              <w:spacing w:after="0"/>
              <w:jc w:val="right"/>
            </w:pPr>
            <w:r>
              <w:rPr>
                <w:sz w:val="19"/>
              </w:rPr>
              <w:t>1.29%</w:t>
            </w:r>
          </w:p>
        </w:tc>
        <w:tc>
          <w:tcPr>
            <w:tcW w:w="2001" w:type="dxa"/>
          </w:tcPr>
          <w:p w:rsidR="007F373F" w:rsidRDefault="007F373F">
            <w:pPr>
              <w:spacing w:after="0"/>
              <w:jc w:val="left"/>
            </w:pPr>
          </w:p>
        </w:tc>
      </w:tr>
    </w:tbl>
    <w:p w:rsidR="007F373F" w:rsidRDefault="00000000">
      <w:pPr>
        <w:spacing w:before="40" w:after="80"/>
      </w:pPr>
      <w:r>
        <w:rPr>
          <w:i/>
          <w:sz w:val="18"/>
        </w:rPr>
        <w:t>Source: Fedfina Annual Report 2025-26, note 8 – Loans.</w:t>
      </w:r>
    </w:p>
    <w:p w:rsidR="007F373F" w:rsidRDefault="00000000">
      <w:r>
        <w:t>The on-book data corroborate the product narrative: unsecured loans fell 96%, gold loans rose 67% on the balance sheet, the secured share of gross loans rose from 89.6% to 99.5%, and the ECL allowance fell slightly in absolute terms even as the book grew 23% – the arithmetic of a safer mix. Chapter 5 quantifies the profitability consequences.</w:t>
      </w:r>
    </w:p>
    <w:p w:rsidR="007F373F" w:rsidRDefault="00000000">
      <w:pPr>
        <w:pStyle w:val="Heading1"/>
        <w:pageBreakBefore/>
      </w:pPr>
      <w:r>
        <w:lastRenderedPageBreak/>
        <w:t>Chapter 5 — Financial Analysis: Framework</w:t>
      </w:r>
    </w:p>
    <w:p w:rsidR="007F373F" w:rsidRDefault="00000000">
      <w:r>
        <w:t>Analysing a lender requires a different toolkit from analysing a manufacturer. This chapter uses the following framework, applied to five years of data (FY22–FY26) with the longer eight-year series where available.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587"/>
        <w:gridCol w:w="2761"/>
        <w:gridCol w:w="3037"/>
        <w:gridCol w:w="2346"/>
      </w:tblGrid>
      <w:tr w:rsidR="007F373F">
        <w:trPr>
          <w:jc w:val="center"/>
        </w:trPr>
        <w:tc>
          <w:tcPr>
            <w:tcW w:w="1587" w:type="dxa"/>
          </w:tcPr>
          <w:p w:rsidR="007F373F" w:rsidRDefault="00000000">
            <w:pPr>
              <w:spacing w:after="0"/>
              <w:jc w:val="left"/>
            </w:pPr>
            <w:r>
              <w:rPr>
                <w:b/>
                <w:sz w:val="19"/>
              </w:rPr>
              <w:t>Dimension</w:t>
            </w:r>
          </w:p>
        </w:tc>
        <w:tc>
          <w:tcPr>
            <w:tcW w:w="2761" w:type="dxa"/>
          </w:tcPr>
          <w:p w:rsidR="007F373F" w:rsidRDefault="00000000">
            <w:pPr>
              <w:spacing w:after="0"/>
              <w:jc w:val="left"/>
            </w:pPr>
            <w:r>
              <w:rPr>
                <w:b/>
                <w:sz w:val="19"/>
              </w:rPr>
              <w:t>Metrics used</w:t>
            </w:r>
          </w:p>
        </w:tc>
        <w:tc>
          <w:tcPr>
            <w:tcW w:w="3037" w:type="dxa"/>
          </w:tcPr>
          <w:p w:rsidR="007F373F" w:rsidRDefault="00000000">
            <w:pPr>
              <w:spacing w:after="0"/>
              <w:jc w:val="left"/>
            </w:pPr>
            <w:r>
              <w:rPr>
                <w:b/>
                <w:sz w:val="19"/>
              </w:rPr>
              <w:t>Why it matters for an NBFC</w:t>
            </w:r>
          </w:p>
        </w:tc>
        <w:tc>
          <w:tcPr>
            <w:tcW w:w="2346" w:type="dxa"/>
          </w:tcPr>
          <w:p w:rsidR="007F373F" w:rsidRDefault="00000000">
            <w:pPr>
              <w:spacing w:after="0"/>
              <w:jc w:val="left"/>
            </w:pPr>
            <w:r>
              <w:rPr>
                <w:b/>
                <w:sz w:val="19"/>
              </w:rPr>
              <w:t>Fedfina FY26</w:t>
            </w:r>
          </w:p>
        </w:tc>
      </w:tr>
      <w:tr w:rsidR="007F373F">
        <w:trPr>
          <w:jc w:val="center"/>
        </w:trPr>
        <w:tc>
          <w:tcPr>
            <w:tcW w:w="1587" w:type="dxa"/>
          </w:tcPr>
          <w:p w:rsidR="007F373F" w:rsidRDefault="00000000">
            <w:pPr>
              <w:spacing w:after="0"/>
              <w:jc w:val="left"/>
            </w:pPr>
            <w:r>
              <w:rPr>
                <w:sz w:val="19"/>
              </w:rPr>
              <w:t>Scale and growth</w:t>
            </w:r>
          </w:p>
        </w:tc>
        <w:tc>
          <w:tcPr>
            <w:tcW w:w="2761" w:type="dxa"/>
          </w:tcPr>
          <w:p w:rsidR="007F373F" w:rsidRDefault="00000000">
            <w:pPr>
              <w:spacing w:after="0"/>
              <w:jc w:val="left"/>
            </w:pPr>
            <w:r>
              <w:rPr>
                <w:sz w:val="19"/>
              </w:rPr>
              <w:t>AUM, on-book loans, disbursements, branches, growth rates and CAGR</w:t>
            </w:r>
          </w:p>
        </w:tc>
        <w:tc>
          <w:tcPr>
            <w:tcW w:w="3037" w:type="dxa"/>
          </w:tcPr>
          <w:p w:rsidR="007F373F" w:rsidRDefault="00000000">
            <w:pPr>
              <w:spacing w:after="0"/>
              <w:jc w:val="left"/>
            </w:pPr>
            <w:r>
              <w:rPr>
                <w:sz w:val="19"/>
              </w:rPr>
              <w:t>Growth is the main driver of future NII; must be read with mix and vintage</w:t>
            </w:r>
          </w:p>
        </w:tc>
        <w:tc>
          <w:tcPr>
            <w:tcW w:w="2346" w:type="dxa"/>
          </w:tcPr>
          <w:p w:rsidR="007F373F" w:rsidRDefault="00000000">
            <w:pPr>
              <w:spacing w:after="0"/>
              <w:jc w:val="left"/>
            </w:pPr>
            <w:r>
              <w:rPr>
                <w:sz w:val="19"/>
              </w:rPr>
              <w:t>AUM ₹20,153 cr (+27.5%); disbursements ₹31,410 cr (+67%)</w:t>
            </w:r>
          </w:p>
        </w:tc>
      </w:tr>
      <w:tr w:rsidR="007F373F">
        <w:trPr>
          <w:jc w:val="center"/>
        </w:trPr>
        <w:tc>
          <w:tcPr>
            <w:tcW w:w="1587" w:type="dxa"/>
          </w:tcPr>
          <w:p w:rsidR="007F373F" w:rsidRDefault="00000000">
            <w:pPr>
              <w:spacing w:after="0"/>
              <w:jc w:val="left"/>
            </w:pPr>
            <w:r>
              <w:rPr>
                <w:sz w:val="19"/>
              </w:rPr>
              <w:t>Margin</w:t>
            </w:r>
          </w:p>
        </w:tc>
        <w:tc>
          <w:tcPr>
            <w:tcW w:w="2761" w:type="dxa"/>
          </w:tcPr>
          <w:p w:rsidR="007F373F" w:rsidRDefault="00000000">
            <w:pPr>
              <w:spacing w:after="0"/>
              <w:jc w:val="left"/>
            </w:pPr>
            <w:r>
              <w:rPr>
                <w:sz w:val="19"/>
              </w:rPr>
              <w:t>Yield on advances, cost of borrowings, spread, NIM</w:t>
            </w:r>
          </w:p>
        </w:tc>
        <w:tc>
          <w:tcPr>
            <w:tcW w:w="3037" w:type="dxa"/>
          </w:tcPr>
          <w:p w:rsidR="007F373F" w:rsidRDefault="00000000">
            <w:pPr>
              <w:spacing w:after="0"/>
              <w:jc w:val="left"/>
            </w:pPr>
            <w:r>
              <w:rPr>
                <w:sz w:val="19"/>
              </w:rPr>
              <w:t>Spread × earning assets = NII, the core of revenue</w:t>
            </w:r>
          </w:p>
        </w:tc>
        <w:tc>
          <w:tcPr>
            <w:tcW w:w="2346" w:type="dxa"/>
          </w:tcPr>
          <w:p w:rsidR="007F373F" w:rsidRDefault="00000000">
            <w:pPr>
              <w:spacing w:after="0"/>
              <w:jc w:val="left"/>
            </w:pPr>
            <w:r>
              <w:rPr>
                <w:sz w:val="19"/>
              </w:rPr>
              <w:t>Yield 16.7%; CoB 8.1%; spread 8.6%; NIM 8.8%</w:t>
            </w:r>
          </w:p>
        </w:tc>
      </w:tr>
      <w:tr w:rsidR="007F373F">
        <w:trPr>
          <w:jc w:val="center"/>
        </w:trPr>
        <w:tc>
          <w:tcPr>
            <w:tcW w:w="1587" w:type="dxa"/>
          </w:tcPr>
          <w:p w:rsidR="007F373F" w:rsidRDefault="00000000">
            <w:pPr>
              <w:spacing w:after="0"/>
              <w:jc w:val="left"/>
            </w:pPr>
            <w:r>
              <w:rPr>
                <w:sz w:val="19"/>
              </w:rPr>
              <w:t>Efficiency</w:t>
            </w:r>
          </w:p>
        </w:tc>
        <w:tc>
          <w:tcPr>
            <w:tcW w:w="2761" w:type="dxa"/>
          </w:tcPr>
          <w:p w:rsidR="007F373F" w:rsidRDefault="00000000">
            <w:pPr>
              <w:spacing w:after="0"/>
              <w:jc w:val="left"/>
            </w:pPr>
            <w:r>
              <w:rPr>
                <w:sz w:val="19"/>
              </w:rPr>
              <w:t>Cost-to-income ratio, opex to average assets, AUM per employee/branch</w:t>
            </w:r>
          </w:p>
        </w:tc>
        <w:tc>
          <w:tcPr>
            <w:tcW w:w="3037" w:type="dxa"/>
          </w:tcPr>
          <w:p w:rsidR="007F373F" w:rsidRDefault="00000000">
            <w:pPr>
              <w:spacing w:after="0"/>
              <w:jc w:val="left"/>
            </w:pPr>
            <w:r>
              <w:rPr>
                <w:sz w:val="19"/>
              </w:rPr>
              <w:t>Branch-led models carry fixed costs; operating leverage appears as branches mature</w:t>
            </w:r>
          </w:p>
        </w:tc>
        <w:tc>
          <w:tcPr>
            <w:tcW w:w="2346" w:type="dxa"/>
          </w:tcPr>
          <w:p w:rsidR="007F373F" w:rsidRDefault="00000000">
            <w:pPr>
              <w:spacing w:after="0"/>
              <w:jc w:val="left"/>
            </w:pPr>
            <w:r>
              <w:rPr>
                <w:sz w:val="19"/>
              </w:rPr>
              <w:t>C/I 57.2%; AUM/employee ₹3.8 cr; gold AUM/branch ₹16.5 cr</w:t>
            </w:r>
          </w:p>
        </w:tc>
      </w:tr>
      <w:tr w:rsidR="007F373F">
        <w:trPr>
          <w:jc w:val="center"/>
        </w:trPr>
        <w:tc>
          <w:tcPr>
            <w:tcW w:w="1587" w:type="dxa"/>
          </w:tcPr>
          <w:p w:rsidR="007F373F" w:rsidRDefault="00000000">
            <w:pPr>
              <w:spacing w:after="0"/>
              <w:jc w:val="left"/>
            </w:pPr>
            <w:r>
              <w:rPr>
                <w:sz w:val="19"/>
              </w:rPr>
              <w:t>Asset quality</w:t>
            </w:r>
          </w:p>
        </w:tc>
        <w:tc>
          <w:tcPr>
            <w:tcW w:w="2761" w:type="dxa"/>
          </w:tcPr>
          <w:p w:rsidR="007F373F" w:rsidRDefault="00000000">
            <w:pPr>
              <w:spacing w:after="0"/>
              <w:jc w:val="left"/>
            </w:pPr>
            <w:r>
              <w:rPr>
                <w:sz w:val="19"/>
              </w:rPr>
              <w:t>GNPA, NNPA, PCR, stage-wise loans, credit cost, write-offs, ARC sales</w:t>
            </w:r>
          </w:p>
        </w:tc>
        <w:tc>
          <w:tcPr>
            <w:tcW w:w="3037" w:type="dxa"/>
          </w:tcPr>
          <w:p w:rsidR="007F373F" w:rsidRDefault="00000000">
            <w:pPr>
              <w:spacing w:after="0"/>
              <w:jc w:val="left"/>
            </w:pPr>
            <w:r>
              <w:rPr>
                <w:sz w:val="19"/>
              </w:rPr>
              <w:t>Credit losses are the largest swing factor in lender profits</w:t>
            </w:r>
          </w:p>
        </w:tc>
        <w:tc>
          <w:tcPr>
            <w:tcW w:w="2346" w:type="dxa"/>
          </w:tcPr>
          <w:p w:rsidR="007F373F" w:rsidRDefault="00000000">
            <w:pPr>
              <w:spacing w:after="0"/>
              <w:jc w:val="left"/>
            </w:pPr>
            <w:r>
              <w:rPr>
                <w:sz w:val="19"/>
              </w:rPr>
              <w:t>GNPA 1.9%; NNPA 1.3%; PCR 32.3%; credit cost 0.8%</w:t>
            </w:r>
          </w:p>
        </w:tc>
      </w:tr>
      <w:tr w:rsidR="007F373F">
        <w:trPr>
          <w:jc w:val="center"/>
        </w:trPr>
        <w:tc>
          <w:tcPr>
            <w:tcW w:w="1587" w:type="dxa"/>
          </w:tcPr>
          <w:p w:rsidR="007F373F" w:rsidRDefault="00000000">
            <w:pPr>
              <w:spacing w:after="0"/>
              <w:jc w:val="left"/>
            </w:pPr>
            <w:r>
              <w:rPr>
                <w:sz w:val="19"/>
              </w:rPr>
              <w:t>Profitability</w:t>
            </w:r>
          </w:p>
        </w:tc>
        <w:tc>
          <w:tcPr>
            <w:tcW w:w="2761" w:type="dxa"/>
          </w:tcPr>
          <w:p w:rsidR="007F373F" w:rsidRDefault="00000000">
            <w:pPr>
              <w:spacing w:after="0"/>
              <w:jc w:val="left"/>
            </w:pPr>
            <w:r>
              <w:rPr>
                <w:sz w:val="19"/>
              </w:rPr>
              <w:t>PPOP, PBT, PAT, RoA, RoE, EPS, DuPont decomposition</w:t>
            </w:r>
          </w:p>
        </w:tc>
        <w:tc>
          <w:tcPr>
            <w:tcW w:w="3037" w:type="dxa"/>
          </w:tcPr>
          <w:p w:rsidR="007F373F" w:rsidRDefault="00000000">
            <w:pPr>
              <w:spacing w:after="0"/>
              <w:jc w:val="left"/>
            </w:pPr>
            <w:r>
              <w:rPr>
                <w:sz w:val="19"/>
              </w:rPr>
              <w:t>Return on assets × leverage = return on equity</w:t>
            </w:r>
          </w:p>
        </w:tc>
        <w:tc>
          <w:tcPr>
            <w:tcW w:w="2346" w:type="dxa"/>
          </w:tcPr>
          <w:p w:rsidR="007F373F" w:rsidRDefault="00000000">
            <w:pPr>
              <w:spacing w:after="0"/>
              <w:jc w:val="left"/>
            </w:pPr>
            <w:r>
              <w:rPr>
                <w:sz w:val="19"/>
              </w:rPr>
              <w:t>PAT ₹343.6 cr; RoA 2.44%; RoE 12.62%; EPS ₹9.20</w:t>
            </w:r>
          </w:p>
        </w:tc>
      </w:tr>
      <w:tr w:rsidR="007F373F">
        <w:trPr>
          <w:jc w:val="center"/>
        </w:trPr>
        <w:tc>
          <w:tcPr>
            <w:tcW w:w="1587" w:type="dxa"/>
          </w:tcPr>
          <w:p w:rsidR="007F373F" w:rsidRDefault="00000000">
            <w:pPr>
              <w:spacing w:after="0"/>
              <w:jc w:val="left"/>
            </w:pPr>
            <w:r>
              <w:rPr>
                <w:sz w:val="19"/>
              </w:rPr>
              <w:t>Capital and leverage</w:t>
            </w:r>
          </w:p>
        </w:tc>
        <w:tc>
          <w:tcPr>
            <w:tcW w:w="2761" w:type="dxa"/>
          </w:tcPr>
          <w:p w:rsidR="007F373F" w:rsidRDefault="00000000">
            <w:pPr>
              <w:spacing w:after="0"/>
              <w:jc w:val="left"/>
            </w:pPr>
            <w:r>
              <w:rPr>
                <w:sz w:val="19"/>
              </w:rPr>
              <w:t>CRAR (Tier I/II), debt-equity, net worth, book value</w:t>
            </w:r>
          </w:p>
        </w:tc>
        <w:tc>
          <w:tcPr>
            <w:tcW w:w="3037" w:type="dxa"/>
          </w:tcPr>
          <w:p w:rsidR="007F373F" w:rsidRDefault="00000000">
            <w:pPr>
              <w:spacing w:after="0"/>
              <w:jc w:val="left"/>
            </w:pPr>
            <w:r>
              <w:rPr>
                <w:sz w:val="19"/>
              </w:rPr>
              <w:t>Regulatory floor 15%; leverage amplifies both return and risk</w:t>
            </w:r>
          </w:p>
        </w:tc>
        <w:tc>
          <w:tcPr>
            <w:tcW w:w="2346" w:type="dxa"/>
          </w:tcPr>
          <w:p w:rsidR="007F373F" w:rsidRDefault="00000000">
            <w:pPr>
              <w:spacing w:after="0"/>
              <w:jc w:val="left"/>
            </w:pPr>
            <w:r>
              <w:rPr>
                <w:sz w:val="19"/>
              </w:rPr>
              <w:t>CRAR 22.4% (Tier I 17.5%); D/E 4.6x; BVPS ₹78.19</w:t>
            </w:r>
          </w:p>
        </w:tc>
      </w:tr>
      <w:tr w:rsidR="007F373F">
        <w:trPr>
          <w:jc w:val="center"/>
        </w:trPr>
        <w:tc>
          <w:tcPr>
            <w:tcW w:w="1587" w:type="dxa"/>
          </w:tcPr>
          <w:p w:rsidR="007F373F" w:rsidRDefault="00000000">
            <w:pPr>
              <w:spacing w:after="0"/>
              <w:jc w:val="left"/>
            </w:pPr>
            <w:r>
              <w:rPr>
                <w:sz w:val="19"/>
              </w:rPr>
              <w:t>Funding and liquidity</w:t>
            </w:r>
          </w:p>
        </w:tc>
        <w:tc>
          <w:tcPr>
            <w:tcW w:w="2761" w:type="dxa"/>
          </w:tcPr>
          <w:p w:rsidR="007F373F" w:rsidRDefault="00000000">
            <w:pPr>
              <w:spacing w:after="0"/>
              <w:jc w:val="left"/>
            </w:pPr>
            <w:r>
              <w:rPr>
                <w:sz w:val="19"/>
              </w:rPr>
              <w:t>Borrowing mix, lender count, fixed/floating, ALM buckets, cash</w:t>
            </w:r>
          </w:p>
        </w:tc>
        <w:tc>
          <w:tcPr>
            <w:tcW w:w="3037" w:type="dxa"/>
          </w:tcPr>
          <w:p w:rsidR="007F373F" w:rsidRDefault="00000000">
            <w:pPr>
              <w:spacing w:after="0"/>
              <w:jc w:val="left"/>
            </w:pPr>
            <w:r>
              <w:rPr>
                <w:sz w:val="19"/>
              </w:rPr>
              <w:t>NBFCs cannot take deposits; refinancing risk is existential</w:t>
            </w:r>
          </w:p>
        </w:tc>
        <w:tc>
          <w:tcPr>
            <w:tcW w:w="2346" w:type="dxa"/>
          </w:tcPr>
          <w:p w:rsidR="007F373F" w:rsidRDefault="00000000">
            <w:pPr>
              <w:spacing w:after="0"/>
              <w:jc w:val="left"/>
            </w:pPr>
            <w:r>
              <w:rPr>
                <w:sz w:val="19"/>
              </w:rPr>
              <w:t>41 lenders; ECB 17%; fixed 40%; cash ₹1,340 cr</w:t>
            </w:r>
          </w:p>
        </w:tc>
      </w:tr>
      <w:tr w:rsidR="007F373F">
        <w:trPr>
          <w:jc w:val="center"/>
        </w:trPr>
        <w:tc>
          <w:tcPr>
            <w:tcW w:w="1587" w:type="dxa"/>
          </w:tcPr>
          <w:p w:rsidR="007F373F" w:rsidRDefault="00000000">
            <w:pPr>
              <w:spacing w:after="0"/>
              <w:jc w:val="left"/>
            </w:pPr>
            <w:r>
              <w:rPr>
                <w:sz w:val="19"/>
              </w:rPr>
              <w:t>Earnings quality</w:t>
            </w:r>
          </w:p>
        </w:tc>
        <w:tc>
          <w:tcPr>
            <w:tcW w:w="2761" w:type="dxa"/>
          </w:tcPr>
          <w:p w:rsidR="007F373F" w:rsidRDefault="00000000">
            <w:pPr>
              <w:spacing w:after="0"/>
              <w:jc w:val="left"/>
            </w:pPr>
            <w:r>
              <w:rPr>
                <w:sz w:val="19"/>
              </w:rPr>
              <w:t>Share of DA income, fee income, fair-value gains, OCI</w:t>
            </w:r>
          </w:p>
        </w:tc>
        <w:tc>
          <w:tcPr>
            <w:tcW w:w="3037" w:type="dxa"/>
          </w:tcPr>
          <w:p w:rsidR="007F373F" w:rsidRDefault="00000000">
            <w:pPr>
              <w:spacing w:after="0"/>
              <w:jc w:val="left"/>
            </w:pPr>
            <w:r>
              <w:rPr>
                <w:sz w:val="19"/>
              </w:rPr>
              <w:t>Front-loaded or non-recurring income overstates sustainable earnings</w:t>
            </w:r>
          </w:p>
        </w:tc>
        <w:tc>
          <w:tcPr>
            <w:tcW w:w="2346" w:type="dxa"/>
          </w:tcPr>
          <w:p w:rsidR="007F373F" w:rsidRDefault="00000000">
            <w:pPr>
              <w:spacing w:after="0"/>
              <w:jc w:val="left"/>
            </w:pPr>
            <w:r>
              <w:rPr>
                <w:sz w:val="19"/>
              </w:rPr>
              <w:t>DA income 1.6% of PBT (company basis)</w:t>
            </w:r>
          </w:p>
        </w:tc>
      </w:tr>
    </w:tbl>
    <w:p w:rsidR="007F373F" w:rsidRDefault="007F373F">
      <w:pPr>
        <w:spacing w:after="40"/>
      </w:pPr>
    </w:p>
    <w:p w:rsidR="007F373F" w:rsidRDefault="00000000">
      <w:pPr>
        <w:pStyle w:val="Heading2"/>
      </w:pPr>
      <w:r>
        <w:t>Conventions used in this chapter</w:t>
      </w:r>
    </w:p>
    <w:p w:rsidR="007F373F" w:rsidRDefault="00000000">
      <w:pPr>
        <w:pStyle w:val="ListBullet"/>
      </w:pPr>
      <w:r>
        <w:t>Units: statutory tables are shown in ₹ lakh where reproduced from the annual report and converted to ₹ crore (÷100) in analytical tables; the header states the unit.</w:t>
      </w:r>
    </w:p>
    <w:p w:rsidR="007F373F" w:rsidRDefault="00000000">
      <w:pPr>
        <w:pStyle w:val="ListBullet"/>
      </w:pPr>
      <w:r>
        <w:t>Averages: where this report derives a ratio on average balances it uses the simple average of opening and closing balance-sheet figures; the company’s own methodology (daily or monthly averages) can differ slightly – e.g., reported RoA 2.44% versus 2.28% on a two-point average.</w:t>
      </w:r>
    </w:p>
    <w:p w:rsidR="007F373F" w:rsidRDefault="00000000">
      <w:pPr>
        <w:pStyle w:val="ListBullet"/>
      </w:pPr>
      <w:r>
        <w:t>Reported versus derived: company-reported ratios are shown as reported; computed figures are labelled ‘derived’ with the formula in Appendix F.</w:t>
      </w:r>
    </w:p>
    <w:p w:rsidR="007F373F" w:rsidRDefault="00000000">
      <w:pPr>
        <w:pStyle w:val="ListBullet"/>
      </w:pPr>
      <w:r>
        <w:t>Basis changes: yield, cost of borrowings and spread for FY22–FY25 are taken from the FY26 report’s restated series; the earlier-basis figures are shown in Table T8 for comparison.</w:t>
      </w:r>
    </w:p>
    <w:p w:rsidR="007F373F" w:rsidRDefault="00000000">
      <w:r>
        <w:t>The chapter proceeds from the two-year snapshot (FY25 vs FY26) to five-year trends in growth, profitability, margins and risk, then to a line-by-line reading of the FY26 income statement, expense structure, balance sheet, funding, capital and asset quality, and ends with DuPont analysis and per-share/valuation metrics.</w:t>
      </w:r>
    </w:p>
    <w:p w:rsidR="007F373F" w:rsidRDefault="00000000">
      <w:r>
        <w:t xml:space="preserve">Ratios that are deliberately not used. The company’s own key-ratio table marks debtors turnover, inventory turnover, operating margin and interest-coverage ratio as ‘not applicable’, because a lender’s inventory is its loan book and interest is its principal cost of goods. For the same reason </w:t>
      </w:r>
      <w:r>
        <w:lastRenderedPageBreak/>
        <w:t>current ratio and working-capital measures are replaced here by the structural-liquidity (ALM) buckets, and debt-equity is read alongside the regulatory capital ratio rather than against manufacturing norms. Where a ratio can be computed in more than one way – notably RoA, where the company uses average total assets and this report also shows a simple two-point average – both values are given with the formula so that the reader can reconcile them.</w:t>
      </w:r>
    </w:p>
    <w:p w:rsidR="007F373F" w:rsidRDefault="00000000">
      <w:pPr>
        <w:pStyle w:val="Heading1"/>
        <w:pageBreakBefore/>
      </w:pPr>
      <w:r>
        <w:lastRenderedPageBreak/>
        <w:t>Financial Snapshot: FY 2024-25 versus FY 2025-26</w:t>
      </w:r>
    </w:p>
    <w:p w:rsidR="007F373F" w:rsidRDefault="00000000">
      <w:r>
        <w:t>The Directors’ Report presents a standard table of financial highlights each year. The FY26 and FY25 figures are reproduced below in ₹ lakh exactly as disclosed, with growth rates derived.</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417"/>
        <w:gridCol w:w="1794"/>
        <w:gridCol w:w="1794"/>
        <w:gridCol w:w="1725"/>
      </w:tblGrid>
      <w:tr w:rsidR="007F373F">
        <w:trPr>
          <w:jc w:val="center"/>
        </w:trPr>
        <w:tc>
          <w:tcPr>
            <w:tcW w:w="4417" w:type="dxa"/>
          </w:tcPr>
          <w:p w:rsidR="007F373F" w:rsidRDefault="00000000">
            <w:pPr>
              <w:spacing w:after="0"/>
              <w:jc w:val="left"/>
            </w:pPr>
            <w:r>
              <w:rPr>
                <w:b/>
                <w:sz w:val="20"/>
              </w:rPr>
              <w:t>Particulars (₹ lakh unless stated)</w:t>
            </w:r>
          </w:p>
        </w:tc>
        <w:tc>
          <w:tcPr>
            <w:tcW w:w="1794" w:type="dxa"/>
          </w:tcPr>
          <w:p w:rsidR="007F373F" w:rsidRDefault="00000000">
            <w:pPr>
              <w:spacing w:after="0"/>
              <w:jc w:val="left"/>
            </w:pPr>
            <w:r>
              <w:rPr>
                <w:b/>
                <w:sz w:val="20"/>
              </w:rPr>
              <w:t>FY 2025-26</w:t>
            </w:r>
          </w:p>
        </w:tc>
        <w:tc>
          <w:tcPr>
            <w:tcW w:w="1794" w:type="dxa"/>
          </w:tcPr>
          <w:p w:rsidR="007F373F" w:rsidRDefault="00000000">
            <w:pPr>
              <w:spacing w:after="0"/>
              <w:jc w:val="left"/>
            </w:pPr>
            <w:r>
              <w:rPr>
                <w:b/>
                <w:sz w:val="20"/>
              </w:rPr>
              <w:t>FY 2024-25</w:t>
            </w:r>
          </w:p>
        </w:tc>
        <w:tc>
          <w:tcPr>
            <w:tcW w:w="1725" w:type="dxa"/>
          </w:tcPr>
          <w:p w:rsidR="007F373F" w:rsidRDefault="00000000">
            <w:pPr>
              <w:spacing w:after="0"/>
              <w:jc w:val="left"/>
            </w:pPr>
            <w:r>
              <w:rPr>
                <w:b/>
                <w:sz w:val="20"/>
              </w:rPr>
              <w:t>Change</w:t>
            </w:r>
          </w:p>
        </w:tc>
      </w:tr>
      <w:tr w:rsidR="007F373F">
        <w:trPr>
          <w:jc w:val="center"/>
        </w:trPr>
        <w:tc>
          <w:tcPr>
            <w:tcW w:w="4417" w:type="dxa"/>
          </w:tcPr>
          <w:p w:rsidR="007F373F" w:rsidRDefault="00000000">
            <w:pPr>
              <w:spacing w:after="0"/>
              <w:jc w:val="left"/>
            </w:pPr>
            <w:r>
              <w:rPr>
                <w:sz w:val="20"/>
              </w:rPr>
              <w:t>Total revenue</w:t>
            </w:r>
          </w:p>
        </w:tc>
        <w:tc>
          <w:tcPr>
            <w:tcW w:w="1794" w:type="dxa"/>
          </w:tcPr>
          <w:p w:rsidR="007F373F" w:rsidRDefault="00000000">
            <w:pPr>
              <w:spacing w:after="0"/>
              <w:jc w:val="right"/>
            </w:pPr>
            <w:r>
              <w:rPr>
                <w:sz w:val="20"/>
              </w:rPr>
              <w:t>222,661</w:t>
            </w:r>
          </w:p>
        </w:tc>
        <w:tc>
          <w:tcPr>
            <w:tcW w:w="1794" w:type="dxa"/>
          </w:tcPr>
          <w:p w:rsidR="007F373F" w:rsidRDefault="00000000">
            <w:pPr>
              <w:spacing w:after="0"/>
              <w:jc w:val="right"/>
            </w:pPr>
            <w:r>
              <w:rPr>
                <w:sz w:val="20"/>
              </w:rPr>
              <w:t>207,982</w:t>
            </w:r>
          </w:p>
        </w:tc>
        <w:tc>
          <w:tcPr>
            <w:tcW w:w="1725" w:type="dxa"/>
          </w:tcPr>
          <w:p w:rsidR="007F373F" w:rsidRDefault="00000000">
            <w:pPr>
              <w:spacing w:after="0"/>
              <w:jc w:val="right"/>
            </w:pPr>
            <w:r>
              <w:rPr>
                <w:sz w:val="20"/>
              </w:rPr>
              <w:t>+7.1%</w:t>
            </w:r>
          </w:p>
        </w:tc>
      </w:tr>
      <w:tr w:rsidR="007F373F">
        <w:trPr>
          <w:jc w:val="center"/>
        </w:trPr>
        <w:tc>
          <w:tcPr>
            <w:tcW w:w="4417" w:type="dxa"/>
          </w:tcPr>
          <w:p w:rsidR="007F373F" w:rsidRDefault="00000000">
            <w:pPr>
              <w:spacing w:after="0"/>
              <w:jc w:val="left"/>
            </w:pPr>
            <w:r>
              <w:rPr>
                <w:sz w:val="20"/>
              </w:rPr>
              <w:t>Net interest income</w:t>
            </w:r>
          </w:p>
        </w:tc>
        <w:tc>
          <w:tcPr>
            <w:tcW w:w="1794" w:type="dxa"/>
          </w:tcPr>
          <w:p w:rsidR="007F373F" w:rsidRDefault="00000000">
            <w:pPr>
              <w:spacing w:after="0"/>
              <w:jc w:val="right"/>
            </w:pPr>
            <w:r>
              <w:rPr>
                <w:sz w:val="20"/>
              </w:rPr>
              <w:t>122,975</w:t>
            </w:r>
          </w:p>
        </w:tc>
        <w:tc>
          <w:tcPr>
            <w:tcW w:w="1794" w:type="dxa"/>
          </w:tcPr>
          <w:p w:rsidR="007F373F" w:rsidRDefault="00000000">
            <w:pPr>
              <w:spacing w:after="0"/>
              <w:jc w:val="right"/>
            </w:pPr>
            <w:r>
              <w:rPr>
                <w:sz w:val="20"/>
              </w:rPr>
              <w:t>107,080</w:t>
            </w:r>
          </w:p>
        </w:tc>
        <w:tc>
          <w:tcPr>
            <w:tcW w:w="1725" w:type="dxa"/>
          </w:tcPr>
          <w:p w:rsidR="007F373F" w:rsidRDefault="00000000">
            <w:pPr>
              <w:spacing w:after="0"/>
              <w:jc w:val="right"/>
            </w:pPr>
            <w:r>
              <w:rPr>
                <w:sz w:val="20"/>
              </w:rPr>
              <w:t>+14.8%</w:t>
            </w:r>
          </w:p>
        </w:tc>
      </w:tr>
      <w:tr w:rsidR="007F373F">
        <w:trPr>
          <w:jc w:val="center"/>
        </w:trPr>
        <w:tc>
          <w:tcPr>
            <w:tcW w:w="4417" w:type="dxa"/>
          </w:tcPr>
          <w:p w:rsidR="007F373F" w:rsidRDefault="00000000">
            <w:pPr>
              <w:spacing w:after="0"/>
              <w:jc w:val="left"/>
            </w:pPr>
            <w:r>
              <w:rPr>
                <w:sz w:val="20"/>
              </w:rPr>
              <w:t>Fee and other income</w:t>
            </w:r>
          </w:p>
        </w:tc>
        <w:tc>
          <w:tcPr>
            <w:tcW w:w="1794" w:type="dxa"/>
          </w:tcPr>
          <w:p w:rsidR="007F373F" w:rsidRDefault="00000000">
            <w:pPr>
              <w:spacing w:after="0"/>
              <w:jc w:val="right"/>
            </w:pPr>
            <w:r>
              <w:rPr>
                <w:sz w:val="20"/>
              </w:rPr>
              <w:t>11,754</w:t>
            </w:r>
          </w:p>
        </w:tc>
        <w:tc>
          <w:tcPr>
            <w:tcW w:w="1794" w:type="dxa"/>
          </w:tcPr>
          <w:p w:rsidR="007F373F" w:rsidRDefault="00000000">
            <w:pPr>
              <w:spacing w:after="0"/>
              <w:jc w:val="right"/>
            </w:pPr>
            <w:r>
              <w:rPr>
                <w:sz w:val="20"/>
              </w:rPr>
              <w:t>15,524</w:t>
            </w:r>
          </w:p>
        </w:tc>
        <w:tc>
          <w:tcPr>
            <w:tcW w:w="1725" w:type="dxa"/>
          </w:tcPr>
          <w:p w:rsidR="007F373F" w:rsidRDefault="00000000">
            <w:pPr>
              <w:spacing w:after="0"/>
              <w:jc w:val="right"/>
            </w:pPr>
            <w:r>
              <w:rPr>
                <w:sz w:val="20"/>
              </w:rPr>
              <w:t>-24.3%</w:t>
            </w:r>
          </w:p>
        </w:tc>
      </w:tr>
      <w:tr w:rsidR="007F373F">
        <w:trPr>
          <w:jc w:val="center"/>
        </w:trPr>
        <w:tc>
          <w:tcPr>
            <w:tcW w:w="4417" w:type="dxa"/>
          </w:tcPr>
          <w:p w:rsidR="007F373F" w:rsidRDefault="00000000">
            <w:pPr>
              <w:spacing w:after="0"/>
              <w:jc w:val="left"/>
            </w:pPr>
            <w:r>
              <w:rPr>
                <w:sz w:val="20"/>
              </w:rPr>
              <w:t>Operating expenses and provisions</w:t>
            </w:r>
          </w:p>
        </w:tc>
        <w:tc>
          <w:tcPr>
            <w:tcW w:w="1794" w:type="dxa"/>
          </w:tcPr>
          <w:p w:rsidR="007F373F" w:rsidRDefault="00000000">
            <w:pPr>
              <w:spacing w:after="0"/>
              <w:jc w:val="right"/>
            </w:pPr>
            <w:r>
              <w:rPr>
                <w:sz w:val="20"/>
              </w:rPr>
              <w:t>88,628</w:t>
            </w:r>
          </w:p>
        </w:tc>
        <w:tc>
          <w:tcPr>
            <w:tcW w:w="1794" w:type="dxa"/>
          </w:tcPr>
          <w:p w:rsidR="007F373F" w:rsidRDefault="00000000">
            <w:pPr>
              <w:spacing w:after="0"/>
              <w:jc w:val="right"/>
            </w:pPr>
            <w:r>
              <w:rPr>
                <w:sz w:val="20"/>
              </w:rPr>
              <w:t>92,229</w:t>
            </w:r>
          </w:p>
        </w:tc>
        <w:tc>
          <w:tcPr>
            <w:tcW w:w="1725" w:type="dxa"/>
          </w:tcPr>
          <w:p w:rsidR="007F373F" w:rsidRDefault="00000000">
            <w:pPr>
              <w:spacing w:after="0"/>
              <w:jc w:val="right"/>
            </w:pPr>
            <w:r>
              <w:rPr>
                <w:sz w:val="20"/>
              </w:rPr>
              <w:t>-3.9%</w:t>
            </w:r>
          </w:p>
        </w:tc>
      </w:tr>
      <w:tr w:rsidR="007F373F">
        <w:trPr>
          <w:jc w:val="center"/>
        </w:trPr>
        <w:tc>
          <w:tcPr>
            <w:tcW w:w="4417" w:type="dxa"/>
          </w:tcPr>
          <w:p w:rsidR="007F373F" w:rsidRDefault="00000000">
            <w:pPr>
              <w:spacing w:after="0"/>
              <w:jc w:val="left"/>
            </w:pPr>
            <w:r>
              <w:rPr>
                <w:sz w:val="20"/>
              </w:rPr>
              <w:t>Profit before tax</w:t>
            </w:r>
          </w:p>
        </w:tc>
        <w:tc>
          <w:tcPr>
            <w:tcW w:w="1794" w:type="dxa"/>
          </w:tcPr>
          <w:p w:rsidR="007F373F" w:rsidRDefault="00000000">
            <w:pPr>
              <w:spacing w:after="0"/>
              <w:jc w:val="right"/>
            </w:pPr>
            <w:r>
              <w:rPr>
                <w:sz w:val="20"/>
              </w:rPr>
              <w:t>46,101</w:t>
            </w:r>
          </w:p>
        </w:tc>
        <w:tc>
          <w:tcPr>
            <w:tcW w:w="1794" w:type="dxa"/>
          </w:tcPr>
          <w:p w:rsidR="007F373F" w:rsidRDefault="00000000">
            <w:pPr>
              <w:spacing w:after="0"/>
              <w:jc w:val="right"/>
            </w:pPr>
            <w:r>
              <w:rPr>
                <w:sz w:val="20"/>
              </w:rPr>
              <w:t>30,375</w:t>
            </w:r>
          </w:p>
        </w:tc>
        <w:tc>
          <w:tcPr>
            <w:tcW w:w="1725" w:type="dxa"/>
          </w:tcPr>
          <w:p w:rsidR="007F373F" w:rsidRDefault="00000000">
            <w:pPr>
              <w:spacing w:after="0"/>
              <w:jc w:val="right"/>
            </w:pPr>
            <w:r>
              <w:rPr>
                <w:sz w:val="20"/>
              </w:rPr>
              <w:t>+51.8%</w:t>
            </w:r>
          </w:p>
        </w:tc>
      </w:tr>
      <w:tr w:rsidR="007F373F">
        <w:trPr>
          <w:jc w:val="center"/>
        </w:trPr>
        <w:tc>
          <w:tcPr>
            <w:tcW w:w="4417" w:type="dxa"/>
          </w:tcPr>
          <w:p w:rsidR="007F373F" w:rsidRDefault="00000000">
            <w:pPr>
              <w:spacing w:after="0"/>
              <w:jc w:val="left"/>
            </w:pPr>
            <w:r>
              <w:rPr>
                <w:sz w:val="20"/>
              </w:rPr>
              <w:t>Profit after tax</w:t>
            </w:r>
          </w:p>
        </w:tc>
        <w:tc>
          <w:tcPr>
            <w:tcW w:w="1794" w:type="dxa"/>
          </w:tcPr>
          <w:p w:rsidR="007F373F" w:rsidRDefault="00000000">
            <w:pPr>
              <w:spacing w:after="0"/>
              <w:jc w:val="right"/>
            </w:pPr>
            <w:r>
              <w:rPr>
                <w:sz w:val="20"/>
              </w:rPr>
              <w:t>34,360</w:t>
            </w:r>
          </w:p>
        </w:tc>
        <w:tc>
          <w:tcPr>
            <w:tcW w:w="1794" w:type="dxa"/>
          </w:tcPr>
          <w:p w:rsidR="007F373F" w:rsidRDefault="00000000">
            <w:pPr>
              <w:spacing w:after="0"/>
              <w:jc w:val="right"/>
            </w:pPr>
            <w:r>
              <w:rPr>
                <w:sz w:val="20"/>
              </w:rPr>
              <w:t>22,518</w:t>
            </w:r>
          </w:p>
        </w:tc>
        <w:tc>
          <w:tcPr>
            <w:tcW w:w="1725" w:type="dxa"/>
          </w:tcPr>
          <w:p w:rsidR="007F373F" w:rsidRDefault="00000000">
            <w:pPr>
              <w:spacing w:after="0"/>
              <w:jc w:val="right"/>
            </w:pPr>
            <w:r>
              <w:rPr>
                <w:sz w:val="20"/>
              </w:rPr>
              <w:t>+52.6%</w:t>
            </w:r>
          </w:p>
        </w:tc>
      </w:tr>
      <w:tr w:rsidR="007F373F">
        <w:trPr>
          <w:jc w:val="center"/>
        </w:trPr>
        <w:tc>
          <w:tcPr>
            <w:tcW w:w="4417" w:type="dxa"/>
          </w:tcPr>
          <w:p w:rsidR="007F373F" w:rsidRDefault="00000000">
            <w:pPr>
              <w:spacing w:after="0"/>
              <w:jc w:val="left"/>
            </w:pPr>
            <w:r>
              <w:rPr>
                <w:sz w:val="20"/>
              </w:rPr>
              <w:t>Advances (net)</w:t>
            </w:r>
          </w:p>
        </w:tc>
        <w:tc>
          <w:tcPr>
            <w:tcW w:w="1794" w:type="dxa"/>
          </w:tcPr>
          <w:p w:rsidR="007F373F" w:rsidRDefault="00000000">
            <w:pPr>
              <w:spacing w:after="0"/>
              <w:jc w:val="right"/>
            </w:pPr>
            <w:r>
              <w:rPr>
                <w:sz w:val="20"/>
              </w:rPr>
              <w:t>1,431,885</w:t>
            </w:r>
          </w:p>
        </w:tc>
        <w:tc>
          <w:tcPr>
            <w:tcW w:w="1794" w:type="dxa"/>
          </w:tcPr>
          <w:p w:rsidR="007F373F" w:rsidRDefault="00000000">
            <w:pPr>
              <w:spacing w:after="0"/>
              <w:jc w:val="right"/>
            </w:pPr>
            <w:r>
              <w:rPr>
                <w:sz w:val="20"/>
              </w:rPr>
              <w:t>1,164,637</w:t>
            </w:r>
          </w:p>
        </w:tc>
        <w:tc>
          <w:tcPr>
            <w:tcW w:w="1725" w:type="dxa"/>
          </w:tcPr>
          <w:p w:rsidR="007F373F" w:rsidRDefault="00000000">
            <w:pPr>
              <w:spacing w:after="0"/>
              <w:jc w:val="right"/>
            </w:pPr>
            <w:r>
              <w:rPr>
                <w:sz w:val="20"/>
              </w:rPr>
              <w:t>+22.9%</w:t>
            </w:r>
          </w:p>
        </w:tc>
      </w:tr>
      <w:tr w:rsidR="007F373F">
        <w:trPr>
          <w:jc w:val="center"/>
        </w:trPr>
        <w:tc>
          <w:tcPr>
            <w:tcW w:w="4417" w:type="dxa"/>
          </w:tcPr>
          <w:p w:rsidR="007F373F" w:rsidRDefault="00000000">
            <w:pPr>
              <w:spacing w:after="0"/>
              <w:jc w:val="left"/>
            </w:pPr>
            <w:r>
              <w:rPr>
                <w:sz w:val="20"/>
              </w:rPr>
              <w:t>Borrowings</w:t>
            </w:r>
          </w:p>
        </w:tc>
        <w:tc>
          <w:tcPr>
            <w:tcW w:w="1794" w:type="dxa"/>
          </w:tcPr>
          <w:p w:rsidR="007F373F" w:rsidRDefault="00000000">
            <w:pPr>
              <w:spacing w:after="0"/>
              <w:jc w:val="right"/>
            </w:pPr>
            <w:r>
              <w:rPr>
                <w:sz w:val="20"/>
              </w:rPr>
              <w:t>1,348,413</w:t>
            </w:r>
          </w:p>
        </w:tc>
        <w:tc>
          <w:tcPr>
            <w:tcW w:w="1794" w:type="dxa"/>
          </w:tcPr>
          <w:p w:rsidR="007F373F" w:rsidRDefault="00000000">
            <w:pPr>
              <w:spacing w:after="0"/>
              <w:jc w:val="right"/>
            </w:pPr>
            <w:r>
              <w:rPr>
                <w:sz w:val="20"/>
              </w:rPr>
              <w:t>1,026,866</w:t>
            </w:r>
          </w:p>
        </w:tc>
        <w:tc>
          <w:tcPr>
            <w:tcW w:w="1725" w:type="dxa"/>
          </w:tcPr>
          <w:p w:rsidR="007F373F" w:rsidRDefault="00000000">
            <w:pPr>
              <w:spacing w:after="0"/>
              <w:jc w:val="right"/>
            </w:pPr>
            <w:r>
              <w:rPr>
                <w:sz w:val="20"/>
              </w:rPr>
              <w:t>+31.3%</w:t>
            </w:r>
          </w:p>
        </w:tc>
      </w:tr>
      <w:tr w:rsidR="007F373F">
        <w:trPr>
          <w:jc w:val="center"/>
        </w:trPr>
        <w:tc>
          <w:tcPr>
            <w:tcW w:w="4417" w:type="dxa"/>
          </w:tcPr>
          <w:p w:rsidR="007F373F" w:rsidRDefault="00000000">
            <w:pPr>
              <w:spacing w:after="0"/>
              <w:jc w:val="left"/>
            </w:pPr>
            <w:r>
              <w:rPr>
                <w:sz w:val="20"/>
              </w:rPr>
              <w:t>Total assets (balance-sheet size)</w:t>
            </w:r>
          </w:p>
        </w:tc>
        <w:tc>
          <w:tcPr>
            <w:tcW w:w="1794" w:type="dxa"/>
          </w:tcPr>
          <w:p w:rsidR="007F373F" w:rsidRDefault="00000000">
            <w:pPr>
              <w:spacing w:after="0"/>
              <w:jc w:val="right"/>
            </w:pPr>
            <w:r>
              <w:rPr>
                <w:sz w:val="20"/>
              </w:rPr>
              <w:t>1,687,478</w:t>
            </w:r>
          </w:p>
        </w:tc>
        <w:tc>
          <w:tcPr>
            <w:tcW w:w="1794" w:type="dxa"/>
          </w:tcPr>
          <w:p w:rsidR="007F373F" w:rsidRDefault="00000000">
            <w:pPr>
              <w:spacing w:after="0"/>
              <w:jc w:val="right"/>
            </w:pPr>
            <w:r>
              <w:rPr>
                <w:sz w:val="20"/>
              </w:rPr>
              <w:t>1,324,970</w:t>
            </w:r>
          </w:p>
        </w:tc>
        <w:tc>
          <w:tcPr>
            <w:tcW w:w="1725" w:type="dxa"/>
          </w:tcPr>
          <w:p w:rsidR="007F373F" w:rsidRDefault="00000000">
            <w:pPr>
              <w:spacing w:after="0"/>
              <w:jc w:val="right"/>
            </w:pPr>
            <w:r>
              <w:rPr>
                <w:sz w:val="20"/>
              </w:rPr>
              <w:t>+27.4%</w:t>
            </w:r>
          </w:p>
        </w:tc>
      </w:tr>
      <w:tr w:rsidR="007F373F">
        <w:trPr>
          <w:jc w:val="center"/>
        </w:trPr>
        <w:tc>
          <w:tcPr>
            <w:tcW w:w="4417" w:type="dxa"/>
          </w:tcPr>
          <w:p w:rsidR="007F373F" w:rsidRDefault="00000000">
            <w:pPr>
              <w:spacing w:after="0"/>
              <w:jc w:val="left"/>
            </w:pPr>
            <w:r>
              <w:rPr>
                <w:sz w:val="20"/>
              </w:rPr>
              <w:t>Net worth</w:t>
            </w:r>
          </w:p>
        </w:tc>
        <w:tc>
          <w:tcPr>
            <w:tcW w:w="1794" w:type="dxa"/>
          </w:tcPr>
          <w:p w:rsidR="007F373F" w:rsidRDefault="00000000">
            <w:pPr>
              <w:spacing w:after="0"/>
              <w:jc w:val="right"/>
            </w:pPr>
            <w:r>
              <w:rPr>
                <w:sz w:val="20"/>
              </w:rPr>
              <w:t>292,610</w:t>
            </w:r>
          </w:p>
        </w:tc>
        <w:tc>
          <w:tcPr>
            <w:tcW w:w="1794" w:type="dxa"/>
          </w:tcPr>
          <w:p w:rsidR="007F373F" w:rsidRDefault="00000000">
            <w:pPr>
              <w:spacing w:after="0"/>
              <w:jc w:val="right"/>
            </w:pPr>
            <w:r>
              <w:rPr>
                <w:sz w:val="20"/>
              </w:rPr>
              <w:t>254,736</w:t>
            </w:r>
          </w:p>
        </w:tc>
        <w:tc>
          <w:tcPr>
            <w:tcW w:w="1725" w:type="dxa"/>
          </w:tcPr>
          <w:p w:rsidR="007F373F" w:rsidRDefault="00000000">
            <w:pPr>
              <w:spacing w:after="0"/>
              <w:jc w:val="right"/>
            </w:pPr>
            <w:r>
              <w:rPr>
                <w:sz w:val="20"/>
              </w:rPr>
              <w:t>+14.9%</w:t>
            </w:r>
          </w:p>
        </w:tc>
      </w:tr>
      <w:tr w:rsidR="007F373F">
        <w:trPr>
          <w:jc w:val="center"/>
        </w:trPr>
        <w:tc>
          <w:tcPr>
            <w:tcW w:w="4417" w:type="dxa"/>
          </w:tcPr>
          <w:p w:rsidR="007F373F" w:rsidRDefault="00000000">
            <w:pPr>
              <w:spacing w:after="0"/>
              <w:jc w:val="left"/>
            </w:pPr>
            <w:r>
              <w:rPr>
                <w:sz w:val="20"/>
              </w:rPr>
              <w:t>Return on average assets (%)</w:t>
            </w:r>
          </w:p>
        </w:tc>
        <w:tc>
          <w:tcPr>
            <w:tcW w:w="1794" w:type="dxa"/>
          </w:tcPr>
          <w:p w:rsidR="007F373F" w:rsidRDefault="00000000">
            <w:pPr>
              <w:spacing w:after="0"/>
              <w:jc w:val="right"/>
            </w:pPr>
            <w:r>
              <w:rPr>
                <w:sz w:val="20"/>
              </w:rPr>
              <w:t>2.44</w:t>
            </w:r>
          </w:p>
        </w:tc>
        <w:tc>
          <w:tcPr>
            <w:tcW w:w="1794" w:type="dxa"/>
          </w:tcPr>
          <w:p w:rsidR="007F373F" w:rsidRDefault="00000000">
            <w:pPr>
              <w:spacing w:after="0"/>
              <w:jc w:val="right"/>
            </w:pPr>
            <w:r>
              <w:rPr>
                <w:sz w:val="20"/>
              </w:rPr>
              <w:t>1.82</w:t>
            </w:r>
          </w:p>
        </w:tc>
        <w:tc>
          <w:tcPr>
            <w:tcW w:w="1725" w:type="dxa"/>
          </w:tcPr>
          <w:p w:rsidR="007F373F" w:rsidRDefault="00000000">
            <w:pPr>
              <w:spacing w:after="0"/>
              <w:jc w:val="left"/>
            </w:pPr>
            <w:r>
              <w:rPr>
                <w:sz w:val="20"/>
              </w:rPr>
              <w:t>+0.62 pp</w:t>
            </w:r>
          </w:p>
        </w:tc>
      </w:tr>
      <w:tr w:rsidR="007F373F">
        <w:trPr>
          <w:jc w:val="center"/>
        </w:trPr>
        <w:tc>
          <w:tcPr>
            <w:tcW w:w="4417" w:type="dxa"/>
          </w:tcPr>
          <w:p w:rsidR="007F373F" w:rsidRDefault="00000000">
            <w:pPr>
              <w:spacing w:after="0"/>
              <w:jc w:val="left"/>
            </w:pPr>
            <w:r>
              <w:rPr>
                <w:sz w:val="20"/>
              </w:rPr>
              <w:t>Return on equity (%)</w:t>
            </w:r>
          </w:p>
        </w:tc>
        <w:tc>
          <w:tcPr>
            <w:tcW w:w="1794" w:type="dxa"/>
          </w:tcPr>
          <w:p w:rsidR="007F373F" w:rsidRDefault="00000000">
            <w:pPr>
              <w:spacing w:after="0"/>
              <w:jc w:val="right"/>
            </w:pPr>
            <w:r>
              <w:rPr>
                <w:sz w:val="20"/>
              </w:rPr>
              <w:t>12.62</w:t>
            </w:r>
          </w:p>
        </w:tc>
        <w:tc>
          <w:tcPr>
            <w:tcW w:w="1794" w:type="dxa"/>
          </w:tcPr>
          <w:p w:rsidR="007F373F" w:rsidRDefault="00000000">
            <w:pPr>
              <w:spacing w:after="0"/>
              <w:jc w:val="right"/>
            </w:pPr>
            <w:r>
              <w:rPr>
                <w:sz w:val="20"/>
              </w:rPr>
              <w:t>9.39</w:t>
            </w:r>
          </w:p>
        </w:tc>
        <w:tc>
          <w:tcPr>
            <w:tcW w:w="1725" w:type="dxa"/>
          </w:tcPr>
          <w:p w:rsidR="007F373F" w:rsidRDefault="00000000">
            <w:pPr>
              <w:spacing w:after="0"/>
              <w:jc w:val="left"/>
            </w:pPr>
            <w:r>
              <w:rPr>
                <w:sz w:val="20"/>
              </w:rPr>
              <w:t>+3.23 pp</w:t>
            </w:r>
          </w:p>
        </w:tc>
      </w:tr>
      <w:tr w:rsidR="007F373F">
        <w:trPr>
          <w:jc w:val="center"/>
        </w:trPr>
        <w:tc>
          <w:tcPr>
            <w:tcW w:w="4417" w:type="dxa"/>
          </w:tcPr>
          <w:p w:rsidR="007F373F" w:rsidRDefault="00000000">
            <w:pPr>
              <w:spacing w:after="0"/>
              <w:jc w:val="left"/>
            </w:pPr>
            <w:r>
              <w:rPr>
                <w:sz w:val="20"/>
              </w:rPr>
              <w:t>EPS – basic / diluted (₹)</w:t>
            </w:r>
          </w:p>
        </w:tc>
        <w:tc>
          <w:tcPr>
            <w:tcW w:w="1794" w:type="dxa"/>
          </w:tcPr>
          <w:p w:rsidR="007F373F" w:rsidRDefault="00000000">
            <w:pPr>
              <w:spacing w:after="0"/>
              <w:jc w:val="left"/>
            </w:pPr>
            <w:r>
              <w:rPr>
                <w:sz w:val="20"/>
              </w:rPr>
              <w:t>9.20 / 9.12</w:t>
            </w:r>
          </w:p>
        </w:tc>
        <w:tc>
          <w:tcPr>
            <w:tcW w:w="1794" w:type="dxa"/>
          </w:tcPr>
          <w:p w:rsidR="007F373F" w:rsidRDefault="00000000">
            <w:pPr>
              <w:spacing w:after="0"/>
              <w:jc w:val="left"/>
            </w:pPr>
            <w:r>
              <w:rPr>
                <w:sz w:val="20"/>
              </w:rPr>
              <w:t>6.06 / 6.04</w:t>
            </w:r>
          </w:p>
        </w:tc>
        <w:tc>
          <w:tcPr>
            <w:tcW w:w="1725" w:type="dxa"/>
          </w:tcPr>
          <w:p w:rsidR="007F373F" w:rsidRDefault="00000000">
            <w:pPr>
              <w:spacing w:after="0"/>
              <w:jc w:val="right"/>
            </w:pPr>
            <w:r>
              <w:rPr>
                <w:sz w:val="20"/>
              </w:rPr>
              <w:t>+51.8%</w:t>
            </w:r>
          </w:p>
        </w:tc>
      </w:tr>
      <w:tr w:rsidR="007F373F">
        <w:trPr>
          <w:jc w:val="center"/>
        </w:trPr>
        <w:tc>
          <w:tcPr>
            <w:tcW w:w="4417" w:type="dxa"/>
          </w:tcPr>
          <w:p w:rsidR="007F373F" w:rsidRDefault="00000000">
            <w:pPr>
              <w:spacing w:after="0"/>
              <w:jc w:val="left"/>
            </w:pPr>
            <w:r>
              <w:rPr>
                <w:sz w:val="20"/>
              </w:rPr>
              <w:t>Book value per share (₹)</w:t>
            </w:r>
          </w:p>
        </w:tc>
        <w:tc>
          <w:tcPr>
            <w:tcW w:w="1794" w:type="dxa"/>
          </w:tcPr>
          <w:p w:rsidR="007F373F" w:rsidRDefault="00000000">
            <w:pPr>
              <w:spacing w:after="0"/>
              <w:jc w:val="right"/>
            </w:pPr>
            <w:r>
              <w:rPr>
                <w:sz w:val="20"/>
              </w:rPr>
              <w:t>78.19</w:t>
            </w:r>
          </w:p>
        </w:tc>
        <w:tc>
          <w:tcPr>
            <w:tcW w:w="1794" w:type="dxa"/>
          </w:tcPr>
          <w:p w:rsidR="007F373F" w:rsidRDefault="00000000">
            <w:pPr>
              <w:spacing w:after="0"/>
              <w:jc w:val="right"/>
            </w:pPr>
            <w:r>
              <w:rPr>
                <w:sz w:val="20"/>
              </w:rPr>
              <w:t>68.35</w:t>
            </w:r>
          </w:p>
        </w:tc>
        <w:tc>
          <w:tcPr>
            <w:tcW w:w="1725" w:type="dxa"/>
          </w:tcPr>
          <w:p w:rsidR="007F373F" w:rsidRDefault="00000000">
            <w:pPr>
              <w:spacing w:after="0"/>
              <w:jc w:val="right"/>
            </w:pPr>
            <w:r>
              <w:rPr>
                <w:sz w:val="20"/>
              </w:rPr>
              <w:t>+14.4%</w:t>
            </w:r>
          </w:p>
        </w:tc>
      </w:tr>
      <w:tr w:rsidR="007F373F">
        <w:trPr>
          <w:jc w:val="center"/>
        </w:trPr>
        <w:tc>
          <w:tcPr>
            <w:tcW w:w="4417" w:type="dxa"/>
          </w:tcPr>
          <w:p w:rsidR="007F373F" w:rsidRDefault="00000000">
            <w:pPr>
              <w:spacing w:after="0"/>
              <w:jc w:val="left"/>
            </w:pPr>
            <w:r>
              <w:rPr>
                <w:sz w:val="20"/>
              </w:rPr>
              <w:t>Cost-to-income ratio (%)</w:t>
            </w:r>
          </w:p>
        </w:tc>
        <w:tc>
          <w:tcPr>
            <w:tcW w:w="1794" w:type="dxa"/>
          </w:tcPr>
          <w:p w:rsidR="007F373F" w:rsidRDefault="00000000">
            <w:pPr>
              <w:spacing w:after="0"/>
              <w:jc w:val="right"/>
            </w:pPr>
            <w:r>
              <w:rPr>
                <w:sz w:val="20"/>
              </w:rPr>
              <w:t>57.23</w:t>
            </w:r>
          </w:p>
        </w:tc>
        <w:tc>
          <w:tcPr>
            <w:tcW w:w="1794" w:type="dxa"/>
          </w:tcPr>
          <w:p w:rsidR="007F373F" w:rsidRDefault="00000000">
            <w:pPr>
              <w:spacing w:after="0"/>
              <w:jc w:val="right"/>
            </w:pPr>
            <w:r>
              <w:rPr>
                <w:sz w:val="20"/>
              </w:rPr>
              <w:t>57.58</w:t>
            </w:r>
          </w:p>
        </w:tc>
        <w:tc>
          <w:tcPr>
            <w:tcW w:w="1725" w:type="dxa"/>
          </w:tcPr>
          <w:p w:rsidR="007F373F" w:rsidRDefault="00000000">
            <w:pPr>
              <w:spacing w:after="0"/>
              <w:jc w:val="left"/>
            </w:pPr>
            <w:r>
              <w:rPr>
                <w:sz w:val="20"/>
              </w:rPr>
              <w:t>-0.35 pp</w:t>
            </w:r>
          </w:p>
        </w:tc>
      </w:tr>
      <w:tr w:rsidR="007F373F">
        <w:trPr>
          <w:jc w:val="center"/>
        </w:trPr>
        <w:tc>
          <w:tcPr>
            <w:tcW w:w="4417" w:type="dxa"/>
          </w:tcPr>
          <w:p w:rsidR="007F373F" w:rsidRDefault="00000000">
            <w:pPr>
              <w:spacing w:after="0"/>
              <w:jc w:val="left"/>
            </w:pPr>
            <w:r>
              <w:rPr>
                <w:sz w:val="20"/>
              </w:rPr>
              <w:t>Capital adequacy ratio (%)</w:t>
            </w:r>
          </w:p>
        </w:tc>
        <w:tc>
          <w:tcPr>
            <w:tcW w:w="1794" w:type="dxa"/>
          </w:tcPr>
          <w:p w:rsidR="007F373F" w:rsidRDefault="00000000">
            <w:pPr>
              <w:spacing w:after="0"/>
              <w:jc w:val="right"/>
            </w:pPr>
            <w:r>
              <w:rPr>
                <w:sz w:val="20"/>
              </w:rPr>
              <w:t>22.40</w:t>
            </w:r>
          </w:p>
        </w:tc>
        <w:tc>
          <w:tcPr>
            <w:tcW w:w="1794" w:type="dxa"/>
          </w:tcPr>
          <w:p w:rsidR="007F373F" w:rsidRDefault="00000000">
            <w:pPr>
              <w:spacing w:after="0"/>
              <w:jc w:val="right"/>
            </w:pPr>
            <w:r>
              <w:rPr>
                <w:sz w:val="20"/>
              </w:rPr>
              <w:t>21.92</w:t>
            </w:r>
          </w:p>
        </w:tc>
        <w:tc>
          <w:tcPr>
            <w:tcW w:w="1725" w:type="dxa"/>
          </w:tcPr>
          <w:p w:rsidR="007F373F" w:rsidRDefault="00000000">
            <w:pPr>
              <w:spacing w:after="0"/>
              <w:jc w:val="left"/>
            </w:pPr>
            <w:r>
              <w:rPr>
                <w:sz w:val="20"/>
              </w:rPr>
              <w:t>+0.48 pp</w:t>
            </w:r>
          </w:p>
        </w:tc>
      </w:tr>
    </w:tbl>
    <w:p w:rsidR="007F373F" w:rsidRDefault="00000000">
      <w:pPr>
        <w:spacing w:before="40" w:after="80"/>
      </w:pPr>
      <w:r>
        <w:rPr>
          <w:i/>
          <w:sz w:val="18"/>
        </w:rPr>
        <w:t>Source: Fedfina Annual Report 2025-26, Directors’ Report – Financial Highlights; growth rates derived.</w:t>
      </w:r>
    </w:p>
    <w:p w:rsidR="007F373F" w:rsidRDefault="00000000">
      <w:r>
        <w:t>Three-year context (Directors’ Report FY24). FY24 revenue was ₹162,300 lakh, NII ₹81,212 lakh, PAT ₹24,470 lakh, net worth ₹226,083 lakh and total assets ₹1,113,784 lakh. Over the two years to FY26, therefore, revenue grew 37%, NII 51%, PAT 40%, assets 52% and net worth 29% (all derived) – FY26 PAT is well above the FY24 level despite the FY25 dip.</w:t>
      </w:r>
    </w:p>
    <w:p w:rsidR="007F373F" w:rsidRDefault="00000000">
      <w:pPr>
        <w:pStyle w:val="Heading2"/>
      </w:pPr>
      <w:r>
        <w:t>Reading the snapshot</w:t>
      </w:r>
    </w:p>
    <w:p w:rsidR="007F373F" w:rsidRDefault="00000000">
      <w:r>
        <w:t>Three features stand out. First, revenue grew only 7% while NII grew 15% and PAT 53%: the gap between revenue and NII reflects lower finance-cost growth (+3%) as borrowing costs fell, and the gap between NII and PAT reflects a ₹101 crore fall in impairment charges (₹216 crore → ₹115 crore). Second, the balance sheet grew faster than revenue (assets +27%, borrowings +31%) because more AUM was held on book and because gold loans – short-tenor and disbursed late in a fast-growing year – earn a full year of interest only in the following year. Third, every return and efficiency ratio improved except leverage: RoA, RoE, EPS, book value, cost-to-income and CRAR all moved in the right direction, while debt-equity rose from 4.0x to 4.6x. Fee and other income fell 24% as distribution income from Federal Bank products declined and FVOCI gains shrank; this is examined on the income-statement page.</w:t>
      </w:r>
    </w:p>
    <w:p w:rsidR="007F373F" w:rsidRDefault="00000000">
      <w:pPr>
        <w:pStyle w:val="Heading1"/>
        <w:pageBreakBefore/>
      </w:pPr>
      <w:r>
        <w:lastRenderedPageBreak/>
        <w:t>Five-Year Trend: AUM, Loan Book and Disbursements</w:t>
      </w:r>
    </w:p>
    <w:p w:rsidR="007F373F" w:rsidRDefault="00000000">
      <w:pPr>
        <w:spacing w:after="0"/>
        <w:jc w:val="center"/>
      </w:pPr>
      <w:r>
        <w:rPr>
          <w:noProof/>
        </w:rPr>
        <w:drawing>
          <wp:inline distT="0" distB="0" distL="0" distR="0">
            <wp:extent cx="5852160" cy="22167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m.png"/>
                    <pic:cNvPicPr/>
                  </pic:nvPicPr>
                  <pic:blipFill>
                    <a:blip r:embed="rId15"/>
                    <a:stretch>
                      <a:fillRect/>
                    </a:stretch>
                  </pic:blipFill>
                  <pic:spPr>
                    <a:xfrm>
                      <a:off x="0" y="0"/>
                      <a:ext cx="5852160" cy="2216727"/>
                    </a:xfrm>
                    <a:prstGeom prst="rect">
                      <a:avLst/>
                    </a:prstGeom>
                  </pic:spPr>
                </pic:pic>
              </a:graphicData>
            </a:graphic>
          </wp:inline>
        </w:drawing>
      </w:r>
    </w:p>
    <w:p w:rsidR="007F373F" w:rsidRDefault="00000000">
      <w:pPr>
        <w:spacing w:after="80"/>
        <w:jc w:val="center"/>
      </w:pPr>
      <w:r>
        <w:rPr>
          <w:i/>
          <w:sz w:val="18"/>
        </w:rPr>
        <w:t>Figure 1 – AUM FY19–FY26 (₹ crore). Sources: Fedfina Annual Report 2023-24 KPI pages (FY19–FY24); Fedfina Annual Report 2024-25 (FY25); Fedfina Annual Report 2025-26 (FY26).</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104"/>
        <w:gridCol w:w="1932"/>
        <w:gridCol w:w="2208"/>
        <w:gridCol w:w="1656"/>
        <w:gridCol w:w="2830"/>
      </w:tblGrid>
      <w:tr w:rsidR="007F373F">
        <w:trPr>
          <w:jc w:val="center"/>
        </w:trPr>
        <w:tc>
          <w:tcPr>
            <w:tcW w:w="1104" w:type="dxa"/>
          </w:tcPr>
          <w:p w:rsidR="007F373F" w:rsidRDefault="00000000">
            <w:pPr>
              <w:spacing w:after="0"/>
              <w:jc w:val="left"/>
            </w:pPr>
            <w:r>
              <w:rPr>
                <w:b/>
                <w:sz w:val="19"/>
              </w:rPr>
              <w:t>Year</w:t>
            </w:r>
          </w:p>
        </w:tc>
        <w:tc>
          <w:tcPr>
            <w:tcW w:w="1932" w:type="dxa"/>
          </w:tcPr>
          <w:p w:rsidR="007F373F" w:rsidRDefault="00000000">
            <w:pPr>
              <w:spacing w:after="0"/>
              <w:jc w:val="left"/>
            </w:pPr>
            <w:r>
              <w:rPr>
                <w:b/>
                <w:sz w:val="19"/>
              </w:rPr>
              <w:t>AUM (₹ crore)</w:t>
            </w:r>
          </w:p>
        </w:tc>
        <w:tc>
          <w:tcPr>
            <w:tcW w:w="2208" w:type="dxa"/>
          </w:tcPr>
          <w:p w:rsidR="007F373F" w:rsidRDefault="00000000">
            <w:pPr>
              <w:spacing w:after="0"/>
              <w:jc w:val="left"/>
            </w:pPr>
            <w:r>
              <w:rPr>
                <w:b/>
                <w:sz w:val="19"/>
              </w:rPr>
              <w:t>YoY growth (derived)</w:t>
            </w:r>
          </w:p>
        </w:tc>
        <w:tc>
          <w:tcPr>
            <w:tcW w:w="1656" w:type="dxa"/>
          </w:tcPr>
          <w:p w:rsidR="007F373F" w:rsidRDefault="00000000">
            <w:pPr>
              <w:spacing w:after="0"/>
              <w:jc w:val="left"/>
            </w:pPr>
            <w:r>
              <w:rPr>
                <w:b/>
                <w:sz w:val="19"/>
              </w:rPr>
              <w:t>Branches</w:t>
            </w:r>
          </w:p>
        </w:tc>
        <w:tc>
          <w:tcPr>
            <w:tcW w:w="2830" w:type="dxa"/>
          </w:tcPr>
          <w:p w:rsidR="007F373F" w:rsidRDefault="00000000">
            <w:pPr>
              <w:spacing w:after="0"/>
              <w:jc w:val="left"/>
            </w:pPr>
            <w:r>
              <w:rPr>
                <w:b/>
                <w:sz w:val="19"/>
              </w:rPr>
              <w:t>AUM per branch (₹ cr, derived)</w:t>
            </w:r>
          </w:p>
        </w:tc>
      </w:tr>
      <w:tr w:rsidR="007F373F">
        <w:trPr>
          <w:jc w:val="center"/>
        </w:trPr>
        <w:tc>
          <w:tcPr>
            <w:tcW w:w="1104" w:type="dxa"/>
          </w:tcPr>
          <w:p w:rsidR="007F373F" w:rsidRDefault="00000000">
            <w:pPr>
              <w:spacing w:after="0"/>
              <w:jc w:val="left"/>
            </w:pPr>
            <w:r>
              <w:rPr>
                <w:sz w:val="19"/>
              </w:rPr>
              <w:t>FY19</w:t>
            </w:r>
          </w:p>
        </w:tc>
        <w:tc>
          <w:tcPr>
            <w:tcW w:w="1932" w:type="dxa"/>
          </w:tcPr>
          <w:p w:rsidR="007F373F" w:rsidRDefault="00000000">
            <w:pPr>
              <w:spacing w:after="0"/>
              <w:jc w:val="right"/>
            </w:pPr>
            <w:r>
              <w:rPr>
                <w:sz w:val="19"/>
              </w:rPr>
              <w:t>2,019</w:t>
            </w:r>
          </w:p>
        </w:tc>
        <w:tc>
          <w:tcPr>
            <w:tcW w:w="2208" w:type="dxa"/>
          </w:tcPr>
          <w:p w:rsidR="007F373F" w:rsidRDefault="00000000">
            <w:pPr>
              <w:spacing w:after="0"/>
              <w:jc w:val="right"/>
            </w:pPr>
            <w:r>
              <w:rPr>
                <w:sz w:val="19"/>
              </w:rPr>
              <w:t>–</w:t>
            </w:r>
          </w:p>
        </w:tc>
        <w:tc>
          <w:tcPr>
            <w:tcW w:w="1656" w:type="dxa"/>
          </w:tcPr>
          <w:p w:rsidR="007F373F" w:rsidRDefault="00000000">
            <w:pPr>
              <w:spacing w:after="0"/>
              <w:jc w:val="right"/>
            </w:pPr>
            <w:r>
              <w:rPr>
                <w:sz w:val="19"/>
              </w:rPr>
              <w:t>149</w:t>
            </w:r>
          </w:p>
        </w:tc>
        <w:tc>
          <w:tcPr>
            <w:tcW w:w="2830" w:type="dxa"/>
          </w:tcPr>
          <w:p w:rsidR="007F373F" w:rsidRDefault="00000000">
            <w:pPr>
              <w:spacing w:after="0"/>
              <w:jc w:val="right"/>
            </w:pPr>
            <w:r>
              <w:rPr>
                <w:sz w:val="19"/>
              </w:rPr>
              <w:t>13.6</w:t>
            </w:r>
          </w:p>
        </w:tc>
      </w:tr>
      <w:tr w:rsidR="007F373F">
        <w:trPr>
          <w:jc w:val="center"/>
        </w:trPr>
        <w:tc>
          <w:tcPr>
            <w:tcW w:w="1104" w:type="dxa"/>
          </w:tcPr>
          <w:p w:rsidR="007F373F" w:rsidRDefault="00000000">
            <w:pPr>
              <w:spacing w:after="0"/>
              <w:jc w:val="left"/>
            </w:pPr>
            <w:r>
              <w:rPr>
                <w:sz w:val="19"/>
              </w:rPr>
              <w:t>FY20</w:t>
            </w:r>
          </w:p>
        </w:tc>
        <w:tc>
          <w:tcPr>
            <w:tcW w:w="1932" w:type="dxa"/>
          </w:tcPr>
          <w:p w:rsidR="007F373F" w:rsidRDefault="00000000">
            <w:pPr>
              <w:spacing w:after="0"/>
              <w:jc w:val="right"/>
            </w:pPr>
            <w:r>
              <w:rPr>
                <w:sz w:val="19"/>
              </w:rPr>
              <w:t>3,838</w:t>
            </w:r>
          </w:p>
        </w:tc>
        <w:tc>
          <w:tcPr>
            <w:tcW w:w="2208" w:type="dxa"/>
          </w:tcPr>
          <w:p w:rsidR="007F373F" w:rsidRDefault="00000000">
            <w:pPr>
              <w:spacing w:after="0"/>
              <w:jc w:val="right"/>
            </w:pPr>
            <w:r>
              <w:rPr>
                <w:sz w:val="19"/>
              </w:rPr>
              <w:t>+90.1%</w:t>
            </w:r>
          </w:p>
        </w:tc>
        <w:tc>
          <w:tcPr>
            <w:tcW w:w="1656" w:type="dxa"/>
          </w:tcPr>
          <w:p w:rsidR="007F373F" w:rsidRDefault="00000000">
            <w:pPr>
              <w:spacing w:after="0"/>
              <w:jc w:val="right"/>
            </w:pPr>
            <w:r>
              <w:rPr>
                <w:sz w:val="19"/>
              </w:rPr>
              <w:t>303</w:t>
            </w:r>
          </w:p>
        </w:tc>
        <w:tc>
          <w:tcPr>
            <w:tcW w:w="2830" w:type="dxa"/>
          </w:tcPr>
          <w:p w:rsidR="007F373F" w:rsidRDefault="00000000">
            <w:pPr>
              <w:spacing w:after="0"/>
              <w:jc w:val="right"/>
            </w:pPr>
            <w:r>
              <w:rPr>
                <w:sz w:val="19"/>
              </w:rPr>
              <w:t>12.7</w:t>
            </w:r>
          </w:p>
        </w:tc>
      </w:tr>
      <w:tr w:rsidR="007F373F">
        <w:trPr>
          <w:jc w:val="center"/>
        </w:trPr>
        <w:tc>
          <w:tcPr>
            <w:tcW w:w="1104" w:type="dxa"/>
          </w:tcPr>
          <w:p w:rsidR="007F373F" w:rsidRDefault="00000000">
            <w:pPr>
              <w:spacing w:after="0"/>
              <w:jc w:val="left"/>
            </w:pPr>
            <w:r>
              <w:rPr>
                <w:sz w:val="19"/>
              </w:rPr>
              <w:t>FY21</w:t>
            </w:r>
          </w:p>
        </w:tc>
        <w:tc>
          <w:tcPr>
            <w:tcW w:w="1932" w:type="dxa"/>
          </w:tcPr>
          <w:p w:rsidR="007F373F" w:rsidRDefault="00000000">
            <w:pPr>
              <w:spacing w:after="0"/>
              <w:jc w:val="right"/>
            </w:pPr>
            <w:r>
              <w:rPr>
                <w:sz w:val="19"/>
              </w:rPr>
              <w:t>4,862</w:t>
            </w:r>
          </w:p>
        </w:tc>
        <w:tc>
          <w:tcPr>
            <w:tcW w:w="2208" w:type="dxa"/>
          </w:tcPr>
          <w:p w:rsidR="007F373F" w:rsidRDefault="00000000">
            <w:pPr>
              <w:spacing w:after="0"/>
              <w:jc w:val="right"/>
            </w:pPr>
            <w:r>
              <w:rPr>
                <w:sz w:val="19"/>
              </w:rPr>
              <w:t>+26.7%</w:t>
            </w:r>
          </w:p>
        </w:tc>
        <w:tc>
          <w:tcPr>
            <w:tcW w:w="1656" w:type="dxa"/>
          </w:tcPr>
          <w:p w:rsidR="007F373F" w:rsidRDefault="00000000">
            <w:pPr>
              <w:spacing w:after="0"/>
              <w:jc w:val="right"/>
            </w:pPr>
            <w:r>
              <w:rPr>
                <w:sz w:val="19"/>
              </w:rPr>
              <w:t>359</w:t>
            </w:r>
          </w:p>
        </w:tc>
        <w:tc>
          <w:tcPr>
            <w:tcW w:w="2830" w:type="dxa"/>
          </w:tcPr>
          <w:p w:rsidR="007F373F" w:rsidRDefault="00000000">
            <w:pPr>
              <w:spacing w:after="0"/>
              <w:jc w:val="right"/>
            </w:pPr>
            <w:r>
              <w:rPr>
                <w:sz w:val="19"/>
              </w:rPr>
              <w:t>13.5</w:t>
            </w:r>
          </w:p>
        </w:tc>
      </w:tr>
      <w:tr w:rsidR="007F373F">
        <w:trPr>
          <w:jc w:val="center"/>
        </w:trPr>
        <w:tc>
          <w:tcPr>
            <w:tcW w:w="1104" w:type="dxa"/>
          </w:tcPr>
          <w:p w:rsidR="007F373F" w:rsidRDefault="00000000">
            <w:pPr>
              <w:spacing w:after="0"/>
              <w:jc w:val="left"/>
            </w:pPr>
            <w:r>
              <w:rPr>
                <w:sz w:val="19"/>
              </w:rPr>
              <w:t>FY22</w:t>
            </w:r>
          </w:p>
        </w:tc>
        <w:tc>
          <w:tcPr>
            <w:tcW w:w="1932" w:type="dxa"/>
          </w:tcPr>
          <w:p w:rsidR="007F373F" w:rsidRDefault="00000000">
            <w:pPr>
              <w:spacing w:after="0"/>
              <w:jc w:val="right"/>
            </w:pPr>
            <w:r>
              <w:rPr>
                <w:sz w:val="19"/>
              </w:rPr>
              <w:t>6,187</w:t>
            </w:r>
          </w:p>
        </w:tc>
        <w:tc>
          <w:tcPr>
            <w:tcW w:w="2208" w:type="dxa"/>
          </w:tcPr>
          <w:p w:rsidR="007F373F" w:rsidRDefault="00000000">
            <w:pPr>
              <w:spacing w:after="0"/>
              <w:jc w:val="right"/>
            </w:pPr>
            <w:r>
              <w:rPr>
                <w:sz w:val="19"/>
              </w:rPr>
              <w:t>+27.2%</w:t>
            </w:r>
          </w:p>
        </w:tc>
        <w:tc>
          <w:tcPr>
            <w:tcW w:w="1656" w:type="dxa"/>
          </w:tcPr>
          <w:p w:rsidR="007F373F" w:rsidRDefault="00000000">
            <w:pPr>
              <w:spacing w:after="0"/>
              <w:jc w:val="right"/>
            </w:pPr>
            <w:r>
              <w:rPr>
                <w:sz w:val="19"/>
              </w:rPr>
              <w:t>516</w:t>
            </w:r>
          </w:p>
        </w:tc>
        <w:tc>
          <w:tcPr>
            <w:tcW w:w="2830" w:type="dxa"/>
          </w:tcPr>
          <w:p w:rsidR="007F373F" w:rsidRDefault="00000000">
            <w:pPr>
              <w:spacing w:after="0"/>
              <w:jc w:val="right"/>
            </w:pPr>
            <w:r>
              <w:rPr>
                <w:sz w:val="19"/>
              </w:rPr>
              <w:t>12.0</w:t>
            </w:r>
          </w:p>
        </w:tc>
      </w:tr>
      <w:tr w:rsidR="007F373F">
        <w:trPr>
          <w:jc w:val="center"/>
        </w:trPr>
        <w:tc>
          <w:tcPr>
            <w:tcW w:w="1104" w:type="dxa"/>
          </w:tcPr>
          <w:p w:rsidR="007F373F" w:rsidRDefault="00000000">
            <w:pPr>
              <w:spacing w:after="0"/>
              <w:jc w:val="left"/>
            </w:pPr>
            <w:r>
              <w:rPr>
                <w:sz w:val="19"/>
              </w:rPr>
              <w:t>FY23</w:t>
            </w:r>
          </w:p>
        </w:tc>
        <w:tc>
          <w:tcPr>
            <w:tcW w:w="1932" w:type="dxa"/>
          </w:tcPr>
          <w:p w:rsidR="007F373F" w:rsidRDefault="00000000">
            <w:pPr>
              <w:spacing w:after="0"/>
              <w:jc w:val="right"/>
            </w:pPr>
            <w:r>
              <w:rPr>
                <w:sz w:val="19"/>
              </w:rPr>
              <w:t>9,070</w:t>
            </w:r>
          </w:p>
        </w:tc>
        <w:tc>
          <w:tcPr>
            <w:tcW w:w="2208" w:type="dxa"/>
          </w:tcPr>
          <w:p w:rsidR="007F373F" w:rsidRDefault="00000000">
            <w:pPr>
              <w:spacing w:after="0"/>
              <w:jc w:val="right"/>
            </w:pPr>
            <w:r>
              <w:rPr>
                <w:sz w:val="19"/>
              </w:rPr>
              <w:t>+46.6%</w:t>
            </w:r>
          </w:p>
        </w:tc>
        <w:tc>
          <w:tcPr>
            <w:tcW w:w="1656" w:type="dxa"/>
          </w:tcPr>
          <w:p w:rsidR="007F373F" w:rsidRDefault="00000000">
            <w:pPr>
              <w:spacing w:after="0"/>
              <w:jc w:val="right"/>
            </w:pPr>
            <w:r>
              <w:rPr>
                <w:sz w:val="19"/>
              </w:rPr>
              <w:t>575</w:t>
            </w:r>
          </w:p>
        </w:tc>
        <w:tc>
          <w:tcPr>
            <w:tcW w:w="2830" w:type="dxa"/>
          </w:tcPr>
          <w:p w:rsidR="007F373F" w:rsidRDefault="00000000">
            <w:pPr>
              <w:spacing w:after="0"/>
              <w:jc w:val="right"/>
            </w:pPr>
            <w:r>
              <w:rPr>
                <w:sz w:val="19"/>
              </w:rPr>
              <w:t>15.8</w:t>
            </w:r>
          </w:p>
        </w:tc>
      </w:tr>
      <w:tr w:rsidR="007F373F">
        <w:trPr>
          <w:jc w:val="center"/>
        </w:trPr>
        <w:tc>
          <w:tcPr>
            <w:tcW w:w="1104" w:type="dxa"/>
          </w:tcPr>
          <w:p w:rsidR="007F373F" w:rsidRDefault="00000000">
            <w:pPr>
              <w:spacing w:after="0"/>
              <w:jc w:val="left"/>
            </w:pPr>
            <w:r>
              <w:rPr>
                <w:sz w:val="19"/>
              </w:rPr>
              <w:t>FY24</w:t>
            </w:r>
          </w:p>
        </w:tc>
        <w:tc>
          <w:tcPr>
            <w:tcW w:w="1932" w:type="dxa"/>
          </w:tcPr>
          <w:p w:rsidR="007F373F" w:rsidRDefault="00000000">
            <w:pPr>
              <w:spacing w:after="0"/>
              <w:jc w:val="right"/>
            </w:pPr>
            <w:r>
              <w:rPr>
                <w:sz w:val="19"/>
              </w:rPr>
              <w:t>12,192</w:t>
            </w:r>
          </w:p>
        </w:tc>
        <w:tc>
          <w:tcPr>
            <w:tcW w:w="2208" w:type="dxa"/>
          </w:tcPr>
          <w:p w:rsidR="007F373F" w:rsidRDefault="00000000">
            <w:pPr>
              <w:spacing w:after="0"/>
              <w:jc w:val="right"/>
            </w:pPr>
            <w:r>
              <w:rPr>
                <w:sz w:val="19"/>
              </w:rPr>
              <w:t>+34.4%</w:t>
            </w:r>
          </w:p>
        </w:tc>
        <w:tc>
          <w:tcPr>
            <w:tcW w:w="1656" w:type="dxa"/>
          </w:tcPr>
          <w:p w:rsidR="007F373F" w:rsidRDefault="00000000">
            <w:pPr>
              <w:spacing w:after="0"/>
              <w:jc w:val="right"/>
            </w:pPr>
            <w:r>
              <w:rPr>
                <w:sz w:val="19"/>
              </w:rPr>
              <w:t>621</w:t>
            </w:r>
          </w:p>
        </w:tc>
        <w:tc>
          <w:tcPr>
            <w:tcW w:w="2830" w:type="dxa"/>
          </w:tcPr>
          <w:p w:rsidR="007F373F" w:rsidRDefault="00000000">
            <w:pPr>
              <w:spacing w:after="0"/>
              <w:jc w:val="right"/>
            </w:pPr>
            <w:r>
              <w:rPr>
                <w:sz w:val="19"/>
              </w:rPr>
              <w:t>19.6</w:t>
            </w:r>
          </w:p>
        </w:tc>
      </w:tr>
      <w:tr w:rsidR="007F373F">
        <w:trPr>
          <w:jc w:val="center"/>
        </w:trPr>
        <w:tc>
          <w:tcPr>
            <w:tcW w:w="1104" w:type="dxa"/>
          </w:tcPr>
          <w:p w:rsidR="007F373F" w:rsidRDefault="00000000">
            <w:pPr>
              <w:spacing w:after="0"/>
              <w:jc w:val="left"/>
            </w:pPr>
            <w:r>
              <w:rPr>
                <w:sz w:val="19"/>
              </w:rPr>
              <w:t>FY25</w:t>
            </w:r>
          </w:p>
        </w:tc>
        <w:tc>
          <w:tcPr>
            <w:tcW w:w="1932" w:type="dxa"/>
          </w:tcPr>
          <w:p w:rsidR="007F373F" w:rsidRDefault="00000000">
            <w:pPr>
              <w:spacing w:after="0"/>
              <w:jc w:val="right"/>
            </w:pPr>
            <w:r>
              <w:rPr>
                <w:sz w:val="19"/>
              </w:rPr>
              <w:t>15,812</w:t>
            </w:r>
          </w:p>
        </w:tc>
        <w:tc>
          <w:tcPr>
            <w:tcW w:w="2208" w:type="dxa"/>
          </w:tcPr>
          <w:p w:rsidR="007F373F" w:rsidRDefault="00000000">
            <w:pPr>
              <w:spacing w:after="0"/>
              <w:jc w:val="right"/>
            </w:pPr>
            <w:r>
              <w:rPr>
                <w:sz w:val="19"/>
              </w:rPr>
              <w:t>+29.7%</w:t>
            </w:r>
          </w:p>
        </w:tc>
        <w:tc>
          <w:tcPr>
            <w:tcW w:w="1656" w:type="dxa"/>
          </w:tcPr>
          <w:p w:rsidR="007F373F" w:rsidRDefault="00000000">
            <w:pPr>
              <w:spacing w:after="0"/>
              <w:jc w:val="right"/>
            </w:pPr>
            <w:r>
              <w:rPr>
                <w:sz w:val="19"/>
              </w:rPr>
              <w:t>694</w:t>
            </w:r>
          </w:p>
        </w:tc>
        <w:tc>
          <w:tcPr>
            <w:tcW w:w="2830" w:type="dxa"/>
          </w:tcPr>
          <w:p w:rsidR="007F373F" w:rsidRDefault="00000000">
            <w:pPr>
              <w:spacing w:after="0"/>
              <w:jc w:val="right"/>
            </w:pPr>
            <w:r>
              <w:rPr>
                <w:sz w:val="19"/>
              </w:rPr>
              <w:t>22.8</w:t>
            </w:r>
          </w:p>
        </w:tc>
      </w:tr>
      <w:tr w:rsidR="007F373F">
        <w:trPr>
          <w:jc w:val="center"/>
        </w:trPr>
        <w:tc>
          <w:tcPr>
            <w:tcW w:w="1104" w:type="dxa"/>
          </w:tcPr>
          <w:p w:rsidR="007F373F" w:rsidRDefault="00000000">
            <w:pPr>
              <w:spacing w:after="0"/>
              <w:jc w:val="left"/>
            </w:pPr>
            <w:r>
              <w:rPr>
                <w:sz w:val="19"/>
              </w:rPr>
              <w:t>FY26</w:t>
            </w:r>
          </w:p>
        </w:tc>
        <w:tc>
          <w:tcPr>
            <w:tcW w:w="1932" w:type="dxa"/>
          </w:tcPr>
          <w:p w:rsidR="007F373F" w:rsidRDefault="00000000">
            <w:pPr>
              <w:spacing w:after="0"/>
              <w:jc w:val="right"/>
            </w:pPr>
            <w:r>
              <w:rPr>
                <w:sz w:val="19"/>
              </w:rPr>
              <w:t>20,153</w:t>
            </w:r>
          </w:p>
        </w:tc>
        <w:tc>
          <w:tcPr>
            <w:tcW w:w="2208" w:type="dxa"/>
          </w:tcPr>
          <w:p w:rsidR="007F373F" w:rsidRDefault="00000000">
            <w:pPr>
              <w:spacing w:after="0"/>
              <w:jc w:val="right"/>
            </w:pPr>
            <w:r>
              <w:rPr>
                <w:sz w:val="19"/>
              </w:rPr>
              <w:t>+27.5%</w:t>
            </w:r>
          </w:p>
        </w:tc>
        <w:tc>
          <w:tcPr>
            <w:tcW w:w="1656" w:type="dxa"/>
          </w:tcPr>
          <w:p w:rsidR="007F373F" w:rsidRDefault="00000000">
            <w:pPr>
              <w:spacing w:after="0"/>
              <w:jc w:val="right"/>
            </w:pPr>
            <w:r>
              <w:rPr>
                <w:sz w:val="19"/>
              </w:rPr>
              <w:t>757</w:t>
            </w:r>
          </w:p>
        </w:tc>
        <w:tc>
          <w:tcPr>
            <w:tcW w:w="2830" w:type="dxa"/>
          </w:tcPr>
          <w:p w:rsidR="007F373F" w:rsidRDefault="00000000">
            <w:pPr>
              <w:spacing w:after="0"/>
              <w:jc w:val="right"/>
            </w:pPr>
            <w:r>
              <w:rPr>
                <w:sz w:val="19"/>
              </w:rPr>
              <w:t>26.6</w:t>
            </w:r>
          </w:p>
        </w:tc>
      </w:tr>
    </w:tbl>
    <w:p w:rsidR="007F373F" w:rsidRDefault="00000000">
      <w:pPr>
        <w:spacing w:before="40" w:after="80"/>
      </w:pPr>
      <w:r>
        <w:rPr>
          <w:i/>
          <w:sz w:val="18"/>
        </w:rPr>
        <w:t>Source: AUM and branch counts from the annual reports’ KPI pages; growth and per-branch figures derived.</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037"/>
        <w:gridCol w:w="1794"/>
        <w:gridCol w:w="3037"/>
        <w:gridCol w:w="1863"/>
      </w:tblGrid>
      <w:tr w:rsidR="007F373F">
        <w:trPr>
          <w:jc w:val="center"/>
        </w:trPr>
        <w:tc>
          <w:tcPr>
            <w:tcW w:w="3037" w:type="dxa"/>
          </w:tcPr>
          <w:p w:rsidR="007F373F" w:rsidRDefault="00000000">
            <w:pPr>
              <w:spacing w:after="0"/>
              <w:jc w:val="left"/>
            </w:pPr>
            <w:r>
              <w:rPr>
                <w:b/>
                <w:sz w:val="19"/>
              </w:rPr>
              <w:t>Growth measure (derived)</w:t>
            </w:r>
          </w:p>
        </w:tc>
        <w:tc>
          <w:tcPr>
            <w:tcW w:w="1794" w:type="dxa"/>
          </w:tcPr>
          <w:p w:rsidR="007F373F" w:rsidRDefault="00000000">
            <w:pPr>
              <w:spacing w:after="0"/>
              <w:jc w:val="left"/>
            </w:pPr>
            <w:r>
              <w:rPr>
                <w:b/>
                <w:sz w:val="19"/>
              </w:rPr>
              <w:t>Value</w:t>
            </w:r>
          </w:p>
        </w:tc>
        <w:tc>
          <w:tcPr>
            <w:tcW w:w="3037" w:type="dxa"/>
          </w:tcPr>
          <w:p w:rsidR="007F373F" w:rsidRDefault="00000000">
            <w:pPr>
              <w:spacing w:after="0"/>
              <w:jc w:val="left"/>
            </w:pPr>
            <w:r>
              <w:rPr>
                <w:b/>
                <w:sz w:val="19"/>
              </w:rPr>
              <w:t>Growth measure (derived)</w:t>
            </w:r>
          </w:p>
        </w:tc>
        <w:tc>
          <w:tcPr>
            <w:tcW w:w="1863" w:type="dxa"/>
          </w:tcPr>
          <w:p w:rsidR="007F373F" w:rsidRDefault="00000000">
            <w:pPr>
              <w:spacing w:after="0"/>
              <w:jc w:val="left"/>
            </w:pPr>
            <w:r>
              <w:rPr>
                <w:b/>
                <w:sz w:val="19"/>
              </w:rPr>
              <w:t>Value</w:t>
            </w:r>
          </w:p>
        </w:tc>
      </w:tr>
      <w:tr w:rsidR="007F373F">
        <w:trPr>
          <w:jc w:val="center"/>
        </w:trPr>
        <w:tc>
          <w:tcPr>
            <w:tcW w:w="3037" w:type="dxa"/>
          </w:tcPr>
          <w:p w:rsidR="007F373F" w:rsidRDefault="00000000">
            <w:pPr>
              <w:spacing w:after="0"/>
              <w:jc w:val="left"/>
            </w:pPr>
            <w:r>
              <w:rPr>
                <w:sz w:val="19"/>
              </w:rPr>
              <w:t>AUM CAGR FY19–FY26 (7 yrs)</w:t>
            </w:r>
          </w:p>
        </w:tc>
        <w:tc>
          <w:tcPr>
            <w:tcW w:w="1794" w:type="dxa"/>
          </w:tcPr>
          <w:p w:rsidR="007F373F" w:rsidRDefault="00000000">
            <w:pPr>
              <w:spacing w:after="0"/>
              <w:jc w:val="right"/>
            </w:pPr>
            <w:r>
              <w:rPr>
                <w:sz w:val="19"/>
              </w:rPr>
              <w:t>38.9%</w:t>
            </w:r>
          </w:p>
        </w:tc>
        <w:tc>
          <w:tcPr>
            <w:tcW w:w="3037" w:type="dxa"/>
          </w:tcPr>
          <w:p w:rsidR="007F373F" w:rsidRDefault="00000000">
            <w:pPr>
              <w:spacing w:after="0"/>
              <w:jc w:val="left"/>
            </w:pPr>
            <w:r>
              <w:rPr>
                <w:sz w:val="19"/>
              </w:rPr>
              <w:t>AUM CAGR FY22–FY26 (4 yrs)</w:t>
            </w:r>
          </w:p>
        </w:tc>
        <w:tc>
          <w:tcPr>
            <w:tcW w:w="1863" w:type="dxa"/>
          </w:tcPr>
          <w:p w:rsidR="007F373F" w:rsidRDefault="00000000">
            <w:pPr>
              <w:spacing w:after="0"/>
              <w:jc w:val="right"/>
            </w:pPr>
            <w:r>
              <w:rPr>
                <w:sz w:val="19"/>
              </w:rPr>
              <w:t>34.3%</w:t>
            </w:r>
          </w:p>
        </w:tc>
      </w:tr>
      <w:tr w:rsidR="007F373F">
        <w:trPr>
          <w:jc w:val="center"/>
        </w:trPr>
        <w:tc>
          <w:tcPr>
            <w:tcW w:w="3037" w:type="dxa"/>
          </w:tcPr>
          <w:p w:rsidR="007F373F" w:rsidRDefault="00000000">
            <w:pPr>
              <w:spacing w:after="0"/>
              <w:jc w:val="left"/>
            </w:pPr>
            <w:r>
              <w:rPr>
                <w:sz w:val="19"/>
              </w:rPr>
              <w:t>Net advances CAGR FY23–FY26 (3 yrs)</w:t>
            </w:r>
          </w:p>
        </w:tc>
        <w:tc>
          <w:tcPr>
            <w:tcW w:w="1794" w:type="dxa"/>
          </w:tcPr>
          <w:p w:rsidR="007F373F" w:rsidRDefault="00000000">
            <w:pPr>
              <w:spacing w:after="0"/>
              <w:jc w:val="right"/>
            </w:pPr>
            <w:r>
              <w:rPr>
                <w:sz w:val="19"/>
              </w:rPr>
              <w:t>21.4%</w:t>
            </w:r>
          </w:p>
        </w:tc>
        <w:tc>
          <w:tcPr>
            <w:tcW w:w="3037" w:type="dxa"/>
          </w:tcPr>
          <w:p w:rsidR="007F373F" w:rsidRDefault="00000000">
            <w:pPr>
              <w:spacing w:after="0"/>
              <w:jc w:val="left"/>
            </w:pPr>
            <w:r>
              <w:rPr>
                <w:sz w:val="19"/>
              </w:rPr>
              <w:t>Total disbursements FY24 → FY26</w:t>
            </w:r>
          </w:p>
        </w:tc>
        <w:tc>
          <w:tcPr>
            <w:tcW w:w="1863" w:type="dxa"/>
          </w:tcPr>
          <w:p w:rsidR="007F373F" w:rsidRDefault="00000000">
            <w:pPr>
              <w:spacing w:after="0"/>
              <w:jc w:val="left"/>
            </w:pPr>
            <w:r>
              <w:rPr>
                <w:sz w:val="19"/>
              </w:rPr>
              <w:t>₹13,578 cr → ₹31,410 cr (52% CAGR)</w:t>
            </w:r>
          </w:p>
        </w:tc>
      </w:tr>
      <w:tr w:rsidR="007F373F">
        <w:trPr>
          <w:jc w:val="center"/>
        </w:trPr>
        <w:tc>
          <w:tcPr>
            <w:tcW w:w="3037" w:type="dxa"/>
          </w:tcPr>
          <w:p w:rsidR="007F373F" w:rsidRDefault="00000000">
            <w:pPr>
              <w:spacing w:after="0"/>
              <w:jc w:val="left"/>
            </w:pPr>
            <w:r>
              <w:rPr>
                <w:sz w:val="19"/>
              </w:rPr>
              <w:t>Gold disbursement CAGR FY22–FY26</w:t>
            </w:r>
          </w:p>
        </w:tc>
        <w:tc>
          <w:tcPr>
            <w:tcW w:w="1794" w:type="dxa"/>
          </w:tcPr>
          <w:p w:rsidR="007F373F" w:rsidRDefault="00000000">
            <w:pPr>
              <w:spacing w:after="0"/>
              <w:jc w:val="right"/>
            </w:pPr>
            <w:r>
              <w:rPr>
                <w:sz w:val="19"/>
              </w:rPr>
              <w:t>51%</w:t>
            </w:r>
          </w:p>
        </w:tc>
        <w:tc>
          <w:tcPr>
            <w:tcW w:w="3037" w:type="dxa"/>
          </w:tcPr>
          <w:p w:rsidR="007F373F" w:rsidRDefault="00000000">
            <w:pPr>
              <w:spacing w:after="0"/>
              <w:jc w:val="left"/>
            </w:pPr>
            <w:r>
              <w:rPr>
                <w:sz w:val="19"/>
              </w:rPr>
              <w:t>Mortgage AUM FY24 → FY26</w:t>
            </w:r>
          </w:p>
        </w:tc>
        <w:tc>
          <w:tcPr>
            <w:tcW w:w="1863" w:type="dxa"/>
          </w:tcPr>
          <w:p w:rsidR="007F373F" w:rsidRDefault="00000000">
            <w:pPr>
              <w:spacing w:after="0"/>
              <w:jc w:val="left"/>
            </w:pPr>
            <w:r>
              <w:rPr>
                <w:sz w:val="19"/>
              </w:rPr>
              <w:t>₹6,218 cr → ₹9,362 cr (22.7% CAGR)</w:t>
            </w:r>
          </w:p>
        </w:tc>
      </w:tr>
    </w:tbl>
    <w:p w:rsidR="007F373F" w:rsidRDefault="007F373F">
      <w:pPr>
        <w:spacing w:after="40"/>
      </w:pPr>
    </w:p>
    <w:p w:rsidR="007F373F" w:rsidRDefault="00000000">
      <w:r>
        <w:t>Interpretation. AUM growth has been fast but uneven: a 32% jump in FY22 and 29% in FY24 bracket a slower FY25 (+30% headline, but with the unsecured book being run down) and a 27.5% FY26 in which the mix changed radically. AUM per branch has risen from ₹13.6 crore in FY19 to ₹26.6 crore in FY26 even as the network grew five-fold, which indicates that expansion has not diluted productivity. On-book net advances (₹14,319 crore) grew 23% in FY26, slightly below AUM, while gross loans rose 22.5%; the difference between AUM and on-book growth reflects co-lending. The FY26 disbursement figure of ₹31,410 crore (2.3x FY24) is inflated relative to AUM by the short tenor of gold loans – the same rupee of gold-loan capital turns over more than once a year – so AUM, not disbursements, is the better measure of scale.</w:t>
      </w:r>
    </w:p>
    <w:p w:rsidR="007F373F" w:rsidRDefault="00000000">
      <w:pPr>
        <w:pStyle w:val="Heading1"/>
        <w:pageBreakBefore/>
      </w:pPr>
      <w:r>
        <w:lastRenderedPageBreak/>
        <w:t>Five-Year Trend: Profitability</w:t>
      </w:r>
    </w:p>
    <w:p w:rsidR="007F373F" w:rsidRDefault="00000000">
      <w:pPr>
        <w:spacing w:after="0"/>
        <w:jc w:val="center"/>
      </w:pPr>
      <w:r>
        <w:rPr>
          <w:noProof/>
        </w:rPr>
        <w:drawing>
          <wp:inline distT="0" distB="0" distL="0" distR="0">
            <wp:extent cx="5852160" cy="22167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png"/>
                    <pic:cNvPicPr/>
                  </pic:nvPicPr>
                  <pic:blipFill>
                    <a:blip r:embed="rId16"/>
                    <a:stretch>
                      <a:fillRect/>
                    </a:stretch>
                  </pic:blipFill>
                  <pic:spPr>
                    <a:xfrm>
                      <a:off x="0" y="0"/>
                      <a:ext cx="5852160" cy="2216727"/>
                    </a:xfrm>
                    <a:prstGeom prst="rect">
                      <a:avLst/>
                    </a:prstGeom>
                  </pic:spPr>
                </pic:pic>
              </a:graphicData>
            </a:graphic>
          </wp:inline>
        </w:drawing>
      </w:r>
    </w:p>
    <w:p w:rsidR="007F373F" w:rsidRDefault="00000000">
      <w:pPr>
        <w:spacing w:after="80"/>
        <w:jc w:val="center"/>
      </w:pPr>
      <w:r>
        <w:rPr>
          <w:i/>
          <w:sz w:val="18"/>
        </w:rPr>
        <w:t>Figure 2 – Profit after tax FY19–FY26 (₹ crore). Sources: annual reports FY24, FY25, FY26 (KPI pages and Directors’ Reports).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175"/>
        <w:gridCol w:w="1242"/>
        <w:gridCol w:w="1242"/>
        <w:gridCol w:w="1242"/>
        <w:gridCol w:w="1242"/>
        <w:gridCol w:w="1587"/>
      </w:tblGrid>
      <w:tr w:rsidR="007F373F">
        <w:trPr>
          <w:jc w:val="center"/>
        </w:trPr>
        <w:tc>
          <w:tcPr>
            <w:tcW w:w="3175" w:type="dxa"/>
          </w:tcPr>
          <w:p w:rsidR="007F373F" w:rsidRDefault="00000000">
            <w:pPr>
              <w:spacing w:after="0"/>
              <w:jc w:val="left"/>
            </w:pPr>
            <w:r>
              <w:rPr>
                <w:b/>
                <w:sz w:val="19"/>
              </w:rPr>
              <w:t>₹ lakh</w:t>
            </w:r>
          </w:p>
        </w:tc>
        <w:tc>
          <w:tcPr>
            <w:tcW w:w="1242" w:type="dxa"/>
          </w:tcPr>
          <w:p w:rsidR="007F373F" w:rsidRDefault="00000000">
            <w:pPr>
              <w:spacing w:after="0"/>
              <w:jc w:val="left"/>
            </w:pPr>
            <w:r>
              <w:rPr>
                <w:b/>
                <w:sz w:val="19"/>
              </w:rPr>
              <w:t>FY23</w:t>
            </w:r>
          </w:p>
        </w:tc>
        <w:tc>
          <w:tcPr>
            <w:tcW w:w="1242" w:type="dxa"/>
          </w:tcPr>
          <w:p w:rsidR="007F373F" w:rsidRDefault="00000000">
            <w:pPr>
              <w:spacing w:after="0"/>
              <w:jc w:val="left"/>
            </w:pPr>
            <w:r>
              <w:rPr>
                <w:b/>
                <w:sz w:val="19"/>
              </w:rPr>
              <w:t>FY24</w:t>
            </w:r>
          </w:p>
        </w:tc>
        <w:tc>
          <w:tcPr>
            <w:tcW w:w="1242" w:type="dxa"/>
          </w:tcPr>
          <w:p w:rsidR="007F373F" w:rsidRDefault="00000000">
            <w:pPr>
              <w:spacing w:after="0"/>
              <w:jc w:val="left"/>
            </w:pPr>
            <w:r>
              <w:rPr>
                <w:b/>
                <w:sz w:val="19"/>
              </w:rPr>
              <w:t>FY25</w:t>
            </w:r>
          </w:p>
        </w:tc>
        <w:tc>
          <w:tcPr>
            <w:tcW w:w="1242" w:type="dxa"/>
          </w:tcPr>
          <w:p w:rsidR="007F373F" w:rsidRDefault="00000000">
            <w:pPr>
              <w:spacing w:after="0"/>
              <w:jc w:val="left"/>
            </w:pPr>
            <w:r>
              <w:rPr>
                <w:b/>
                <w:sz w:val="19"/>
              </w:rPr>
              <w:t>FY26</w:t>
            </w:r>
          </w:p>
        </w:tc>
        <w:tc>
          <w:tcPr>
            <w:tcW w:w="1587" w:type="dxa"/>
          </w:tcPr>
          <w:p w:rsidR="007F373F" w:rsidRDefault="00000000">
            <w:pPr>
              <w:spacing w:after="0"/>
              <w:jc w:val="left"/>
            </w:pPr>
            <w:r>
              <w:rPr>
                <w:b/>
                <w:sz w:val="19"/>
              </w:rPr>
              <w:t>CAGR FY23–26 (derived)</w:t>
            </w:r>
          </w:p>
        </w:tc>
      </w:tr>
      <w:tr w:rsidR="007F373F">
        <w:trPr>
          <w:jc w:val="center"/>
        </w:trPr>
        <w:tc>
          <w:tcPr>
            <w:tcW w:w="3175" w:type="dxa"/>
          </w:tcPr>
          <w:p w:rsidR="007F373F" w:rsidRDefault="00000000">
            <w:pPr>
              <w:spacing w:after="0"/>
              <w:jc w:val="left"/>
            </w:pPr>
            <w:r>
              <w:rPr>
                <w:sz w:val="19"/>
              </w:rPr>
              <w:t>Total revenue</w:t>
            </w:r>
          </w:p>
        </w:tc>
        <w:tc>
          <w:tcPr>
            <w:tcW w:w="1242" w:type="dxa"/>
          </w:tcPr>
          <w:p w:rsidR="007F373F" w:rsidRDefault="00000000">
            <w:pPr>
              <w:spacing w:after="0"/>
              <w:jc w:val="right"/>
            </w:pPr>
            <w:r>
              <w:rPr>
                <w:sz w:val="19"/>
              </w:rPr>
              <w:t>121,467</w:t>
            </w:r>
          </w:p>
        </w:tc>
        <w:tc>
          <w:tcPr>
            <w:tcW w:w="1242" w:type="dxa"/>
          </w:tcPr>
          <w:p w:rsidR="007F373F" w:rsidRDefault="00000000">
            <w:pPr>
              <w:spacing w:after="0"/>
              <w:jc w:val="right"/>
            </w:pPr>
            <w:r>
              <w:rPr>
                <w:sz w:val="19"/>
              </w:rPr>
              <w:t>162,300</w:t>
            </w:r>
          </w:p>
        </w:tc>
        <w:tc>
          <w:tcPr>
            <w:tcW w:w="1242" w:type="dxa"/>
          </w:tcPr>
          <w:p w:rsidR="007F373F" w:rsidRDefault="00000000">
            <w:pPr>
              <w:spacing w:after="0"/>
              <w:jc w:val="right"/>
            </w:pPr>
            <w:r>
              <w:rPr>
                <w:sz w:val="19"/>
              </w:rPr>
              <w:t>207,982</w:t>
            </w:r>
          </w:p>
        </w:tc>
        <w:tc>
          <w:tcPr>
            <w:tcW w:w="1242" w:type="dxa"/>
          </w:tcPr>
          <w:p w:rsidR="007F373F" w:rsidRDefault="00000000">
            <w:pPr>
              <w:spacing w:after="0"/>
              <w:jc w:val="right"/>
            </w:pPr>
            <w:r>
              <w:rPr>
                <w:sz w:val="19"/>
              </w:rPr>
              <w:t>222,661</w:t>
            </w:r>
          </w:p>
        </w:tc>
        <w:tc>
          <w:tcPr>
            <w:tcW w:w="1587" w:type="dxa"/>
          </w:tcPr>
          <w:p w:rsidR="007F373F" w:rsidRDefault="00000000">
            <w:pPr>
              <w:spacing w:after="0"/>
              <w:jc w:val="right"/>
            </w:pPr>
            <w:r>
              <w:rPr>
                <w:sz w:val="19"/>
              </w:rPr>
              <w:t>22.4%</w:t>
            </w:r>
          </w:p>
        </w:tc>
      </w:tr>
      <w:tr w:rsidR="007F373F">
        <w:trPr>
          <w:jc w:val="center"/>
        </w:trPr>
        <w:tc>
          <w:tcPr>
            <w:tcW w:w="3175" w:type="dxa"/>
          </w:tcPr>
          <w:p w:rsidR="007F373F" w:rsidRDefault="00000000">
            <w:pPr>
              <w:spacing w:after="0"/>
              <w:jc w:val="left"/>
            </w:pPr>
            <w:r>
              <w:rPr>
                <w:sz w:val="19"/>
              </w:rPr>
              <w:t>Net interest income</w:t>
            </w:r>
          </w:p>
        </w:tc>
        <w:tc>
          <w:tcPr>
            <w:tcW w:w="1242" w:type="dxa"/>
          </w:tcPr>
          <w:p w:rsidR="007F373F" w:rsidRDefault="00000000">
            <w:pPr>
              <w:spacing w:after="0"/>
              <w:jc w:val="right"/>
            </w:pPr>
            <w:r>
              <w:rPr>
                <w:sz w:val="19"/>
              </w:rPr>
              <w:t>63,801</w:t>
            </w:r>
          </w:p>
        </w:tc>
        <w:tc>
          <w:tcPr>
            <w:tcW w:w="1242" w:type="dxa"/>
          </w:tcPr>
          <w:p w:rsidR="007F373F" w:rsidRDefault="00000000">
            <w:pPr>
              <w:spacing w:after="0"/>
              <w:jc w:val="right"/>
            </w:pPr>
            <w:r>
              <w:rPr>
                <w:sz w:val="19"/>
              </w:rPr>
              <w:t>81,212</w:t>
            </w:r>
          </w:p>
        </w:tc>
        <w:tc>
          <w:tcPr>
            <w:tcW w:w="1242" w:type="dxa"/>
          </w:tcPr>
          <w:p w:rsidR="007F373F" w:rsidRDefault="00000000">
            <w:pPr>
              <w:spacing w:after="0"/>
              <w:jc w:val="right"/>
            </w:pPr>
            <w:r>
              <w:rPr>
                <w:sz w:val="19"/>
              </w:rPr>
              <w:t>107,080</w:t>
            </w:r>
          </w:p>
        </w:tc>
        <w:tc>
          <w:tcPr>
            <w:tcW w:w="1242" w:type="dxa"/>
          </w:tcPr>
          <w:p w:rsidR="007F373F" w:rsidRDefault="00000000">
            <w:pPr>
              <w:spacing w:after="0"/>
              <w:jc w:val="right"/>
            </w:pPr>
            <w:r>
              <w:rPr>
                <w:sz w:val="19"/>
              </w:rPr>
              <w:t>122,975</w:t>
            </w:r>
          </w:p>
        </w:tc>
        <w:tc>
          <w:tcPr>
            <w:tcW w:w="1587" w:type="dxa"/>
          </w:tcPr>
          <w:p w:rsidR="007F373F" w:rsidRDefault="00000000">
            <w:pPr>
              <w:spacing w:after="0"/>
              <w:jc w:val="right"/>
            </w:pPr>
            <w:r>
              <w:rPr>
                <w:sz w:val="19"/>
              </w:rPr>
              <w:t>24.5%</w:t>
            </w:r>
          </w:p>
        </w:tc>
      </w:tr>
      <w:tr w:rsidR="007F373F">
        <w:trPr>
          <w:jc w:val="center"/>
        </w:trPr>
        <w:tc>
          <w:tcPr>
            <w:tcW w:w="3175" w:type="dxa"/>
          </w:tcPr>
          <w:p w:rsidR="007F373F" w:rsidRDefault="00000000">
            <w:pPr>
              <w:spacing w:after="0"/>
              <w:jc w:val="left"/>
            </w:pPr>
            <w:r>
              <w:rPr>
                <w:sz w:val="19"/>
              </w:rPr>
              <w:t>Fee and other income</w:t>
            </w:r>
          </w:p>
        </w:tc>
        <w:tc>
          <w:tcPr>
            <w:tcW w:w="1242" w:type="dxa"/>
          </w:tcPr>
          <w:p w:rsidR="007F373F" w:rsidRDefault="00000000">
            <w:pPr>
              <w:spacing w:after="0"/>
              <w:jc w:val="right"/>
            </w:pPr>
            <w:r>
              <w:rPr>
                <w:sz w:val="19"/>
              </w:rPr>
              <w:t>10,451</w:t>
            </w:r>
          </w:p>
        </w:tc>
        <w:tc>
          <w:tcPr>
            <w:tcW w:w="1242" w:type="dxa"/>
          </w:tcPr>
          <w:p w:rsidR="007F373F" w:rsidRDefault="00000000">
            <w:pPr>
              <w:spacing w:after="0"/>
              <w:jc w:val="right"/>
            </w:pPr>
            <w:r>
              <w:rPr>
                <w:sz w:val="19"/>
              </w:rPr>
              <w:t>13,132</w:t>
            </w:r>
          </w:p>
        </w:tc>
        <w:tc>
          <w:tcPr>
            <w:tcW w:w="1242" w:type="dxa"/>
          </w:tcPr>
          <w:p w:rsidR="007F373F" w:rsidRDefault="00000000">
            <w:pPr>
              <w:spacing w:after="0"/>
              <w:jc w:val="right"/>
            </w:pPr>
            <w:r>
              <w:rPr>
                <w:sz w:val="19"/>
              </w:rPr>
              <w:t>15,524</w:t>
            </w:r>
          </w:p>
        </w:tc>
        <w:tc>
          <w:tcPr>
            <w:tcW w:w="1242" w:type="dxa"/>
          </w:tcPr>
          <w:p w:rsidR="007F373F" w:rsidRDefault="00000000">
            <w:pPr>
              <w:spacing w:after="0"/>
              <w:jc w:val="right"/>
            </w:pPr>
            <w:r>
              <w:rPr>
                <w:sz w:val="19"/>
              </w:rPr>
              <w:t>11,754</w:t>
            </w:r>
          </w:p>
        </w:tc>
        <w:tc>
          <w:tcPr>
            <w:tcW w:w="1587" w:type="dxa"/>
          </w:tcPr>
          <w:p w:rsidR="007F373F" w:rsidRDefault="00000000">
            <w:pPr>
              <w:spacing w:after="0"/>
              <w:jc w:val="right"/>
            </w:pPr>
            <w:r>
              <w:rPr>
                <w:sz w:val="19"/>
              </w:rPr>
              <w:t>4.0%</w:t>
            </w:r>
          </w:p>
        </w:tc>
      </w:tr>
      <w:tr w:rsidR="007F373F">
        <w:trPr>
          <w:jc w:val="center"/>
        </w:trPr>
        <w:tc>
          <w:tcPr>
            <w:tcW w:w="3175" w:type="dxa"/>
          </w:tcPr>
          <w:p w:rsidR="007F373F" w:rsidRDefault="00000000">
            <w:pPr>
              <w:spacing w:after="0"/>
              <w:jc w:val="left"/>
            </w:pPr>
            <w:r>
              <w:rPr>
                <w:sz w:val="19"/>
              </w:rPr>
              <w:t>Operating expenses and provisions</w:t>
            </w:r>
          </w:p>
        </w:tc>
        <w:tc>
          <w:tcPr>
            <w:tcW w:w="1242" w:type="dxa"/>
          </w:tcPr>
          <w:p w:rsidR="007F373F" w:rsidRDefault="00000000">
            <w:pPr>
              <w:spacing w:after="0"/>
              <w:jc w:val="right"/>
            </w:pPr>
            <w:r>
              <w:rPr>
                <w:sz w:val="19"/>
              </w:rPr>
              <w:t>48,413</w:t>
            </w:r>
          </w:p>
        </w:tc>
        <w:tc>
          <w:tcPr>
            <w:tcW w:w="1242" w:type="dxa"/>
          </w:tcPr>
          <w:p w:rsidR="007F373F" w:rsidRDefault="00000000">
            <w:pPr>
              <w:spacing w:after="0"/>
              <w:jc w:val="right"/>
            </w:pPr>
            <w:r>
              <w:rPr>
                <w:sz w:val="19"/>
              </w:rPr>
              <w:t>61,536</w:t>
            </w:r>
          </w:p>
        </w:tc>
        <w:tc>
          <w:tcPr>
            <w:tcW w:w="1242" w:type="dxa"/>
          </w:tcPr>
          <w:p w:rsidR="007F373F" w:rsidRDefault="00000000">
            <w:pPr>
              <w:spacing w:after="0"/>
              <w:jc w:val="right"/>
            </w:pPr>
            <w:r>
              <w:rPr>
                <w:sz w:val="19"/>
              </w:rPr>
              <w:t>92,229</w:t>
            </w:r>
          </w:p>
        </w:tc>
        <w:tc>
          <w:tcPr>
            <w:tcW w:w="1242" w:type="dxa"/>
          </w:tcPr>
          <w:p w:rsidR="007F373F" w:rsidRDefault="00000000">
            <w:pPr>
              <w:spacing w:after="0"/>
              <w:jc w:val="right"/>
            </w:pPr>
            <w:r>
              <w:rPr>
                <w:sz w:val="19"/>
              </w:rPr>
              <w:t>88,628</w:t>
            </w:r>
          </w:p>
        </w:tc>
        <w:tc>
          <w:tcPr>
            <w:tcW w:w="1587" w:type="dxa"/>
          </w:tcPr>
          <w:p w:rsidR="007F373F" w:rsidRDefault="00000000">
            <w:pPr>
              <w:spacing w:after="0"/>
              <w:jc w:val="right"/>
            </w:pPr>
            <w:r>
              <w:rPr>
                <w:sz w:val="19"/>
              </w:rPr>
              <w:t>22.3%</w:t>
            </w:r>
          </w:p>
        </w:tc>
      </w:tr>
      <w:tr w:rsidR="007F373F">
        <w:trPr>
          <w:jc w:val="center"/>
        </w:trPr>
        <w:tc>
          <w:tcPr>
            <w:tcW w:w="3175" w:type="dxa"/>
          </w:tcPr>
          <w:p w:rsidR="007F373F" w:rsidRDefault="00000000">
            <w:pPr>
              <w:spacing w:after="0"/>
              <w:jc w:val="left"/>
            </w:pPr>
            <w:r>
              <w:rPr>
                <w:sz w:val="19"/>
              </w:rPr>
              <w:t>Profit before tax</w:t>
            </w:r>
          </w:p>
        </w:tc>
        <w:tc>
          <w:tcPr>
            <w:tcW w:w="1242" w:type="dxa"/>
          </w:tcPr>
          <w:p w:rsidR="007F373F" w:rsidRDefault="00000000">
            <w:pPr>
              <w:spacing w:after="0"/>
              <w:jc w:val="right"/>
            </w:pPr>
            <w:r>
              <w:rPr>
                <w:sz w:val="19"/>
              </w:rPr>
              <w:t>24,302</w:t>
            </w:r>
          </w:p>
        </w:tc>
        <w:tc>
          <w:tcPr>
            <w:tcW w:w="1242" w:type="dxa"/>
          </w:tcPr>
          <w:p w:rsidR="007F373F" w:rsidRDefault="00000000">
            <w:pPr>
              <w:spacing w:after="0"/>
              <w:jc w:val="right"/>
            </w:pPr>
            <w:r>
              <w:rPr>
                <w:sz w:val="19"/>
              </w:rPr>
              <w:t>32,808</w:t>
            </w:r>
          </w:p>
        </w:tc>
        <w:tc>
          <w:tcPr>
            <w:tcW w:w="1242" w:type="dxa"/>
          </w:tcPr>
          <w:p w:rsidR="007F373F" w:rsidRDefault="00000000">
            <w:pPr>
              <w:spacing w:after="0"/>
              <w:jc w:val="right"/>
            </w:pPr>
            <w:r>
              <w:rPr>
                <w:sz w:val="19"/>
              </w:rPr>
              <w:t>30,375</w:t>
            </w:r>
          </w:p>
        </w:tc>
        <w:tc>
          <w:tcPr>
            <w:tcW w:w="1242" w:type="dxa"/>
          </w:tcPr>
          <w:p w:rsidR="007F373F" w:rsidRDefault="00000000">
            <w:pPr>
              <w:spacing w:after="0"/>
              <w:jc w:val="right"/>
            </w:pPr>
            <w:r>
              <w:rPr>
                <w:sz w:val="19"/>
              </w:rPr>
              <w:t>46,101</w:t>
            </w:r>
          </w:p>
        </w:tc>
        <w:tc>
          <w:tcPr>
            <w:tcW w:w="1587" w:type="dxa"/>
          </w:tcPr>
          <w:p w:rsidR="007F373F" w:rsidRDefault="00000000">
            <w:pPr>
              <w:spacing w:after="0"/>
              <w:jc w:val="right"/>
            </w:pPr>
            <w:r>
              <w:rPr>
                <w:sz w:val="19"/>
              </w:rPr>
              <w:t>23.8%</w:t>
            </w:r>
          </w:p>
        </w:tc>
      </w:tr>
      <w:tr w:rsidR="007F373F">
        <w:trPr>
          <w:jc w:val="center"/>
        </w:trPr>
        <w:tc>
          <w:tcPr>
            <w:tcW w:w="3175" w:type="dxa"/>
          </w:tcPr>
          <w:p w:rsidR="007F373F" w:rsidRDefault="00000000">
            <w:pPr>
              <w:spacing w:after="0"/>
              <w:jc w:val="left"/>
            </w:pPr>
            <w:r>
              <w:rPr>
                <w:sz w:val="19"/>
              </w:rPr>
              <w:t>Profit after tax</w:t>
            </w:r>
          </w:p>
        </w:tc>
        <w:tc>
          <w:tcPr>
            <w:tcW w:w="1242" w:type="dxa"/>
          </w:tcPr>
          <w:p w:rsidR="007F373F" w:rsidRDefault="00000000">
            <w:pPr>
              <w:spacing w:after="0"/>
              <w:jc w:val="right"/>
            </w:pPr>
            <w:r>
              <w:rPr>
                <w:sz w:val="19"/>
              </w:rPr>
              <w:t>18,013</w:t>
            </w:r>
          </w:p>
        </w:tc>
        <w:tc>
          <w:tcPr>
            <w:tcW w:w="1242" w:type="dxa"/>
          </w:tcPr>
          <w:p w:rsidR="007F373F" w:rsidRDefault="00000000">
            <w:pPr>
              <w:spacing w:after="0"/>
              <w:jc w:val="right"/>
            </w:pPr>
            <w:r>
              <w:rPr>
                <w:sz w:val="19"/>
              </w:rPr>
              <w:t>24,470</w:t>
            </w:r>
          </w:p>
        </w:tc>
        <w:tc>
          <w:tcPr>
            <w:tcW w:w="1242" w:type="dxa"/>
          </w:tcPr>
          <w:p w:rsidR="007F373F" w:rsidRDefault="00000000">
            <w:pPr>
              <w:spacing w:after="0"/>
              <w:jc w:val="right"/>
            </w:pPr>
            <w:r>
              <w:rPr>
                <w:sz w:val="19"/>
              </w:rPr>
              <w:t>22,518</w:t>
            </w:r>
          </w:p>
        </w:tc>
        <w:tc>
          <w:tcPr>
            <w:tcW w:w="1242" w:type="dxa"/>
          </w:tcPr>
          <w:p w:rsidR="007F373F" w:rsidRDefault="00000000">
            <w:pPr>
              <w:spacing w:after="0"/>
              <w:jc w:val="right"/>
            </w:pPr>
            <w:r>
              <w:rPr>
                <w:sz w:val="19"/>
              </w:rPr>
              <w:t>34,360</w:t>
            </w:r>
          </w:p>
        </w:tc>
        <w:tc>
          <w:tcPr>
            <w:tcW w:w="1587" w:type="dxa"/>
          </w:tcPr>
          <w:p w:rsidR="007F373F" w:rsidRDefault="00000000">
            <w:pPr>
              <w:spacing w:after="0"/>
              <w:jc w:val="right"/>
            </w:pPr>
            <w:r>
              <w:rPr>
                <w:sz w:val="19"/>
              </w:rPr>
              <w:t>24.0%</w:t>
            </w:r>
          </w:p>
        </w:tc>
      </w:tr>
      <w:tr w:rsidR="007F373F">
        <w:trPr>
          <w:jc w:val="center"/>
        </w:trPr>
        <w:tc>
          <w:tcPr>
            <w:tcW w:w="3175" w:type="dxa"/>
          </w:tcPr>
          <w:p w:rsidR="007F373F" w:rsidRDefault="00000000">
            <w:pPr>
              <w:spacing w:after="0"/>
              <w:jc w:val="left"/>
            </w:pPr>
            <w:r>
              <w:rPr>
                <w:sz w:val="19"/>
              </w:rPr>
              <w:t>PAT margin on total revenue (derived)</w:t>
            </w:r>
          </w:p>
        </w:tc>
        <w:tc>
          <w:tcPr>
            <w:tcW w:w="1242" w:type="dxa"/>
          </w:tcPr>
          <w:p w:rsidR="007F373F" w:rsidRDefault="00000000">
            <w:pPr>
              <w:spacing w:after="0"/>
              <w:jc w:val="right"/>
            </w:pPr>
            <w:r>
              <w:rPr>
                <w:sz w:val="19"/>
              </w:rPr>
              <w:t>14.8%</w:t>
            </w:r>
          </w:p>
        </w:tc>
        <w:tc>
          <w:tcPr>
            <w:tcW w:w="1242" w:type="dxa"/>
          </w:tcPr>
          <w:p w:rsidR="007F373F" w:rsidRDefault="00000000">
            <w:pPr>
              <w:spacing w:after="0"/>
              <w:jc w:val="right"/>
            </w:pPr>
            <w:r>
              <w:rPr>
                <w:sz w:val="19"/>
              </w:rPr>
              <w:t>15.1%</w:t>
            </w:r>
          </w:p>
        </w:tc>
        <w:tc>
          <w:tcPr>
            <w:tcW w:w="1242" w:type="dxa"/>
          </w:tcPr>
          <w:p w:rsidR="007F373F" w:rsidRDefault="00000000">
            <w:pPr>
              <w:spacing w:after="0"/>
              <w:jc w:val="right"/>
            </w:pPr>
            <w:r>
              <w:rPr>
                <w:sz w:val="19"/>
              </w:rPr>
              <w:t>10.8%</w:t>
            </w:r>
          </w:p>
        </w:tc>
        <w:tc>
          <w:tcPr>
            <w:tcW w:w="1242" w:type="dxa"/>
          </w:tcPr>
          <w:p w:rsidR="007F373F" w:rsidRDefault="00000000">
            <w:pPr>
              <w:spacing w:after="0"/>
              <w:jc w:val="right"/>
            </w:pPr>
            <w:r>
              <w:rPr>
                <w:sz w:val="19"/>
              </w:rPr>
              <w:t>15.4%</w:t>
            </w:r>
          </w:p>
        </w:tc>
        <w:tc>
          <w:tcPr>
            <w:tcW w:w="1587" w:type="dxa"/>
          </w:tcPr>
          <w:p w:rsidR="007F373F" w:rsidRDefault="007F373F">
            <w:pPr>
              <w:spacing w:after="0"/>
              <w:jc w:val="left"/>
            </w:pPr>
          </w:p>
        </w:tc>
      </w:tr>
      <w:tr w:rsidR="007F373F">
        <w:trPr>
          <w:jc w:val="center"/>
        </w:trPr>
        <w:tc>
          <w:tcPr>
            <w:tcW w:w="3175" w:type="dxa"/>
          </w:tcPr>
          <w:p w:rsidR="007F373F" w:rsidRDefault="00000000">
            <w:pPr>
              <w:spacing w:after="0"/>
              <w:jc w:val="left"/>
            </w:pPr>
            <w:r>
              <w:rPr>
                <w:sz w:val="19"/>
              </w:rPr>
              <w:t>Effective tax rate (derived)</w:t>
            </w:r>
          </w:p>
        </w:tc>
        <w:tc>
          <w:tcPr>
            <w:tcW w:w="1242" w:type="dxa"/>
          </w:tcPr>
          <w:p w:rsidR="007F373F" w:rsidRDefault="00000000">
            <w:pPr>
              <w:spacing w:after="0"/>
              <w:jc w:val="right"/>
            </w:pPr>
            <w:r>
              <w:rPr>
                <w:sz w:val="19"/>
              </w:rPr>
              <w:t>25.9%</w:t>
            </w:r>
          </w:p>
        </w:tc>
        <w:tc>
          <w:tcPr>
            <w:tcW w:w="1242" w:type="dxa"/>
          </w:tcPr>
          <w:p w:rsidR="007F373F" w:rsidRDefault="00000000">
            <w:pPr>
              <w:spacing w:after="0"/>
              <w:jc w:val="right"/>
            </w:pPr>
            <w:r>
              <w:rPr>
                <w:sz w:val="19"/>
              </w:rPr>
              <w:t>25.4%</w:t>
            </w:r>
          </w:p>
        </w:tc>
        <w:tc>
          <w:tcPr>
            <w:tcW w:w="1242" w:type="dxa"/>
          </w:tcPr>
          <w:p w:rsidR="007F373F" w:rsidRDefault="00000000">
            <w:pPr>
              <w:spacing w:after="0"/>
              <w:jc w:val="right"/>
            </w:pPr>
            <w:r>
              <w:rPr>
                <w:sz w:val="19"/>
              </w:rPr>
              <w:t>25.9%</w:t>
            </w:r>
          </w:p>
        </w:tc>
        <w:tc>
          <w:tcPr>
            <w:tcW w:w="1242" w:type="dxa"/>
          </w:tcPr>
          <w:p w:rsidR="007F373F" w:rsidRDefault="00000000">
            <w:pPr>
              <w:spacing w:after="0"/>
              <w:jc w:val="right"/>
            </w:pPr>
            <w:r>
              <w:rPr>
                <w:sz w:val="19"/>
              </w:rPr>
              <w:t>25.5%</w:t>
            </w:r>
          </w:p>
        </w:tc>
        <w:tc>
          <w:tcPr>
            <w:tcW w:w="1587" w:type="dxa"/>
          </w:tcPr>
          <w:p w:rsidR="007F373F" w:rsidRDefault="007F373F">
            <w:pPr>
              <w:spacing w:after="0"/>
              <w:jc w:val="left"/>
            </w:pPr>
          </w:p>
        </w:tc>
      </w:tr>
      <w:tr w:rsidR="007F373F">
        <w:trPr>
          <w:jc w:val="center"/>
        </w:trPr>
        <w:tc>
          <w:tcPr>
            <w:tcW w:w="3175" w:type="dxa"/>
          </w:tcPr>
          <w:p w:rsidR="007F373F" w:rsidRDefault="00000000">
            <w:pPr>
              <w:spacing w:after="0"/>
              <w:jc w:val="left"/>
            </w:pPr>
            <w:r>
              <w:rPr>
                <w:sz w:val="19"/>
              </w:rPr>
              <w:t>Basic EPS (₹)</w:t>
            </w:r>
          </w:p>
        </w:tc>
        <w:tc>
          <w:tcPr>
            <w:tcW w:w="1242" w:type="dxa"/>
          </w:tcPr>
          <w:p w:rsidR="007F373F" w:rsidRDefault="00000000">
            <w:pPr>
              <w:spacing w:after="0"/>
              <w:jc w:val="right"/>
            </w:pPr>
            <w:r>
              <w:rPr>
                <w:sz w:val="19"/>
              </w:rPr>
              <w:t>5.60</w:t>
            </w:r>
          </w:p>
        </w:tc>
        <w:tc>
          <w:tcPr>
            <w:tcW w:w="1242" w:type="dxa"/>
          </w:tcPr>
          <w:p w:rsidR="007F373F" w:rsidRDefault="00000000">
            <w:pPr>
              <w:spacing w:after="0"/>
              <w:jc w:val="right"/>
            </w:pPr>
            <w:r>
              <w:rPr>
                <w:sz w:val="19"/>
              </w:rPr>
              <w:t>7.22</w:t>
            </w:r>
          </w:p>
        </w:tc>
        <w:tc>
          <w:tcPr>
            <w:tcW w:w="1242" w:type="dxa"/>
          </w:tcPr>
          <w:p w:rsidR="007F373F" w:rsidRDefault="00000000">
            <w:pPr>
              <w:spacing w:after="0"/>
              <w:jc w:val="right"/>
            </w:pPr>
            <w:r>
              <w:rPr>
                <w:sz w:val="19"/>
              </w:rPr>
              <w:t>6.06</w:t>
            </w:r>
          </w:p>
        </w:tc>
        <w:tc>
          <w:tcPr>
            <w:tcW w:w="1242" w:type="dxa"/>
          </w:tcPr>
          <w:p w:rsidR="007F373F" w:rsidRDefault="00000000">
            <w:pPr>
              <w:spacing w:after="0"/>
              <w:jc w:val="right"/>
            </w:pPr>
            <w:r>
              <w:rPr>
                <w:sz w:val="19"/>
              </w:rPr>
              <w:t>9.20</w:t>
            </w:r>
          </w:p>
        </w:tc>
        <w:tc>
          <w:tcPr>
            <w:tcW w:w="1587" w:type="dxa"/>
          </w:tcPr>
          <w:p w:rsidR="007F373F" w:rsidRDefault="00000000">
            <w:pPr>
              <w:spacing w:after="0"/>
              <w:jc w:val="right"/>
            </w:pPr>
            <w:r>
              <w:rPr>
                <w:sz w:val="19"/>
              </w:rPr>
              <w:t>18.0%</w:t>
            </w:r>
          </w:p>
        </w:tc>
      </w:tr>
    </w:tbl>
    <w:p w:rsidR="007F373F" w:rsidRDefault="00000000">
      <w:pPr>
        <w:spacing w:before="40" w:after="80"/>
      </w:pPr>
      <w:r>
        <w:rPr>
          <w:i/>
          <w:sz w:val="18"/>
        </w:rPr>
        <w:t>Source: Directors’ Reports FY24 (FY23 and FY24 columns), FY25 and FY26 – Financial Highlights.</w:t>
      </w:r>
    </w:p>
    <w:p w:rsidR="007F373F" w:rsidRDefault="00000000">
      <w:r>
        <w:t>Eight-year view. PAT grew from ₹36 crore in FY19 to ₹343.6 crore in FY26 – a 38.0% CAGR (derived) – with two interruptions: FY20 (₹39 crore, pandemic-year provisioning) and FY25 (₹225.2 crore, −8%, the ST LAP reset). Over FY22–FY26 the CAGR was 35.0%, broadly matching AUM growth of 34.3% – evidence that growth has, over the cycle, been converted into profit at a constant rate rather than bought with margin.</w:t>
      </w:r>
    </w:p>
    <w:p w:rsidR="007F373F" w:rsidRDefault="00000000">
      <w:r>
        <w:t>Composition of FY26 profit growth (derived from the Directors’ Report table). NII rose ₹159 crore and fee/other income fell ₹38 crore, so total operating income rose ₹121 crore (+9.9%); operating expenses and provisions fell ₹36 crore because the ₹101 crore drop in impairment more than offset ₹65 crore of higher operating costs; PBT therefore rose ₹157 crore (+52%) and, with a stable 25.5% tax rate, PAT rose ₹118 crore (+53%). Put differently, roughly two-thirds of the FY26 profit improvement came from lower credit cost and one-third from NII growth net of cost growth – an important input to the hypothesis test in Chapter 8. EPS growth (+52%) matched PAT growth because the share count rose only 0.4% through ESOPs.</w:t>
      </w:r>
    </w:p>
    <w:p w:rsidR="007F373F" w:rsidRDefault="00000000">
      <w:pPr>
        <w:pStyle w:val="Heading1"/>
        <w:pageBreakBefore/>
      </w:pPr>
      <w:r>
        <w:lastRenderedPageBreak/>
        <w:t>Five-Year Trend: Yield, Cost of Borrowings and Spread</w:t>
      </w:r>
    </w:p>
    <w:p w:rsidR="007F373F" w:rsidRDefault="00000000">
      <w:pPr>
        <w:spacing w:after="0"/>
        <w:jc w:val="center"/>
      </w:pPr>
      <w:r>
        <w:rPr>
          <w:noProof/>
        </w:rPr>
        <w:drawing>
          <wp:inline distT="0" distB="0" distL="0" distR="0">
            <wp:extent cx="5852160" cy="22167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gins.png"/>
                    <pic:cNvPicPr/>
                  </pic:nvPicPr>
                  <pic:blipFill>
                    <a:blip r:embed="rId17"/>
                    <a:stretch>
                      <a:fillRect/>
                    </a:stretch>
                  </pic:blipFill>
                  <pic:spPr>
                    <a:xfrm>
                      <a:off x="0" y="0"/>
                      <a:ext cx="5852160" cy="2216727"/>
                    </a:xfrm>
                    <a:prstGeom prst="rect">
                      <a:avLst/>
                    </a:prstGeom>
                  </pic:spPr>
                </pic:pic>
              </a:graphicData>
            </a:graphic>
          </wp:inline>
        </w:drawing>
      </w:r>
    </w:p>
    <w:p w:rsidR="007F373F" w:rsidRDefault="00000000">
      <w:pPr>
        <w:spacing w:after="80"/>
        <w:jc w:val="center"/>
      </w:pPr>
      <w:r>
        <w:rPr>
          <w:i/>
          <w:sz w:val="18"/>
        </w:rPr>
        <w:t>Figure 5 – Yield on advances, cost of borrowings and spread, FY22–FY26, on the FY26 report basis. Source: Fedfina Annual Report 2025-26, five-year KPI charts.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828"/>
        <w:gridCol w:w="1311"/>
        <w:gridCol w:w="1311"/>
        <w:gridCol w:w="1311"/>
        <w:gridCol w:w="1311"/>
        <w:gridCol w:w="1311"/>
        <w:gridCol w:w="1311"/>
        <w:gridCol w:w="1104"/>
      </w:tblGrid>
      <w:tr w:rsidR="007F373F">
        <w:trPr>
          <w:jc w:val="center"/>
        </w:trPr>
        <w:tc>
          <w:tcPr>
            <w:tcW w:w="828" w:type="dxa"/>
          </w:tcPr>
          <w:p w:rsidR="007F373F" w:rsidRDefault="00000000">
            <w:pPr>
              <w:spacing w:after="0"/>
              <w:jc w:val="left"/>
            </w:pPr>
            <w:r>
              <w:rPr>
                <w:b/>
                <w:sz w:val="19"/>
              </w:rPr>
              <w:t>Year</w:t>
            </w:r>
          </w:p>
        </w:tc>
        <w:tc>
          <w:tcPr>
            <w:tcW w:w="1311" w:type="dxa"/>
          </w:tcPr>
          <w:p w:rsidR="007F373F" w:rsidRDefault="00000000">
            <w:pPr>
              <w:spacing w:after="0"/>
              <w:jc w:val="left"/>
            </w:pPr>
            <w:r>
              <w:rPr>
                <w:b/>
                <w:sz w:val="19"/>
              </w:rPr>
              <w:t>Yield % (FY26 basis)</w:t>
            </w:r>
          </w:p>
        </w:tc>
        <w:tc>
          <w:tcPr>
            <w:tcW w:w="1311" w:type="dxa"/>
          </w:tcPr>
          <w:p w:rsidR="007F373F" w:rsidRDefault="00000000">
            <w:pPr>
              <w:spacing w:after="0"/>
              <w:jc w:val="left"/>
            </w:pPr>
            <w:r>
              <w:rPr>
                <w:b/>
                <w:sz w:val="19"/>
              </w:rPr>
              <w:t>CoB % (FY26 basis)</w:t>
            </w:r>
          </w:p>
        </w:tc>
        <w:tc>
          <w:tcPr>
            <w:tcW w:w="1311" w:type="dxa"/>
          </w:tcPr>
          <w:p w:rsidR="007F373F" w:rsidRDefault="00000000">
            <w:pPr>
              <w:spacing w:after="0"/>
              <w:jc w:val="left"/>
            </w:pPr>
            <w:r>
              <w:rPr>
                <w:b/>
                <w:sz w:val="19"/>
              </w:rPr>
              <w:t>Spread % (FY26 basis)</w:t>
            </w:r>
          </w:p>
        </w:tc>
        <w:tc>
          <w:tcPr>
            <w:tcW w:w="1311" w:type="dxa"/>
          </w:tcPr>
          <w:p w:rsidR="007F373F" w:rsidRDefault="00000000">
            <w:pPr>
              <w:spacing w:after="0"/>
              <w:jc w:val="left"/>
            </w:pPr>
            <w:r>
              <w:rPr>
                <w:b/>
                <w:sz w:val="19"/>
              </w:rPr>
              <w:t>Yield % (earlier basis)</w:t>
            </w:r>
          </w:p>
        </w:tc>
        <w:tc>
          <w:tcPr>
            <w:tcW w:w="1311" w:type="dxa"/>
          </w:tcPr>
          <w:p w:rsidR="007F373F" w:rsidRDefault="00000000">
            <w:pPr>
              <w:spacing w:after="0"/>
              <w:jc w:val="left"/>
            </w:pPr>
            <w:r>
              <w:rPr>
                <w:b/>
                <w:sz w:val="19"/>
              </w:rPr>
              <w:t>CoB % (earlier basis)</w:t>
            </w:r>
          </w:p>
        </w:tc>
        <w:tc>
          <w:tcPr>
            <w:tcW w:w="1311" w:type="dxa"/>
          </w:tcPr>
          <w:p w:rsidR="007F373F" w:rsidRDefault="00000000">
            <w:pPr>
              <w:spacing w:after="0"/>
              <w:jc w:val="left"/>
            </w:pPr>
            <w:r>
              <w:rPr>
                <w:b/>
                <w:sz w:val="19"/>
              </w:rPr>
              <w:t>Spread % (earlier basis)</w:t>
            </w:r>
          </w:p>
        </w:tc>
        <w:tc>
          <w:tcPr>
            <w:tcW w:w="1104" w:type="dxa"/>
          </w:tcPr>
          <w:p w:rsidR="007F373F" w:rsidRDefault="00000000">
            <w:pPr>
              <w:spacing w:after="0"/>
              <w:jc w:val="left"/>
            </w:pPr>
            <w:r>
              <w:rPr>
                <w:b/>
                <w:sz w:val="19"/>
              </w:rPr>
              <w:t>Cost-to-income %</w:t>
            </w:r>
          </w:p>
        </w:tc>
      </w:tr>
      <w:tr w:rsidR="007F373F">
        <w:trPr>
          <w:jc w:val="center"/>
        </w:trPr>
        <w:tc>
          <w:tcPr>
            <w:tcW w:w="828" w:type="dxa"/>
          </w:tcPr>
          <w:p w:rsidR="007F373F" w:rsidRDefault="00000000">
            <w:pPr>
              <w:spacing w:after="0"/>
              <w:jc w:val="left"/>
            </w:pPr>
            <w:r>
              <w:rPr>
                <w:sz w:val="19"/>
              </w:rPr>
              <w:t>FY22</w:t>
            </w:r>
          </w:p>
        </w:tc>
        <w:tc>
          <w:tcPr>
            <w:tcW w:w="1311" w:type="dxa"/>
          </w:tcPr>
          <w:p w:rsidR="007F373F" w:rsidRDefault="00000000">
            <w:pPr>
              <w:spacing w:after="0"/>
              <w:jc w:val="right"/>
            </w:pPr>
            <w:r>
              <w:rPr>
                <w:sz w:val="19"/>
              </w:rPr>
              <w:t>16.0</w:t>
            </w:r>
          </w:p>
        </w:tc>
        <w:tc>
          <w:tcPr>
            <w:tcW w:w="1311" w:type="dxa"/>
          </w:tcPr>
          <w:p w:rsidR="007F373F" w:rsidRDefault="00000000">
            <w:pPr>
              <w:spacing w:after="0"/>
              <w:jc w:val="right"/>
            </w:pPr>
            <w:r>
              <w:rPr>
                <w:sz w:val="19"/>
              </w:rPr>
              <w:t>7.8</w:t>
            </w:r>
          </w:p>
        </w:tc>
        <w:tc>
          <w:tcPr>
            <w:tcW w:w="1311" w:type="dxa"/>
          </w:tcPr>
          <w:p w:rsidR="007F373F" w:rsidRDefault="00000000">
            <w:pPr>
              <w:spacing w:after="0"/>
              <w:jc w:val="right"/>
            </w:pPr>
            <w:r>
              <w:rPr>
                <w:sz w:val="19"/>
              </w:rPr>
              <w:t>8.2</w:t>
            </w:r>
          </w:p>
        </w:tc>
        <w:tc>
          <w:tcPr>
            <w:tcW w:w="1311" w:type="dxa"/>
          </w:tcPr>
          <w:p w:rsidR="007F373F" w:rsidRDefault="00000000">
            <w:pPr>
              <w:spacing w:after="0"/>
              <w:jc w:val="right"/>
            </w:pPr>
            <w:r>
              <w:rPr>
                <w:sz w:val="19"/>
              </w:rPr>
              <w:t>15.6</w:t>
            </w:r>
          </w:p>
        </w:tc>
        <w:tc>
          <w:tcPr>
            <w:tcW w:w="1311" w:type="dxa"/>
          </w:tcPr>
          <w:p w:rsidR="007F373F" w:rsidRDefault="00000000">
            <w:pPr>
              <w:spacing w:after="0"/>
              <w:jc w:val="right"/>
            </w:pPr>
            <w:r>
              <w:rPr>
                <w:sz w:val="19"/>
              </w:rPr>
              <w:t>7.4</w:t>
            </w:r>
          </w:p>
        </w:tc>
        <w:tc>
          <w:tcPr>
            <w:tcW w:w="1311" w:type="dxa"/>
          </w:tcPr>
          <w:p w:rsidR="007F373F" w:rsidRDefault="00000000">
            <w:pPr>
              <w:spacing w:after="0"/>
              <w:jc w:val="right"/>
            </w:pPr>
            <w:r>
              <w:rPr>
                <w:sz w:val="19"/>
              </w:rPr>
              <w:t>8.2</w:t>
            </w:r>
          </w:p>
        </w:tc>
        <w:tc>
          <w:tcPr>
            <w:tcW w:w="1104" w:type="dxa"/>
          </w:tcPr>
          <w:p w:rsidR="007F373F" w:rsidRDefault="00000000">
            <w:pPr>
              <w:spacing w:after="0"/>
              <w:jc w:val="right"/>
            </w:pPr>
            <w:r>
              <w:rPr>
                <w:sz w:val="19"/>
              </w:rPr>
              <w:t>58.4</w:t>
            </w:r>
          </w:p>
        </w:tc>
      </w:tr>
      <w:tr w:rsidR="007F373F">
        <w:trPr>
          <w:jc w:val="center"/>
        </w:trPr>
        <w:tc>
          <w:tcPr>
            <w:tcW w:w="828" w:type="dxa"/>
          </w:tcPr>
          <w:p w:rsidR="007F373F" w:rsidRDefault="00000000">
            <w:pPr>
              <w:spacing w:after="0"/>
              <w:jc w:val="left"/>
            </w:pPr>
            <w:r>
              <w:rPr>
                <w:sz w:val="19"/>
              </w:rPr>
              <w:t>FY23</w:t>
            </w:r>
          </w:p>
        </w:tc>
        <w:tc>
          <w:tcPr>
            <w:tcW w:w="1311" w:type="dxa"/>
          </w:tcPr>
          <w:p w:rsidR="007F373F" w:rsidRDefault="00000000">
            <w:pPr>
              <w:spacing w:after="0"/>
              <w:jc w:val="right"/>
            </w:pPr>
            <w:r>
              <w:rPr>
                <w:sz w:val="19"/>
              </w:rPr>
              <w:t>16.1</w:t>
            </w:r>
          </w:p>
        </w:tc>
        <w:tc>
          <w:tcPr>
            <w:tcW w:w="1311" w:type="dxa"/>
          </w:tcPr>
          <w:p w:rsidR="007F373F" w:rsidRDefault="00000000">
            <w:pPr>
              <w:spacing w:after="0"/>
              <w:jc w:val="right"/>
            </w:pPr>
            <w:r>
              <w:rPr>
                <w:sz w:val="19"/>
              </w:rPr>
              <w:t>7.8</w:t>
            </w:r>
          </w:p>
        </w:tc>
        <w:tc>
          <w:tcPr>
            <w:tcW w:w="1311" w:type="dxa"/>
          </w:tcPr>
          <w:p w:rsidR="007F373F" w:rsidRDefault="00000000">
            <w:pPr>
              <w:spacing w:after="0"/>
              <w:jc w:val="right"/>
            </w:pPr>
            <w:r>
              <w:rPr>
                <w:sz w:val="19"/>
              </w:rPr>
              <w:t>8.3</w:t>
            </w:r>
          </w:p>
        </w:tc>
        <w:tc>
          <w:tcPr>
            <w:tcW w:w="1311" w:type="dxa"/>
          </w:tcPr>
          <w:p w:rsidR="007F373F" w:rsidRDefault="00000000">
            <w:pPr>
              <w:spacing w:after="0"/>
              <w:jc w:val="right"/>
            </w:pPr>
            <w:r>
              <w:rPr>
                <w:sz w:val="19"/>
              </w:rPr>
              <w:t>15.8</w:t>
            </w:r>
          </w:p>
        </w:tc>
        <w:tc>
          <w:tcPr>
            <w:tcW w:w="1311" w:type="dxa"/>
          </w:tcPr>
          <w:p w:rsidR="007F373F" w:rsidRDefault="00000000">
            <w:pPr>
              <w:spacing w:after="0"/>
              <w:jc w:val="right"/>
            </w:pPr>
            <w:r>
              <w:rPr>
                <w:sz w:val="19"/>
              </w:rPr>
              <w:t>7.8</w:t>
            </w:r>
          </w:p>
        </w:tc>
        <w:tc>
          <w:tcPr>
            <w:tcW w:w="1311" w:type="dxa"/>
          </w:tcPr>
          <w:p w:rsidR="007F373F" w:rsidRDefault="00000000">
            <w:pPr>
              <w:spacing w:after="0"/>
              <w:jc w:val="right"/>
            </w:pPr>
            <w:r>
              <w:rPr>
                <w:sz w:val="19"/>
              </w:rPr>
              <w:t>8.0</w:t>
            </w:r>
          </w:p>
        </w:tc>
        <w:tc>
          <w:tcPr>
            <w:tcW w:w="1104" w:type="dxa"/>
          </w:tcPr>
          <w:p w:rsidR="007F373F" w:rsidRDefault="00000000">
            <w:pPr>
              <w:spacing w:after="0"/>
              <w:jc w:val="right"/>
            </w:pPr>
            <w:r>
              <w:rPr>
                <w:sz w:val="19"/>
              </w:rPr>
              <w:t>58.6</w:t>
            </w:r>
          </w:p>
        </w:tc>
      </w:tr>
      <w:tr w:rsidR="007F373F">
        <w:trPr>
          <w:jc w:val="center"/>
        </w:trPr>
        <w:tc>
          <w:tcPr>
            <w:tcW w:w="828" w:type="dxa"/>
          </w:tcPr>
          <w:p w:rsidR="007F373F" w:rsidRDefault="00000000">
            <w:pPr>
              <w:spacing w:after="0"/>
              <w:jc w:val="left"/>
            </w:pPr>
            <w:r>
              <w:rPr>
                <w:sz w:val="19"/>
              </w:rPr>
              <w:t>FY24</w:t>
            </w:r>
          </w:p>
        </w:tc>
        <w:tc>
          <w:tcPr>
            <w:tcW w:w="1311" w:type="dxa"/>
          </w:tcPr>
          <w:p w:rsidR="007F373F" w:rsidRDefault="00000000">
            <w:pPr>
              <w:spacing w:after="0"/>
              <w:jc w:val="right"/>
            </w:pPr>
            <w:r>
              <w:rPr>
                <w:sz w:val="19"/>
              </w:rPr>
              <w:t>16.7</w:t>
            </w:r>
          </w:p>
        </w:tc>
        <w:tc>
          <w:tcPr>
            <w:tcW w:w="1311" w:type="dxa"/>
          </w:tcPr>
          <w:p w:rsidR="007F373F" w:rsidRDefault="00000000">
            <w:pPr>
              <w:spacing w:after="0"/>
              <w:jc w:val="right"/>
            </w:pPr>
            <w:r>
              <w:rPr>
                <w:sz w:val="19"/>
              </w:rPr>
              <w:t>8.6</w:t>
            </w:r>
          </w:p>
        </w:tc>
        <w:tc>
          <w:tcPr>
            <w:tcW w:w="1311" w:type="dxa"/>
          </w:tcPr>
          <w:p w:rsidR="007F373F" w:rsidRDefault="00000000">
            <w:pPr>
              <w:spacing w:after="0"/>
              <w:jc w:val="right"/>
            </w:pPr>
            <w:r>
              <w:rPr>
                <w:sz w:val="19"/>
              </w:rPr>
              <w:t>8.1</w:t>
            </w:r>
          </w:p>
        </w:tc>
        <w:tc>
          <w:tcPr>
            <w:tcW w:w="1311" w:type="dxa"/>
          </w:tcPr>
          <w:p w:rsidR="007F373F" w:rsidRDefault="00000000">
            <w:pPr>
              <w:spacing w:after="0"/>
              <w:jc w:val="right"/>
            </w:pPr>
            <w:r>
              <w:rPr>
                <w:sz w:val="19"/>
              </w:rPr>
              <w:t>16.2</w:t>
            </w:r>
          </w:p>
        </w:tc>
        <w:tc>
          <w:tcPr>
            <w:tcW w:w="1311" w:type="dxa"/>
          </w:tcPr>
          <w:p w:rsidR="007F373F" w:rsidRDefault="00000000">
            <w:pPr>
              <w:spacing w:after="0"/>
              <w:jc w:val="right"/>
            </w:pPr>
            <w:r>
              <w:rPr>
                <w:sz w:val="19"/>
              </w:rPr>
              <w:t>8.8</w:t>
            </w:r>
          </w:p>
        </w:tc>
        <w:tc>
          <w:tcPr>
            <w:tcW w:w="1311" w:type="dxa"/>
          </w:tcPr>
          <w:p w:rsidR="007F373F" w:rsidRDefault="00000000">
            <w:pPr>
              <w:spacing w:after="0"/>
              <w:jc w:val="right"/>
            </w:pPr>
            <w:r>
              <w:rPr>
                <w:sz w:val="19"/>
              </w:rPr>
              <w:t>7.4</w:t>
            </w:r>
          </w:p>
        </w:tc>
        <w:tc>
          <w:tcPr>
            <w:tcW w:w="1104" w:type="dxa"/>
          </w:tcPr>
          <w:p w:rsidR="007F373F" w:rsidRDefault="00000000">
            <w:pPr>
              <w:spacing w:after="0"/>
              <w:jc w:val="right"/>
            </w:pPr>
            <w:r>
              <w:rPr>
                <w:sz w:val="19"/>
              </w:rPr>
              <w:t>58.2</w:t>
            </w:r>
          </w:p>
        </w:tc>
      </w:tr>
      <w:tr w:rsidR="007F373F">
        <w:trPr>
          <w:jc w:val="center"/>
        </w:trPr>
        <w:tc>
          <w:tcPr>
            <w:tcW w:w="828" w:type="dxa"/>
          </w:tcPr>
          <w:p w:rsidR="007F373F" w:rsidRDefault="00000000">
            <w:pPr>
              <w:spacing w:after="0"/>
              <w:jc w:val="left"/>
            </w:pPr>
            <w:r>
              <w:rPr>
                <w:sz w:val="19"/>
              </w:rPr>
              <w:t>FY25</w:t>
            </w:r>
          </w:p>
        </w:tc>
        <w:tc>
          <w:tcPr>
            <w:tcW w:w="1311" w:type="dxa"/>
          </w:tcPr>
          <w:p w:rsidR="007F373F" w:rsidRDefault="00000000">
            <w:pPr>
              <w:spacing w:after="0"/>
              <w:jc w:val="right"/>
            </w:pPr>
            <w:r>
              <w:rPr>
                <w:sz w:val="19"/>
              </w:rPr>
              <w:t>17.1</w:t>
            </w:r>
          </w:p>
        </w:tc>
        <w:tc>
          <w:tcPr>
            <w:tcW w:w="1311" w:type="dxa"/>
          </w:tcPr>
          <w:p w:rsidR="007F373F" w:rsidRDefault="00000000">
            <w:pPr>
              <w:spacing w:after="0"/>
              <w:jc w:val="right"/>
            </w:pPr>
            <w:r>
              <w:rPr>
                <w:sz w:val="19"/>
              </w:rPr>
              <w:t>9.0</w:t>
            </w:r>
          </w:p>
        </w:tc>
        <w:tc>
          <w:tcPr>
            <w:tcW w:w="1311" w:type="dxa"/>
          </w:tcPr>
          <w:p w:rsidR="007F373F" w:rsidRDefault="00000000">
            <w:pPr>
              <w:spacing w:after="0"/>
              <w:jc w:val="right"/>
            </w:pPr>
            <w:r>
              <w:rPr>
                <w:sz w:val="19"/>
              </w:rPr>
              <w:t>8.2</w:t>
            </w:r>
          </w:p>
        </w:tc>
        <w:tc>
          <w:tcPr>
            <w:tcW w:w="1311" w:type="dxa"/>
          </w:tcPr>
          <w:p w:rsidR="007F373F" w:rsidRDefault="00000000">
            <w:pPr>
              <w:spacing w:after="0"/>
              <w:jc w:val="right"/>
            </w:pPr>
            <w:r>
              <w:rPr>
                <w:sz w:val="19"/>
              </w:rPr>
              <w:t>17.4</w:t>
            </w:r>
          </w:p>
        </w:tc>
        <w:tc>
          <w:tcPr>
            <w:tcW w:w="1311" w:type="dxa"/>
          </w:tcPr>
          <w:p w:rsidR="007F373F" w:rsidRDefault="00000000">
            <w:pPr>
              <w:spacing w:after="0"/>
              <w:jc w:val="right"/>
            </w:pPr>
            <w:r>
              <w:rPr>
                <w:sz w:val="19"/>
              </w:rPr>
              <w:t>9.2</w:t>
            </w:r>
          </w:p>
        </w:tc>
        <w:tc>
          <w:tcPr>
            <w:tcW w:w="1311" w:type="dxa"/>
          </w:tcPr>
          <w:p w:rsidR="007F373F" w:rsidRDefault="00000000">
            <w:pPr>
              <w:spacing w:after="0"/>
              <w:jc w:val="right"/>
            </w:pPr>
            <w:r>
              <w:rPr>
                <w:sz w:val="19"/>
              </w:rPr>
              <w:t>8.1</w:t>
            </w:r>
          </w:p>
        </w:tc>
        <w:tc>
          <w:tcPr>
            <w:tcW w:w="1104" w:type="dxa"/>
          </w:tcPr>
          <w:p w:rsidR="007F373F" w:rsidRDefault="00000000">
            <w:pPr>
              <w:spacing w:after="0"/>
              <w:jc w:val="right"/>
            </w:pPr>
            <w:r>
              <w:rPr>
                <w:sz w:val="19"/>
              </w:rPr>
              <w:t>57.6</w:t>
            </w:r>
          </w:p>
        </w:tc>
      </w:tr>
      <w:tr w:rsidR="007F373F">
        <w:trPr>
          <w:jc w:val="center"/>
        </w:trPr>
        <w:tc>
          <w:tcPr>
            <w:tcW w:w="828" w:type="dxa"/>
          </w:tcPr>
          <w:p w:rsidR="007F373F" w:rsidRDefault="00000000">
            <w:pPr>
              <w:spacing w:after="0"/>
              <w:jc w:val="left"/>
            </w:pPr>
            <w:r>
              <w:rPr>
                <w:sz w:val="19"/>
              </w:rPr>
              <w:t>FY26</w:t>
            </w:r>
          </w:p>
        </w:tc>
        <w:tc>
          <w:tcPr>
            <w:tcW w:w="1311" w:type="dxa"/>
          </w:tcPr>
          <w:p w:rsidR="007F373F" w:rsidRDefault="00000000">
            <w:pPr>
              <w:spacing w:after="0"/>
              <w:jc w:val="right"/>
            </w:pPr>
            <w:r>
              <w:rPr>
                <w:sz w:val="19"/>
              </w:rPr>
              <w:t>16.7</w:t>
            </w:r>
          </w:p>
        </w:tc>
        <w:tc>
          <w:tcPr>
            <w:tcW w:w="1311" w:type="dxa"/>
          </w:tcPr>
          <w:p w:rsidR="007F373F" w:rsidRDefault="00000000">
            <w:pPr>
              <w:spacing w:after="0"/>
              <w:jc w:val="right"/>
            </w:pPr>
            <w:r>
              <w:rPr>
                <w:sz w:val="19"/>
              </w:rPr>
              <w:t>8.1</w:t>
            </w:r>
          </w:p>
        </w:tc>
        <w:tc>
          <w:tcPr>
            <w:tcW w:w="1311" w:type="dxa"/>
          </w:tcPr>
          <w:p w:rsidR="007F373F" w:rsidRDefault="00000000">
            <w:pPr>
              <w:spacing w:after="0"/>
              <w:jc w:val="right"/>
            </w:pPr>
            <w:r>
              <w:rPr>
                <w:sz w:val="19"/>
              </w:rPr>
              <w:t>8.6</w:t>
            </w:r>
          </w:p>
        </w:tc>
        <w:tc>
          <w:tcPr>
            <w:tcW w:w="1311" w:type="dxa"/>
          </w:tcPr>
          <w:p w:rsidR="007F373F" w:rsidRDefault="00000000">
            <w:pPr>
              <w:spacing w:after="0"/>
              <w:jc w:val="right"/>
            </w:pPr>
            <w:r>
              <w:rPr>
                <w:sz w:val="19"/>
              </w:rPr>
              <w:t>–</w:t>
            </w:r>
          </w:p>
        </w:tc>
        <w:tc>
          <w:tcPr>
            <w:tcW w:w="1311" w:type="dxa"/>
          </w:tcPr>
          <w:p w:rsidR="007F373F" w:rsidRDefault="00000000">
            <w:pPr>
              <w:spacing w:after="0"/>
              <w:jc w:val="right"/>
            </w:pPr>
            <w:r>
              <w:rPr>
                <w:sz w:val="19"/>
              </w:rPr>
              <w:t>–</w:t>
            </w:r>
          </w:p>
        </w:tc>
        <w:tc>
          <w:tcPr>
            <w:tcW w:w="1311" w:type="dxa"/>
          </w:tcPr>
          <w:p w:rsidR="007F373F" w:rsidRDefault="00000000">
            <w:pPr>
              <w:spacing w:after="0"/>
              <w:jc w:val="right"/>
            </w:pPr>
            <w:r>
              <w:rPr>
                <w:sz w:val="19"/>
              </w:rPr>
              <w:t>–</w:t>
            </w:r>
          </w:p>
        </w:tc>
        <w:tc>
          <w:tcPr>
            <w:tcW w:w="1104" w:type="dxa"/>
          </w:tcPr>
          <w:p w:rsidR="007F373F" w:rsidRDefault="00000000">
            <w:pPr>
              <w:spacing w:after="0"/>
              <w:jc w:val="right"/>
            </w:pPr>
            <w:r>
              <w:rPr>
                <w:sz w:val="19"/>
              </w:rPr>
              <w:t>57.2</w:t>
            </w:r>
          </w:p>
        </w:tc>
      </w:tr>
    </w:tbl>
    <w:p w:rsidR="007F373F" w:rsidRDefault="00000000">
      <w:pPr>
        <w:spacing w:before="40" w:after="80"/>
      </w:pPr>
      <w:r>
        <w:rPr>
          <w:i/>
          <w:sz w:val="18"/>
        </w:rPr>
        <w:t>Source: FY26 basis: Fedfina Annual Report 2025-26 KPI charts. Earlier basis: Fedfina Annual Report 2023-24 and Fedfina Annual Report 2024-25 KPI charts (FY25 earlier-basis yield 17.4%, CoB 9.2%). Cost-to-income: Directors’ Reports.</w:t>
      </w:r>
    </w:p>
    <w:p w:rsidR="007F373F" w:rsidRDefault="00000000">
      <w:r>
        <w:t>What the series shows. On the FY26 basis, yield rose from 16.0% (FY22) to a peak of 17.1% in FY25 – when the high-yield unsecured and small-ticket books were largest – and eased to 16.7% in FY26 as gold loans (lower yield than unsecured business loans but higher than MT LAP) became half the book. Cost of borrowings rose 120 bps between FY22 and FY25 (7.8% → 9.0%) because of the repo-rate tightening cycle and the November 2023 increase in risk weights on bank lending to NBFCs (the FY25 letter attributes about 40 bps of the increase to this), and fell 90 bps to 8.1% in FY26 as the RBI cut rates by 125 bps and the company diversified into ECBs and CP. The quarterly picture is sharper still: daily-average cost of borrowing fell from 8.72% in Q4 FY25 to 7.83% in Q4 FY26.</w:t>
      </w:r>
    </w:p>
    <w:p w:rsidR="007F373F" w:rsidRDefault="00000000">
      <w:r>
        <w:t>Spread – the difference between yield and cost of borrowings – was remarkably stable at 8.1–8.3% for four years and widened to 8.6% in FY26, the best in the series. Net interest margin, which the company reports on average assets, was 8.8% in FY26. The widening spread is the first of the three margin levers behind FY26 profit growth; the other two (operating leverage and credit cost) are examined on the following pages.</w:t>
      </w:r>
    </w:p>
    <w:p w:rsidR="007F373F" w:rsidRDefault="00000000">
      <w:r>
        <w:t>Basis note. The FY26 report restates earlier years: FY24 yield is shown as 16.7% versus 16.2% in the FY24 report and FY25 yield as 17.1% versus 17.4% in the FY25 report, with corresponding differences in cost of borrowings. The restated series is internally consistent and is used in this report; the earlier figures are reproduced for transparency. The direction of every trend is the same on both bases.</w:t>
      </w:r>
    </w:p>
    <w:p w:rsidR="007F373F" w:rsidRDefault="00000000">
      <w:pPr>
        <w:pStyle w:val="Heading1"/>
        <w:pageBreakBefore/>
      </w:pPr>
      <w:r>
        <w:lastRenderedPageBreak/>
        <w:t>Five-Year Trend: Asset Quality, Capital and Returns</w:t>
      </w:r>
    </w:p>
    <w:p w:rsidR="007F373F" w:rsidRDefault="00000000">
      <w:pPr>
        <w:spacing w:after="0"/>
        <w:jc w:val="center"/>
      </w:pPr>
      <w:r>
        <w:rPr>
          <w:noProof/>
        </w:rPr>
        <w:drawing>
          <wp:inline distT="0" distB="0" distL="0" distR="0">
            <wp:extent cx="4572000" cy="17318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a.png"/>
                    <pic:cNvPicPr/>
                  </pic:nvPicPr>
                  <pic:blipFill>
                    <a:blip r:embed="rId18"/>
                    <a:stretch>
                      <a:fillRect/>
                    </a:stretch>
                  </pic:blipFill>
                  <pic:spPr>
                    <a:xfrm>
                      <a:off x="0" y="0"/>
                      <a:ext cx="4572000" cy="1731818"/>
                    </a:xfrm>
                    <a:prstGeom prst="rect">
                      <a:avLst/>
                    </a:prstGeom>
                  </pic:spPr>
                </pic:pic>
              </a:graphicData>
            </a:graphic>
          </wp:inline>
        </w:drawing>
      </w:r>
    </w:p>
    <w:p w:rsidR="007F373F" w:rsidRDefault="00000000">
      <w:pPr>
        <w:spacing w:after="80"/>
        <w:jc w:val="center"/>
      </w:pPr>
      <w:r>
        <w:rPr>
          <w:i/>
          <w:sz w:val="18"/>
        </w:rPr>
        <w:t>Figure 6 – GNPA, NNPA and provision coverage, FY22–FY26. Sources: annual reports FY24–FY26 KPI charts; FY26 GNPA per Key Highlights (1.9%); the FY26 five-year chart shows 2.2% – see note.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828"/>
        <w:gridCol w:w="966"/>
        <w:gridCol w:w="966"/>
        <w:gridCol w:w="966"/>
        <w:gridCol w:w="1035"/>
        <w:gridCol w:w="966"/>
        <w:gridCol w:w="966"/>
        <w:gridCol w:w="1104"/>
        <w:gridCol w:w="1932"/>
      </w:tblGrid>
      <w:tr w:rsidR="007F373F">
        <w:trPr>
          <w:jc w:val="center"/>
        </w:trPr>
        <w:tc>
          <w:tcPr>
            <w:tcW w:w="828" w:type="dxa"/>
          </w:tcPr>
          <w:p w:rsidR="007F373F" w:rsidRDefault="00000000">
            <w:pPr>
              <w:spacing w:after="0"/>
              <w:jc w:val="left"/>
            </w:pPr>
            <w:r>
              <w:rPr>
                <w:b/>
                <w:sz w:val="20"/>
              </w:rPr>
              <w:t>Year</w:t>
            </w:r>
          </w:p>
        </w:tc>
        <w:tc>
          <w:tcPr>
            <w:tcW w:w="966" w:type="dxa"/>
          </w:tcPr>
          <w:p w:rsidR="007F373F" w:rsidRDefault="00000000">
            <w:pPr>
              <w:spacing w:after="0"/>
              <w:jc w:val="left"/>
            </w:pPr>
            <w:r>
              <w:rPr>
                <w:b/>
                <w:sz w:val="20"/>
              </w:rPr>
              <w:t>GNPA %</w:t>
            </w:r>
          </w:p>
        </w:tc>
        <w:tc>
          <w:tcPr>
            <w:tcW w:w="966" w:type="dxa"/>
          </w:tcPr>
          <w:p w:rsidR="007F373F" w:rsidRDefault="00000000">
            <w:pPr>
              <w:spacing w:after="0"/>
              <w:jc w:val="left"/>
            </w:pPr>
            <w:r>
              <w:rPr>
                <w:b/>
                <w:sz w:val="20"/>
              </w:rPr>
              <w:t>NNPA %</w:t>
            </w:r>
          </w:p>
        </w:tc>
        <w:tc>
          <w:tcPr>
            <w:tcW w:w="966" w:type="dxa"/>
          </w:tcPr>
          <w:p w:rsidR="007F373F" w:rsidRDefault="00000000">
            <w:pPr>
              <w:spacing w:after="0"/>
              <w:jc w:val="left"/>
            </w:pPr>
            <w:r>
              <w:rPr>
                <w:b/>
                <w:sz w:val="20"/>
              </w:rPr>
              <w:t>PCR %</w:t>
            </w:r>
          </w:p>
        </w:tc>
        <w:tc>
          <w:tcPr>
            <w:tcW w:w="1035" w:type="dxa"/>
          </w:tcPr>
          <w:p w:rsidR="007F373F" w:rsidRDefault="00000000">
            <w:pPr>
              <w:spacing w:after="0"/>
              <w:jc w:val="left"/>
            </w:pPr>
            <w:r>
              <w:rPr>
                <w:b/>
                <w:sz w:val="20"/>
              </w:rPr>
              <w:t>CRAR %</w:t>
            </w:r>
          </w:p>
        </w:tc>
        <w:tc>
          <w:tcPr>
            <w:tcW w:w="966" w:type="dxa"/>
          </w:tcPr>
          <w:p w:rsidR="007F373F" w:rsidRDefault="00000000">
            <w:pPr>
              <w:spacing w:after="0"/>
              <w:jc w:val="left"/>
            </w:pPr>
            <w:r>
              <w:rPr>
                <w:b/>
                <w:sz w:val="20"/>
              </w:rPr>
              <w:t>RoA %</w:t>
            </w:r>
          </w:p>
        </w:tc>
        <w:tc>
          <w:tcPr>
            <w:tcW w:w="966" w:type="dxa"/>
          </w:tcPr>
          <w:p w:rsidR="007F373F" w:rsidRDefault="00000000">
            <w:pPr>
              <w:spacing w:after="0"/>
              <w:jc w:val="left"/>
            </w:pPr>
            <w:r>
              <w:rPr>
                <w:b/>
                <w:sz w:val="20"/>
              </w:rPr>
              <w:t>RoE %</w:t>
            </w:r>
          </w:p>
        </w:tc>
        <w:tc>
          <w:tcPr>
            <w:tcW w:w="1104" w:type="dxa"/>
          </w:tcPr>
          <w:p w:rsidR="007F373F" w:rsidRDefault="00000000">
            <w:pPr>
              <w:spacing w:after="0"/>
              <w:jc w:val="left"/>
            </w:pPr>
            <w:r>
              <w:rPr>
                <w:b/>
                <w:sz w:val="20"/>
              </w:rPr>
              <w:t>BVPS ₹</w:t>
            </w:r>
          </w:p>
        </w:tc>
        <w:tc>
          <w:tcPr>
            <w:tcW w:w="1932" w:type="dxa"/>
          </w:tcPr>
          <w:p w:rsidR="007F373F" w:rsidRDefault="00000000">
            <w:pPr>
              <w:spacing w:after="0"/>
              <w:jc w:val="left"/>
            </w:pPr>
            <w:r>
              <w:rPr>
                <w:b/>
                <w:sz w:val="20"/>
              </w:rPr>
              <w:t>Credit cost % (avg assets)</w:t>
            </w:r>
          </w:p>
        </w:tc>
      </w:tr>
      <w:tr w:rsidR="007F373F">
        <w:trPr>
          <w:jc w:val="center"/>
        </w:trPr>
        <w:tc>
          <w:tcPr>
            <w:tcW w:w="828" w:type="dxa"/>
          </w:tcPr>
          <w:p w:rsidR="007F373F" w:rsidRDefault="00000000">
            <w:pPr>
              <w:spacing w:after="0"/>
              <w:jc w:val="left"/>
            </w:pPr>
            <w:r>
              <w:rPr>
                <w:sz w:val="20"/>
              </w:rPr>
              <w:t>FY22</w:t>
            </w:r>
          </w:p>
        </w:tc>
        <w:tc>
          <w:tcPr>
            <w:tcW w:w="966" w:type="dxa"/>
          </w:tcPr>
          <w:p w:rsidR="007F373F" w:rsidRDefault="00000000">
            <w:pPr>
              <w:spacing w:after="0"/>
              <w:jc w:val="right"/>
            </w:pPr>
            <w:r>
              <w:rPr>
                <w:sz w:val="20"/>
              </w:rPr>
              <w:t>2.2</w:t>
            </w:r>
          </w:p>
        </w:tc>
        <w:tc>
          <w:tcPr>
            <w:tcW w:w="966" w:type="dxa"/>
          </w:tcPr>
          <w:p w:rsidR="007F373F" w:rsidRDefault="00000000">
            <w:pPr>
              <w:spacing w:after="0"/>
              <w:jc w:val="right"/>
            </w:pPr>
            <w:r>
              <w:rPr>
                <w:sz w:val="20"/>
              </w:rPr>
              <w:t>1.8</w:t>
            </w:r>
          </w:p>
        </w:tc>
        <w:tc>
          <w:tcPr>
            <w:tcW w:w="966" w:type="dxa"/>
          </w:tcPr>
          <w:p w:rsidR="007F373F" w:rsidRDefault="00000000">
            <w:pPr>
              <w:spacing w:after="0"/>
              <w:jc w:val="right"/>
            </w:pPr>
            <w:r>
              <w:rPr>
                <w:sz w:val="20"/>
              </w:rPr>
              <w:t>22.1</w:t>
            </w:r>
          </w:p>
        </w:tc>
        <w:tc>
          <w:tcPr>
            <w:tcW w:w="1035" w:type="dxa"/>
          </w:tcPr>
          <w:p w:rsidR="007F373F" w:rsidRDefault="00000000">
            <w:pPr>
              <w:spacing w:after="0"/>
              <w:jc w:val="right"/>
            </w:pPr>
            <w:r>
              <w:rPr>
                <w:sz w:val="20"/>
              </w:rPr>
              <w:t>23.0</w:t>
            </w:r>
          </w:p>
        </w:tc>
        <w:tc>
          <w:tcPr>
            <w:tcW w:w="966" w:type="dxa"/>
          </w:tcPr>
          <w:p w:rsidR="007F373F" w:rsidRDefault="00000000">
            <w:pPr>
              <w:spacing w:after="0"/>
              <w:jc w:val="right"/>
            </w:pPr>
            <w:r>
              <w:rPr>
                <w:sz w:val="20"/>
              </w:rPr>
              <w:t>1.7</w:t>
            </w:r>
          </w:p>
        </w:tc>
        <w:tc>
          <w:tcPr>
            <w:tcW w:w="966" w:type="dxa"/>
          </w:tcPr>
          <w:p w:rsidR="007F373F" w:rsidRDefault="00000000">
            <w:pPr>
              <w:spacing w:after="0"/>
              <w:jc w:val="right"/>
            </w:pPr>
            <w:r>
              <w:rPr>
                <w:sz w:val="20"/>
              </w:rPr>
              <w:t>10.4</w:t>
            </w:r>
          </w:p>
        </w:tc>
        <w:tc>
          <w:tcPr>
            <w:tcW w:w="1104" w:type="dxa"/>
          </w:tcPr>
          <w:p w:rsidR="007F373F" w:rsidRDefault="00000000">
            <w:pPr>
              <w:spacing w:after="0"/>
              <w:jc w:val="right"/>
            </w:pPr>
            <w:r>
              <w:rPr>
                <w:sz w:val="20"/>
              </w:rPr>
              <w:t>35.9</w:t>
            </w:r>
          </w:p>
        </w:tc>
        <w:tc>
          <w:tcPr>
            <w:tcW w:w="1932" w:type="dxa"/>
          </w:tcPr>
          <w:p w:rsidR="007F373F" w:rsidRDefault="00000000">
            <w:pPr>
              <w:spacing w:after="0"/>
              <w:jc w:val="right"/>
            </w:pPr>
            <w:r>
              <w:rPr>
                <w:sz w:val="20"/>
              </w:rPr>
              <w:t>n.a.</w:t>
            </w:r>
          </w:p>
        </w:tc>
      </w:tr>
      <w:tr w:rsidR="007F373F">
        <w:trPr>
          <w:jc w:val="center"/>
        </w:trPr>
        <w:tc>
          <w:tcPr>
            <w:tcW w:w="828" w:type="dxa"/>
          </w:tcPr>
          <w:p w:rsidR="007F373F" w:rsidRDefault="00000000">
            <w:pPr>
              <w:spacing w:after="0"/>
              <w:jc w:val="left"/>
            </w:pPr>
            <w:r>
              <w:rPr>
                <w:sz w:val="20"/>
              </w:rPr>
              <w:t>FY23</w:t>
            </w:r>
          </w:p>
        </w:tc>
        <w:tc>
          <w:tcPr>
            <w:tcW w:w="966" w:type="dxa"/>
          </w:tcPr>
          <w:p w:rsidR="007F373F" w:rsidRDefault="00000000">
            <w:pPr>
              <w:spacing w:after="0"/>
              <w:jc w:val="right"/>
            </w:pPr>
            <w:r>
              <w:rPr>
                <w:sz w:val="20"/>
              </w:rPr>
              <w:t>2.0</w:t>
            </w:r>
          </w:p>
        </w:tc>
        <w:tc>
          <w:tcPr>
            <w:tcW w:w="966" w:type="dxa"/>
          </w:tcPr>
          <w:p w:rsidR="007F373F" w:rsidRDefault="00000000">
            <w:pPr>
              <w:spacing w:after="0"/>
              <w:jc w:val="right"/>
            </w:pPr>
            <w:r>
              <w:rPr>
                <w:sz w:val="20"/>
              </w:rPr>
              <w:t>1.6</w:t>
            </w:r>
          </w:p>
        </w:tc>
        <w:tc>
          <w:tcPr>
            <w:tcW w:w="966" w:type="dxa"/>
          </w:tcPr>
          <w:p w:rsidR="007F373F" w:rsidRDefault="00000000">
            <w:pPr>
              <w:spacing w:after="0"/>
              <w:jc w:val="right"/>
            </w:pPr>
            <w:r>
              <w:rPr>
                <w:sz w:val="20"/>
              </w:rPr>
              <w:t>22.2</w:t>
            </w:r>
          </w:p>
        </w:tc>
        <w:tc>
          <w:tcPr>
            <w:tcW w:w="1035" w:type="dxa"/>
          </w:tcPr>
          <w:p w:rsidR="007F373F" w:rsidRDefault="00000000">
            <w:pPr>
              <w:spacing w:after="0"/>
              <w:jc w:val="right"/>
            </w:pPr>
            <w:r>
              <w:rPr>
                <w:sz w:val="20"/>
              </w:rPr>
              <w:t>17.9</w:t>
            </w:r>
          </w:p>
        </w:tc>
        <w:tc>
          <w:tcPr>
            <w:tcW w:w="966" w:type="dxa"/>
          </w:tcPr>
          <w:p w:rsidR="007F373F" w:rsidRDefault="00000000">
            <w:pPr>
              <w:spacing w:after="0"/>
              <w:jc w:val="right"/>
            </w:pPr>
            <w:r>
              <w:rPr>
                <w:sz w:val="20"/>
              </w:rPr>
              <w:t>2.3</w:t>
            </w:r>
          </w:p>
        </w:tc>
        <w:tc>
          <w:tcPr>
            <w:tcW w:w="966" w:type="dxa"/>
          </w:tcPr>
          <w:p w:rsidR="007F373F" w:rsidRDefault="00000000">
            <w:pPr>
              <w:spacing w:after="0"/>
              <w:jc w:val="right"/>
            </w:pPr>
            <w:r>
              <w:rPr>
                <w:sz w:val="20"/>
              </w:rPr>
              <w:t>14.4</w:t>
            </w:r>
          </w:p>
        </w:tc>
        <w:tc>
          <w:tcPr>
            <w:tcW w:w="1104" w:type="dxa"/>
          </w:tcPr>
          <w:p w:rsidR="007F373F" w:rsidRDefault="00000000">
            <w:pPr>
              <w:spacing w:after="0"/>
              <w:jc w:val="right"/>
            </w:pPr>
            <w:r>
              <w:rPr>
                <w:sz w:val="20"/>
              </w:rPr>
              <w:t>42.1</w:t>
            </w:r>
          </w:p>
        </w:tc>
        <w:tc>
          <w:tcPr>
            <w:tcW w:w="1932" w:type="dxa"/>
          </w:tcPr>
          <w:p w:rsidR="007F373F" w:rsidRDefault="00000000">
            <w:pPr>
              <w:spacing w:after="0"/>
              <w:jc w:val="right"/>
            </w:pPr>
            <w:r>
              <w:rPr>
                <w:sz w:val="20"/>
              </w:rPr>
              <w:t>n.a.</w:t>
            </w:r>
          </w:p>
        </w:tc>
      </w:tr>
      <w:tr w:rsidR="007F373F">
        <w:trPr>
          <w:jc w:val="center"/>
        </w:trPr>
        <w:tc>
          <w:tcPr>
            <w:tcW w:w="828" w:type="dxa"/>
          </w:tcPr>
          <w:p w:rsidR="007F373F" w:rsidRDefault="00000000">
            <w:pPr>
              <w:spacing w:after="0"/>
              <w:jc w:val="left"/>
            </w:pPr>
            <w:r>
              <w:rPr>
                <w:sz w:val="20"/>
              </w:rPr>
              <w:t>FY24</w:t>
            </w:r>
          </w:p>
        </w:tc>
        <w:tc>
          <w:tcPr>
            <w:tcW w:w="966" w:type="dxa"/>
          </w:tcPr>
          <w:p w:rsidR="007F373F" w:rsidRDefault="00000000">
            <w:pPr>
              <w:spacing w:after="0"/>
              <w:jc w:val="right"/>
            </w:pPr>
            <w:r>
              <w:rPr>
                <w:sz w:val="20"/>
              </w:rPr>
              <w:t>1.7</w:t>
            </w:r>
          </w:p>
        </w:tc>
        <w:tc>
          <w:tcPr>
            <w:tcW w:w="966" w:type="dxa"/>
          </w:tcPr>
          <w:p w:rsidR="007F373F" w:rsidRDefault="00000000">
            <w:pPr>
              <w:spacing w:after="0"/>
              <w:jc w:val="right"/>
            </w:pPr>
            <w:r>
              <w:rPr>
                <w:sz w:val="20"/>
              </w:rPr>
              <w:t>1.3</w:t>
            </w:r>
          </w:p>
        </w:tc>
        <w:tc>
          <w:tcPr>
            <w:tcW w:w="966" w:type="dxa"/>
          </w:tcPr>
          <w:p w:rsidR="007F373F" w:rsidRDefault="00000000">
            <w:pPr>
              <w:spacing w:after="0"/>
              <w:jc w:val="right"/>
            </w:pPr>
            <w:r>
              <w:rPr>
                <w:sz w:val="20"/>
              </w:rPr>
              <w:t>20.4</w:t>
            </w:r>
          </w:p>
        </w:tc>
        <w:tc>
          <w:tcPr>
            <w:tcW w:w="1035" w:type="dxa"/>
          </w:tcPr>
          <w:p w:rsidR="007F373F" w:rsidRDefault="00000000">
            <w:pPr>
              <w:spacing w:after="0"/>
              <w:jc w:val="right"/>
            </w:pPr>
            <w:r>
              <w:rPr>
                <w:sz w:val="20"/>
              </w:rPr>
              <w:t>23.5</w:t>
            </w:r>
          </w:p>
        </w:tc>
        <w:tc>
          <w:tcPr>
            <w:tcW w:w="966" w:type="dxa"/>
          </w:tcPr>
          <w:p w:rsidR="007F373F" w:rsidRDefault="00000000">
            <w:pPr>
              <w:spacing w:after="0"/>
              <w:jc w:val="right"/>
            </w:pPr>
            <w:r>
              <w:rPr>
                <w:sz w:val="20"/>
              </w:rPr>
              <w:t>2.4</w:t>
            </w:r>
          </w:p>
        </w:tc>
        <w:tc>
          <w:tcPr>
            <w:tcW w:w="966" w:type="dxa"/>
          </w:tcPr>
          <w:p w:rsidR="007F373F" w:rsidRDefault="00000000">
            <w:pPr>
              <w:spacing w:after="0"/>
              <w:jc w:val="right"/>
            </w:pPr>
            <w:r>
              <w:rPr>
                <w:sz w:val="20"/>
              </w:rPr>
              <w:t>13.5</w:t>
            </w:r>
          </w:p>
        </w:tc>
        <w:tc>
          <w:tcPr>
            <w:tcW w:w="1104" w:type="dxa"/>
          </w:tcPr>
          <w:p w:rsidR="007F373F" w:rsidRDefault="00000000">
            <w:pPr>
              <w:spacing w:after="0"/>
              <w:jc w:val="right"/>
            </w:pPr>
            <w:r>
              <w:rPr>
                <w:sz w:val="20"/>
              </w:rPr>
              <w:t>61.2</w:t>
            </w:r>
          </w:p>
        </w:tc>
        <w:tc>
          <w:tcPr>
            <w:tcW w:w="1932" w:type="dxa"/>
          </w:tcPr>
          <w:p w:rsidR="007F373F" w:rsidRDefault="00000000">
            <w:pPr>
              <w:spacing w:after="0"/>
              <w:jc w:val="right"/>
            </w:pPr>
            <w:r>
              <w:rPr>
                <w:sz w:val="20"/>
              </w:rPr>
              <w:t>0.7</w:t>
            </w:r>
          </w:p>
        </w:tc>
      </w:tr>
      <w:tr w:rsidR="007F373F">
        <w:trPr>
          <w:jc w:val="center"/>
        </w:trPr>
        <w:tc>
          <w:tcPr>
            <w:tcW w:w="828" w:type="dxa"/>
          </w:tcPr>
          <w:p w:rsidR="007F373F" w:rsidRDefault="00000000">
            <w:pPr>
              <w:spacing w:after="0"/>
              <w:jc w:val="left"/>
            </w:pPr>
            <w:r>
              <w:rPr>
                <w:sz w:val="20"/>
              </w:rPr>
              <w:t>FY25</w:t>
            </w:r>
          </w:p>
        </w:tc>
        <w:tc>
          <w:tcPr>
            <w:tcW w:w="966" w:type="dxa"/>
          </w:tcPr>
          <w:p w:rsidR="007F373F" w:rsidRDefault="00000000">
            <w:pPr>
              <w:spacing w:after="0"/>
              <w:jc w:val="right"/>
            </w:pPr>
            <w:r>
              <w:rPr>
                <w:sz w:val="20"/>
              </w:rPr>
              <w:t>2.0</w:t>
            </w:r>
          </w:p>
        </w:tc>
        <w:tc>
          <w:tcPr>
            <w:tcW w:w="966" w:type="dxa"/>
          </w:tcPr>
          <w:p w:rsidR="007F373F" w:rsidRDefault="00000000">
            <w:pPr>
              <w:spacing w:after="0"/>
              <w:jc w:val="right"/>
            </w:pPr>
            <w:r>
              <w:rPr>
                <w:sz w:val="20"/>
              </w:rPr>
              <w:t>1.2</w:t>
            </w:r>
          </w:p>
        </w:tc>
        <w:tc>
          <w:tcPr>
            <w:tcW w:w="966" w:type="dxa"/>
          </w:tcPr>
          <w:p w:rsidR="007F373F" w:rsidRDefault="00000000">
            <w:pPr>
              <w:spacing w:after="0"/>
              <w:jc w:val="right"/>
            </w:pPr>
            <w:r>
              <w:rPr>
                <w:sz w:val="20"/>
              </w:rPr>
              <w:t>40.0</w:t>
            </w:r>
          </w:p>
        </w:tc>
        <w:tc>
          <w:tcPr>
            <w:tcW w:w="1035" w:type="dxa"/>
          </w:tcPr>
          <w:p w:rsidR="007F373F" w:rsidRDefault="00000000">
            <w:pPr>
              <w:spacing w:after="0"/>
              <w:jc w:val="right"/>
            </w:pPr>
            <w:r>
              <w:rPr>
                <w:sz w:val="20"/>
              </w:rPr>
              <w:t>21.9</w:t>
            </w:r>
          </w:p>
        </w:tc>
        <w:tc>
          <w:tcPr>
            <w:tcW w:w="966" w:type="dxa"/>
          </w:tcPr>
          <w:p w:rsidR="007F373F" w:rsidRDefault="00000000">
            <w:pPr>
              <w:spacing w:after="0"/>
              <w:jc w:val="right"/>
            </w:pPr>
            <w:r>
              <w:rPr>
                <w:sz w:val="20"/>
              </w:rPr>
              <w:t>1.8</w:t>
            </w:r>
          </w:p>
        </w:tc>
        <w:tc>
          <w:tcPr>
            <w:tcW w:w="966" w:type="dxa"/>
          </w:tcPr>
          <w:p w:rsidR="007F373F" w:rsidRDefault="00000000">
            <w:pPr>
              <w:spacing w:after="0"/>
              <w:jc w:val="right"/>
            </w:pPr>
            <w:r>
              <w:rPr>
                <w:sz w:val="20"/>
              </w:rPr>
              <w:t>9.4</w:t>
            </w:r>
          </w:p>
        </w:tc>
        <w:tc>
          <w:tcPr>
            <w:tcW w:w="1104" w:type="dxa"/>
          </w:tcPr>
          <w:p w:rsidR="007F373F" w:rsidRDefault="00000000">
            <w:pPr>
              <w:spacing w:after="0"/>
              <w:jc w:val="right"/>
            </w:pPr>
            <w:r>
              <w:rPr>
                <w:sz w:val="20"/>
              </w:rPr>
              <w:t>68.3</w:t>
            </w:r>
          </w:p>
        </w:tc>
        <w:tc>
          <w:tcPr>
            <w:tcW w:w="1932" w:type="dxa"/>
          </w:tcPr>
          <w:p w:rsidR="007F373F" w:rsidRDefault="00000000">
            <w:pPr>
              <w:spacing w:after="0"/>
              <w:jc w:val="right"/>
            </w:pPr>
            <w:r>
              <w:rPr>
                <w:sz w:val="20"/>
              </w:rPr>
              <w:t>1.8</w:t>
            </w:r>
          </w:p>
        </w:tc>
      </w:tr>
      <w:tr w:rsidR="007F373F">
        <w:trPr>
          <w:jc w:val="center"/>
        </w:trPr>
        <w:tc>
          <w:tcPr>
            <w:tcW w:w="828" w:type="dxa"/>
          </w:tcPr>
          <w:p w:rsidR="007F373F" w:rsidRDefault="00000000">
            <w:pPr>
              <w:spacing w:after="0"/>
              <w:jc w:val="left"/>
            </w:pPr>
            <w:r>
              <w:rPr>
                <w:sz w:val="20"/>
              </w:rPr>
              <w:t>FY26</w:t>
            </w:r>
          </w:p>
        </w:tc>
        <w:tc>
          <w:tcPr>
            <w:tcW w:w="966" w:type="dxa"/>
          </w:tcPr>
          <w:p w:rsidR="007F373F" w:rsidRDefault="00000000">
            <w:pPr>
              <w:spacing w:after="0"/>
              <w:jc w:val="right"/>
            </w:pPr>
            <w:r>
              <w:rPr>
                <w:sz w:val="20"/>
              </w:rPr>
              <w:t>1.9</w:t>
            </w:r>
          </w:p>
        </w:tc>
        <w:tc>
          <w:tcPr>
            <w:tcW w:w="966" w:type="dxa"/>
          </w:tcPr>
          <w:p w:rsidR="007F373F" w:rsidRDefault="00000000">
            <w:pPr>
              <w:spacing w:after="0"/>
              <w:jc w:val="right"/>
            </w:pPr>
            <w:r>
              <w:rPr>
                <w:sz w:val="20"/>
              </w:rPr>
              <w:t>1.3</w:t>
            </w:r>
          </w:p>
        </w:tc>
        <w:tc>
          <w:tcPr>
            <w:tcW w:w="966" w:type="dxa"/>
          </w:tcPr>
          <w:p w:rsidR="007F373F" w:rsidRDefault="00000000">
            <w:pPr>
              <w:spacing w:after="0"/>
              <w:jc w:val="right"/>
            </w:pPr>
            <w:r>
              <w:rPr>
                <w:sz w:val="20"/>
              </w:rPr>
              <w:t>32.3</w:t>
            </w:r>
          </w:p>
        </w:tc>
        <w:tc>
          <w:tcPr>
            <w:tcW w:w="1035" w:type="dxa"/>
          </w:tcPr>
          <w:p w:rsidR="007F373F" w:rsidRDefault="00000000">
            <w:pPr>
              <w:spacing w:after="0"/>
              <w:jc w:val="right"/>
            </w:pPr>
            <w:r>
              <w:rPr>
                <w:sz w:val="20"/>
              </w:rPr>
              <w:t>22.4</w:t>
            </w:r>
          </w:p>
        </w:tc>
        <w:tc>
          <w:tcPr>
            <w:tcW w:w="966" w:type="dxa"/>
          </w:tcPr>
          <w:p w:rsidR="007F373F" w:rsidRDefault="00000000">
            <w:pPr>
              <w:spacing w:after="0"/>
              <w:jc w:val="right"/>
            </w:pPr>
            <w:r>
              <w:rPr>
                <w:sz w:val="20"/>
              </w:rPr>
              <w:t>2.4</w:t>
            </w:r>
          </w:p>
        </w:tc>
        <w:tc>
          <w:tcPr>
            <w:tcW w:w="966" w:type="dxa"/>
          </w:tcPr>
          <w:p w:rsidR="007F373F" w:rsidRDefault="00000000">
            <w:pPr>
              <w:spacing w:after="0"/>
              <w:jc w:val="right"/>
            </w:pPr>
            <w:r>
              <w:rPr>
                <w:sz w:val="20"/>
              </w:rPr>
              <w:t>12.6</w:t>
            </w:r>
          </w:p>
        </w:tc>
        <w:tc>
          <w:tcPr>
            <w:tcW w:w="1104" w:type="dxa"/>
          </w:tcPr>
          <w:p w:rsidR="007F373F" w:rsidRDefault="00000000">
            <w:pPr>
              <w:spacing w:after="0"/>
              <w:jc w:val="right"/>
            </w:pPr>
            <w:r>
              <w:rPr>
                <w:sz w:val="20"/>
              </w:rPr>
              <w:t>78.2</w:t>
            </w:r>
          </w:p>
        </w:tc>
        <w:tc>
          <w:tcPr>
            <w:tcW w:w="1932" w:type="dxa"/>
          </w:tcPr>
          <w:p w:rsidR="007F373F" w:rsidRDefault="00000000">
            <w:pPr>
              <w:spacing w:after="0"/>
              <w:jc w:val="right"/>
            </w:pPr>
            <w:r>
              <w:rPr>
                <w:sz w:val="20"/>
              </w:rPr>
              <w:t>0.8</w:t>
            </w:r>
          </w:p>
        </w:tc>
      </w:tr>
    </w:tbl>
    <w:p w:rsidR="007F373F" w:rsidRDefault="00000000">
      <w:pPr>
        <w:spacing w:before="40" w:after="80"/>
      </w:pPr>
      <w:r>
        <w:rPr>
          <w:i/>
          <w:sz w:val="18"/>
        </w:rPr>
        <w:t>Source: Fedfina Annual Report 2023-24, Fedfina Annual Report 2024-25, Fedfina Annual Report 2025-26 – KPI charts and Directors’ Reports; credit cost from Key Highlights FY24–FY26.</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208"/>
        <w:gridCol w:w="938"/>
        <w:gridCol w:w="938"/>
        <w:gridCol w:w="938"/>
        <w:gridCol w:w="938"/>
        <w:gridCol w:w="938"/>
        <w:gridCol w:w="938"/>
        <w:gridCol w:w="938"/>
        <w:gridCol w:w="952"/>
      </w:tblGrid>
      <w:tr w:rsidR="007F373F">
        <w:trPr>
          <w:jc w:val="center"/>
        </w:trPr>
        <w:tc>
          <w:tcPr>
            <w:tcW w:w="2208" w:type="dxa"/>
          </w:tcPr>
          <w:p w:rsidR="007F373F" w:rsidRDefault="00000000">
            <w:pPr>
              <w:spacing w:after="0"/>
              <w:jc w:val="left"/>
            </w:pPr>
            <w:r>
              <w:rPr>
                <w:b/>
                <w:sz w:val="19"/>
              </w:rPr>
              <w:t>Eight-year series</w:t>
            </w:r>
          </w:p>
        </w:tc>
        <w:tc>
          <w:tcPr>
            <w:tcW w:w="938" w:type="dxa"/>
          </w:tcPr>
          <w:p w:rsidR="007F373F" w:rsidRDefault="00000000">
            <w:pPr>
              <w:spacing w:after="0"/>
              <w:jc w:val="left"/>
            </w:pPr>
            <w:r>
              <w:rPr>
                <w:b/>
                <w:sz w:val="19"/>
              </w:rPr>
              <w:t>FY19</w:t>
            </w:r>
          </w:p>
        </w:tc>
        <w:tc>
          <w:tcPr>
            <w:tcW w:w="938" w:type="dxa"/>
          </w:tcPr>
          <w:p w:rsidR="007F373F" w:rsidRDefault="00000000">
            <w:pPr>
              <w:spacing w:after="0"/>
              <w:jc w:val="left"/>
            </w:pPr>
            <w:r>
              <w:rPr>
                <w:b/>
                <w:sz w:val="19"/>
              </w:rPr>
              <w:t>FY20</w:t>
            </w:r>
          </w:p>
        </w:tc>
        <w:tc>
          <w:tcPr>
            <w:tcW w:w="938" w:type="dxa"/>
          </w:tcPr>
          <w:p w:rsidR="007F373F" w:rsidRDefault="00000000">
            <w:pPr>
              <w:spacing w:after="0"/>
              <w:jc w:val="left"/>
            </w:pPr>
            <w:r>
              <w:rPr>
                <w:b/>
                <w:sz w:val="19"/>
              </w:rPr>
              <w:t>FY21</w:t>
            </w:r>
          </w:p>
        </w:tc>
        <w:tc>
          <w:tcPr>
            <w:tcW w:w="938" w:type="dxa"/>
          </w:tcPr>
          <w:p w:rsidR="007F373F" w:rsidRDefault="00000000">
            <w:pPr>
              <w:spacing w:after="0"/>
              <w:jc w:val="left"/>
            </w:pPr>
            <w:r>
              <w:rPr>
                <w:b/>
                <w:sz w:val="19"/>
              </w:rPr>
              <w:t>FY22</w:t>
            </w:r>
          </w:p>
        </w:tc>
        <w:tc>
          <w:tcPr>
            <w:tcW w:w="938" w:type="dxa"/>
          </w:tcPr>
          <w:p w:rsidR="007F373F" w:rsidRDefault="00000000">
            <w:pPr>
              <w:spacing w:after="0"/>
              <w:jc w:val="left"/>
            </w:pPr>
            <w:r>
              <w:rPr>
                <w:b/>
                <w:sz w:val="19"/>
              </w:rPr>
              <w:t>FY23</w:t>
            </w:r>
          </w:p>
        </w:tc>
        <w:tc>
          <w:tcPr>
            <w:tcW w:w="938" w:type="dxa"/>
          </w:tcPr>
          <w:p w:rsidR="007F373F" w:rsidRDefault="00000000">
            <w:pPr>
              <w:spacing w:after="0"/>
              <w:jc w:val="left"/>
            </w:pPr>
            <w:r>
              <w:rPr>
                <w:b/>
                <w:sz w:val="19"/>
              </w:rPr>
              <w:t>FY24</w:t>
            </w:r>
          </w:p>
        </w:tc>
        <w:tc>
          <w:tcPr>
            <w:tcW w:w="938" w:type="dxa"/>
          </w:tcPr>
          <w:p w:rsidR="007F373F" w:rsidRDefault="00000000">
            <w:pPr>
              <w:spacing w:after="0"/>
              <w:jc w:val="left"/>
            </w:pPr>
            <w:r>
              <w:rPr>
                <w:b/>
                <w:sz w:val="19"/>
              </w:rPr>
              <w:t>FY25</w:t>
            </w:r>
          </w:p>
        </w:tc>
        <w:tc>
          <w:tcPr>
            <w:tcW w:w="952" w:type="dxa"/>
          </w:tcPr>
          <w:p w:rsidR="007F373F" w:rsidRDefault="00000000">
            <w:pPr>
              <w:spacing w:after="0"/>
              <w:jc w:val="left"/>
            </w:pPr>
            <w:r>
              <w:rPr>
                <w:b/>
                <w:sz w:val="19"/>
              </w:rPr>
              <w:t>FY26</w:t>
            </w:r>
          </w:p>
        </w:tc>
      </w:tr>
      <w:tr w:rsidR="007F373F">
        <w:trPr>
          <w:jc w:val="center"/>
        </w:trPr>
        <w:tc>
          <w:tcPr>
            <w:tcW w:w="2208" w:type="dxa"/>
          </w:tcPr>
          <w:p w:rsidR="007F373F" w:rsidRDefault="00000000">
            <w:pPr>
              <w:spacing w:after="0"/>
              <w:jc w:val="left"/>
            </w:pPr>
            <w:r>
              <w:rPr>
                <w:sz w:val="19"/>
              </w:rPr>
              <w:t>GNPA %</w:t>
            </w:r>
          </w:p>
        </w:tc>
        <w:tc>
          <w:tcPr>
            <w:tcW w:w="938" w:type="dxa"/>
          </w:tcPr>
          <w:p w:rsidR="007F373F" w:rsidRDefault="00000000">
            <w:pPr>
              <w:spacing w:after="0"/>
              <w:jc w:val="right"/>
            </w:pPr>
            <w:r>
              <w:rPr>
                <w:sz w:val="19"/>
              </w:rPr>
              <w:t>2.3</w:t>
            </w:r>
          </w:p>
        </w:tc>
        <w:tc>
          <w:tcPr>
            <w:tcW w:w="938" w:type="dxa"/>
          </w:tcPr>
          <w:p w:rsidR="007F373F" w:rsidRDefault="00000000">
            <w:pPr>
              <w:spacing w:after="0"/>
              <w:jc w:val="right"/>
            </w:pPr>
            <w:r>
              <w:rPr>
                <w:sz w:val="19"/>
              </w:rPr>
              <w:t>1.4</w:t>
            </w:r>
          </w:p>
        </w:tc>
        <w:tc>
          <w:tcPr>
            <w:tcW w:w="938" w:type="dxa"/>
          </w:tcPr>
          <w:p w:rsidR="007F373F" w:rsidRDefault="00000000">
            <w:pPr>
              <w:spacing w:after="0"/>
              <w:jc w:val="right"/>
            </w:pPr>
            <w:r>
              <w:rPr>
                <w:sz w:val="19"/>
              </w:rPr>
              <w:t>1.0</w:t>
            </w:r>
          </w:p>
        </w:tc>
        <w:tc>
          <w:tcPr>
            <w:tcW w:w="938" w:type="dxa"/>
          </w:tcPr>
          <w:p w:rsidR="007F373F" w:rsidRDefault="00000000">
            <w:pPr>
              <w:spacing w:after="0"/>
              <w:jc w:val="right"/>
            </w:pPr>
            <w:r>
              <w:rPr>
                <w:sz w:val="19"/>
              </w:rPr>
              <w:t>2.2</w:t>
            </w:r>
          </w:p>
        </w:tc>
        <w:tc>
          <w:tcPr>
            <w:tcW w:w="938" w:type="dxa"/>
          </w:tcPr>
          <w:p w:rsidR="007F373F" w:rsidRDefault="00000000">
            <w:pPr>
              <w:spacing w:after="0"/>
              <w:jc w:val="right"/>
            </w:pPr>
            <w:r>
              <w:rPr>
                <w:sz w:val="19"/>
              </w:rPr>
              <w:t>2.0</w:t>
            </w:r>
          </w:p>
        </w:tc>
        <w:tc>
          <w:tcPr>
            <w:tcW w:w="938" w:type="dxa"/>
          </w:tcPr>
          <w:p w:rsidR="007F373F" w:rsidRDefault="00000000">
            <w:pPr>
              <w:spacing w:after="0"/>
              <w:jc w:val="right"/>
            </w:pPr>
            <w:r>
              <w:rPr>
                <w:sz w:val="19"/>
              </w:rPr>
              <w:t>1.7</w:t>
            </w:r>
          </w:p>
        </w:tc>
        <w:tc>
          <w:tcPr>
            <w:tcW w:w="938" w:type="dxa"/>
          </w:tcPr>
          <w:p w:rsidR="007F373F" w:rsidRDefault="00000000">
            <w:pPr>
              <w:spacing w:after="0"/>
              <w:jc w:val="right"/>
            </w:pPr>
            <w:r>
              <w:rPr>
                <w:sz w:val="19"/>
              </w:rPr>
              <w:t>2.0</w:t>
            </w:r>
          </w:p>
        </w:tc>
        <w:tc>
          <w:tcPr>
            <w:tcW w:w="952" w:type="dxa"/>
          </w:tcPr>
          <w:p w:rsidR="007F373F" w:rsidRDefault="00000000">
            <w:pPr>
              <w:spacing w:after="0"/>
              <w:jc w:val="right"/>
            </w:pPr>
            <w:r>
              <w:rPr>
                <w:sz w:val="19"/>
              </w:rPr>
              <w:t>1.9</w:t>
            </w:r>
          </w:p>
        </w:tc>
      </w:tr>
      <w:tr w:rsidR="007F373F">
        <w:trPr>
          <w:jc w:val="center"/>
        </w:trPr>
        <w:tc>
          <w:tcPr>
            <w:tcW w:w="2208" w:type="dxa"/>
          </w:tcPr>
          <w:p w:rsidR="007F373F" w:rsidRDefault="00000000">
            <w:pPr>
              <w:spacing w:after="0"/>
              <w:jc w:val="left"/>
            </w:pPr>
            <w:r>
              <w:rPr>
                <w:sz w:val="19"/>
              </w:rPr>
              <w:t>NNPA %</w:t>
            </w:r>
          </w:p>
        </w:tc>
        <w:tc>
          <w:tcPr>
            <w:tcW w:w="938" w:type="dxa"/>
          </w:tcPr>
          <w:p w:rsidR="007F373F" w:rsidRDefault="00000000">
            <w:pPr>
              <w:spacing w:after="0"/>
              <w:jc w:val="right"/>
            </w:pPr>
            <w:r>
              <w:rPr>
                <w:sz w:val="19"/>
              </w:rPr>
              <w:t>1.9</w:t>
            </w:r>
          </w:p>
        </w:tc>
        <w:tc>
          <w:tcPr>
            <w:tcW w:w="938" w:type="dxa"/>
          </w:tcPr>
          <w:p w:rsidR="007F373F" w:rsidRDefault="00000000">
            <w:pPr>
              <w:spacing w:after="0"/>
              <w:jc w:val="right"/>
            </w:pPr>
            <w:r>
              <w:rPr>
                <w:sz w:val="19"/>
              </w:rPr>
              <w:t>1.1</w:t>
            </w:r>
          </w:p>
        </w:tc>
        <w:tc>
          <w:tcPr>
            <w:tcW w:w="938" w:type="dxa"/>
          </w:tcPr>
          <w:p w:rsidR="007F373F" w:rsidRDefault="00000000">
            <w:pPr>
              <w:spacing w:after="0"/>
              <w:jc w:val="right"/>
            </w:pPr>
            <w:r>
              <w:rPr>
                <w:sz w:val="19"/>
              </w:rPr>
              <w:t>0.7</w:t>
            </w:r>
          </w:p>
        </w:tc>
        <w:tc>
          <w:tcPr>
            <w:tcW w:w="938" w:type="dxa"/>
          </w:tcPr>
          <w:p w:rsidR="007F373F" w:rsidRDefault="00000000">
            <w:pPr>
              <w:spacing w:after="0"/>
              <w:jc w:val="right"/>
            </w:pPr>
            <w:r>
              <w:rPr>
                <w:sz w:val="19"/>
              </w:rPr>
              <w:t>1.8</w:t>
            </w:r>
          </w:p>
        </w:tc>
        <w:tc>
          <w:tcPr>
            <w:tcW w:w="938" w:type="dxa"/>
          </w:tcPr>
          <w:p w:rsidR="007F373F" w:rsidRDefault="00000000">
            <w:pPr>
              <w:spacing w:after="0"/>
              <w:jc w:val="right"/>
            </w:pPr>
            <w:r>
              <w:rPr>
                <w:sz w:val="19"/>
              </w:rPr>
              <w:t>1.6</w:t>
            </w:r>
          </w:p>
        </w:tc>
        <w:tc>
          <w:tcPr>
            <w:tcW w:w="938" w:type="dxa"/>
          </w:tcPr>
          <w:p w:rsidR="007F373F" w:rsidRDefault="00000000">
            <w:pPr>
              <w:spacing w:after="0"/>
              <w:jc w:val="right"/>
            </w:pPr>
            <w:r>
              <w:rPr>
                <w:sz w:val="19"/>
              </w:rPr>
              <w:t>1.3</w:t>
            </w:r>
          </w:p>
        </w:tc>
        <w:tc>
          <w:tcPr>
            <w:tcW w:w="938" w:type="dxa"/>
          </w:tcPr>
          <w:p w:rsidR="007F373F" w:rsidRDefault="00000000">
            <w:pPr>
              <w:spacing w:after="0"/>
              <w:jc w:val="right"/>
            </w:pPr>
            <w:r>
              <w:rPr>
                <w:sz w:val="19"/>
              </w:rPr>
              <w:t>1.2</w:t>
            </w:r>
          </w:p>
        </w:tc>
        <w:tc>
          <w:tcPr>
            <w:tcW w:w="952" w:type="dxa"/>
          </w:tcPr>
          <w:p w:rsidR="007F373F" w:rsidRDefault="00000000">
            <w:pPr>
              <w:spacing w:after="0"/>
              <w:jc w:val="right"/>
            </w:pPr>
            <w:r>
              <w:rPr>
                <w:sz w:val="19"/>
              </w:rPr>
              <w:t>1.3</w:t>
            </w:r>
          </w:p>
        </w:tc>
      </w:tr>
      <w:tr w:rsidR="007F373F">
        <w:trPr>
          <w:jc w:val="center"/>
        </w:trPr>
        <w:tc>
          <w:tcPr>
            <w:tcW w:w="2208" w:type="dxa"/>
          </w:tcPr>
          <w:p w:rsidR="007F373F" w:rsidRDefault="00000000">
            <w:pPr>
              <w:spacing w:after="0"/>
              <w:jc w:val="left"/>
            </w:pPr>
            <w:r>
              <w:rPr>
                <w:sz w:val="19"/>
              </w:rPr>
              <w:t>CRAR %</w:t>
            </w:r>
          </w:p>
        </w:tc>
        <w:tc>
          <w:tcPr>
            <w:tcW w:w="938" w:type="dxa"/>
          </w:tcPr>
          <w:p w:rsidR="007F373F" w:rsidRDefault="00000000">
            <w:pPr>
              <w:spacing w:after="0"/>
              <w:jc w:val="right"/>
            </w:pPr>
            <w:r>
              <w:rPr>
                <w:sz w:val="19"/>
              </w:rPr>
              <w:t>21.6</w:t>
            </w:r>
          </w:p>
        </w:tc>
        <w:tc>
          <w:tcPr>
            <w:tcW w:w="938" w:type="dxa"/>
          </w:tcPr>
          <w:p w:rsidR="007F373F" w:rsidRDefault="00000000">
            <w:pPr>
              <w:spacing w:after="0"/>
              <w:jc w:val="right"/>
            </w:pPr>
            <w:r>
              <w:rPr>
                <w:sz w:val="19"/>
              </w:rPr>
              <w:t>17.9</w:t>
            </w:r>
          </w:p>
        </w:tc>
        <w:tc>
          <w:tcPr>
            <w:tcW w:w="938" w:type="dxa"/>
          </w:tcPr>
          <w:p w:rsidR="007F373F" w:rsidRDefault="00000000">
            <w:pPr>
              <w:spacing w:after="0"/>
              <w:jc w:val="right"/>
            </w:pPr>
            <w:r>
              <w:rPr>
                <w:sz w:val="19"/>
              </w:rPr>
              <w:t>23.5</w:t>
            </w:r>
          </w:p>
        </w:tc>
        <w:tc>
          <w:tcPr>
            <w:tcW w:w="938" w:type="dxa"/>
          </w:tcPr>
          <w:p w:rsidR="007F373F" w:rsidRDefault="00000000">
            <w:pPr>
              <w:spacing w:after="0"/>
              <w:jc w:val="right"/>
            </w:pPr>
            <w:r>
              <w:rPr>
                <w:sz w:val="19"/>
              </w:rPr>
              <w:t>23.0</w:t>
            </w:r>
          </w:p>
        </w:tc>
        <w:tc>
          <w:tcPr>
            <w:tcW w:w="938" w:type="dxa"/>
          </w:tcPr>
          <w:p w:rsidR="007F373F" w:rsidRDefault="00000000">
            <w:pPr>
              <w:spacing w:after="0"/>
              <w:jc w:val="right"/>
            </w:pPr>
            <w:r>
              <w:rPr>
                <w:sz w:val="19"/>
              </w:rPr>
              <w:t>17.9</w:t>
            </w:r>
          </w:p>
        </w:tc>
        <w:tc>
          <w:tcPr>
            <w:tcW w:w="938" w:type="dxa"/>
          </w:tcPr>
          <w:p w:rsidR="007F373F" w:rsidRDefault="00000000">
            <w:pPr>
              <w:spacing w:after="0"/>
              <w:jc w:val="right"/>
            </w:pPr>
            <w:r>
              <w:rPr>
                <w:sz w:val="19"/>
              </w:rPr>
              <w:t>23.5</w:t>
            </w:r>
          </w:p>
        </w:tc>
        <w:tc>
          <w:tcPr>
            <w:tcW w:w="938" w:type="dxa"/>
          </w:tcPr>
          <w:p w:rsidR="007F373F" w:rsidRDefault="00000000">
            <w:pPr>
              <w:spacing w:after="0"/>
              <w:jc w:val="right"/>
            </w:pPr>
            <w:r>
              <w:rPr>
                <w:sz w:val="19"/>
              </w:rPr>
              <w:t>21.9</w:t>
            </w:r>
          </w:p>
        </w:tc>
        <w:tc>
          <w:tcPr>
            <w:tcW w:w="952" w:type="dxa"/>
          </w:tcPr>
          <w:p w:rsidR="007F373F" w:rsidRDefault="00000000">
            <w:pPr>
              <w:spacing w:after="0"/>
              <w:jc w:val="right"/>
            </w:pPr>
            <w:r>
              <w:rPr>
                <w:sz w:val="19"/>
              </w:rPr>
              <w:t>22.4</w:t>
            </w:r>
          </w:p>
        </w:tc>
      </w:tr>
      <w:tr w:rsidR="007F373F">
        <w:trPr>
          <w:jc w:val="center"/>
        </w:trPr>
        <w:tc>
          <w:tcPr>
            <w:tcW w:w="2208" w:type="dxa"/>
          </w:tcPr>
          <w:p w:rsidR="007F373F" w:rsidRDefault="00000000">
            <w:pPr>
              <w:spacing w:after="0"/>
              <w:jc w:val="left"/>
            </w:pPr>
            <w:r>
              <w:rPr>
                <w:sz w:val="19"/>
              </w:rPr>
              <w:t>RoA %</w:t>
            </w:r>
          </w:p>
        </w:tc>
        <w:tc>
          <w:tcPr>
            <w:tcW w:w="938" w:type="dxa"/>
          </w:tcPr>
          <w:p w:rsidR="007F373F" w:rsidRDefault="00000000">
            <w:pPr>
              <w:spacing w:after="0"/>
              <w:jc w:val="right"/>
            </w:pPr>
            <w:r>
              <w:rPr>
                <w:sz w:val="19"/>
              </w:rPr>
              <w:t>2.0</w:t>
            </w:r>
          </w:p>
        </w:tc>
        <w:tc>
          <w:tcPr>
            <w:tcW w:w="938" w:type="dxa"/>
          </w:tcPr>
          <w:p w:rsidR="007F373F" w:rsidRDefault="00000000">
            <w:pPr>
              <w:spacing w:after="0"/>
              <w:jc w:val="right"/>
            </w:pPr>
            <w:r>
              <w:rPr>
                <w:sz w:val="19"/>
              </w:rPr>
              <w:t>1.3</w:t>
            </w:r>
          </w:p>
        </w:tc>
        <w:tc>
          <w:tcPr>
            <w:tcW w:w="938" w:type="dxa"/>
          </w:tcPr>
          <w:p w:rsidR="007F373F" w:rsidRDefault="00000000">
            <w:pPr>
              <w:spacing w:after="0"/>
              <w:jc w:val="right"/>
            </w:pPr>
            <w:r>
              <w:rPr>
                <w:sz w:val="19"/>
              </w:rPr>
              <w:t>1.3</w:t>
            </w:r>
          </w:p>
        </w:tc>
        <w:tc>
          <w:tcPr>
            <w:tcW w:w="938" w:type="dxa"/>
          </w:tcPr>
          <w:p w:rsidR="007F373F" w:rsidRDefault="00000000">
            <w:pPr>
              <w:spacing w:after="0"/>
              <w:jc w:val="right"/>
            </w:pPr>
            <w:r>
              <w:rPr>
                <w:sz w:val="19"/>
              </w:rPr>
              <w:t>1.7</w:t>
            </w:r>
          </w:p>
        </w:tc>
        <w:tc>
          <w:tcPr>
            <w:tcW w:w="938" w:type="dxa"/>
          </w:tcPr>
          <w:p w:rsidR="007F373F" w:rsidRDefault="00000000">
            <w:pPr>
              <w:spacing w:after="0"/>
              <w:jc w:val="right"/>
            </w:pPr>
            <w:r>
              <w:rPr>
                <w:sz w:val="19"/>
              </w:rPr>
              <w:t>2.3</w:t>
            </w:r>
          </w:p>
        </w:tc>
        <w:tc>
          <w:tcPr>
            <w:tcW w:w="938" w:type="dxa"/>
          </w:tcPr>
          <w:p w:rsidR="007F373F" w:rsidRDefault="00000000">
            <w:pPr>
              <w:spacing w:after="0"/>
              <w:jc w:val="right"/>
            </w:pPr>
            <w:r>
              <w:rPr>
                <w:sz w:val="19"/>
              </w:rPr>
              <w:t>2.4</w:t>
            </w:r>
          </w:p>
        </w:tc>
        <w:tc>
          <w:tcPr>
            <w:tcW w:w="938" w:type="dxa"/>
          </w:tcPr>
          <w:p w:rsidR="007F373F" w:rsidRDefault="00000000">
            <w:pPr>
              <w:spacing w:after="0"/>
              <w:jc w:val="right"/>
            </w:pPr>
            <w:r>
              <w:rPr>
                <w:sz w:val="19"/>
              </w:rPr>
              <w:t>1.8</w:t>
            </w:r>
          </w:p>
        </w:tc>
        <w:tc>
          <w:tcPr>
            <w:tcW w:w="952" w:type="dxa"/>
          </w:tcPr>
          <w:p w:rsidR="007F373F" w:rsidRDefault="00000000">
            <w:pPr>
              <w:spacing w:after="0"/>
              <w:jc w:val="right"/>
            </w:pPr>
            <w:r>
              <w:rPr>
                <w:sz w:val="19"/>
              </w:rPr>
              <w:t>2.4</w:t>
            </w:r>
          </w:p>
        </w:tc>
      </w:tr>
      <w:tr w:rsidR="007F373F">
        <w:trPr>
          <w:jc w:val="center"/>
        </w:trPr>
        <w:tc>
          <w:tcPr>
            <w:tcW w:w="2208" w:type="dxa"/>
          </w:tcPr>
          <w:p w:rsidR="007F373F" w:rsidRDefault="00000000">
            <w:pPr>
              <w:spacing w:after="0"/>
              <w:jc w:val="left"/>
            </w:pPr>
            <w:r>
              <w:rPr>
                <w:sz w:val="19"/>
              </w:rPr>
              <w:t>RoE %</w:t>
            </w:r>
          </w:p>
        </w:tc>
        <w:tc>
          <w:tcPr>
            <w:tcW w:w="938" w:type="dxa"/>
          </w:tcPr>
          <w:p w:rsidR="007F373F" w:rsidRDefault="00000000">
            <w:pPr>
              <w:spacing w:after="0"/>
              <w:jc w:val="right"/>
            </w:pPr>
            <w:r>
              <w:rPr>
                <w:sz w:val="19"/>
              </w:rPr>
              <w:t>10.1</w:t>
            </w:r>
          </w:p>
        </w:tc>
        <w:tc>
          <w:tcPr>
            <w:tcW w:w="938" w:type="dxa"/>
          </w:tcPr>
          <w:p w:rsidR="007F373F" w:rsidRDefault="00000000">
            <w:pPr>
              <w:spacing w:after="0"/>
              <w:jc w:val="right"/>
            </w:pPr>
            <w:r>
              <w:rPr>
                <w:sz w:val="19"/>
              </w:rPr>
              <w:t>6.8</w:t>
            </w:r>
          </w:p>
        </w:tc>
        <w:tc>
          <w:tcPr>
            <w:tcW w:w="938" w:type="dxa"/>
          </w:tcPr>
          <w:p w:rsidR="007F373F" w:rsidRDefault="00000000">
            <w:pPr>
              <w:spacing w:after="0"/>
              <w:jc w:val="right"/>
            </w:pPr>
            <w:r>
              <w:rPr>
                <w:sz w:val="19"/>
              </w:rPr>
              <w:t>8.1</w:t>
            </w:r>
          </w:p>
        </w:tc>
        <w:tc>
          <w:tcPr>
            <w:tcW w:w="938" w:type="dxa"/>
          </w:tcPr>
          <w:p w:rsidR="007F373F" w:rsidRDefault="00000000">
            <w:pPr>
              <w:spacing w:after="0"/>
              <w:jc w:val="right"/>
            </w:pPr>
            <w:r>
              <w:rPr>
                <w:sz w:val="19"/>
              </w:rPr>
              <w:t>10.4</w:t>
            </w:r>
          </w:p>
        </w:tc>
        <w:tc>
          <w:tcPr>
            <w:tcW w:w="938" w:type="dxa"/>
          </w:tcPr>
          <w:p w:rsidR="007F373F" w:rsidRDefault="00000000">
            <w:pPr>
              <w:spacing w:after="0"/>
              <w:jc w:val="right"/>
            </w:pPr>
            <w:r>
              <w:rPr>
                <w:sz w:val="19"/>
              </w:rPr>
              <w:t>14.4</w:t>
            </w:r>
          </w:p>
        </w:tc>
        <w:tc>
          <w:tcPr>
            <w:tcW w:w="938" w:type="dxa"/>
          </w:tcPr>
          <w:p w:rsidR="007F373F" w:rsidRDefault="00000000">
            <w:pPr>
              <w:spacing w:after="0"/>
              <w:jc w:val="right"/>
            </w:pPr>
            <w:r>
              <w:rPr>
                <w:sz w:val="19"/>
              </w:rPr>
              <w:t>13.5</w:t>
            </w:r>
          </w:p>
        </w:tc>
        <w:tc>
          <w:tcPr>
            <w:tcW w:w="938" w:type="dxa"/>
          </w:tcPr>
          <w:p w:rsidR="007F373F" w:rsidRDefault="00000000">
            <w:pPr>
              <w:spacing w:after="0"/>
              <w:jc w:val="right"/>
            </w:pPr>
            <w:r>
              <w:rPr>
                <w:sz w:val="19"/>
              </w:rPr>
              <w:t>9.4</w:t>
            </w:r>
          </w:p>
        </w:tc>
        <w:tc>
          <w:tcPr>
            <w:tcW w:w="952" w:type="dxa"/>
          </w:tcPr>
          <w:p w:rsidR="007F373F" w:rsidRDefault="00000000">
            <w:pPr>
              <w:spacing w:after="0"/>
              <w:jc w:val="right"/>
            </w:pPr>
            <w:r>
              <w:rPr>
                <w:sz w:val="19"/>
              </w:rPr>
              <w:t>12.6</w:t>
            </w:r>
          </w:p>
        </w:tc>
      </w:tr>
      <w:tr w:rsidR="007F373F">
        <w:trPr>
          <w:jc w:val="center"/>
        </w:trPr>
        <w:tc>
          <w:tcPr>
            <w:tcW w:w="2208" w:type="dxa"/>
          </w:tcPr>
          <w:p w:rsidR="007F373F" w:rsidRDefault="00000000">
            <w:pPr>
              <w:spacing w:after="0"/>
              <w:jc w:val="left"/>
            </w:pPr>
            <w:r>
              <w:rPr>
                <w:sz w:val="19"/>
              </w:rPr>
              <w:t>Book value / share ₹</w:t>
            </w:r>
          </w:p>
        </w:tc>
        <w:tc>
          <w:tcPr>
            <w:tcW w:w="938" w:type="dxa"/>
          </w:tcPr>
          <w:p w:rsidR="007F373F" w:rsidRDefault="00000000">
            <w:pPr>
              <w:spacing w:after="0"/>
              <w:jc w:val="right"/>
            </w:pPr>
            <w:r>
              <w:rPr>
                <w:sz w:val="19"/>
              </w:rPr>
              <w:t>19.9</w:t>
            </w:r>
          </w:p>
        </w:tc>
        <w:tc>
          <w:tcPr>
            <w:tcW w:w="938" w:type="dxa"/>
          </w:tcPr>
          <w:p w:rsidR="007F373F" w:rsidRDefault="00000000">
            <w:pPr>
              <w:spacing w:after="0"/>
              <w:jc w:val="right"/>
            </w:pPr>
            <w:r>
              <w:rPr>
                <w:sz w:val="19"/>
              </w:rPr>
              <w:t>25.3</w:t>
            </w:r>
          </w:p>
        </w:tc>
        <w:tc>
          <w:tcPr>
            <w:tcW w:w="938" w:type="dxa"/>
          </w:tcPr>
          <w:p w:rsidR="007F373F" w:rsidRDefault="00000000">
            <w:pPr>
              <w:spacing w:after="0"/>
              <w:jc w:val="right"/>
            </w:pPr>
            <w:r>
              <w:rPr>
                <w:sz w:val="19"/>
              </w:rPr>
              <w:t>28.8</w:t>
            </w:r>
          </w:p>
        </w:tc>
        <w:tc>
          <w:tcPr>
            <w:tcW w:w="938" w:type="dxa"/>
          </w:tcPr>
          <w:p w:rsidR="007F373F" w:rsidRDefault="00000000">
            <w:pPr>
              <w:spacing w:after="0"/>
              <w:jc w:val="right"/>
            </w:pPr>
            <w:r>
              <w:rPr>
                <w:sz w:val="19"/>
              </w:rPr>
              <w:t>35.9</w:t>
            </w:r>
          </w:p>
        </w:tc>
        <w:tc>
          <w:tcPr>
            <w:tcW w:w="938" w:type="dxa"/>
          </w:tcPr>
          <w:p w:rsidR="007F373F" w:rsidRDefault="00000000">
            <w:pPr>
              <w:spacing w:after="0"/>
              <w:jc w:val="right"/>
            </w:pPr>
            <w:r>
              <w:rPr>
                <w:sz w:val="19"/>
              </w:rPr>
              <w:t>42.1</w:t>
            </w:r>
          </w:p>
        </w:tc>
        <w:tc>
          <w:tcPr>
            <w:tcW w:w="938" w:type="dxa"/>
          </w:tcPr>
          <w:p w:rsidR="007F373F" w:rsidRDefault="00000000">
            <w:pPr>
              <w:spacing w:after="0"/>
              <w:jc w:val="right"/>
            </w:pPr>
            <w:r>
              <w:rPr>
                <w:sz w:val="19"/>
              </w:rPr>
              <w:t>61.2</w:t>
            </w:r>
          </w:p>
        </w:tc>
        <w:tc>
          <w:tcPr>
            <w:tcW w:w="938" w:type="dxa"/>
          </w:tcPr>
          <w:p w:rsidR="007F373F" w:rsidRDefault="00000000">
            <w:pPr>
              <w:spacing w:after="0"/>
              <w:jc w:val="right"/>
            </w:pPr>
            <w:r>
              <w:rPr>
                <w:sz w:val="19"/>
              </w:rPr>
              <w:t>68.3</w:t>
            </w:r>
          </w:p>
        </w:tc>
        <w:tc>
          <w:tcPr>
            <w:tcW w:w="952" w:type="dxa"/>
          </w:tcPr>
          <w:p w:rsidR="007F373F" w:rsidRDefault="00000000">
            <w:pPr>
              <w:spacing w:after="0"/>
              <w:jc w:val="right"/>
            </w:pPr>
            <w:r>
              <w:rPr>
                <w:sz w:val="19"/>
              </w:rPr>
              <w:t>78.2</w:t>
            </w:r>
          </w:p>
        </w:tc>
      </w:tr>
      <w:tr w:rsidR="007F373F">
        <w:trPr>
          <w:jc w:val="center"/>
        </w:trPr>
        <w:tc>
          <w:tcPr>
            <w:tcW w:w="2208" w:type="dxa"/>
          </w:tcPr>
          <w:p w:rsidR="007F373F" w:rsidRDefault="00000000">
            <w:pPr>
              <w:spacing w:after="0"/>
              <w:jc w:val="left"/>
            </w:pPr>
            <w:r>
              <w:rPr>
                <w:sz w:val="19"/>
              </w:rPr>
              <w:t>Cost-to-income %</w:t>
            </w:r>
          </w:p>
        </w:tc>
        <w:tc>
          <w:tcPr>
            <w:tcW w:w="938" w:type="dxa"/>
          </w:tcPr>
          <w:p w:rsidR="007F373F" w:rsidRDefault="00000000">
            <w:pPr>
              <w:spacing w:after="0"/>
              <w:jc w:val="right"/>
            </w:pPr>
            <w:r>
              <w:rPr>
                <w:sz w:val="19"/>
              </w:rPr>
              <w:t>61.9</w:t>
            </w:r>
          </w:p>
        </w:tc>
        <w:tc>
          <w:tcPr>
            <w:tcW w:w="938" w:type="dxa"/>
          </w:tcPr>
          <w:p w:rsidR="007F373F" w:rsidRDefault="00000000">
            <w:pPr>
              <w:spacing w:after="0"/>
              <w:jc w:val="right"/>
            </w:pPr>
            <w:r>
              <w:rPr>
                <w:sz w:val="19"/>
              </w:rPr>
              <w:t>70.8</w:t>
            </w:r>
          </w:p>
        </w:tc>
        <w:tc>
          <w:tcPr>
            <w:tcW w:w="938" w:type="dxa"/>
          </w:tcPr>
          <w:p w:rsidR="007F373F" w:rsidRDefault="00000000">
            <w:pPr>
              <w:spacing w:after="0"/>
              <w:jc w:val="right"/>
            </w:pPr>
            <w:r>
              <w:rPr>
                <w:sz w:val="19"/>
              </w:rPr>
              <w:t>61.5</w:t>
            </w:r>
          </w:p>
        </w:tc>
        <w:tc>
          <w:tcPr>
            <w:tcW w:w="938" w:type="dxa"/>
          </w:tcPr>
          <w:p w:rsidR="007F373F" w:rsidRDefault="00000000">
            <w:pPr>
              <w:spacing w:after="0"/>
              <w:jc w:val="right"/>
            </w:pPr>
            <w:r>
              <w:rPr>
                <w:sz w:val="19"/>
              </w:rPr>
              <w:t>58.4</w:t>
            </w:r>
          </w:p>
        </w:tc>
        <w:tc>
          <w:tcPr>
            <w:tcW w:w="938" w:type="dxa"/>
          </w:tcPr>
          <w:p w:rsidR="007F373F" w:rsidRDefault="00000000">
            <w:pPr>
              <w:spacing w:after="0"/>
              <w:jc w:val="right"/>
            </w:pPr>
            <w:r>
              <w:rPr>
                <w:sz w:val="19"/>
              </w:rPr>
              <w:t>58.6</w:t>
            </w:r>
          </w:p>
        </w:tc>
        <w:tc>
          <w:tcPr>
            <w:tcW w:w="938" w:type="dxa"/>
          </w:tcPr>
          <w:p w:rsidR="007F373F" w:rsidRDefault="00000000">
            <w:pPr>
              <w:spacing w:after="0"/>
              <w:jc w:val="right"/>
            </w:pPr>
            <w:r>
              <w:rPr>
                <w:sz w:val="19"/>
              </w:rPr>
              <w:t>58.2</w:t>
            </w:r>
          </w:p>
        </w:tc>
        <w:tc>
          <w:tcPr>
            <w:tcW w:w="938" w:type="dxa"/>
          </w:tcPr>
          <w:p w:rsidR="007F373F" w:rsidRDefault="00000000">
            <w:pPr>
              <w:spacing w:after="0"/>
              <w:jc w:val="right"/>
            </w:pPr>
            <w:r>
              <w:rPr>
                <w:sz w:val="19"/>
              </w:rPr>
              <w:t>57.6</w:t>
            </w:r>
          </w:p>
        </w:tc>
        <w:tc>
          <w:tcPr>
            <w:tcW w:w="952" w:type="dxa"/>
          </w:tcPr>
          <w:p w:rsidR="007F373F" w:rsidRDefault="00000000">
            <w:pPr>
              <w:spacing w:after="0"/>
              <w:jc w:val="right"/>
            </w:pPr>
            <w:r>
              <w:rPr>
                <w:sz w:val="19"/>
              </w:rPr>
              <w:t>57.2</w:t>
            </w:r>
          </w:p>
        </w:tc>
      </w:tr>
    </w:tbl>
    <w:p w:rsidR="007F373F" w:rsidRDefault="00000000">
      <w:pPr>
        <w:spacing w:before="40" w:after="80"/>
      </w:pPr>
      <w:r>
        <w:rPr>
          <w:i/>
          <w:sz w:val="18"/>
        </w:rPr>
        <w:t>Source: Fedfina Annual Report 2023-24 KPI pages (FY19–FY24), Fedfina Annual Report 2024-25 and Fedfina Annual Report 2025-26 (FY25–FY26). Table T8.</w:t>
      </w:r>
    </w:p>
    <w:p w:rsidR="007F373F" w:rsidRDefault="00000000">
      <w:r>
        <w:t>Asset quality has moved in a narrow band. GNPA has stayed between 1.0% and 2.3% for eight years and NNPA between 0.7% and 1.9%; the FY22 peak reflected the pandemic and the FY25 uptick the ST LAP stress. Provision coverage doubled from 20.4% to 40.0% in FY25 as the company built provisions ahead of the clean-up, then fell to 32.3% in FY26 after write-offs and ARC sales consumed part of the stock – a normal sequence. Note that the FY26 report’s five-year chart shows FY26 GNPA of 2.2% while the Key Highlights and MD&amp;A show 1.9%; the difference likely reflects the inclusion or exclusion of FVOCI (held-for-sale) loans or the timing of ARC sales, and both figures are disclosed here.</w:t>
      </w:r>
    </w:p>
    <w:p w:rsidR="007F373F" w:rsidRDefault="00000000">
      <w:r>
        <w:t xml:space="preserve">Capital has been maintained comfortably above the 15% floor throughout, replenished by the 2018 True North investment (FY21: 23.5%), the IPO (FY24: 23.5%) and FY26 Tier II issuance (22.4%). Returns follow the credit cycle: RoA of 2.3–2.4% and RoE of 13–14% in the good years (FY23, </w:t>
      </w:r>
      <w:r>
        <w:lastRenderedPageBreak/>
        <w:t>FY24, FY26) versus 1.8% and 9.4% in the FY25 reset year. Book value per share has compounded at 21.6% a year since FY19 (derived) without any dividend.</w:t>
      </w:r>
    </w:p>
    <w:p w:rsidR="007F373F" w:rsidRDefault="00000000">
      <w:pPr>
        <w:pStyle w:val="Heading1"/>
        <w:pageBreakBefore/>
      </w:pPr>
      <w:r>
        <w:lastRenderedPageBreak/>
        <w:t>Income Statement Analysis FY 2025-26</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589"/>
        <w:gridCol w:w="1311"/>
        <w:gridCol w:w="1311"/>
        <w:gridCol w:w="1104"/>
        <w:gridCol w:w="1242"/>
        <w:gridCol w:w="1173"/>
      </w:tblGrid>
      <w:tr w:rsidR="007F373F">
        <w:trPr>
          <w:jc w:val="center"/>
        </w:trPr>
        <w:tc>
          <w:tcPr>
            <w:tcW w:w="3589" w:type="dxa"/>
          </w:tcPr>
          <w:p w:rsidR="007F373F" w:rsidRDefault="00000000">
            <w:pPr>
              <w:spacing w:after="0"/>
              <w:jc w:val="left"/>
            </w:pPr>
            <w:r>
              <w:rPr>
                <w:b/>
                <w:sz w:val="19"/>
              </w:rPr>
              <w:t>Statement of profit and loss (₹ lakh)</w:t>
            </w:r>
          </w:p>
        </w:tc>
        <w:tc>
          <w:tcPr>
            <w:tcW w:w="1311" w:type="dxa"/>
          </w:tcPr>
          <w:p w:rsidR="007F373F" w:rsidRDefault="00000000">
            <w:pPr>
              <w:spacing w:after="0"/>
              <w:jc w:val="left"/>
            </w:pPr>
            <w:r>
              <w:rPr>
                <w:b/>
                <w:sz w:val="19"/>
              </w:rPr>
              <w:t>FY26</w:t>
            </w:r>
          </w:p>
        </w:tc>
        <w:tc>
          <w:tcPr>
            <w:tcW w:w="1311" w:type="dxa"/>
          </w:tcPr>
          <w:p w:rsidR="007F373F" w:rsidRDefault="00000000">
            <w:pPr>
              <w:spacing w:after="0"/>
              <w:jc w:val="left"/>
            </w:pPr>
            <w:r>
              <w:rPr>
                <w:b/>
                <w:sz w:val="19"/>
              </w:rPr>
              <w:t>FY25</w:t>
            </w:r>
          </w:p>
        </w:tc>
        <w:tc>
          <w:tcPr>
            <w:tcW w:w="1104" w:type="dxa"/>
          </w:tcPr>
          <w:p w:rsidR="007F373F" w:rsidRDefault="00000000">
            <w:pPr>
              <w:spacing w:after="0"/>
              <w:jc w:val="left"/>
            </w:pPr>
            <w:r>
              <w:rPr>
                <w:b/>
                <w:sz w:val="19"/>
              </w:rPr>
              <w:t>Change</w:t>
            </w:r>
          </w:p>
        </w:tc>
        <w:tc>
          <w:tcPr>
            <w:tcW w:w="1242" w:type="dxa"/>
          </w:tcPr>
          <w:p w:rsidR="007F373F" w:rsidRDefault="00000000">
            <w:pPr>
              <w:spacing w:after="0"/>
              <w:jc w:val="left"/>
            </w:pPr>
            <w:r>
              <w:rPr>
                <w:b/>
                <w:sz w:val="19"/>
              </w:rPr>
              <w:t>% of revenue FY26</w:t>
            </w:r>
          </w:p>
        </w:tc>
        <w:tc>
          <w:tcPr>
            <w:tcW w:w="1173" w:type="dxa"/>
          </w:tcPr>
          <w:p w:rsidR="007F373F" w:rsidRDefault="00000000">
            <w:pPr>
              <w:spacing w:after="0"/>
              <w:jc w:val="left"/>
            </w:pPr>
            <w:r>
              <w:rPr>
                <w:b/>
                <w:sz w:val="19"/>
              </w:rPr>
              <w:t>% of revenue FY25</w:t>
            </w:r>
          </w:p>
        </w:tc>
      </w:tr>
      <w:tr w:rsidR="007F373F">
        <w:trPr>
          <w:jc w:val="center"/>
        </w:trPr>
        <w:tc>
          <w:tcPr>
            <w:tcW w:w="3589" w:type="dxa"/>
          </w:tcPr>
          <w:p w:rsidR="007F373F" w:rsidRDefault="00000000">
            <w:pPr>
              <w:spacing w:after="0"/>
              <w:jc w:val="left"/>
            </w:pPr>
            <w:r>
              <w:rPr>
                <w:sz w:val="19"/>
              </w:rPr>
              <w:t>Interest income</w:t>
            </w:r>
          </w:p>
        </w:tc>
        <w:tc>
          <w:tcPr>
            <w:tcW w:w="1311" w:type="dxa"/>
          </w:tcPr>
          <w:p w:rsidR="007F373F" w:rsidRDefault="00000000">
            <w:pPr>
              <w:spacing w:after="0"/>
              <w:jc w:val="right"/>
            </w:pPr>
            <w:r>
              <w:rPr>
                <w:sz w:val="19"/>
              </w:rPr>
              <w:t>210,907</w:t>
            </w:r>
          </w:p>
        </w:tc>
        <w:tc>
          <w:tcPr>
            <w:tcW w:w="1311" w:type="dxa"/>
          </w:tcPr>
          <w:p w:rsidR="007F373F" w:rsidRDefault="00000000">
            <w:pPr>
              <w:spacing w:after="0"/>
              <w:jc w:val="right"/>
            </w:pPr>
            <w:r>
              <w:rPr>
                <w:sz w:val="19"/>
              </w:rPr>
              <w:t>192,458</w:t>
            </w:r>
          </w:p>
        </w:tc>
        <w:tc>
          <w:tcPr>
            <w:tcW w:w="1104" w:type="dxa"/>
          </w:tcPr>
          <w:p w:rsidR="007F373F" w:rsidRDefault="00000000">
            <w:pPr>
              <w:spacing w:after="0"/>
              <w:jc w:val="right"/>
            </w:pPr>
            <w:r>
              <w:rPr>
                <w:sz w:val="19"/>
              </w:rPr>
              <w:t>+9.6%</w:t>
            </w:r>
          </w:p>
        </w:tc>
        <w:tc>
          <w:tcPr>
            <w:tcW w:w="1242" w:type="dxa"/>
          </w:tcPr>
          <w:p w:rsidR="007F373F" w:rsidRDefault="00000000">
            <w:pPr>
              <w:spacing w:after="0"/>
              <w:jc w:val="right"/>
            </w:pPr>
            <w:r>
              <w:rPr>
                <w:sz w:val="19"/>
              </w:rPr>
              <w:t>94.7%</w:t>
            </w:r>
          </w:p>
        </w:tc>
        <w:tc>
          <w:tcPr>
            <w:tcW w:w="1173" w:type="dxa"/>
          </w:tcPr>
          <w:p w:rsidR="007F373F" w:rsidRDefault="00000000">
            <w:pPr>
              <w:spacing w:after="0"/>
              <w:jc w:val="right"/>
            </w:pPr>
            <w:r>
              <w:rPr>
                <w:sz w:val="19"/>
              </w:rPr>
              <w:t>92.5%</w:t>
            </w:r>
          </w:p>
        </w:tc>
      </w:tr>
      <w:tr w:rsidR="007F373F">
        <w:trPr>
          <w:jc w:val="center"/>
        </w:trPr>
        <w:tc>
          <w:tcPr>
            <w:tcW w:w="3589" w:type="dxa"/>
          </w:tcPr>
          <w:p w:rsidR="007F373F" w:rsidRDefault="00000000">
            <w:pPr>
              <w:spacing w:after="0"/>
              <w:jc w:val="left"/>
            </w:pPr>
            <w:r>
              <w:rPr>
                <w:sz w:val="19"/>
              </w:rPr>
              <w:t>Fee and commission income</w:t>
            </w:r>
          </w:p>
        </w:tc>
        <w:tc>
          <w:tcPr>
            <w:tcW w:w="1311" w:type="dxa"/>
          </w:tcPr>
          <w:p w:rsidR="007F373F" w:rsidRDefault="00000000">
            <w:pPr>
              <w:spacing w:after="0"/>
              <w:jc w:val="right"/>
            </w:pPr>
            <w:r>
              <w:rPr>
                <w:sz w:val="19"/>
              </w:rPr>
              <w:t>9,669</w:t>
            </w:r>
          </w:p>
        </w:tc>
        <w:tc>
          <w:tcPr>
            <w:tcW w:w="1311" w:type="dxa"/>
          </w:tcPr>
          <w:p w:rsidR="007F373F" w:rsidRDefault="00000000">
            <w:pPr>
              <w:spacing w:after="0"/>
              <w:jc w:val="right"/>
            </w:pPr>
            <w:r>
              <w:rPr>
                <w:sz w:val="19"/>
              </w:rPr>
              <w:t>11,171</w:t>
            </w:r>
          </w:p>
        </w:tc>
        <w:tc>
          <w:tcPr>
            <w:tcW w:w="1104" w:type="dxa"/>
          </w:tcPr>
          <w:p w:rsidR="007F373F" w:rsidRDefault="00000000">
            <w:pPr>
              <w:spacing w:after="0"/>
              <w:jc w:val="right"/>
            </w:pPr>
            <w:r>
              <w:rPr>
                <w:sz w:val="19"/>
              </w:rPr>
              <w:t>-13.4%</w:t>
            </w:r>
          </w:p>
        </w:tc>
        <w:tc>
          <w:tcPr>
            <w:tcW w:w="1242" w:type="dxa"/>
          </w:tcPr>
          <w:p w:rsidR="007F373F" w:rsidRDefault="00000000">
            <w:pPr>
              <w:spacing w:after="0"/>
              <w:jc w:val="right"/>
            </w:pPr>
            <w:r>
              <w:rPr>
                <w:sz w:val="19"/>
              </w:rPr>
              <w:t>4.3%</w:t>
            </w:r>
          </w:p>
        </w:tc>
        <w:tc>
          <w:tcPr>
            <w:tcW w:w="1173" w:type="dxa"/>
          </w:tcPr>
          <w:p w:rsidR="007F373F" w:rsidRDefault="00000000">
            <w:pPr>
              <w:spacing w:after="0"/>
              <w:jc w:val="right"/>
            </w:pPr>
            <w:r>
              <w:rPr>
                <w:sz w:val="19"/>
              </w:rPr>
              <w:t>5.4%</w:t>
            </w:r>
          </w:p>
        </w:tc>
      </w:tr>
      <w:tr w:rsidR="007F373F">
        <w:trPr>
          <w:jc w:val="center"/>
        </w:trPr>
        <w:tc>
          <w:tcPr>
            <w:tcW w:w="3589" w:type="dxa"/>
          </w:tcPr>
          <w:p w:rsidR="007F373F" w:rsidRDefault="00000000">
            <w:pPr>
              <w:spacing w:after="0"/>
              <w:jc w:val="left"/>
            </w:pPr>
            <w:r>
              <w:rPr>
                <w:sz w:val="19"/>
              </w:rPr>
              <w:t>Net gain on fair value changes</w:t>
            </w:r>
          </w:p>
        </w:tc>
        <w:tc>
          <w:tcPr>
            <w:tcW w:w="1311" w:type="dxa"/>
          </w:tcPr>
          <w:p w:rsidR="007F373F" w:rsidRDefault="00000000">
            <w:pPr>
              <w:spacing w:after="0"/>
              <w:jc w:val="right"/>
            </w:pPr>
            <w:r>
              <w:rPr>
                <w:sz w:val="19"/>
              </w:rPr>
              <w:t>1,784</w:t>
            </w:r>
          </w:p>
        </w:tc>
        <w:tc>
          <w:tcPr>
            <w:tcW w:w="1311" w:type="dxa"/>
          </w:tcPr>
          <w:p w:rsidR="007F373F" w:rsidRDefault="00000000">
            <w:pPr>
              <w:spacing w:after="0"/>
              <w:jc w:val="right"/>
            </w:pPr>
            <w:r>
              <w:rPr>
                <w:sz w:val="19"/>
              </w:rPr>
              <w:t>2,558</w:t>
            </w:r>
          </w:p>
        </w:tc>
        <w:tc>
          <w:tcPr>
            <w:tcW w:w="1104" w:type="dxa"/>
          </w:tcPr>
          <w:p w:rsidR="007F373F" w:rsidRDefault="00000000">
            <w:pPr>
              <w:spacing w:after="0"/>
              <w:jc w:val="right"/>
            </w:pPr>
            <w:r>
              <w:rPr>
                <w:sz w:val="19"/>
              </w:rPr>
              <w:t>-30.3%</w:t>
            </w:r>
          </w:p>
        </w:tc>
        <w:tc>
          <w:tcPr>
            <w:tcW w:w="1242" w:type="dxa"/>
          </w:tcPr>
          <w:p w:rsidR="007F373F" w:rsidRDefault="00000000">
            <w:pPr>
              <w:spacing w:after="0"/>
              <w:jc w:val="right"/>
            </w:pPr>
            <w:r>
              <w:rPr>
                <w:sz w:val="19"/>
              </w:rPr>
              <w:t>0.8%</w:t>
            </w:r>
          </w:p>
        </w:tc>
        <w:tc>
          <w:tcPr>
            <w:tcW w:w="1173" w:type="dxa"/>
          </w:tcPr>
          <w:p w:rsidR="007F373F" w:rsidRDefault="00000000">
            <w:pPr>
              <w:spacing w:after="0"/>
              <w:jc w:val="right"/>
            </w:pPr>
            <w:r>
              <w:rPr>
                <w:sz w:val="19"/>
              </w:rPr>
              <w:t>1.2%</w:t>
            </w:r>
          </w:p>
        </w:tc>
      </w:tr>
      <w:tr w:rsidR="007F373F">
        <w:trPr>
          <w:jc w:val="center"/>
        </w:trPr>
        <w:tc>
          <w:tcPr>
            <w:tcW w:w="3589" w:type="dxa"/>
          </w:tcPr>
          <w:p w:rsidR="007F373F" w:rsidRDefault="00000000">
            <w:pPr>
              <w:spacing w:after="0"/>
              <w:jc w:val="left"/>
            </w:pPr>
            <w:r>
              <w:rPr>
                <w:sz w:val="19"/>
              </w:rPr>
              <w:t>Revenue from operations</w:t>
            </w:r>
          </w:p>
        </w:tc>
        <w:tc>
          <w:tcPr>
            <w:tcW w:w="1311" w:type="dxa"/>
          </w:tcPr>
          <w:p w:rsidR="007F373F" w:rsidRDefault="00000000">
            <w:pPr>
              <w:spacing w:after="0"/>
              <w:jc w:val="right"/>
            </w:pPr>
            <w:r>
              <w:rPr>
                <w:sz w:val="19"/>
              </w:rPr>
              <w:t>222,360</w:t>
            </w:r>
          </w:p>
        </w:tc>
        <w:tc>
          <w:tcPr>
            <w:tcW w:w="1311" w:type="dxa"/>
          </w:tcPr>
          <w:p w:rsidR="007F373F" w:rsidRDefault="00000000">
            <w:pPr>
              <w:spacing w:after="0"/>
              <w:jc w:val="right"/>
            </w:pPr>
            <w:r>
              <w:rPr>
                <w:sz w:val="19"/>
              </w:rPr>
              <w:t>206,187</w:t>
            </w:r>
          </w:p>
        </w:tc>
        <w:tc>
          <w:tcPr>
            <w:tcW w:w="1104" w:type="dxa"/>
          </w:tcPr>
          <w:p w:rsidR="007F373F" w:rsidRDefault="00000000">
            <w:pPr>
              <w:spacing w:after="0"/>
              <w:jc w:val="right"/>
            </w:pPr>
            <w:r>
              <w:rPr>
                <w:sz w:val="19"/>
              </w:rPr>
              <w:t>+7.8%</w:t>
            </w:r>
          </w:p>
        </w:tc>
        <w:tc>
          <w:tcPr>
            <w:tcW w:w="1242" w:type="dxa"/>
          </w:tcPr>
          <w:p w:rsidR="007F373F" w:rsidRDefault="00000000">
            <w:pPr>
              <w:spacing w:after="0"/>
              <w:jc w:val="right"/>
            </w:pPr>
            <w:r>
              <w:rPr>
                <w:sz w:val="19"/>
              </w:rPr>
              <w:t>99.9%</w:t>
            </w:r>
          </w:p>
        </w:tc>
        <w:tc>
          <w:tcPr>
            <w:tcW w:w="1173" w:type="dxa"/>
          </w:tcPr>
          <w:p w:rsidR="007F373F" w:rsidRDefault="00000000">
            <w:pPr>
              <w:spacing w:after="0"/>
              <w:jc w:val="right"/>
            </w:pPr>
            <w:r>
              <w:rPr>
                <w:sz w:val="19"/>
              </w:rPr>
              <w:t>99.1%</w:t>
            </w:r>
          </w:p>
        </w:tc>
      </w:tr>
      <w:tr w:rsidR="007F373F">
        <w:trPr>
          <w:jc w:val="center"/>
        </w:trPr>
        <w:tc>
          <w:tcPr>
            <w:tcW w:w="3589" w:type="dxa"/>
          </w:tcPr>
          <w:p w:rsidR="007F373F" w:rsidRDefault="00000000">
            <w:pPr>
              <w:spacing w:after="0"/>
              <w:jc w:val="left"/>
            </w:pPr>
            <w:r>
              <w:rPr>
                <w:sz w:val="19"/>
              </w:rPr>
              <w:t>Other income</w:t>
            </w:r>
          </w:p>
        </w:tc>
        <w:tc>
          <w:tcPr>
            <w:tcW w:w="1311" w:type="dxa"/>
          </w:tcPr>
          <w:p w:rsidR="007F373F" w:rsidRDefault="00000000">
            <w:pPr>
              <w:spacing w:after="0"/>
              <w:jc w:val="right"/>
            </w:pPr>
            <w:r>
              <w:rPr>
                <w:sz w:val="19"/>
              </w:rPr>
              <w:t>301</w:t>
            </w:r>
          </w:p>
        </w:tc>
        <w:tc>
          <w:tcPr>
            <w:tcW w:w="1311" w:type="dxa"/>
          </w:tcPr>
          <w:p w:rsidR="007F373F" w:rsidRDefault="00000000">
            <w:pPr>
              <w:spacing w:after="0"/>
              <w:jc w:val="right"/>
            </w:pPr>
            <w:r>
              <w:rPr>
                <w:sz w:val="19"/>
              </w:rPr>
              <w:t>1,795</w:t>
            </w:r>
          </w:p>
        </w:tc>
        <w:tc>
          <w:tcPr>
            <w:tcW w:w="1104" w:type="dxa"/>
          </w:tcPr>
          <w:p w:rsidR="007F373F" w:rsidRDefault="00000000">
            <w:pPr>
              <w:spacing w:after="0"/>
              <w:jc w:val="right"/>
            </w:pPr>
            <w:r>
              <w:rPr>
                <w:sz w:val="19"/>
              </w:rPr>
              <w:t>-83.2%</w:t>
            </w:r>
          </w:p>
        </w:tc>
        <w:tc>
          <w:tcPr>
            <w:tcW w:w="1242" w:type="dxa"/>
          </w:tcPr>
          <w:p w:rsidR="007F373F" w:rsidRDefault="00000000">
            <w:pPr>
              <w:spacing w:after="0"/>
              <w:jc w:val="right"/>
            </w:pPr>
            <w:r>
              <w:rPr>
                <w:sz w:val="19"/>
              </w:rPr>
              <w:t>0.1%</w:t>
            </w:r>
          </w:p>
        </w:tc>
        <w:tc>
          <w:tcPr>
            <w:tcW w:w="1173" w:type="dxa"/>
          </w:tcPr>
          <w:p w:rsidR="007F373F" w:rsidRDefault="00000000">
            <w:pPr>
              <w:spacing w:after="0"/>
              <w:jc w:val="right"/>
            </w:pPr>
            <w:r>
              <w:rPr>
                <w:sz w:val="19"/>
              </w:rPr>
              <w:t>0.9%</w:t>
            </w:r>
          </w:p>
        </w:tc>
      </w:tr>
      <w:tr w:rsidR="007F373F">
        <w:trPr>
          <w:jc w:val="center"/>
        </w:trPr>
        <w:tc>
          <w:tcPr>
            <w:tcW w:w="3589" w:type="dxa"/>
          </w:tcPr>
          <w:p w:rsidR="007F373F" w:rsidRDefault="00000000">
            <w:pPr>
              <w:spacing w:after="0"/>
              <w:jc w:val="left"/>
            </w:pPr>
            <w:r>
              <w:rPr>
                <w:sz w:val="19"/>
              </w:rPr>
              <w:t>Total revenue</w:t>
            </w:r>
          </w:p>
        </w:tc>
        <w:tc>
          <w:tcPr>
            <w:tcW w:w="1311" w:type="dxa"/>
          </w:tcPr>
          <w:p w:rsidR="007F373F" w:rsidRDefault="00000000">
            <w:pPr>
              <w:spacing w:after="0"/>
              <w:jc w:val="right"/>
            </w:pPr>
            <w:r>
              <w:rPr>
                <w:sz w:val="19"/>
              </w:rPr>
              <w:t>222,661</w:t>
            </w:r>
          </w:p>
        </w:tc>
        <w:tc>
          <w:tcPr>
            <w:tcW w:w="1311" w:type="dxa"/>
          </w:tcPr>
          <w:p w:rsidR="007F373F" w:rsidRDefault="00000000">
            <w:pPr>
              <w:spacing w:after="0"/>
              <w:jc w:val="right"/>
            </w:pPr>
            <w:r>
              <w:rPr>
                <w:sz w:val="19"/>
              </w:rPr>
              <w:t>207,982</w:t>
            </w:r>
          </w:p>
        </w:tc>
        <w:tc>
          <w:tcPr>
            <w:tcW w:w="1104" w:type="dxa"/>
          </w:tcPr>
          <w:p w:rsidR="007F373F" w:rsidRDefault="00000000">
            <w:pPr>
              <w:spacing w:after="0"/>
              <w:jc w:val="right"/>
            </w:pPr>
            <w:r>
              <w:rPr>
                <w:sz w:val="19"/>
              </w:rPr>
              <w:t>+7.1%</w:t>
            </w:r>
          </w:p>
        </w:tc>
        <w:tc>
          <w:tcPr>
            <w:tcW w:w="1242" w:type="dxa"/>
          </w:tcPr>
          <w:p w:rsidR="007F373F" w:rsidRDefault="00000000">
            <w:pPr>
              <w:spacing w:after="0"/>
              <w:jc w:val="right"/>
            </w:pPr>
            <w:r>
              <w:rPr>
                <w:sz w:val="19"/>
              </w:rPr>
              <w:t>100.0%</w:t>
            </w:r>
          </w:p>
        </w:tc>
        <w:tc>
          <w:tcPr>
            <w:tcW w:w="1173" w:type="dxa"/>
          </w:tcPr>
          <w:p w:rsidR="007F373F" w:rsidRDefault="00000000">
            <w:pPr>
              <w:spacing w:after="0"/>
              <w:jc w:val="right"/>
            </w:pPr>
            <w:r>
              <w:rPr>
                <w:sz w:val="19"/>
              </w:rPr>
              <w:t>100.0%</w:t>
            </w:r>
          </w:p>
        </w:tc>
      </w:tr>
      <w:tr w:rsidR="007F373F">
        <w:trPr>
          <w:jc w:val="center"/>
        </w:trPr>
        <w:tc>
          <w:tcPr>
            <w:tcW w:w="3589" w:type="dxa"/>
          </w:tcPr>
          <w:p w:rsidR="007F373F" w:rsidRDefault="00000000">
            <w:pPr>
              <w:spacing w:after="0"/>
              <w:jc w:val="left"/>
            </w:pPr>
            <w:r>
              <w:rPr>
                <w:sz w:val="19"/>
              </w:rPr>
              <w:t>Finance costs</w:t>
            </w:r>
          </w:p>
        </w:tc>
        <w:tc>
          <w:tcPr>
            <w:tcW w:w="1311" w:type="dxa"/>
          </w:tcPr>
          <w:p w:rsidR="007F373F" w:rsidRDefault="00000000">
            <w:pPr>
              <w:spacing w:after="0"/>
              <w:jc w:val="right"/>
            </w:pPr>
            <w:r>
              <w:rPr>
                <w:sz w:val="19"/>
              </w:rPr>
              <w:t>87,932</w:t>
            </w:r>
          </w:p>
        </w:tc>
        <w:tc>
          <w:tcPr>
            <w:tcW w:w="1311" w:type="dxa"/>
          </w:tcPr>
          <w:p w:rsidR="007F373F" w:rsidRDefault="00000000">
            <w:pPr>
              <w:spacing w:after="0"/>
              <w:jc w:val="right"/>
            </w:pPr>
            <w:r>
              <w:rPr>
                <w:sz w:val="19"/>
              </w:rPr>
              <w:t>85,378</w:t>
            </w:r>
          </w:p>
        </w:tc>
        <w:tc>
          <w:tcPr>
            <w:tcW w:w="1104" w:type="dxa"/>
          </w:tcPr>
          <w:p w:rsidR="007F373F" w:rsidRDefault="00000000">
            <w:pPr>
              <w:spacing w:after="0"/>
              <w:jc w:val="right"/>
            </w:pPr>
            <w:r>
              <w:rPr>
                <w:sz w:val="19"/>
              </w:rPr>
              <w:t>+3.0%</w:t>
            </w:r>
          </w:p>
        </w:tc>
        <w:tc>
          <w:tcPr>
            <w:tcW w:w="1242" w:type="dxa"/>
          </w:tcPr>
          <w:p w:rsidR="007F373F" w:rsidRDefault="00000000">
            <w:pPr>
              <w:spacing w:after="0"/>
              <w:jc w:val="right"/>
            </w:pPr>
            <w:r>
              <w:rPr>
                <w:sz w:val="19"/>
              </w:rPr>
              <w:t>39.5%</w:t>
            </w:r>
          </w:p>
        </w:tc>
        <w:tc>
          <w:tcPr>
            <w:tcW w:w="1173" w:type="dxa"/>
          </w:tcPr>
          <w:p w:rsidR="007F373F" w:rsidRDefault="00000000">
            <w:pPr>
              <w:spacing w:after="0"/>
              <w:jc w:val="right"/>
            </w:pPr>
            <w:r>
              <w:rPr>
                <w:sz w:val="19"/>
              </w:rPr>
              <w:t>41.1%</w:t>
            </w:r>
          </w:p>
        </w:tc>
      </w:tr>
      <w:tr w:rsidR="007F373F">
        <w:trPr>
          <w:jc w:val="center"/>
        </w:trPr>
        <w:tc>
          <w:tcPr>
            <w:tcW w:w="3589" w:type="dxa"/>
          </w:tcPr>
          <w:p w:rsidR="007F373F" w:rsidRDefault="00000000">
            <w:pPr>
              <w:spacing w:after="0"/>
              <w:jc w:val="left"/>
            </w:pPr>
            <w:r>
              <w:rPr>
                <w:sz w:val="19"/>
              </w:rPr>
              <w:t>Fee and commission expense</w:t>
            </w:r>
          </w:p>
        </w:tc>
        <w:tc>
          <w:tcPr>
            <w:tcW w:w="1311" w:type="dxa"/>
          </w:tcPr>
          <w:p w:rsidR="007F373F" w:rsidRDefault="00000000">
            <w:pPr>
              <w:spacing w:after="0"/>
              <w:jc w:val="right"/>
            </w:pPr>
            <w:r>
              <w:rPr>
                <w:sz w:val="19"/>
              </w:rPr>
              <w:t>-20</w:t>
            </w:r>
          </w:p>
        </w:tc>
        <w:tc>
          <w:tcPr>
            <w:tcW w:w="1311" w:type="dxa"/>
          </w:tcPr>
          <w:p w:rsidR="007F373F" w:rsidRDefault="00000000">
            <w:pPr>
              <w:spacing w:after="0"/>
              <w:jc w:val="right"/>
            </w:pPr>
            <w:r>
              <w:rPr>
                <w:sz w:val="19"/>
              </w:rPr>
              <w:t>1,850</w:t>
            </w:r>
          </w:p>
        </w:tc>
        <w:tc>
          <w:tcPr>
            <w:tcW w:w="1104" w:type="dxa"/>
          </w:tcPr>
          <w:p w:rsidR="007F373F" w:rsidRDefault="00000000">
            <w:pPr>
              <w:spacing w:after="0"/>
              <w:jc w:val="left"/>
            </w:pPr>
            <w:r>
              <w:rPr>
                <w:sz w:val="19"/>
              </w:rPr>
              <w:t>n.m.</w:t>
            </w:r>
          </w:p>
        </w:tc>
        <w:tc>
          <w:tcPr>
            <w:tcW w:w="1242" w:type="dxa"/>
          </w:tcPr>
          <w:p w:rsidR="007F373F" w:rsidRDefault="00000000">
            <w:pPr>
              <w:spacing w:after="0"/>
              <w:jc w:val="right"/>
            </w:pPr>
            <w:r>
              <w:rPr>
                <w:sz w:val="19"/>
              </w:rPr>
              <w:t>-0.0%</w:t>
            </w:r>
          </w:p>
        </w:tc>
        <w:tc>
          <w:tcPr>
            <w:tcW w:w="1173" w:type="dxa"/>
          </w:tcPr>
          <w:p w:rsidR="007F373F" w:rsidRDefault="00000000">
            <w:pPr>
              <w:spacing w:after="0"/>
              <w:jc w:val="right"/>
            </w:pPr>
            <w:r>
              <w:rPr>
                <w:sz w:val="19"/>
              </w:rPr>
              <w:t>0.9%</w:t>
            </w:r>
          </w:p>
        </w:tc>
      </w:tr>
      <w:tr w:rsidR="007F373F">
        <w:trPr>
          <w:jc w:val="center"/>
        </w:trPr>
        <w:tc>
          <w:tcPr>
            <w:tcW w:w="3589" w:type="dxa"/>
          </w:tcPr>
          <w:p w:rsidR="007F373F" w:rsidRDefault="00000000">
            <w:pPr>
              <w:spacing w:after="0"/>
              <w:jc w:val="left"/>
            </w:pPr>
            <w:r>
              <w:rPr>
                <w:sz w:val="19"/>
              </w:rPr>
              <w:t>Impairment on financial instruments</w:t>
            </w:r>
          </w:p>
        </w:tc>
        <w:tc>
          <w:tcPr>
            <w:tcW w:w="1311" w:type="dxa"/>
          </w:tcPr>
          <w:p w:rsidR="007F373F" w:rsidRDefault="00000000">
            <w:pPr>
              <w:spacing w:after="0"/>
              <w:jc w:val="right"/>
            </w:pPr>
            <w:r>
              <w:rPr>
                <w:sz w:val="19"/>
              </w:rPr>
              <w:t>11,527</w:t>
            </w:r>
          </w:p>
        </w:tc>
        <w:tc>
          <w:tcPr>
            <w:tcW w:w="1311" w:type="dxa"/>
          </w:tcPr>
          <w:p w:rsidR="007F373F" w:rsidRDefault="00000000">
            <w:pPr>
              <w:spacing w:after="0"/>
              <w:jc w:val="right"/>
            </w:pPr>
            <w:r>
              <w:rPr>
                <w:sz w:val="19"/>
              </w:rPr>
              <w:t>21,636</w:t>
            </w:r>
          </w:p>
        </w:tc>
        <w:tc>
          <w:tcPr>
            <w:tcW w:w="1104" w:type="dxa"/>
          </w:tcPr>
          <w:p w:rsidR="007F373F" w:rsidRDefault="00000000">
            <w:pPr>
              <w:spacing w:after="0"/>
              <w:jc w:val="right"/>
            </w:pPr>
            <w:r>
              <w:rPr>
                <w:sz w:val="19"/>
              </w:rPr>
              <w:t>-46.7%</w:t>
            </w:r>
          </w:p>
        </w:tc>
        <w:tc>
          <w:tcPr>
            <w:tcW w:w="1242" w:type="dxa"/>
          </w:tcPr>
          <w:p w:rsidR="007F373F" w:rsidRDefault="00000000">
            <w:pPr>
              <w:spacing w:after="0"/>
              <w:jc w:val="right"/>
            </w:pPr>
            <w:r>
              <w:rPr>
                <w:sz w:val="19"/>
              </w:rPr>
              <w:t>5.2%</w:t>
            </w:r>
          </w:p>
        </w:tc>
        <w:tc>
          <w:tcPr>
            <w:tcW w:w="1173" w:type="dxa"/>
          </w:tcPr>
          <w:p w:rsidR="007F373F" w:rsidRDefault="00000000">
            <w:pPr>
              <w:spacing w:after="0"/>
              <w:jc w:val="right"/>
            </w:pPr>
            <w:r>
              <w:rPr>
                <w:sz w:val="19"/>
              </w:rPr>
              <w:t>10.4%</w:t>
            </w:r>
          </w:p>
        </w:tc>
      </w:tr>
      <w:tr w:rsidR="007F373F">
        <w:trPr>
          <w:jc w:val="center"/>
        </w:trPr>
        <w:tc>
          <w:tcPr>
            <w:tcW w:w="3589" w:type="dxa"/>
          </w:tcPr>
          <w:p w:rsidR="007F373F" w:rsidRDefault="00000000">
            <w:pPr>
              <w:spacing w:after="0"/>
              <w:jc w:val="left"/>
            </w:pPr>
            <w:r>
              <w:rPr>
                <w:sz w:val="19"/>
              </w:rPr>
              <w:t>Employee benefits expense</w:t>
            </w:r>
          </w:p>
        </w:tc>
        <w:tc>
          <w:tcPr>
            <w:tcW w:w="1311" w:type="dxa"/>
          </w:tcPr>
          <w:p w:rsidR="007F373F" w:rsidRDefault="00000000">
            <w:pPr>
              <w:spacing w:after="0"/>
              <w:jc w:val="right"/>
            </w:pPr>
            <w:r>
              <w:rPr>
                <w:sz w:val="19"/>
              </w:rPr>
              <w:t>44,393</w:t>
            </w:r>
          </w:p>
        </w:tc>
        <w:tc>
          <w:tcPr>
            <w:tcW w:w="1311" w:type="dxa"/>
          </w:tcPr>
          <w:p w:rsidR="007F373F" w:rsidRDefault="00000000">
            <w:pPr>
              <w:spacing w:after="0"/>
              <w:jc w:val="right"/>
            </w:pPr>
            <w:r>
              <w:rPr>
                <w:sz w:val="19"/>
              </w:rPr>
              <w:t>39,030</w:t>
            </w:r>
          </w:p>
        </w:tc>
        <w:tc>
          <w:tcPr>
            <w:tcW w:w="1104" w:type="dxa"/>
          </w:tcPr>
          <w:p w:rsidR="007F373F" w:rsidRDefault="00000000">
            <w:pPr>
              <w:spacing w:after="0"/>
              <w:jc w:val="right"/>
            </w:pPr>
            <w:r>
              <w:rPr>
                <w:sz w:val="19"/>
              </w:rPr>
              <w:t>+13.7%</w:t>
            </w:r>
          </w:p>
        </w:tc>
        <w:tc>
          <w:tcPr>
            <w:tcW w:w="1242" w:type="dxa"/>
          </w:tcPr>
          <w:p w:rsidR="007F373F" w:rsidRDefault="00000000">
            <w:pPr>
              <w:spacing w:after="0"/>
              <w:jc w:val="right"/>
            </w:pPr>
            <w:r>
              <w:rPr>
                <w:sz w:val="19"/>
              </w:rPr>
              <w:t>19.9%</w:t>
            </w:r>
          </w:p>
        </w:tc>
        <w:tc>
          <w:tcPr>
            <w:tcW w:w="1173" w:type="dxa"/>
          </w:tcPr>
          <w:p w:rsidR="007F373F" w:rsidRDefault="00000000">
            <w:pPr>
              <w:spacing w:after="0"/>
              <w:jc w:val="right"/>
            </w:pPr>
            <w:r>
              <w:rPr>
                <w:sz w:val="19"/>
              </w:rPr>
              <w:t>18.8%</w:t>
            </w:r>
          </w:p>
        </w:tc>
      </w:tr>
      <w:tr w:rsidR="007F373F">
        <w:trPr>
          <w:jc w:val="center"/>
        </w:trPr>
        <w:tc>
          <w:tcPr>
            <w:tcW w:w="3589" w:type="dxa"/>
          </w:tcPr>
          <w:p w:rsidR="007F373F" w:rsidRDefault="00000000">
            <w:pPr>
              <w:spacing w:after="0"/>
              <w:jc w:val="left"/>
            </w:pPr>
            <w:r>
              <w:rPr>
                <w:sz w:val="19"/>
              </w:rPr>
              <w:t>Depreciation and amortisation</w:t>
            </w:r>
          </w:p>
        </w:tc>
        <w:tc>
          <w:tcPr>
            <w:tcW w:w="1311" w:type="dxa"/>
          </w:tcPr>
          <w:p w:rsidR="007F373F" w:rsidRDefault="00000000">
            <w:pPr>
              <w:spacing w:after="0"/>
              <w:jc w:val="right"/>
            </w:pPr>
            <w:r>
              <w:rPr>
                <w:sz w:val="19"/>
              </w:rPr>
              <w:t>5,447</w:t>
            </w:r>
          </w:p>
        </w:tc>
        <w:tc>
          <w:tcPr>
            <w:tcW w:w="1311" w:type="dxa"/>
          </w:tcPr>
          <w:p w:rsidR="007F373F" w:rsidRDefault="00000000">
            <w:pPr>
              <w:spacing w:after="0"/>
              <w:jc w:val="right"/>
            </w:pPr>
            <w:r>
              <w:rPr>
                <w:sz w:val="19"/>
              </w:rPr>
              <w:t>4,885</w:t>
            </w:r>
          </w:p>
        </w:tc>
        <w:tc>
          <w:tcPr>
            <w:tcW w:w="1104" w:type="dxa"/>
          </w:tcPr>
          <w:p w:rsidR="007F373F" w:rsidRDefault="00000000">
            <w:pPr>
              <w:spacing w:after="0"/>
              <w:jc w:val="right"/>
            </w:pPr>
            <w:r>
              <w:rPr>
                <w:sz w:val="19"/>
              </w:rPr>
              <w:t>+11.5%</w:t>
            </w:r>
          </w:p>
        </w:tc>
        <w:tc>
          <w:tcPr>
            <w:tcW w:w="1242" w:type="dxa"/>
          </w:tcPr>
          <w:p w:rsidR="007F373F" w:rsidRDefault="00000000">
            <w:pPr>
              <w:spacing w:after="0"/>
              <w:jc w:val="right"/>
            </w:pPr>
            <w:r>
              <w:rPr>
                <w:sz w:val="19"/>
              </w:rPr>
              <w:t>2.4%</w:t>
            </w:r>
          </w:p>
        </w:tc>
        <w:tc>
          <w:tcPr>
            <w:tcW w:w="1173" w:type="dxa"/>
          </w:tcPr>
          <w:p w:rsidR="007F373F" w:rsidRDefault="00000000">
            <w:pPr>
              <w:spacing w:after="0"/>
              <w:jc w:val="right"/>
            </w:pPr>
            <w:r>
              <w:rPr>
                <w:sz w:val="19"/>
              </w:rPr>
              <w:t>2.3%</w:t>
            </w:r>
          </w:p>
        </w:tc>
      </w:tr>
      <w:tr w:rsidR="007F373F">
        <w:trPr>
          <w:jc w:val="center"/>
        </w:trPr>
        <w:tc>
          <w:tcPr>
            <w:tcW w:w="3589" w:type="dxa"/>
          </w:tcPr>
          <w:p w:rsidR="007F373F" w:rsidRDefault="00000000">
            <w:pPr>
              <w:spacing w:after="0"/>
              <w:jc w:val="left"/>
            </w:pPr>
            <w:r>
              <w:rPr>
                <w:sz w:val="19"/>
              </w:rPr>
              <w:t>Other expenses</w:t>
            </w:r>
          </w:p>
        </w:tc>
        <w:tc>
          <w:tcPr>
            <w:tcW w:w="1311" w:type="dxa"/>
          </w:tcPr>
          <w:p w:rsidR="007F373F" w:rsidRDefault="00000000">
            <w:pPr>
              <w:spacing w:after="0"/>
              <w:jc w:val="right"/>
            </w:pPr>
            <w:r>
              <w:rPr>
                <w:sz w:val="19"/>
              </w:rPr>
              <w:t>27,281</w:t>
            </w:r>
          </w:p>
        </w:tc>
        <w:tc>
          <w:tcPr>
            <w:tcW w:w="1311" w:type="dxa"/>
          </w:tcPr>
          <w:p w:rsidR="007F373F" w:rsidRDefault="00000000">
            <w:pPr>
              <w:spacing w:after="0"/>
              <w:jc w:val="right"/>
            </w:pPr>
            <w:r>
              <w:rPr>
                <w:sz w:val="19"/>
              </w:rPr>
              <w:t>24,828</w:t>
            </w:r>
          </w:p>
        </w:tc>
        <w:tc>
          <w:tcPr>
            <w:tcW w:w="1104" w:type="dxa"/>
          </w:tcPr>
          <w:p w:rsidR="007F373F" w:rsidRDefault="00000000">
            <w:pPr>
              <w:spacing w:after="0"/>
              <w:jc w:val="right"/>
            </w:pPr>
            <w:r>
              <w:rPr>
                <w:sz w:val="19"/>
              </w:rPr>
              <w:t>+9.9%</w:t>
            </w:r>
          </w:p>
        </w:tc>
        <w:tc>
          <w:tcPr>
            <w:tcW w:w="1242" w:type="dxa"/>
          </w:tcPr>
          <w:p w:rsidR="007F373F" w:rsidRDefault="00000000">
            <w:pPr>
              <w:spacing w:after="0"/>
              <w:jc w:val="right"/>
            </w:pPr>
            <w:r>
              <w:rPr>
                <w:sz w:val="19"/>
              </w:rPr>
              <w:t>12.3%</w:t>
            </w:r>
          </w:p>
        </w:tc>
        <w:tc>
          <w:tcPr>
            <w:tcW w:w="1173" w:type="dxa"/>
          </w:tcPr>
          <w:p w:rsidR="007F373F" w:rsidRDefault="00000000">
            <w:pPr>
              <w:spacing w:after="0"/>
              <w:jc w:val="right"/>
            </w:pPr>
            <w:r>
              <w:rPr>
                <w:sz w:val="19"/>
              </w:rPr>
              <w:t>11.9%</w:t>
            </w:r>
          </w:p>
        </w:tc>
      </w:tr>
      <w:tr w:rsidR="007F373F">
        <w:trPr>
          <w:jc w:val="center"/>
        </w:trPr>
        <w:tc>
          <w:tcPr>
            <w:tcW w:w="3589" w:type="dxa"/>
          </w:tcPr>
          <w:p w:rsidR="007F373F" w:rsidRDefault="00000000">
            <w:pPr>
              <w:spacing w:after="0"/>
              <w:jc w:val="left"/>
            </w:pPr>
            <w:r>
              <w:rPr>
                <w:sz w:val="19"/>
              </w:rPr>
              <w:t>Total expenses</w:t>
            </w:r>
          </w:p>
        </w:tc>
        <w:tc>
          <w:tcPr>
            <w:tcW w:w="1311" w:type="dxa"/>
          </w:tcPr>
          <w:p w:rsidR="007F373F" w:rsidRDefault="00000000">
            <w:pPr>
              <w:spacing w:after="0"/>
              <w:jc w:val="right"/>
            </w:pPr>
            <w:r>
              <w:rPr>
                <w:sz w:val="19"/>
              </w:rPr>
              <w:t>176,560</w:t>
            </w:r>
          </w:p>
        </w:tc>
        <w:tc>
          <w:tcPr>
            <w:tcW w:w="1311" w:type="dxa"/>
          </w:tcPr>
          <w:p w:rsidR="007F373F" w:rsidRDefault="00000000">
            <w:pPr>
              <w:spacing w:after="0"/>
              <w:jc w:val="right"/>
            </w:pPr>
            <w:r>
              <w:rPr>
                <w:sz w:val="19"/>
              </w:rPr>
              <w:t>177,607</w:t>
            </w:r>
          </w:p>
        </w:tc>
        <w:tc>
          <w:tcPr>
            <w:tcW w:w="1104" w:type="dxa"/>
          </w:tcPr>
          <w:p w:rsidR="007F373F" w:rsidRDefault="00000000">
            <w:pPr>
              <w:spacing w:after="0"/>
              <w:jc w:val="right"/>
            </w:pPr>
            <w:r>
              <w:rPr>
                <w:sz w:val="19"/>
              </w:rPr>
              <w:t>-0.6%</w:t>
            </w:r>
          </w:p>
        </w:tc>
        <w:tc>
          <w:tcPr>
            <w:tcW w:w="1242" w:type="dxa"/>
          </w:tcPr>
          <w:p w:rsidR="007F373F" w:rsidRDefault="00000000">
            <w:pPr>
              <w:spacing w:after="0"/>
              <w:jc w:val="right"/>
            </w:pPr>
            <w:r>
              <w:rPr>
                <w:sz w:val="19"/>
              </w:rPr>
              <w:t>79.3%</w:t>
            </w:r>
          </w:p>
        </w:tc>
        <w:tc>
          <w:tcPr>
            <w:tcW w:w="1173" w:type="dxa"/>
          </w:tcPr>
          <w:p w:rsidR="007F373F" w:rsidRDefault="00000000">
            <w:pPr>
              <w:spacing w:after="0"/>
              <w:jc w:val="right"/>
            </w:pPr>
            <w:r>
              <w:rPr>
                <w:sz w:val="19"/>
              </w:rPr>
              <w:t>85.4%</w:t>
            </w:r>
          </w:p>
        </w:tc>
      </w:tr>
      <w:tr w:rsidR="007F373F">
        <w:trPr>
          <w:jc w:val="center"/>
        </w:trPr>
        <w:tc>
          <w:tcPr>
            <w:tcW w:w="3589" w:type="dxa"/>
          </w:tcPr>
          <w:p w:rsidR="007F373F" w:rsidRDefault="00000000">
            <w:pPr>
              <w:spacing w:after="0"/>
              <w:jc w:val="left"/>
            </w:pPr>
            <w:r>
              <w:rPr>
                <w:sz w:val="19"/>
              </w:rPr>
              <w:t>Profit before tax</w:t>
            </w:r>
          </w:p>
        </w:tc>
        <w:tc>
          <w:tcPr>
            <w:tcW w:w="1311" w:type="dxa"/>
          </w:tcPr>
          <w:p w:rsidR="007F373F" w:rsidRDefault="00000000">
            <w:pPr>
              <w:spacing w:after="0"/>
              <w:jc w:val="right"/>
            </w:pPr>
            <w:r>
              <w:rPr>
                <w:sz w:val="19"/>
              </w:rPr>
              <w:t>46,101</w:t>
            </w:r>
          </w:p>
        </w:tc>
        <w:tc>
          <w:tcPr>
            <w:tcW w:w="1311" w:type="dxa"/>
          </w:tcPr>
          <w:p w:rsidR="007F373F" w:rsidRDefault="00000000">
            <w:pPr>
              <w:spacing w:after="0"/>
              <w:jc w:val="right"/>
            </w:pPr>
            <w:r>
              <w:rPr>
                <w:sz w:val="19"/>
              </w:rPr>
              <w:t>30,375</w:t>
            </w:r>
          </w:p>
        </w:tc>
        <w:tc>
          <w:tcPr>
            <w:tcW w:w="1104" w:type="dxa"/>
          </w:tcPr>
          <w:p w:rsidR="007F373F" w:rsidRDefault="00000000">
            <w:pPr>
              <w:spacing w:after="0"/>
              <w:jc w:val="right"/>
            </w:pPr>
            <w:r>
              <w:rPr>
                <w:sz w:val="19"/>
              </w:rPr>
              <w:t>+51.8%</w:t>
            </w:r>
          </w:p>
        </w:tc>
        <w:tc>
          <w:tcPr>
            <w:tcW w:w="1242" w:type="dxa"/>
          </w:tcPr>
          <w:p w:rsidR="007F373F" w:rsidRDefault="00000000">
            <w:pPr>
              <w:spacing w:after="0"/>
              <w:jc w:val="right"/>
            </w:pPr>
            <w:r>
              <w:rPr>
                <w:sz w:val="19"/>
              </w:rPr>
              <w:t>20.7%</w:t>
            </w:r>
          </w:p>
        </w:tc>
        <w:tc>
          <w:tcPr>
            <w:tcW w:w="1173" w:type="dxa"/>
          </w:tcPr>
          <w:p w:rsidR="007F373F" w:rsidRDefault="00000000">
            <w:pPr>
              <w:spacing w:after="0"/>
              <w:jc w:val="right"/>
            </w:pPr>
            <w:r>
              <w:rPr>
                <w:sz w:val="19"/>
              </w:rPr>
              <w:t>14.6%</w:t>
            </w:r>
          </w:p>
        </w:tc>
      </w:tr>
      <w:tr w:rsidR="007F373F">
        <w:trPr>
          <w:jc w:val="center"/>
        </w:trPr>
        <w:tc>
          <w:tcPr>
            <w:tcW w:w="3589" w:type="dxa"/>
          </w:tcPr>
          <w:p w:rsidR="007F373F" w:rsidRDefault="00000000">
            <w:pPr>
              <w:spacing w:after="0"/>
              <w:jc w:val="left"/>
            </w:pPr>
            <w:r>
              <w:rPr>
                <w:sz w:val="19"/>
              </w:rPr>
              <w:t>Current tax</w:t>
            </w:r>
          </w:p>
        </w:tc>
        <w:tc>
          <w:tcPr>
            <w:tcW w:w="1311" w:type="dxa"/>
          </w:tcPr>
          <w:p w:rsidR="007F373F" w:rsidRDefault="00000000">
            <w:pPr>
              <w:spacing w:after="0"/>
              <w:jc w:val="right"/>
            </w:pPr>
            <w:r>
              <w:rPr>
                <w:sz w:val="19"/>
              </w:rPr>
              <w:t>12,107</w:t>
            </w:r>
          </w:p>
        </w:tc>
        <w:tc>
          <w:tcPr>
            <w:tcW w:w="1311" w:type="dxa"/>
          </w:tcPr>
          <w:p w:rsidR="007F373F" w:rsidRDefault="00000000">
            <w:pPr>
              <w:spacing w:after="0"/>
              <w:jc w:val="right"/>
            </w:pPr>
            <w:r>
              <w:rPr>
                <w:sz w:val="19"/>
              </w:rPr>
              <w:t>10,169</w:t>
            </w:r>
          </w:p>
        </w:tc>
        <w:tc>
          <w:tcPr>
            <w:tcW w:w="1104" w:type="dxa"/>
          </w:tcPr>
          <w:p w:rsidR="007F373F" w:rsidRDefault="00000000">
            <w:pPr>
              <w:spacing w:after="0"/>
              <w:jc w:val="right"/>
            </w:pPr>
            <w:r>
              <w:rPr>
                <w:sz w:val="19"/>
              </w:rPr>
              <w:t>+19.1%</w:t>
            </w:r>
          </w:p>
        </w:tc>
        <w:tc>
          <w:tcPr>
            <w:tcW w:w="1242" w:type="dxa"/>
          </w:tcPr>
          <w:p w:rsidR="007F373F" w:rsidRDefault="00000000">
            <w:pPr>
              <w:spacing w:after="0"/>
              <w:jc w:val="right"/>
            </w:pPr>
            <w:r>
              <w:rPr>
                <w:sz w:val="19"/>
              </w:rPr>
              <w:t>5.4%</w:t>
            </w:r>
          </w:p>
        </w:tc>
        <w:tc>
          <w:tcPr>
            <w:tcW w:w="1173" w:type="dxa"/>
          </w:tcPr>
          <w:p w:rsidR="007F373F" w:rsidRDefault="00000000">
            <w:pPr>
              <w:spacing w:after="0"/>
              <w:jc w:val="right"/>
            </w:pPr>
            <w:r>
              <w:rPr>
                <w:sz w:val="19"/>
              </w:rPr>
              <w:t>4.9%</w:t>
            </w:r>
          </w:p>
        </w:tc>
      </w:tr>
      <w:tr w:rsidR="007F373F">
        <w:trPr>
          <w:jc w:val="center"/>
        </w:trPr>
        <w:tc>
          <w:tcPr>
            <w:tcW w:w="3589" w:type="dxa"/>
          </w:tcPr>
          <w:p w:rsidR="007F373F" w:rsidRDefault="00000000">
            <w:pPr>
              <w:spacing w:after="0"/>
              <w:jc w:val="left"/>
            </w:pPr>
            <w:r>
              <w:rPr>
                <w:sz w:val="19"/>
              </w:rPr>
              <w:t>Deferred tax</w:t>
            </w:r>
          </w:p>
        </w:tc>
        <w:tc>
          <w:tcPr>
            <w:tcW w:w="1311" w:type="dxa"/>
          </w:tcPr>
          <w:p w:rsidR="007F373F" w:rsidRDefault="00000000">
            <w:pPr>
              <w:spacing w:after="0"/>
              <w:jc w:val="right"/>
            </w:pPr>
            <w:r>
              <w:rPr>
                <w:sz w:val="19"/>
              </w:rPr>
              <w:t>-366</w:t>
            </w:r>
          </w:p>
        </w:tc>
        <w:tc>
          <w:tcPr>
            <w:tcW w:w="1311" w:type="dxa"/>
          </w:tcPr>
          <w:p w:rsidR="007F373F" w:rsidRDefault="00000000">
            <w:pPr>
              <w:spacing w:after="0"/>
              <w:jc w:val="right"/>
            </w:pPr>
            <w:r>
              <w:rPr>
                <w:sz w:val="19"/>
              </w:rPr>
              <w:t>-2,312</w:t>
            </w:r>
          </w:p>
        </w:tc>
        <w:tc>
          <w:tcPr>
            <w:tcW w:w="1104" w:type="dxa"/>
          </w:tcPr>
          <w:p w:rsidR="007F373F" w:rsidRDefault="00000000">
            <w:pPr>
              <w:spacing w:after="0"/>
              <w:jc w:val="right"/>
            </w:pPr>
            <w:r>
              <w:rPr>
                <w:sz w:val="19"/>
              </w:rPr>
              <w:t>-84.2%</w:t>
            </w:r>
          </w:p>
        </w:tc>
        <w:tc>
          <w:tcPr>
            <w:tcW w:w="1242" w:type="dxa"/>
          </w:tcPr>
          <w:p w:rsidR="007F373F" w:rsidRDefault="00000000">
            <w:pPr>
              <w:spacing w:after="0"/>
              <w:jc w:val="right"/>
            </w:pPr>
            <w:r>
              <w:rPr>
                <w:sz w:val="19"/>
              </w:rPr>
              <w:t>-0.2%</w:t>
            </w:r>
          </w:p>
        </w:tc>
        <w:tc>
          <w:tcPr>
            <w:tcW w:w="1173" w:type="dxa"/>
          </w:tcPr>
          <w:p w:rsidR="007F373F" w:rsidRDefault="00000000">
            <w:pPr>
              <w:spacing w:after="0"/>
              <w:jc w:val="right"/>
            </w:pPr>
            <w:r>
              <w:rPr>
                <w:sz w:val="19"/>
              </w:rPr>
              <w:t>-1.1%</w:t>
            </w:r>
          </w:p>
        </w:tc>
      </w:tr>
      <w:tr w:rsidR="007F373F">
        <w:trPr>
          <w:jc w:val="center"/>
        </w:trPr>
        <w:tc>
          <w:tcPr>
            <w:tcW w:w="3589" w:type="dxa"/>
          </w:tcPr>
          <w:p w:rsidR="007F373F" w:rsidRDefault="00000000">
            <w:pPr>
              <w:spacing w:after="0"/>
              <w:jc w:val="left"/>
            </w:pPr>
            <w:r>
              <w:rPr>
                <w:sz w:val="19"/>
              </w:rPr>
              <w:t>Profit after tax</w:t>
            </w:r>
          </w:p>
        </w:tc>
        <w:tc>
          <w:tcPr>
            <w:tcW w:w="1311" w:type="dxa"/>
          </w:tcPr>
          <w:p w:rsidR="007F373F" w:rsidRDefault="00000000">
            <w:pPr>
              <w:spacing w:after="0"/>
              <w:jc w:val="right"/>
            </w:pPr>
            <w:r>
              <w:rPr>
                <w:sz w:val="19"/>
              </w:rPr>
              <w:t>34,360</w:t>
            </w:r>
          </w:p>
        </w:tc>
        <w:tc>
          <w:tcPr>
            <w:tcW w:w="1311" w:type="dxa"/>
          </w:tcPr>
          <w:p w:rsidR="007F373F" w:rsidRDefault="00000000">
            <w:pPr>
              <w:spacing w:after="0"/>
              <w:jc w:val="right"/>
            </w:pPr>
            <w:r>
              <w:rPr>
                <w:sz w:val="19"/>
              </w:rPr>
              <w:t>22,518</w:t>
            </w:r>
          </w:p>
        </w:tc>
        <w:tc>
          <w:tcPr>
            <w:tcW w:w="1104" w:type="dxa"/>
          </w:tcPr>
          <w:p w:rsidR="007F373F" w:rsidRDefault="00000000">
            <w:pPr>
              <w:spacing w:after="0"/>
              <w:jc w:val="right"/>
            </w:pPr>
            <w:r>
              <w:rPr>
                <w:sz w:val="19"/>
              </w:rPr>
              <w:t>+52.6%</w:t>
            </w:r>
          </w:p>
        </w:tc>
        <w:tc>
          <w:tcPr>
            <w:tcW w:w="1242" w:type="dxa"/>
          </w:tcPr>
          <w:p w:rsidR="007F373F" w:rsidRDefault="00000000">
            <w:pPr>
              <w:spacing w:after="0"/>
              <w:jc w:val="right"/>
            </w:pPr>
            <w:r>
              <w:rPr>
                <w:sz w:val="19"/>
              </w:rPr>
              <w:t>15.4%</w:t>
            </w:r>
          </w:p>
        </w:tc>
        <w:tc>
          <w:tcPr>
            <w:tcW w:w="1173" w:type="dxa"/>
          </w:tcPr>
          <w:p w:rsidR="007F373F" w:rsidRDefault="00000000">
            <w:pPr>
              <w:spacing w:after="0"/>
              <w:jc w:val="right"/>
            </w:pPr>
            <w:r>
              <w:rPr>
                <w:sz w:val="19"/>
              </w:rPr>
              <w:t>10.8%</w:t>
            </w:r>
          </w:p>
        </w:tc>
      </w:tr>
      <w:tr w:rsidR="007F373F">
        <w:trPr>
          <w:jc w:val="center"/>
        </w:trPr>
        <w:tc>
          <w:tcPr>
            <w:tcW w:w="3589" w:type="dxa"/>
          </w:tcPr>
          <w:p w:rsidR="007F373F" w:rsidRDefault="00000000">
            <w:pPr>
              <w:spacing w:after="0"/>
              <w:jc w:val="left"/>
            </w:pPr>
            <w:r>
              <w:rPr>
                <w:sz w:val="19"/>
              </w:rPr>
              <w:t>Other comprehensive income (net)</w:t>
            </w:r>
          </w:p>
        </w:tc>
        <w:tc>
          <w:tcPr>
            <w:tcW w:w="1311" w:type="dxa"/>
          </w:tcPr>
          <w:p w:rsidR="007F373F" w:rsidRDefault="00000000">
            <w:pPr>
              <w:spacing w:after="0"/>
              <w:jc w:val="right"/>
            </w:pPr>
            <w:r>
              <w:rPr>
                <w:sz w:val="19"/>
              </w:rPr>
              <w:t>1,502</w:t>
            </w:r>
          </w:p>
        </w:tc>
        <w:tc>
          <w:tcPr>
            <w:tcW w:w="1311" w:type="dxa"/>
          </w:tcPr>
          <w:p w:rsidR="007F373F" w:rsidRDefault="00000000">
            <w:pPr>
              <w:spacing w:after="0"/>
              <w:jc w:val="right"/>
            </w:pPr>
            <w:r>
              <w:rPr>
                <w:sz w:val="19"/>
              </w:rPr>
              <w:t>4,159</w:t>
            </w:r>
          </w:p>
        </w:tc>
        <w:tc>
          <w:tcPr>
            <w:tcW w:w="1104" w:type="dxa"/>
          </w:tcPr>
          <w:p w:rsidR="007F373F" w:rsidRDefault="00000000">
            <w:pPr>
              <w:spacing w:after="0"/>
              <w:jc w:val="right"/>
            </w:pPr>
            <w:r>
              <w:rPr>
                <w:sz w:val="19"/>
              </w:rPr>
              <w:t>-63.9%</w:t>
            </w:r>
          </w:p>
        </w:tc>
        <w:tc>
          <w:tcPr>
            <w:tcW w:w="1242" w:type="dxa"/>
          </w:tcPr>
          <w:p w:rsidR="007F373F" w:rsidRDefault="00000000">
            <w:pPr>
              <w:spacing w:after="0"/>
              <w:jc w:val="right"/>
            </w:pPr>
            <w:r>
              <w:rPr>
                <w:sz w:val="19"/>
              </w:rPr>
              <w:t>0.7%</w:t>
            </w:r>
          </w:p>
        </w:tc>
        <w:tc>
          <w:tcPr>
            <w:tcW w:w="1173" w:type="dxa"/>
          </w:tcPr>
          <w:p w:rsidR="007F373F" w:rsidRDefault="00000000">
            <w:pPr>
              <w:spacing w:after="0"/>
              <w:jc w:val="right"/>
            </w:pPr>
            <w:r>
              <w:rPr>
                <w:sz w:val="19"/>
              </w:rPr>
              <w:t>2.0%</w:t>
            </w:r>
          </w:p>
        </w:tc>
      </w:tr>
      <w:tr w:rsidR="007F373F">
        <w:trPr>
          <w:jc w:val="center"/>
        </w:trPr>
        <w:tc>
          <w:tcPr>
            <w:tcW w:w="3589" w:type="dxa"/>
          </w:tcPr>
          <w:p w:rsidR="007F373F" w:rsidRDefault="00000000">
            <w:pPr>
              <w:spacing w:after="0"/>
              <w:jc w:val="left"/>
            </w:pPr>
            <w:r>
              <w:rPr>
                <w:sz w:val="19"/>
              </w:rPr>
              <w:t>Total comprehensive income</w:t>
            </w:r>
          </w:p>
        </w:tc>
        <w:tc>
          <w:tcPr>
            <w:tcW w:w="1311" w:type="dxa"/>
          </w:tcPr>
          <w:p w:rsidR="007F373F" w:rsidRDefault="00000000">
            <w:pPr>
              <w:spacing w:after="0"/>
              <w:jc w:val="right"/>
            </w:pPr>
            <w:r>
              <w:rPr>
                <w:sz w:val="19"/>
              </w:rPr>
              <w:t>35,862</w:t>
            </w:r>
          </w:p>
        </w:tc>
        <w:tc>
          <w:tcPr>
            <w:tcW w:w="1311" w:type="dxa"/>
          </w:tcPr>
          <w:p w:rsidR="007F373F" w:rsidRDefault="00000000">
            <w:pPr>
              <w:spacing w:after="0"/>
              <w:jc w:val="right"/>
            </w:pPr>
            <w:r>
              <w:rPr>
                <w:sz w:val="19"/>
              </w:rPr>
              <w:t>26,677</w:t>
            </w:r>
          </w:p>
        </w:tc>
        <w:tc>
          <w:tcPr>
            <w:tcW w:w="1104" w:type="dxa"/>
          </w:tcPr>
          <w:p w:rsidR="007F373F" w:rsidRDefault="00000000">
            <w:pPr>
              <w:spacing w:after="0"/>
              <w:jc w:val="right"/>
            </w:pPr>
            <w:r>
              <w:rPr>
                <w:sz w:val="19"/>
              </w:rPr>
              <w:t>+34.4%</w:t>
            </w:r>
          </w:p>
        </w:tc>
        <w:tc>
          <w:tcPr>
            <w:tcW w:w="1242" w:type="dxa"/>
          </w:tcPr>
          <w:p w:rsidR="007F373F" w:rsidRDefault="00000000">
            <w:pPr>
              <w:spacing w:after="0"/>
              <w:jc w:val="right"/>
            </w:pPr>
            <w:r>
              <w:rPr>
                <w:sz w:val="19"/>
              </w:rPr>
              <w:t>16.1%</w:t>
            </w:r>
          </w:p>
        </w:tc>
        <w:tc>
          <w:tcPr>
            <w:tcW w:w="1173" w:type="dxa"/>
          </w:tcPr>
          <w:p w:rsidR="007F373F" w:rsidRDefault="00000000">
            <w:pPr>
              <w:spacing w:after="0"/>
              <w:jc w:val="right"/>
            </w:pPr>
            <w:r>
              <w:rPr>
                <w:sz w:val="19"/>
              </w:rPr>
              <w:t>12.8%</w:t>
            </w:r>
          </w:p>
        </w:tc>
      </w:tr>
    </w:tbl>
    <w:p w:rsidR="007F373F" w:rsidRDefault="00000000">
      <w:pPr>
        <w:spacing w:before="40" w:after="80"/>
      </w:pPr>
      <w:r>
        <w:rPr>
          <w:i/>
          <w:sz w:val="18"/>
        </w:rPr>
        <w:t>Source: Fedfina Annual Report 2025-26, Statement of Profit and Loss; common-size percentages derived.</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417"/>
        <w:gridCol w:w="1794"/>
        <w:gridCol w:w="1794"/>
        <w:gridCol w:w="1725"/>
      </w:tblGrid>
      <w:tr w:rsidR="007F373F">
        <w:trPr>
          <w:jc w:val="center"/>
        </w:trPr>
        <w:tc>
          <w:tcPr>
            <w:tcW w:w="4417" w:type="dxa"/>
          </w:tcPr>
          <w:p w:rsidR="007F373F" w:rsidRDefault="00000000">
            <w:pPr>
              <w:spacing w:after="0"/>
              <w:jc w:val="left"/>
            </w:pPr>
            <w:r>
              <w:rPr>
                <w:b/>
                <w:sz w:val="19"/>
              </w:rPr>
              <w:t>Interest income by source (note 26, ₹ lakh)</w:t>
            </w:r>
          </w:p>
        </w:tc>
        <w:tc>
          <w:tcPr>
            <w:tcW w:w="1794" w:type="dxa"/>
          </w:tcPr>
          <w:p w:rsidR="007F373F" w:rsidRDefault="00000000">
            <w:pPr>
              <w:spacing w:after="0"/>
              <w:jc w:val="left"/>
            </w:pPr>
            <w:r>
              <w:rPr>
                <w:b/>
                <w:sz w:val="19"/>
              </w:rPr>
              <w:t>FY26</w:t>
            </w:r>
          </w:p>
        </w:tc>
        <w:tc>
          <w:tcPr>
            <w:tcW w:w="1794" w:type="dxa"/>
          </w:tcPr>
          <w:p w:rsidR="007F373F" w:rsidRDefault="00000000">
            <w:pPr>
              <w:spacing w:after="0"/>
              <w:jc w:val="left"/>
            </w:pPr>
            <w:r>
              <w:rPr>
                <w:b/>
                <w:sz w:val="19"/>
              </w:rPr>
              <w:t>FY25</w:t>
            </w:r>
          </w:p>
        </w:tc>
        <w:tc>
          <w:tcPr>
            <w:tcW w:w="1725" w:type="dxa"/>
          </w:tcPr>
          <w:p w:rsidR="007F373F" w:rsidRDefault="00000000">
            <w:pPr>
              <w:spacing w:after="0"/>
              <w:jc w:val="left"/>
            </w:pPr>
            <w:r>
              <w:rPr>
                <w:b/>
                <w:sz w:val="19"/>
              </w:rPr>
              <w:t>Change</w:t>
            </w:r>
          </w:p>
        </w:tc>
      </w:tr>
      <w:tr w:rsidR="007F373F">
        <w:trPr>
          <w:jc w:val="center"/>
        </w:trPr>
        <w:tc>
          <w:tcPr>
            <w:tcW w:w="4417" w:type="dxa"/>
          </w:tcPr>
          <w:p w:rsidR="007F373F" w:rsidRDefault="00000000">
            <w:pPr>
              <w:spacing w:after="0"/>
              <w:jc w:val="left"/>
            </w:pPr>
            <w:r>
              <w:rPr>
                <w:sz w:val="19"/>
              </w:rPr>
              <w:t>Interest on loans</w:t>
            </w:r>
          </w:p>
        </w:tc>
        <w:tc>
          <w:tcPr>
            <w:tcW w:w="1794" w:type="dxa"/>
          </w:tcPr>
          <w:p w:rsidR="007F373F" w:rsidRDefault="00000000">
            <w:pPr>
              <w:spacing w:after="0"/>
              <w:jc w:val="right"/>
            </w:pPr>
            <w:r>
              <w:rPr>
                <w:sz w:val="19"/>
              </w:rPr>
              <w:t>196,762</w:t>
            </w:r>
          </w:p>
        </w:tc>
        <w:tc>
          <w:tcPr>
            <w:tcW w:w="1794" w:type="dxa"/>
          </w:tcPr>
          <w:p w:rsidR="007F373F" w:rsidRDefault="00000000">
            <w:pPr>
              <w:spacing w:after="0"/>
              <w:jc w:val="right"/>
            </w:pPr>
            <w:r>
              <w:rPr>
                <w:sz w:val="19"/>
              </w:rPr>
              <w:t>173,517</w:t>
            </w:r>
          </w:p>
        </w:tc>
        <w:tc>
          <w:tcPr>
            <w:tcW w:w="1725" w:type="dxa"/>
          </w:tcPr>
          <w:p w:rsidR="007F373F" w:rsidRDefault="00000000">
            <w:pPr>
              <w:spacing w:after="0"/>
              <w:jc w:val="right"/>
            </w:pPr>
            <w:r>
              <w:rPr>
                <w:sz w:val="19"/>
              </w:rPr>
              <w:t>+13.4%</w:t>
            </w:r>
          </w:p>
        </w:tc>
      </w:tr>
      <w:tr w:rsidR="007F373F">
        <w:trPr>
          <w:jc w:val="center"/>
        </w:trPr>
        <w:tc>
          <w:tcPr>
            <w:tcW w:w="4417" w:type="dxa"/>
          </w:tcPr>
          <w:p w:rsidR="007F373F" w:rsidRDefault="00000000">
            <w:pPr>
              <w:spacing w:after="0"/>
              <w:jc w:val="left"/>
            </w:pPr>
            <w:r>
              <w:rPr>
                <w:sz w:val="19"/>
              </w:rPr>
              <w:t>Income on direct assignment</w:t>
            </w:r>
          </w:p>
        </w:tc>
        <w:tc>
          <w:tcPr>
            <w:tcW w:w="1794" w:type="dxa"/>
          </w:tcPr>
          <w:p w:rsidR="007F373F" w:rsidRDefault="00000000">
            <w:pPr>
              <w:spacing w:after="0"/>
              <w:jc w:val="right"/>
            </w:pPr>
            <w:r>
              <w:rPr>
                <w:sz w:val="19"/>
              </w:rPr>
              <w:t>10,198</w:t>
            </w:r>
          </w:p>
        </w:tc>
        <w:tc>
          <w:tcPr>
            <w:tcW w:w="1794" w:type="dxa"/>
          </w:tcPr>
          <w:p w:rsidR="007F373F" w:rsidRDefault="00000000">
            <w:pPr>
              <w:spacing w:after="0"/>
              <w:jc w:val="right"/>
            </w:pPr>
            <w:r>
              <w:rPr>
                <w:sz w:val="19"/>
              </w:rPr>
              <w:t>15,231</w:t>
            </w:r>
          </w:p>
        </w:tc>
        <w:tc>
          <w:tcPr>
            <w:tcW w:w="1725" w:type="dxa"/>
          </w:tcPr>
          <w:p w:rsidR="007F373F" w:rsidRDefault="00000000">
            <w:pPr>
              <w:spacing w:after="0"/>
              <w:jc w:val="right"/>
            </w:pPr>
            <w:r>
              <w:rPr>
                <w:sz w:val="19"/>
              </w:rPr>
              <w:t>-33.0%</w:t>
            </w:r>
          </w:p>
        </w:tc>
      </w:tr>
      <w:tr w:rsidR="007F373F">
        <w:trPr>
          <w:jc w:val="center"/>
        </w:trPr>
        <w:tc>
          <w:tcPr>
            <w:tcW w:w="4417" w:type="dxa"/>
          </w:tcPr>
          <w:p w:rsidR="007F373F" w:rsidRDefault="00000000">
            <w:pPr>
              <w:spacing w:after="0"/>
              <w:jc w:val="left"/>
            </w:pPr>
            <w:r>
              <w:rPr>
                <w:sz w:val="19"/>
              </w:rPr>
              <w:t>Interest income from investments</w:t>
            </w:r>
          </w:p>
        </w:tc>
        <w:tc>
          <w:tcPr>
            <w:tcW w:w="1794" w:type="dxa"/>
          </w:tcPr>
          <w:p w:rsidR="007F373F" w:rsidRDefault="00000000">
            <w:pPr>
              <w:spacing w:after="0"/>
              <w:jc w:val="right"/>
            </w:pPr>
            <w:r>
              <w:rPr>
                <w:sz w:val="19"/>
              </w:rPr>
              <w:t>2,175</w:t>
            </w:r>
          </w:p>
        </w:tc>
        <w:tc>
          <w:tcPr>
            <w:tcW w:w="1794" w:type="dxa"/>
          </w:tcPr>
          <w:p w:rsidR="007F373F" w:rsidRDefault="00000000">
            <w:pPr>
              <w:spacing w:after="0"/>
              <w:jc w:val="right"/>
            </w:pPr>
            <w:r>
              <w:rPr>
                <w:sz w:val="19"/>
              </w:rPr>
              <w:t>1,957</w:t>
            </w:r>
          </w:p>
        </w:tc>
        <w:tc>
          <w:tcPr>
            <w:tcW w:w="1725" w:type="dxa"/>
          </w:tcPr>
          <w:p w:rsidR="007F373F" w:rsidRDefault="00000000">
            <w:pPr>
              <w:spacing w:after="0"/>
              <w:jc w:val="right"/>
            </w:pPr>
            <w:r>
              <w:rPr>
                <w:sz w:val="19"/>
              </w:rPr>
              <w:t>+11.1%</w:t>
            </w:r>
          </w:p>
        </w:tc>
      </w:tr>
      <w:tr w:rsidR="007F373F">
        <w:trPr>
          <w:jc w:val="center"/>
        </w:trPr>
        <w:tc>
          <w:tcPr>
            <w:tcW w:w="4417" w:type="dxa"/>
          </w:tcPr>
          <w:p w:rsidR="007F373F" w:rsidRDefault="00000000">
            <w:pPr>
              <w:spacing w:after="0"/>
              <w:jc w:val="left"/>
            </w:pPr>
            <w:r>
              <w:rPr>
                <w:sz w:val="19"/>
              </w:rPr>
              <w:t>Interest on fixed deposits</w:t>
            </w:r>
          </w:p>
        </w:tc>
        <w:tc>
          <w:tcPr>
            <w:tcW w:w="1794" w:type="dxa"/>
          </w:tcPr>
          <w:p w:rsidR="007F373F" w:rsidRDefault="00000000">
            <w:pPr>
              <w:spacing w:after="0"/>
              <w:jc w:val="right"/>
            </w:pPr>
            <w:r>
              <w:rPr>
                <w:sz w:val="19"/>
              </w:rPr>
              <w:t>1,624</w:t>
            </w:r>
          </w:p>
        </w:tc>
        <w:tc>
          <w:tcPr>
            <w:tcW w:w="1794" w:type="dxa"/>
          </w:tcPr>
          <w:p w:rsidR="007F373F" w:rsidRDefault="00000000">
            <w:pPr>
              <w:spacing w:after="0"/>
              <w:jc w:val="right"/>
            </w:pPr>
            <w:r>
              <w:rPr>
                <w:sz w:val="19"/>
              </w:rPr>
              <w:t>1,555</w:t>
            </w:r>
          </w:p>
        </w:tc>
        <w:tc>
          <w:tcPr>
            <w:tcW w:w="1725" w:type="dxa"/>
          </w:tcPr>
          <w:p w:rsidR="007F373F" w:rsidRDefault="00000000">
            <w:pPr>
              <w:spacing w:after="0"/>
              <w:jc w:val="right"/>
            </w:pPr>
            <w:r>
              <w:rPr>
                <w:sz w:val="19"/>
              </w:rPr>
              <w:t>+4.4%</w:t>
            </w:r>
          </w:p>
        </w:tc>
      </w:tr>
      <w:tr w:rsidR="007F373F">
        <w:trPr>
          <w:jc w:val="center"/>
        </w:trPr>
        <w:tc>
          <w:tcPr>
            <w:tcW w:w="4417" w:type="dxa"/>
          </w:tcPr>
          <w:p w:rsidR="007F373F" w:rsidRDefault="00000000">
            <w:pPr>
              <w:spacing w:after="0"/>
              <w:jc w:val="left"/>
            </w:pPr>
            <w:r>
              <w:rPr>
                <w:sz w:val="19"/>
              </w:rPr>
              <w:t>Interest on security deposit</w:t>
            </w:r>
          </w:p>
        </w:tc>
        <w:tc>
          <w:tcPr>
            <w:tcW w:w="1794" w:type="dxa"/>
          </w:tcPr>
          <w:p w:rsidR="007F373F" w:rsidRDefault="00000000">
            <w:pPr>
              <w:spacing w:after="0"/>
              <w:jc w:val="right"/>
            </w:pPr>
            <w:r>
              <w:rPr>
                <w:sz w:val="19"/>
              </w:rPr>
              <w:t>148</w:t>
            </w:r>
          </w:p>
        </w:tc>
        <w:tc>
          <w:tcPr>
            <w:tcW w:w="1794" w:type="dxa"/>
          </w:tcPr>
          <w:p w:rsidR="007F373F" w:rsidRDefault="00000000">
            <w:pPr>
              <w:spacing w:after="0"/>
              <w:jc w:val="right"/>
            </w:pPr>
            <w:r>
              <w:rPr>
                <w:sz w:val="19"/>
              </w:rPr>
              <w:t>198</w:t>
            </w:r>
          </w:p>
        </w:tc>
        <w:tc>
          <w:tcPr>
            <w:tcW w:w="1725" w:type="dxa"/>
          </w:tcPr>
          <w:p w:rsidR="007F373F" w:rsidRDefault="00000000">
            <w:pPr>
              <w:spacing w:after="0"/>
              <w:jc w:val="right"/>
            </w:pPr>
            <w:r>
              <w:rPr>
                <w:sz w:val="19"/>
              </w:rPr>
              <w:t>-25.3%</w:t>
            </w:r>
          </w:p>
        </w:tc>
      </w:tr>
      <w:tr w:rsidR="007F373F">
        <w:trPr>
          <w:jc w:val="center"/>
        </w:trPr>
        <w:tc>
          <w:tcPr>
            <w:tcW w:w="4417" w:type="dxa"/>
          </w:tcPr>
          <w:p w:rsidR="007F373F" w:rsidRDefault="00000000">
            <w:pPr>
              <w:spacing w:after="0"/>
              <w:jc w:val="left"/>
            </w:pPr>
            <w:r>
              <w:rPr>
                <w:sz w:val="19"/>
              </w:rPr>
              <w:t>Total interest income</w:t>
            </w:r>
          </w:p>
        </w:tc>
        <w:tc>
          <w:tcPr>
            <w:tcW w:w="1794" w:type="dxa"/>
          </w:tcPr>
          <w:p w:rsidR="007F373F" w:rsidRDefault="00000000">
            <w:pPr>
              <w:spacing w:after="0"/>
              <w:jc w:val="right"/>
            </w:pPr>
            <w:r>
              <w:rPr>
                <w:sz w:val="19"/>
              </w:rPr>
              <w:t>210,907</w:t>
            </w:r>
          </w:p>
        </w:tc>
        <w:tc>
          <w:tcPr>
            <w:tcW w:w="1794" w:type="dxa"/>
          </w:tcPr>
          <w:p w:rsidR="007F373F" w:rsidRDefault="00000000">
            <w:pPr>
              <w:spacing w:after="0"/>
              <w:jc w:val="right"/>
            </w:pPr>
            <w:r>
              <w:rPr>
                <w:sz w:val="19"/>
              </w:rPr>
              <w:t>192,458</w:t>
            </w:r>
          </w:p>
        </w:tc>
        <w:tc>
          <w:tcPr>
            <w:tcW w:w="1725" w:type="dxa"/>
          </w:tcPr>
          <w:p w:rsidR="007F373F" w:rsidRDefault="00000000">
            <w:pPr>
              <w:spacing w:after="0"/>
              <w:jc w:val="right"/>
            </w:pPr>
            <w:r>
              <w:rPr>
                <w:sz w:val="19"/>
              </w:rPr>
              <w:t>+9.6%</w:t>
            </w:r>
          </w:p>
        </w:tc>
      </w:tr>
    </w:tbl>
    <w:p w:rsidR="007F373F" w:rsidRDefault="00000000">
      <w:pPr>
        <w:spacing w:before="40" w:after="80"/>
      </w:pPr>
      <w:r>
        <w:rPr>
          <w:i/>
          <w:sz w:val="18"/>
        </w:rPr>
        <w:t>Source: Fedfina Annual Report 2025-26, note 26.</w:t>
      </w:r>
    </w:p>
    <w:p w:rsidR="007F373F" w:rsidRDefault="00000000">
      <w:r>
        <w:t>Interpretation. Interest on loans – the core, recurring revenue – grew 13.4% to ₹1,968 crore and rose to 93.3% of interest income (FY25: 90.2%), while income on direct assignment fell 33% and fee/commission income fell 13% (distribution income from Federal Bank products ₹40.8 crore vs ₹59.2 crore). Finance costs grew just 3% on a 31% larger borrowing base, confirming the fall in cost of funds. The impairment line – ₹115 crore against ₹216 crore – is the single largest contributor to the profit recovery. Employee costs rose 13.7% and other expenses 9.9%, both slower than AUM growth. The effective tax rate was 25.5% (derived). Other comprehensive income of ₹15 crore mainly reflects fair-value movements on FVOCI loans and cash-flow hedges on the ECB programme.</w:t>
      </w:r>
    </w:p>
    <w:p w:rsidR="007F373F" w:rsidRDefault="00000000">
      <w:pPr>
        <w:pStyle w:val="Heading1"/>
        <w:pageBreakBefore/>
      </w:pPr>
      <w:r>
        <w:lastRenderedPageBreak/>
        <w:t>Expense Structure and Operating Efficiency</w:t>
      </w:r>
    </w:p>
    <w:p w:rsidR="007F373F" w:rsidRDefault="00000000">
      <w:pPr>
        <w:spacing w:after="0"/>
        <w:jc w:val="center"/>
      </w:pPr>
      <w:r>
        <w:rPr>
          <w:noProof/>
        </w:rPr>
        <w:drawing>
          <wp:inline distT="0" distB="0" distL="0" distR="0">
            <wp:extent cx="4754880" cy="18010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s.png"/>
                    <pic:cNvPicPr/>
                  </pic:nvPicPr>
                  <pic:blipFill>
                    <a:blip r:embed="rId19"/>
                    <a:stretch>
                      <a:fillRect/>
                    </a:stretch>
                  </pic:blipFill>
                  <pic:spPr>
                    <a:xfrm>
                      <a:off x="0" y="0"/>
                      <a:ext cx="4754880" cy="1801091"/>
                    </a:xfrm>
                    <a:prstGeom prst="rect">
                      <a:avLst/>
                    </a:prstGeom>
                  </pic:spPr>
                </pic:pic>
              </a:graphicData>
            </a:graphic>
          </wp:inline>
        </w:drawing>
      </w:r>
    </w:p>
    <w:p w:rsidR="007F373F" w:rsidRDefault="00000000">
      <w:pPr>
        <w:spacing w:after="80"/>
        <w:jc w:val="center"/>
      </w:pPr>
      <w:r>
        <w:rPr>
          <w:i/>
          <w:sz w:val="18"/>
        </w:rPr>
        <w:t>Figure 14 – Expense structure FY25 vs FY26 (₹ crore). Source: Fedfina Annual Report 2025-26, Statement of Profit and Loss.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589"/>
        <w:gridCol w:w="1242"/>
        <w:gridCol w:w="1242"/>
        <w:gridCol w:w="3658"/>
      </w:tblGrid>
      <w:tr w:rsidR="007F373F">
        <w:trPr>
          <w:jc w:val="center"/>
        </w:trPr>
        <w:tc>
          <w:tcPr>
            <w:tcW w:w="3589" w:type="dxa"/>
          </w:tcPr>
          <w:p w:rsidR="007F373F" w:rsidRDefault="00000000">
            <w:pPr>
              <w:spacing w:after="0"/>
              <w:jc w:val="left"/>
            </w:pPr>
            <w:r>
              <w:rPr>
                <w:b/>
                <w:sz w:val="19"/>
              </w:rPr>
              <w:t>Efficiency measure</w:t>
            </w:r>
          </w:p>
        </w:tc>
        <w:tc>
          <w:tcPr>
            <w:tcW w:w="1242" w:type="dxa"/>
          </w:tcPr>
          <w:p w:rsidR="007F373F" w:rsidRDefault="00000000">
            <w:pPr>
              <w:spacing w:after="0"/>
              <w:jc w:val="left"/>
            </w:pPr>
            <w:r>
              <w:rPr>
                <w:b/>
                <w:sz w:val="19"/>
              </w:rPr>
              <w:t>FY25</w:t>
            </w:r>
          </w:p>
        </w:tc>
        <w:tc>
          <w:tcPr>
            <w:tcW w:w="1242" w:type="dxa"/>
          </w:tcPr>
          <w:p w:rsidR="007F373F" w:rsidRDefault="00000000">
            <w:pPr>
              <w:spacing w:after="0"/>
              <w:jc w:val="left"/>
            </w:pPr>
            <w:r>
              <w:rPr>
                <w:b/>
                <w:sz w:val="19"/>
              </w:rPr>
              <w:t>FY26</w:t>
            </w:r>
          </w:p>
        </w:tc>
        <w:tc>
          <w:tcPr>
            <w:tcW w:w="3658" w:type="dxa"/>
          </w:tcPr>
          <w:p w:rsidR="007F373F" w:rsidRDefault="00000000">
            <w:pPr>
              <w:spacing w:after="0"/>
              <w:jc w:val="left"/>
            </w:pPr>
            <w:r>
              <w:rPr>
                <w:b/>
                <w:sz w:val="19"/>
              </w:rPr>
              <w:t>Formula / source</w:t>
            </w:r>
          </w:p>
        </w:tc>
      </w:tr>
      <w:tr w:rsidR="007F373F">
        <w:trPr>
          <w:jc w:val="center"/>
        </w:trPr>
        <w:tc>
          <w:tcPr>
            <w:tcW w:w="3589" w:type="dxa"/>
          </w:tcPr>
          <w:p w:rsidR="007F373F" w:rsidRDefault="00000000">
            <w:pPr>
              <w:spacing w:after="0"/>
              <w:jc w:val="left"/>
            </w:pPr>
            <w:r>
              <w:rPr>
                <w:sz w:val="19"/>
              </w:rPr>
              <w:t>Operating expenses (₹ crore)</w:t>
            </w:r>
          </w:p>
        </w:tc>
        <w:tc>
          <w:tcPr>
            <w:tcW w:w="1242" w:type="dxa"/>
          </w:tcPr>
          <w:p w:rsidR="007F373F" w:rsidRDefault="00000000">
            <w:pPr>
              <w:spacing w:after="0"/>
              <w:jc w:val="right"/>
            </w:pPr>
            <w:r>
              <w:rPr>
                <w:sz w:val="19"/>
              </w:rPr>
              <w:t>687.4</w:t>
            </w:r>
          </w:p>
        </w:tc>
        <w:tc>
          <w:tcPr>
            <w:tcW w:w="1242" w:type="dxa"/>
          </w:tcPr>
          <w:p w:rsidR="007F373F" w:rsidRDefault="00000000">
            <w:pPr>
              <w:spacing w:after="0"/>
              <w:jc w:val="right"/>
            </w:pPr>
            <w:r>
              <w:rPr>
                <w:sz w:val="19"/>
              </w:rPr>
              <w:t>771.2</w:t>
            </w:r>
          </w:p>
        </w:tc>
        <w:tc>
          <w:tcPr>
            <w:tcW w:w="3658" w:type="dxa"/>
          </w:tcPr>
          <w:p w:rsidR="007F373F" w:rsidRDefault="00000000">
            <w:pPr>
              <w:spacing w:after="0"/>
              <w:jc w:val="left"/>
            </w:pPr>
            <w:r>
              <w:rPr>
                <w:sz w:val="19"/>
              </w:rPr>
              <w:t>Employee + depreciation + other expenses (P&amp;L)</w:t>
            </w:r>
          </w:p>
        </w:tc>
      </w:tr>
      <w:tr w:rsidR="007F373F">
        <w:trPr>
          <w:jc w:val="center"/>
        </w:trPr>
        <w:tc>
          <w:tcPr>
            <w:tcW w:w="3589" w:type="dxa"/>
          </w:tcPr>
          <w:p w:rsidR="007F373F" w:rsidRDefault="00000000">
            <w:pPr>
              <w:spacing w:after="0"/>
              <w:jc w:val="left"/>
            </w:pPr>
            <w:r>
              <w:rPr>
                <w:sz w:val="19"/>
              </w:rPr>
              <w:t>Net operating income (₹ crore)</w:t>
            </w:r>
          </w:p>
        </w:tc>
        <w:tc>
          <w:tcPr>
            <w:tcW w:w="1242" w:type="dxa"/>
          </w:tcPr>
          <w:p w:rsidR="007F373F" w:rsidRDefault="00000000">
            <w:pPr>
              <w:spacing w:after="0"/>
              <w:jc w:val="right"/>
            </w:pPr>
            <w:r>
              <w:rPr>
                <w:sz w:val="19"/>
              </w:rPr>
              <w:t>1,226.0</w:t>
            </w:r>
          </w:p>
        </w:tc>
        <w:tc>
          <w:tcPr>
            <w:tcW w:w="1242" w:type="dxa"/>
          </w:tcPr>
          <w:p w:rsidR="007F373F" w:rsidRDefault="00000000">
            <w:pPr>
              <w:spacing w:after="0"/>
              <w:jc w:val="right"/>
            </w:pPr>
            <w:r>
              <w:rPr>
                <w:sz w:val="19"/>
              </w:rPr>
              <w:t>1,347.3</w:t>
            </w:r>
          </w:p>
        </w:tc>
        <w:tc>
          <w:tcPr>
            <w:tcW w:w="3658" w:type="dxa"/>
          </w:tcPr>
          <w:p w:rsidR="007F373F" w:rsidRDefault="00000000">
            <w:pPr>
              <w:spacing w:after="0"/>
              <w:jc w:val="left"/>
            </w:pPr>
            <w:r>
              <w:rPr>
                <w:sz w:val="19"/>
              </w:rPr>
              <w:t>NII + fee and other income (Directors’ Report)</w:t>
            </w:r>
          </w:p>
        </w:tc>
      </w:tr>
      <w:tr w:rsidR="007F373F">
        <w:trPr>
          <w:jc w:val="center"/>
        </w:trPr>
        <w:tc>
          <w:tcPr>
            <w:tcW w:w="3589" w:type="dxa"/>
          </w:tcPr>
          <w:p w:rsidR="007F373F" w:rsidRDefault="00000000">
            <w:pPr>
              <w:spacing w:after="0"/>
              <w:jc w:val="left"/>
            </w:pPr>
            <w:r>
              <w:rPr>
                <w:sz w:val="19"/>
              </w:rPr>
              <w:t>Cost-to-income ratio – reported</w:t>
            </w:r>
          </w:p>
        </w:tc>
        <w:tc>
          <w:tcPr>
            <w:tcW w:w="1242" w:type="dxa"/>
          </w:tcPr>
          <w:p w:rsidR="007F373F" w:rsidRDefault="00000000">
            <w:pPr>
              <w:spacing w:after="0"/>
              <w:jc w:val="right"/>
            </w:pPr>
            <w:r>
              <w:rPr>
                <w:sz w:val="19"/>
              </w:rPr>
              <w:t>57.58%</w:t>
            </w:r>
          </w:p>
        </w:tc>
        <w:tc>
          <w:tcPr>
            <w:tcW w:w="1242" w:type="dxa"/>
          </w:tcPr>
          <w:p w:rsidR="007F373F" w:rsidRDefault="00000000">
            <w:pPr>
              <w:spacing w:after="0"/>
              <w:jc w:val="right"/>
            </w:pPr>
            <w:r>
              <w:rPr>
                <w:sz w:val="19"/>
              </w:rPr>
              <w:t>57.23%</w:t>
            </w:r>
          </w:p>
        </w:tc>
        <w:tc>
          <w:tcPr>
            <w:tcW w:w="3658" w:type="dxa"/>
          </w:tcPr>
          <w:p w:rsidR="007F373F" w:rsidRDefault="00000000">
            <w:pPr>
              <w:spacing w:after="0"/>
              <w:jc w:val="left"/>
            </w:pPr>
            <w:r>
              <w:rPr>
                <w:sz w:val="19"/>
              </w:rPr>
              <w:t>Directors’ Report</w:t>
            </w:r>
          </w:p>
        </w:tc>
      </w:tr>
      <w:tr w:rsidR="007F373F">
        <w:trPr>
          <w:jc w:val="center"/>
        </w:trPr>
        <w:tc>
          <w:tcPr>
            <w:tcW w:w="3589" w:type="dxa"/>
          </w:tcPr>
          <w:p w:rsidR="007F373F" w:rsidRDefault="00000000">
            <w:pPr>
              <w:spacing w:after="0"/>
              <w:jc w:val="left"/>
            </w:pPr>
            <w:r>
              <w:rPr>
                <w:sz w:val="19"/>
              </w:rPr>
              <w:t>Cost-to-income ratio – derived</w:t>
            </w:r>
          </w:p>
        </w:tc>
        <w:tc>
          <w:tcPr>
            <w:tcW w:w="1242" w:type="dxa"/>
          </w:tcPr>
          <w:p w:rsidR="007F373F" w:rsidRDefault="00000000">
            <w:pPr>
              <w:spacing w:after="0"/>
              <w:jc w:val="right"/>
            </w:pPr>
            <w:r>
              <w:rPr>
                <w:sz w:val="19"/>
              </w:rPr>
              <w:t>56.1%</w:t>
            </w:r>
          </w:p>
        </w:tc>
        <w:tc>
          <w:tcPr>
            <w:tcW w:w="1242" w:type="dxa"/>
          </w:tcPr>
          <w:p w:rsidR="007F373F" w:rsidRDefault="00000000">
            <w:pPr>
              <w:spacing w:after="0"/>
              <w:jc w:val="right"/>
            </w:pPr>
            <w:r>
              <w:rPr>
                <w:sz w:val="19"/>
              </w:rPr>
              <w:t>57.2%</w:t>
            </w:r>
          </w:p>
        </w:tc>
        <w:tc>
          <w:tcPr>
            <w:tcW w:w="3658" w:type="dxa"/>
          </w:tcPr>
          <w:p w:rsidR="007F373F" w:rsidRDefault="00000000">
            <w:pPr>
              <w:spacing w:after="0"/>
              <w:jc w:val="left"/>
            </w:pPr>
            <w:r>
              <w:rPr>
                <w:sz w:val="19"/>
              </w:rPr>
              <w:t>Opex ÷ net operating income (reconciles to reported)</w:t>
            </w:r>
          </w:p>
        </w:tc>
      </w:tr>
      <w:tr w:rsidR="007F373F">
        <w:trPr>
          <w:jc w:val="center"/>
        </w:trPr>
        <w:tc>
          <w:tcPr>
            <w:tcW w:w="3589" w:type="dxa"/>
          </w:tcPr>
          <w:p w:rsidR="007F373F" w:rsidRDefault="00000000">
            <w:pPr>
              <w:spacing w:after="0"/>
              <w:jc w:val="left"/>
            </w:pPr>
            <w:r>
              <w:rPr>
                <w:sz w:val="19"/>
              </w:rPr>
              <w:t>Pre-provision operating profit (₹ crore, derived)</w:t>
            </w:r>
          </w:p>
        </w:tc>
        <w:tc>
          <w:tcPr>
            <w:tcW w:w="1242" w:type="dxa"/>
          </w:tcPr>
          <w:p w:rsidR="007F373F" w:rsidRDefault="00000000">
            <w:pPr>
              <w:spacing w:after="0"/>
              <w:jc w:val="right"/>
            </w:pPr>
            <w:r>
              <w:rPr>
                <w:sz w:val="19"/>
              </w:rPr>
              <w:t>538.6</w:t>
            </w:r>
          </w:p>
        </w:tc>
        <w:tc>
          <w:tcPr>
            <w:tcW w:w="1242" w:type="dxa"/>
          </w:tcPr>
          <w:p w:rsidR="007F373F" w:rsidRDefault="00000000">
            <w:pPr>
              <w:spacing w:after="0"/>
              <w:jc w:val="right"/>
            </w:pPr>
            <w:r>
              <w:rPr>
                <w:sz w:val="19"/>
              </w:rPr>
              <w:t>576.1</w:t>
            </w:r>
          </w:p>
        </w:tc>
        <w:tc>
          <w:tcPr>
            <w:tcW w:w="3658" w:type="dxa"/>
          </w:tcPr>
          <w:p w:rsidR="007F373F" w:rsidRDefault="00000000">
            <w:pPr>
              <w:spacing w:after="0"/>
              <w:jc w:val="left"/>
            </w:pPr>
            <w:r>
              <w:rPr>
                <w:sz w:val="19"/>
              </w:rPr>
              <w:t>Net operating income − opex; FY25 PPOP ₹520 cr (+32%) per FY25 report</w:t>
            </w:r>
          </w:p>
        </w:tc>
      </w:tr>
      <w:tr w:rsidR="007F373F">
        <w:trPr>
          <w:jc w:val="center"/>
        </w:trPr>
        <w:tc>
          <w:tcPr>
            <w:tcW w:w="3589" w:type="dxa"/>
          </w:tcPr>
          <w:p w:rsidR="007F373F" w:rsidRDefault="00000000">
            <w:pPr>
              <w:spacing w:after="0"/>
              <w:jc w:val="left"/>
            </w:pPr>
            <w:r>
              <w:rPr>
                <w:sz w:val="19"/>
              </w:rPr>
              <w:t>Opex to average total assets (derived)</w:t>
            </w:r>
          </w:p>
        </w:tc>
        <w:tc>
          <w:tcPr>
            <w:tcW w:w="1242" w:type="dxa"/>
          </w:tcPr>
          <w:p w:rsidR="007F373F" w:rsidRDefault="00000000">
            <w:pPr>
              <w:spacing w:after="0"/>
              <w:jc w:val="right"/>
            </w:pPr>
            <w:r>
              <w:rPr>
                <w:sz w:val="19"/>
              </w:rPr>
              <w:t>5.64%</w:t>
            </w:r>
          </w:p>
        </w:tc>
        <w:tc>
          <w:tcPr>
            <w:tcW w:w="1242" w:type="dxa"/>
          </w:tcPr>
          <w:p w:rsidR="007F373F" w:rsidRDefault="00000000">
            <w:pPr>
              <w:spacing w:after="0"/>
              <w:jc w:val="right"/>
            </w:pPr>
            <w:r>
              <w:rPr>
                <w:sz w:val="19"/>
              </w:rPr>
              <w:t>5.12%</w:t>
            </w:r>
          </w:p>
        </w:tc>
        <w:tc>
          <w:tcPr>
            <w:tcW w:w="3658" w:type="dxa"/>
          </w:tcPr>
          <w:p w:rsidR="007F373F" w:rsidRDefault="00000000">
            <w:pPr>
              <w:spacing w:after="0"/>
              <w:jc w:val="left"/>
            </w:pPr>
            <w:r>
              <w:rPr>
                <w:sz w:val="19"/>
              </w:rPr>
              <w:t>Opex ÷ average of opening and closing total assets</w:t>
            </w:r>
          </w:p>
        </w:tc>
      </w:tr>
      <w:tr w:rsidR="007F373F">
        <w:trPr>
          <w:jc w:val="center"/>
        </w:trPr>
        <w:tc>
          <w:tcPr>
            <w:tcW w:w="3589" w:type="dxa"/>
          </w:tcPr>
          <w:p w:rsidR="007F373F" w:rsidRDefault="00000000">
            <w:pPr>
              <w:spacing w:after="0"/>
              <w:jc w:val="left"/>
            </w:pPr>
            <w:r>
              <w:rPr>
                <w:sz w:val="19"/>
              </w:rPr>
              <w:t>AUM per employee (₹ crore)</w:t>
            </w:r>
          </w:p>
        </w:tc>
        <w:tc>
          <w:tcPr>
            <w:tcW w:w="1242" w:type="dxa"/>
          </w:tcPr>
          <w:p w:rsidR="007F373F" w:rsidRDefault="00000000">
            <w:pPr>
              <w:spacing w:after="0"/>
              <w:jc w:val="right"/>
            </w:pPr>
            <w:r>
              <w:rPr>
                <w:sz w:val="19"/>
              </w:rPr>
              <w:t>3.5</w:t>
            </w:r>
          </w:p>
        </w:tc>
        <w:tc>
          <w:tcPr>
            <w:tcW w:w="1242" w:type="dxa"/>
          </w:tcPr>
          <w:p w:rsidR="007F373F" w:rsidRDefault="00000000">
            <w:pPr>
              <w:spacing w:after="0"/>
              <w:jc w:val="right"/>
            </w:pPr>
            <w:r>
              <w:rPr>
                <w:sz w:val="19"/>
              </w:rPr>
              <w:t>3.8</w:t>
            </w:r>
          </w:p>
        </w:tc>
        <w:tc>
          <w:tcPr>
            <w:tcW w:w="3658" w:type="dxa"/>
          </w:tcPr>
          <w:p w:rsidR="007F373F" w:rsidRDefault="00000000">
            <w:pPr>
              <w:spacing w:after="0"/>
              <w:jc w:val="left"/>
            </w:pPr>
            <w:r>
              <w:rPr>
                <w:sz w:val="19"/>
              </w:rPr>
              <w:t>Reported FY26; FY25 derived</w:t>
            </w:r>
          </w:p>
        </w:tc>
      </w:tr>
      <w:tr w:rsidR="007F373F">
        <w:trPr>
          <w:jc w:val="center"/>
        </w:trPr>
        <w:tc>
          <w:tcPr>
            <w:tcW w:w="3589" w:type="dxa"/>
          </w:tcPr>
          <w:p w:rsidR="007F373F" w:rsidRDefault="00000000">
            <w:pPr>
              <w:spacing w:after="0"/>
              <w:jc w:val="left"/>
            </w:pPr>
            <w:r>
              <w:rPr>
                <w:sz w:val="19"/>
              </w:rPr>
              <w:t>Credit cost on average assets</w:t>
            </w:r>
          </w:p>
        </w:tc>
        <w:tc>
          <w:tcPr>
            <w:tcW w:w="1242" w:type="dxa"/>
          </w:tcPr>
          <w:p w:rsidR="007F373F" w:rsidRDefault="00000000">
            <w:pPr>
              <w:spacing w:after="0"/>
              <w:jc w:val="right"/>
            </w:pPr>
            <w:r>
              <w:rPr>
                <w:sz w:val="19"/>
              </w:rPr>
              <w:t>1.8%</w:t>
            </w:r>
          </w:p>
        </w:tc>
        <w:tc>
          <w:tcPr>
            <w:tcW w:w="1242" w:type="dxa"/>
          </w:tcPr>
          <w:p w:rsidR="007F373F" w:rsidRDefault="00000000">
            <w:pPr>
              <w:spacing w:after="0"/>
              <w:jc w:val="right"/>
            </w:pPr>
            <w:r>
              <w:rPr>
                <w:sz w:val="19"/>
              </w:rPr>
              <w:t>0.8%</w:t>
            </w:r>
          </w:p>
        </w:tc>
        <w:tc>
          <w:tcPr>
            <w:tcW w:w="3658" w:type="dxa"/>
          </w:tcPr>
          <w:p w:rsidR="007F373F" w:rsidRDefault="00000000">
            <w:pPr>
              <w:spacing w:after="0"/>
              <w:jc w:val="left"/>
            </w:pPr>
            <w:r>
              <w:rPr>
                <w:sz w:val="19"/>
              </w:rPr>
              <w:t>Reported; FY26 derived = ₹115 cr ÷ ₹15,062 cr = 0.77%</w:t>
            </w:r>
          </w:p>
        </w:tc>
      </w:tr>
    </w:tbl>
    <w:p w:rsidR="007F373F" w:rsidRDefault="007F373F">
      <w:pPr>
        <w:spacing w:after="40"/>
      </w:pP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415"/>
        <w:gridCol w:w="828"/>
        <w:gridCol w:w="828"/>
        <w:gridCol w:w="828"/>
        <w:gridCol w:w="2415"/>
        <w:gridCol w:w="828"/>
        <w:gridCol w:w="828"/>
        <w:gridCol w:w="759"/>
      </w:tblGrid>
      <w:tr w:rsidR="007F373F">
        <w:trPr>
          <w:jc w:val="center"/>
        </w:trPr>
        <w:tc>
          <w:tcPr>
            <w:tcW w:w="2415" w:type="dxa"/>
          </w:tcPr>
          <w:p w:rsidR="007F373F" w:rsidRDefault="00000000">
            <w:pPr>
              <w:spacing w:after="0"/>
              <w:jc w:val="left"/>
            </w:pPr>
            <w:r>
              <w:rPr>
                <w:b/>
                <w:sz w:val="18"/>
              </w:rPr>
              <w:t>Largest ‘other expenses’ (note 34, ₹ lakh)</w:t>
            </w:r>
          </w:p>
        </w:tc>
        <w:tc>
          <w:tcPr>
            <w:tcW w:w="828" w:type="dxa"/>
          </w:tcPr>
          <w:p w:rsidR="007F373F" w:rsidRDefault="00000000">
            <w:pPr>
              <w:spacing w:after="0"/>
              <w:jc w:val="left"/>
            </w:pPr>
            <w:r>
              <w:rPr>
                <w:b/>
                <w:sz w:val="18"/>
              </w:rPr>
              <w:t>FY26</w:t>
            </w:r>
          </w:p>
        </w:tc>
        <w:tc>
          <w:tcPr>
            <w:tcW w:w="828" w:type="dxa"/>
          </w:tcPr>
          <w:p w:rsidR="007F373F" w:rsidRDefault="00000000">
            <w:pPr>
              <w:spacing w:after="0"/>
              <w:jc w:val="left"/>
            </w:pPr>
            <w:r>
              <w:rPr>
                <w:b/>
                <w:sz w:val="18"/>
              </w:rPr>
              <w:t>FY25</w:t>
            </w:r>
          </w:p>
        </w:tc>
        <w:tc>
          <w:tcPr>
            <w:tcW w:w="828" w:type="dxa"/>
          </w:tcPr>
          <w:p w:rsidR="007F373F" w:rsidRDefault="00000000">
            <w:pPr>
              <w:spacing w:after="0"/>
              <w:jc w:val="left"/>
            </w:pPr>
            <w:r>
              <w:rPr>
                <w:b/>
                <w:sz w:val="18"/>
              </w:rPr>
              <w:t>Change</w:t>
            </w:r>
          </w:p>
        </w:tc>
        <w:tc>
          <w:tcPr>
            <w:tcW w:w="2415" w:type="dxa"/>
          </w:tcPr>
          <w:p w:rsidR="007F373F" w:rsidRDefault="00000000">
            <w:pPr>
              <w:spacing w:after="0"/>
              <w:jc w:val="left"/>
            </w:pPr>
            <w:r>
              <w:rPr>
                <w:b/>
                <w:sz w:val="18"/>
              </w:rPr>
              <w:t>Largest ‘other expenses’ (note 34, ₹ lakh)</w:t>
            </w:r>
          </w:p>
        </w:tc>
        <w:tc>
          <w:tcPr>
            <w:tcW w:w="828" w:type="dxa"/>
          </w:tcPr>
          <w:p w:rsidR="007F373F" w:rsidRDefault="00000000">
            <w:pPr>
              <w:spacing w:after="0"/>
              <w:jc w:val="left"/>
            </w:pPr>
            <w:r>
              <w:rPr>
                <w:b/>
                <w:sz w:val="18"/>
              </w:rPr>
              <w:t>FY26</w:t>
            </w:r>
          </w:p>
        </w:tc>
        <w:tc>
          <w:tcPr>
            <w:tcW w:w="828" w:type="dxa"/>
          </w:tcPr>
          <w:p w:rsidR="007F373F" w:rsidRDefault="00000000">
            <w:pPr>
              <w:spacing w:after="0"/>
              <w:jc w:val="left"/>
            </w:pPr>
            <w:r>
              <w:rPr>
                <w:b/>
                <w:sz w:val="18"/>
              </w:rPr>
              <w:t>FY25</w:t>
            </w:r>
          </w:p>
        </w:tc>
        <w:tc>
          <w:tcPr>
            <w:tcW w:w="759" w:type="dxa"/>
          </w:tcPr>
          <w:p w:rsidR="007F373F" w:rsidRDefault="00000000">
            <w:pPr>
              <w:spacing w:after="0"/>
              <w:jc w:val="left"/>
            </w:pPr>
            <w:r>
              <w:rPr>
                <w:b/>
                <w:sz w:val="18"/>
              </w:rPr>
              <w:t>Change</w:t>
            </w:r>
          </w:p>
        </w:tc>
      </w:tr>
      <w:tr w:rsidR="007F373F">
        <w:trPr>
          <w:jc w:val="center"/>
        </w:trPr>
        <w:tc>
          <w:tcPr>
            <w:tcW w:w="2415" w:type="dxa"/>
          </w:tcPr>
          <w:p w:rsidR="007F373F" w:rsidRDefault="00000000">
            <w:pPr>
              <w:spacing w:after="0"/>
              <w:jc w:val="left"/>
            </w:pPr>
            <w:r>
              <w:rPr>
                <w:sz w:val="18"/>
              </w:rPr>
              <w:t>Technology cost</w:t>
            </w:r>
          </w:p>
        </w:tc>
        <w:tc>
          <w:tcPr>
            <w:tcW w:w="828" w:type="dxa"/>
          </w:tcPr>
          <w:p w:rsidR="007F373F" w:rsidRDefault="00000000">
            <w:pPr>
              <w:spacing w:after="0"/>
              <w:jc w:val="right"/>
            </w:pPr>
            <w:r>
              <w:rPr>
                <w:sz w:val="18"/>
              </w:rPr>
              <w:t>4,387</w:t>
            </w:r>
          </w:p>
        </w:tc>
        <w:tc>
          <w:tcPr>
            <w:tcW w:w="828" w:type="dxa"/>
          </w:tcPr>
          <w:p w:rsidR="007F373F" w:rsidRDefault="00000000">
            <w:pPr>
              <w:spacing w:after="0"/>
              <w:jc w:val="right"/>
            </w:pPr>
            <w:r>
              <w:rPr>
                <w:sz w:val="18"/>
              </w:rPr>
              <w:t>4,348</w:t>
            </w:r>
          </w:p>
        </w:tc>
        <w:tc>
          <w:tcPr>
            <w:tcW w:w="828" w:type="dxa"/>
          </w:tcPr>
          <w:p w:rsidR="007F373F" w:rsidRDefault="00000000">
            <w:pPr>
              <w:spacing w:after="0"/>
              <w:jc w:val="right"/>
            </w:pPr>
            <w:r>
              <w:rPr>
                <w:sz w:val="18"/>
              </w:rPr>
              <w:t>+1%</w:t>
            </w:r>
          </w:p>
        </w:tc>
        <w:tc>
          <w:tcPr>
            <w:tcW w:w="2415" w:type="dxa"/>
          </w:tcPr>
          <w:p w:rsidR="007F373F" w:rsidRDefault="00000000">
            <w:pPr>
              <w:spacing w:after="0"/>
              <w:jc w:val="left"/>
            </w:pPr>
            <w:r>
              <w:rPr>
                <w:sz w:val="18"/>
              </w:rPr>
              <w:t>Housekeeping and security</w:t>
            </w:r>
          </w:p>
        </w:tc>
        <w:tc>
          <w:tcPr>
            <w:tcW w:w="828" w:type="dxa"/>
          </w:tcPr>
          <w:p w:rsidR="007F373F" w:rsidRDefault="00000000">
            <w:pPr>
              <w:spacing w:after="0"/>
              <w:jc w:val="right"/>
            </w:pPr>
            <w:r>
              <w:rPr>
                <w:sz w:val="18"/>
              </w:rPr>
              <w:t>1,596</w:t>
            </w:r>
          </w:p>
        </w:tc>
        <w:tc>
          <w:tcPr>
            <w:tcW w:w="828" w:type="dxa"/>
          </w:tcPr>
          <w:p w:rsidR="007F373F" w:rsidRDefault="00000000">
            <w:pPr>
              <w:spacing w:after="0"/>
              <w:jc w:val="right"/>
            </w:pPr>
            <w:r>
              <w:rPr>
                <w:sz w:val="18"/>
              </w:rPr>
              <w:t>1,310</w:t>
            </w:r>
          </w:p>
        </w:tc>
        <w:tc>
          <w:tcPr>
            <w:tcW w:w="759" w:type="dxa"/>
          </w:tcPr>
          <w:p w:rsidR="007F373F" w:rsidRDefault="00000000">
            <w:pPr>
              <w:spacing w:after="0"/>
              <w:jc w:val="right"/>
            </w:pPr>
            <w:r>
              <w:rPr>
                <w:sz w:val="18"/>
              </w:rPr>
              <w:t>+22%</w:t>
            </w:r>
          </w:p>
        </w:tc>
      </w:tr>
      <w:tr w:rsidR="007F373F">
        <w:trPr>
          <w:jc w:val="center"/>
        </w:trPr>
        <w:tc>
          <w:tcPr>
            <w:tcW w:w="2415" w:type="dxa"/>
          </w:tcPr>
          <w:p w:rsidR="007F373F" w:rsidRDefault="00000000">
            <w:pPr>
              <w:spacing w:after="0"/>
              <w:jc w:val="left"/>
            </w:pPr>
            <w:r>
              <w:rPr>
                <w:sz w:val="18"/>
              </w:rPr>
              <w:t>Legal and professional fees</w:t>
            </w:r>
          </w:p>
        </w:tc>
        <w:tc>
          <w:tcPr>
            <w:tcW w:w="828" w:type="dxa"/>
          </w:tcPr>
          <w:p w:rsidR="007F373F" w:rsidRDefault="00000000">
            <w:pPr>
              <w:spacing w:after="0"/>
              <w:jc w:val="right"/>
            </w:pPr>
            <w:r>
              <w:rPr>
                <w:sz w:val="18"/>
              </w:rPr>
              <w:t>4,237</w:t>
            </w:r>
          </w:p>
        </w:tc>
        <w:tc>
          <w:tcPr>
            <w:tcW w:w="828" w:type="dxa"/>
          </w:tcPr>
          <w:p w:rsidR="007F373F" w:rsidRDefault="00000000">
            <w:pPr>
              <w:spacing w:after="0"/>
              <w:jc w:val="right"/>
            </w:pPr>
            <w:r>
              <w:rPr>
                <w:sz w:val="18"/>
              </w:rPr>
              <w:t>3,997</w:t>
            </w:r>
          </w:p>
        </w:tc>
        <w:tc>
          <w:tcPr>
            <w:tcW w:w="828" w:type="dxa"/>
          </w:tcPr>
          <w:p w:rsidR="007F373F" w:rsidRDefault="00000000">
            <w:pPr>
              <w:spacing w:after="0"/>
              <w:jc w:val="right"/>
            </w:pPr>
            <w:r>
              <w:rPr>
                <w:sz w:val="18"/>
              </w:rPr>
              <w:t>+6%</w:t>
            </w:r>
          </w:p>
        </w:tc>
        <w:tc>
          <w:tcPr>
            <w:tcW w:w="2415" w:type="dxa"/>
          </w:tcPr>
          <w:p w:rsidR="007F373F" w:rsidRDefault="00000000">
            <w:pPr>
              <w:spacing w:after="0"/>
              <w:jc w:val="left"/>
            </w:pPr>
            <w:r>
              <w:rPr>
                <w:sz w:val="18"/>
              </w:rPr>
              <w:t>Sourcing expenses</w:t>
            </w:r>
          </w:p>
        </w:tc>
        <w:tc>
          <w:tcPr>
            <w:tcW w:w="828" w:type="dxa"/>
          </w:tcPr>
          <w:p w:rsidR="007F373F" w:rsidRDefault="00000000">
            <w:pPr>
              <w:spacing w:after="0"/>
              <w:jc w:val="right"/>
            </w:pPr>
            <w:r>
              <w:rPr>
                <w:sz w:val="18"/>
              </w:rPr>
              <w:t>1,474</w:t>
            </w:r>
          </w:p>
        </w:tc>
        <w:tc>
          <w:tcPr>
            <w:tcW w:w="828" w:type="dxa"/>
          </w:tcPr>
          <w:p w:rsidR="007F373F" w:rsidRDefault="00000000">
            <w:pPr>
              <w:spacing w:after="0"/>
              <w:jc w:val="right"/>
            </w:pPr>
            <w:r>
              <w:rPr>
                <w:sz w:val="18"/>
              </w:rPr>
              <w:t>720</w:t>
            </w:r>
          </w:p>
        </w:tc>
        <w:tc>
          <w:tcPr>
            <w:tcW w:w="759" w:type="dxa"/>
          </w:tcPr>
          <w:p w:rsidR="007F373F" w:rsidRDefault="00000000">
            <w:pPr>
              <w:spacing w:after="0"/>
              <w:jc w:val="right"/>
            </w:pPr>
            <w:r>
              <w:rPr>
                <w:sz w:val="18"/>
              </w:rPr>
              <w:t>+105%</w:t>
            </w:r>
          </w:p>
        </w:tc>
      </w:tr>
      <w:tr w:rsidR="007F373F">
        <w:trPr>
          <w:jc w:val="center"/>
        </w:trPr>
        <w:tc>
          <w:tcPr>
            <w:tcW w:w="2415" w:type="dxa"/>
          </w:tcPr>
          <w:p w:rsidR="007F373F" w:rsidRDefault="00000000">
            <w:pPr>
              <w:spacing w:after="0"/>
              <w:jc w:val="left"/>
            </w:pPr>
            <w:r>
              <w:rPr>
                <w:sz w:val="18"/>
              </w:rPr>
              <w:t>GST expenses</w:t>
            </w:r>
          </w:p>
        </w:tc>
        <w:tc>
          <w:tcPr>
            <w:tcW w:w="828" w:type="dxa"/>
          </w:tcPr>
          <w:p w:rsidR="007F373F" w:rsidRDefault="00000000">
            <w:pPr>
              <w:spacing w:after="0"/>
              <w:jc w:val="right"/>
            </w:pPr>
            <w:r>
              <w:rPr>
                <w:sz w:val="18"/>
              </w:rPr>
              <w:t>3,037</w:t>
            </w:r>
          </w:p>
        </w:tc>
        <w:tc>
          <w:tcPr>
            <w:tcW w:w="828" w:type="dxa"/>
          </w:tcPr>
          <w:p w:rsidR="007F373F" w:rsidRDefault="00000000">
            <w:pPr>
              <w:spacing w:after="0"/>
              <w:jc w:val="right"/>
            </w:pPr>
            <w:r>
              <w:rPr>
                <w:sz w:val="18"/>
              </w:rPr>
              <w:t>3,126</w:t>
            </w:r>
          </w:p>
        </w:tc>
        <w:tc>
          <w:tcPr>
            <w:tcW w:w="828" w:type="dxa"/>
          </w:tcPr>
          <w:p w:rsidR="007F373F" w:rsidRDefault="00000000">
            <w:pPr>
              <w:spacing w:after="0"/>
              <w:jc w:val="right"/>
            </w:pPr>
            <w:r>
              <w:rPr>
                <w:sz w:val="18"/>
              </w:rPr>
              <w:t>-3%</w:t>
            </w:r>
          </w:p>
        </w:tc>
        <w:tc>
          <w:tcPr>
            <w:tcW w:w="2415" w:type="dxa"/>
          </w:tcPr>
          <w:p w:rsidR="007F373F" w:rsidRDefault="00000000">
            <w:pPr>
              <w:spacing w:after="0"/>
              <w:jc w:val="left"/>
            </w:pPr>
            <w:r>
              <w:rPr>
                <w:sz w:val="18"/>
              </w:rPr>
              <w:t>Securitisation expenses</w:t>
            </w:r>
          </w:p>
        </w:tc>
        <w:tc>
          <w:tcPr>
            <w:tcW w:w="828" w:type="dxa"/>
          </w:tcPr>
          <w:p w:rsidR="007F373F" w:rsidRDefault="00000000">
            <w:pPr>
              <w:spacing w:after="0"/>
              <w:jc w:val="right"/>
            </w:pPr>
            <w:r>
              <w:rPr>
                <w:sz w:val="18"/>
              </w:rPr>
              <w:t>1,162</w:t>
            </w:r>
          </w:p>
        </w:tc>
        <w:tc>
          <w:tcPr>
            <w:tcW w:w="828" w:type="dxa"/>
          </w:tcPr>
          <w:p w:rsidR="007F373F" w:rsidRDefault="00000000">
            <w:pPr>
              <w:spacing w:after="0"/>
              <w:jc w:val="right"/>
            </w:pPr>
            <w:r>
              <w:rPr>
                <w:sz w:val="18"/>
              </w:rPr>
              <w:t>669</w:t>
            </w:r>
          </w:p>
        </w:tc>
        <w:tc>
          <w:tcPr>
            <w:tcW w:w="759" w:type="dxa"/>
          </w:tcPr>
          <w:p w:rsidR="007F373F" w:rsidRDefault="00000000">
            <w:pPr>
              <w:spacing w:after="0"/>
              <w:jc w:val="right"/>
            </w:pPr>
            <w:r>
              <w:rPr>
                <w:sz w:val="18"/>
              </w:rPr>
              <w:t>+74%</w:t>
            </w:r>
          </w:p>
        </w:tc>
      </w:tr>
      <w:tr w:rsidR="007F373F">
        <w:trPr>
          <w:jc w:val="center"/>
        </w:trPr>
        <w:tc>
          <w:tcPr>
            <w:tcW w:w="2415" w:type="dxa"/>
          </w:tcPr>
          <w:p w:rsidR="007F373F" w:rsidRDefault="00000000">
            <w:pPr>
              <w:spacing w:after="0"/>
              <w:jc w:val="left"/>
            </w:pPr>
            <w:r>
              <w:rPr>
                <w:sz w:val="18"/>
              </w:rPr>
              <w:t>Collection agency commission</w:t>
            </w:r>
          </w:p>
        </w:tc>
        <w:tc>
          <w:tcPr>
            <w:tcW w:w="828" w:type="dxa"/>
          </w:tcPr>
          <w:p w:rsidR="007F373F" w:rsidRDefault="00000000">
            <w:pPr>
              <w:spacing w:after="0"/>
              <w:jc w:val="right"/>
            </w:pPr>
            <w:r>
              <w:rPr>
                <w:sz w:val="18"/>
              </w:rPr>
              <w:t>2,389</w:t>
            </w:r>
          </w:p>
        </w:tc>
        <w:tc>
          <w:tcPr>
            <w:tcW w:w="828" w:type="dxa"/>
          </w:tcPr>
          <w:p w:rsidR="007F373F" w:rsidRDefault="00000000">
            <w:pPr>
              <w:spacing w:after="0"/>
              <w:jc w:val="right"/>
            </w:pPr>
            <w:r>
              <w:rPr>
                <w:sz w:val="18"/>
              </w:rPr>
              <w:t>2,581</w:t>
            </w:r>
          </w:p>
        </w:tc>
        <w:tc>
          <w:tcPr>
            <w:tcW w:w="828" w:type="dxa"/>
          </w:tcPr>
          <w:p w:rsidR="007F373F" w:rsidRDefault="00000000">
            <w:pPr>
              <w:spacing w:after="0"/>
              <w:jc w:val="right"/>
            </w:pPr>
            <w:r>
              <w:rPr>
                <w:sz w:val="18"/>
              </w:rPr>
              <w:t>-7%</w:t>
            </w:r>
          </w:p>
        </w:tc>
        <w:tc>
          <w:tcPr>
            <w:tcW w:w="2415" w:type="dxa"/>
          </w:tcPr>
          <w:p w:rsidR="007F373F" w:rsidRDefault="00000000">
            <w:pPr>
              <w:spacing w:after="0"/>
              <w:jc w:val="left"/>
            </w:pPr>
            <w:r>
              <w:rPr>
                <w:sz w:val="18"/>
              </w:rPr>
              <w:t>Insurance</w:t>
            </w:r>
          </w:p>
        </w:tc>
        <w:tc>
          <w:tcPr>
            <w:tcW w:w="828" w:type="dxa"/>
          </w:tcPr>
          <w:p w:rsidR="007F373F" w:rsidRDefault="00000000">
            <w:pPr>
              <w:spacing w:after="0"/>
              <w:jc w:val="right"/>
            </w:pPr>
            <w:r>
              <w:rPr>
                <w:sz w:val="18"/>
              </w:rPr>
              <w:t>1,101</w:t>
            </w:r>
          </w:p>
        </w:tc>
        <w:tc>
          <w:tcPr>
            <w:tcW w:w="828" w:type="dxa"/>
          </w:tcPr>
          <w:p w:rsidR="007F373F" w:rsidRDefault="00000000">
            <w:pPr>
              <w:spacing w:after="0"/>
              <w:jc w:val="right"/>
            </w:pPr>
            <w:r>
              <w:rPr>
                <w:sz w:val="18"/>
              </w:rPr>
              <w:t>424</w:t>
            </w:r>
          </w:p>
        </w:tc>
        <w:tc>
          <w:tcPr>
            <w:tcW w:w="759" w:type="dxa"/>
          </w:tcPr>
          <w:p w:rsidR="007F373F" w:rsidRDefault="00000000">
            <w:pPr>
              <w:spacing w:after="0"/>
              <w:jc w:val="right"/>
            </w:pPr>
            <w:r>
              <w:rPr>
                <w:sz w:val="18"/>
              </w:rPr>
              <w:t>+160%</w:t>
            </w:r>
          </w:p>
        </w:tc>
      </w:tr>
      <w:tr w:rsidR="007F373F">
        <w:trPr>
          <w:jc w:val="center"/>
        </w:trPr>
        <w:tc>
          <w:tcPr>
            <w:tcW w:w="2415" w:type="dxa"/>
          </w:tcPr>
          <w:p w:rsidR="007F373F" w:rsidRDefault="00000000">
            <w:pPr>
              <w:spacing w:after="0"/>
              <w:jc w:val="left"/>
            </w:pPr>
            <w:r>
              <w:rPr>
                <w:sz w:val="18"/>
              </w:rPr>
              <w:t>Travelling and conveyance</w:t>
            </w:r>
          </w:p>
        </w:tc>
        <w:tc>
          <w:tcPr>
            <w:tcW w:w="828" w:type="dxa"/>
          </w:tcPr>
          <w:p w:rsidR="007F373F" w:rsidRDefault="00000000">
            <w:pPr>
              <w:spacing w:after="0"/>
              <w:jc w:val="right"/>
            </w:pPr>
            <w:r>
              <w:rPr>
                <w:sz w:val="18"/>
              </w:rPr>
              <w:t>2,290</w:t>
            </w:r>
          </w:p>
        </w:tc>
        <w:tc>
          <w:tcPr>
            <w:tcW w:w="828" w:type="dxa"/>
          </w:tcPr>
          <w:p w:rsidR="007F373F" w:rsidRDefault="00000000">
            <w:pPr>
              <w:spacing w:after="0"/>
              <w:jc w:val="right"/>
            </w:pPr>
            <w:r>
              <w:rPr>
                <w:sz w:val="18"/>
              </w:rPr>
              <w:t>2,264</w:t>
            </w:r>
          </w:p>
        </w:tc>
        <w:tc>
          <w:tcPr>
            <w:tcW w:w="828" w:type="dxa"/>
          </w:tcPr>
          <w:p w:rsidR="007F373F" w:rsidRDefault="00000000">
            <w:pPr>
              <w:spacing w:after="0"/>
              <w:jc w:val="right"/>
            </w:pPr>
            <w:r>
              <w:rPr>
                <w:sz w:val="18"/>
              </w:rPr>
              <w:t>+1%</w:t>
            </w:r>
          </w:p>
        </w:tc>
        <w:tc>
          <w:tcPr>
            <w:tcW w:w="2415" w:type="dxa"/>
          </w:tcPr>
          <w:p w:rsidR="007F373F" w:rsidRDefault="00000000">
            <w:pPr>
              <w:spacing w:after="0"/>
              <w:jc w:val="left"/>
            </w:pPr>
            <w:r>
              <w:rPr>
                <w:sz w:val="18"/>
              </w:rPr>
              <w:t>Rent (short-term/low value)</w:t>
            </w:r>
          </w:p>
        </w:tc>
        <w:tc>
          <w:tcPr>
            <w:tcW w:w="828" w:type="dxa"/>
          </w:tcPr>
          <w:p w:rsidR="007F373F" w:rsidRDefault="00000000">
            <w:pPr>
              <w:spacing w:after="0"/>
              <w:jc w:val="right"/>
            </w:pPr>
            <w:r>
              <w:rPr>
                <w:sz w:val="18"/>
              </w:rPr>
              <w:t>681</w:t>
            </w:r>
          </w:p>
        </w:tc>
        <w:tc>
          <w:tcPr>
            <w:tcW w:w="828" w:type="dxa"/>
          </w:tcPr>
          <w:p w:rsidR="007F373F" w:rsidRDefault="00000000">
            <w:pPr>
              <w:spacing w:after="0"/>
              <w:jc w:val="right"/>
            </w:pPr>
            <w:r>
              <w:rPr>
                <w:sz w:val="18"/>
              </w:rPr>
              <w:t>956</w:t>
            </w:r>
          </w:p>
        </w:tc>
        <w:tc>
          <w:tcPr>
            <w:tcW w:w="759" w:type="dxa"/>
          </w:tcPr>
          <w:p w:rsidR="007F373F" w:rsidRDefault="00000000">
            <w:pPr>
              <w:spacing w:after="0"/>
              <w:jc w:val="right"/>
            </w:pPr>
            <w:r>
              <w:rPr>
                <w:sz w:val="18"/>
              </w:rPr>
              <w:t>-29%</w:t>
            </w:r>
          </w:p>
        </w:tc>
      </w:tr>
    </w:tbl>
    <w:p w:rsidR="007F373F" w:rsidRDefault="00000000">
      <w:pPr>
        <w:spacing w:before="40" w:after="80"/>
      </w:pPr>
      <w:r>
        <w:rPr>
          <w:i/>
          <w:sz w:val="18"/>
        </w:rPr>
        <w:t>Source: Fedfina Annual Report 2025-26, note 34 – Other expenses.</w:t>
      </w:r>
    </w:p>
    <w:p w:rsidR="007F373F" w:rsidRDefault="00000000">
      <w:r>
        <w:t>Interpretation. The cost-to-income ratio has improved only gradually (58.6% → 57.2% over four years) because the company has kept adding branches and people: 148 branches and 735 employees in FY26 alone. Within other expenses, the fastest-growing lines are those tied to the new strategy – sourcing expenses (+105%, in-house origination), securitisation expenses (+74%) and insurance (+160%, larger gold holdings) – while collection-agency commission fell 7% as collections moved in-house and rent fell as branches moved to long-term leases (captured in depreciation of right-of-use assets, +11.5%). Operating leverage should emerge as the FY26 branch cohort matures; the MD&amp;CEO expects these branches to “contribute significantly to AUM without proportionate cost addition”.</w:t>
      </w:r>
    </w:p>
    <w:p w:rsidR="007F373F" w:rsidRDefault="00000000">
      <w:pPr>
        <w:pStyle w:val="Heading1"/>
        <w:pageBreakBefore/>
      </w:pPr>
      <w:r>
        <w:lastRenderedPageBreak/>
        <w:t>Balance Sheet Analysis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589"/>
        <w:gridCol w:w="1311"/>
        <w:gridCol w:w="1311"/>
        <w:gridCol w:w="1104"/>
        <w:gridCol w:w="1242"/>
        <w:gridCol w:w="1173"/>
      </w:tblGrid>
      <w:tr w:rsidR="007F373F">
        <w:trPr>
          <w:jc w:val="center"/>
        </w:trPr>
        <w:tc>
          <w:tcPr>
            <w:tcW w:w="3589" w:type="dxa"/>
          </w:tcPr>
          <w:p w:rsidR="007F373F" w:rsidRDefault="00000000">
            <w:pPr>
              <w:spacing w:after="0"/>
              <w:jc w:val="left"/>
            </w:pPr>
            <w:r>
              <w:rPr>
                <w:b/>
                <w:sz w:val="18"/>
              </w:rPr>
              <w:t>Balance sheet (₹ lakh)</w:t>
            </w:r>
          </w:p>
        </w:tc>
        <w:tc>
          <w:tcPr>
            <w:tcW w:w="1311" w:type="dxa"/>
          </w:tcPr>
          <w:p w:rsidR="007F373F" w:rsidRDefault="00000000">
            <w:pPr>
              <w:spacing w:after="0"/>
              <w:jc w:val="left"/>
            </w:pPr>
            <w:r>
              <w:rPr>
                <w:b/>
                <w:sz w:val="18"/>
              </w:rPr>
              <w:t>31 Mar 2026</w:t>
            </w:r>
          </w:p>
        </w:tc>
        <w:tc>
          <w:tcPr>
            <w:tcW w:w="1311" w:type="dxa"/>
          </w:tcPr>
          <w:p w:rsidR="007F373F" w:rsidRDefault="00000000">
            <w:pPr>
              <w:spacing w:after="0"/>
              <w:jc w:val="left"/>
            </w:pPr>
            <w:r>
              <w:rPr>
                <w:b/>
                <w:sz w:val="18"/>
              </w:rPr>
              <w:t>31 Mar 2025</w:t>
            </w:r>
          </w:p>
        </w:tc>
        <w:tc>
          <w:tcPr>
            <w:tcW w:w="1104" w:type="dxa"/>
          </w:tcPr>
          <w:p w:rsidR="007F373F" w:rsidRDefault="00000000">
            <w:pPr>
              <w:spacing w:after="0"/>
              <w:jc w:val="left"/>
            </w:pPr>
            <w:r>
              <w:rPr>
                <w:b/>
                <w:sz w:val="18"/>
              </w:rPr>
              <w:t>Change</w:t>
            </w:r>
          </w:p>
        </w:tc>
        <w:tc>
          <w:tcPr>
            <w:tcW w:w="1242" w:type="dxa"/>
          </w:tcPr>
          <w:p w:rsidR="007F373F" w:rsidRDefault="00000000">
            <w:pPr>
              <w:spacing w:after="0"/>
              <w:jc w:val="left"/>
            </w:pPr>
            <w:r>
              <w:rPr>
                <w:b/>
                <w:sz w:val="18"/>
              </w:rPr>
              <w:t>% of total FY26</w:t>
            </w:r>
          </w:p>
        </w:tc>
        <w:tc>
          <w:tcPr>
            <w:tcW w:w="1173" w:type="dxa"/>
          </w:tcPr>
          <w:p w:rsidR="007F373F" w:rsidRDefault="00000000">
            <w:pPr>
              <w:spacing w:after="0"/>
              <w:jc w:val="left"/>
            </w:pPr>
            <w:r>
              <w:rPr>
                <w:b/>
                <w:sz w:val="18"/>
              </w:rPr>
              <w:t>% of total FY25</w:t>
            </w:r>
          </w:p>
        </w:tc>
      </w:tr>
      <w:tr w:rsidR="007F373F">
        <w:trPr>
          <w:jc w:val="center"/>
        </w:trPr>
        <w:tc>
          <w:tcPr>
            <w:tcW w:w="3589" w:type="dxa"/>
          </w:tcPr>
          <w:p w:rsidR="007F373F" w:rsidRDefault="00000000">
            <w:pPr>
              <w:spacing w:after="0"/>
              <w:jc w:val="left"/>
            </w:pPr>
            <w:r>
              <w:rPr>
                <w:sz w:val="18"/>
              </w:rPr>
              <w:t>Cash and cash equivalents</w:t>
            </w:r>
          </w:p>
        </w:tc>
        <w:tc>
          <w:tcPr>
            <w:tcW w:w="1311" w:type="dxa"/>
          </w:tcPr>
          <w:p w:rsidR="007F373F" w:rsidRDefault="00000000">
            <w:pPr>
              <w:spacing w:after="0"/>
              <w:jc w:val="right"/>
            </w:pPr>
            <w:r>
              <w:rPr>
                <w:sz w:val="18"/>
              </w:rPr>
              <w:t>133,973</w:t>
            </w:r>
          </w:p>
        </w:tc>
        <w:tc>
          <w:tcPr>
            <w:tcW w:w="1311" w:type="dxa"/>
          </w:tcPr>
          <w:p w:rsidR="007F373F" w:rsidRDefault="00000000">
            <w:pPr>
              <w:spacing w:after="0"/>
              <w:jc w:val="right"/>
            </w:pPr>
            <w:r>
              <w:rPr>
                <w:sz w:val="18"/>
              </w:rPr>
              <w:t>72,460</w:t>
            </w:r>
          </w:p>
        </w:tc>
        <w:tc>
          <w:tcPr>
            <w:tcW w:w="1104" w:type="dxa"/>
          </w:tcPr>
          <w:p w:rsidR="007F373F" w:rsidRDefault="00000000">
            <w:pPr>
              <w:spacing w:after="0"/>
              <w:jc w:val="right"/>
            </w:pPr>
            <w:r>
              <w:rPr>
                <w:sz w:val="18"/>
              </w:rPr>
              <w:t>+84.9%</w:t>
            </w:r>
          </w:p>
        </w:tc>
        <w:tc>
          <w:tcPr>
            <w:tcW w:w="1242" w:type="dxa"/>
          </w:tcPr>
          <w:p w:rsidR="007F373F" w:rsidRDefault="00000000">
            <w:pPr>
              <w:spacing w:after="0"/>
              <w:jc w:val="right"/>
            </w:pPr>
            <w:r>
              <w:rPr>
                <w:sz w:val="18"/>
              </w:rPr>
              <w:t>7.9%</w:t>
            </w:r>
          </w:p>
        </w:tc>
        <w:tc>
          <w:tcPr>
            <w:tcW w:w="1173" w:type="dxa"/>
          </w:tcPr>
          <w:p w:rsidR="007F373F" w:rsidRDefault="00000000">
            <w:pPr>
              <w:spacing w:after="0"/>
              <w:jc w:val="right"/>
            </w:pPr>
            <w:r>
              <w:rPr>
                <w:sz w:val="18"/>
              </w:rPr>
              <w:t>5.5%</w:t>
            </w:r>
          </w:p>
        </w:tc>
      </w:tr>
      <w:tr w:rsidR="007F373F">
        <w:trPr>
          <w:jc w:val="center"/>
        </w:trPr>
        <w:tc>
          <w:tcPr>
            <w:tcW w:w="3589" w:type="dxa"/>
          </w:tcPr>
          <w:p w:rsidR="007F373F" w:rsidRDefault="00000000">
            <w:pPr>
              <w:spacing w:after="0"/>
              <w:jc w:val="left"/>
            </w:pPr>
            <w:r>
              <w:rPr>
                <w:sz w:val="18"/>
              </w:rPr>
              <w:t>Bank balances other than cash</w:t>
            </w:r>
          </w:p>
        </w:tc>
        <w:tc>
          <w:tcPr>
            <w:tcW w:w="1311" w:type="dxa"/>
          </w:tcPr>
          <w:p w:rsidR="007F373F" w:rsidRDefault="00000000">
            <w:pPr>
              <w:spacing w:after="0"/>
              <w:jc w:val="right"/>
            </w:pPr>
            <w:r>
              <w:rPr>
                <w:sz w:val="18"/>
              </w:rPr>
              <w:t>5,122</w:t>
            </w:r>
          </w:p>
        </w:tc>
        <w:tc>
          <w:tcPr>
            <w:tcW w:w="1311" w:type="dxa"/>
          </w:tcPr>
          <w:p w:rsidR="007F373F" w:rsidRDefault="00000000">
            <w:pPr>
              <w:spacing w:after="0"/>
              <w:jc w:val="right"/>
            </w:pPr>
            <w:r>
              <w:rPr>
                <w:sz w:val="18"/>
              </w:rPr>
              <w:t>11,009</w:t>
            </w:r>
          </w:p>
        </w:tc>
        <w:tc>
          <w:tcPr>
            <w:tcW w:w="1104" w:type="dxa"/>
          </w:tcPr>
          <w:p w:rsidR="007F373F" w:rsidRDefault="00000000">
            <w:pPr>
              <w:spacing w:after="0"/>
              <w:jc w:val="right"/>
            </w:pPr>
            <w:r>
              <w:rPr>
                <w:sz w:val="18"/>
              </w:rPr>
              <w:t>-53.5%</w:t>
            </w:r>
          </w:p>
        </w:tc>
        <w:tc>
          <w:tcPr>
            <w:tcW w:w="1242" w:type="dxa"/>
          </w:tcPr>
          <w:p w:rsidR="007F373F" w:rsidRDefault="00000000">
            <w:pPr>
              <w:spacing w:after="0"/>
              <w:jc w:val="right"/>
            </w:pPr>
            <w:r>
              <w:rPr>
                <w:sz w:val="18"/>
              </w:rPr>
              <w:t>0.3%</w:t>
            </w:r>
          </w:p>
        </w:tc>
        <w:tc>
          <w:tcPr>
            <w:tcW w:w="1173" w:type="dxa"/>
          </w:tcPr>
          <w:p w:rsidR="007F373F" w:rsidRDefault="00000000">
            <w:pPr>
              <w:spacing w:after="0"/>
              <w:jc w:val="right"/>
            </w:pPr>
            <w:r>
              <w:rPr>
                <w:sz w:val="18"/>
              </w:rPr>
              <w:t>0.8%</w:t>
            </w:r>
          </w:p>
        </w:tc>
      </w:tr>
      <w:tr w:rsidR="007F373F">
        <w:trPr>
          <w:jc w:val="center"/>
        </w:trPr>
        <w:tc>
          <w:tcPr>
            <w:tcW w:w="3589" w:type="dxa"/>
          </w:tcPr>
          <w:p w:rsidR="007F373F" w:rsidRDefault="00000000">
            <w:pPr>
              <w:spacing w:after="0"/>
              <w:jc w:val="left"/>
            </w:pPr>
            <w:r>
              <w:rPr>
                <w:sz w:val="18"/>
              </w:rPr>
              <w:t>Derivative financial instruments</w:t>
            </w:r>
          </w:p>
        </w:tc>
        <w:tc>
          <w:tcPr>
            <w:tcW w:w="1311" w:type="dxa"/>
          </w:tcPr>
          <w:p w:rsidR="007F373F" w:rsidRDefault="00000000">
            <w:pPr>
              <w:spacing w:after="0"/>
              <w:jc w:val="right"/>
            </w:pPr>
            <w:r>
              <w:rPr>
                <w:sz w:val="18"/>
              </w:rPr>
              <w:t>21,502</w:t>
            </w:r>
          </w:p>
        </w:tc>
        <w:tc>
          <w:tcPr>
            <w:tcW w:w="1311" w:type="dxa"/>
          </w:tcPr>
          <w:p w:rsidR="007F373F" w:rsidRDefault="00000000">
            <w:pPr>
              <w:spacing w:after="0"/>
              <w:jc w:val="right"/>
            </w:pPr>
            <w:r>
              <w:rPr>
                <w:sz w:val="18"/>
              </w:rPr>
              <w:t>58</w:t>
            </w:r>
          </w:p>
        </w:tc>
        <w:tc>
          <w:tcPr>
            <w:tcW w:w="1104" w:type="dxa"/>
          </w:tcPr>
          <w:p w:rsidR="007F373F" w:rsidRDefault="00000000">
            <w:pPr>
              <w:spacing w:after="0"/>
              <w:jc w:val="right"/>
            </w:pPr>
            <w:r>
              <w:rPr>
                <w:sz w:val="18"/>
              </w:rPr>
              <w:t>+36972.4%</w:t>
            </w:r>
          </w:p>
        </w:tc>
        <w:tc>
          <w:tcPr>
            <w:tcW w:w="1242" w:type="dxa"/>
          </w:tcPr>
          <w:p w:rsidR="007F373F" w:rsidRDefault="00000000">
            <w:pPr>
              <w:spacing w:after="0"/>
              <w:jc w:val="right"/>
            </w:pPr>
            <w:r>
              <w:rPr>
                <w:sz w:val="18"/>
              </w:rPr>
              <w:t>1.3%</w:t>
            </w:r>
          </w:p>
        </w:tc>
        <w:tc>
          <w:tcPr>
            <w:tcW w:w="1173" w:type="dxa"/>
          </w:tcPr>
          <w:p w:rsidR="007F373F" w:rsidRDefault="00000000">
            <w:pPr>
              <w:spacing w:after="0"/>
              <w:jc w:val="right"/>
            </w:pPr>
            <w:r>
              <w:rPr>
                <w:sz w:val="18"/>
              </w:rPr>
              <w:t>0.0%</w:t>
            </w:r>
          </w:p>
        </w:tc>
      </w:tr>
      <w:tr w:rsidR="007F373F">
        <w:trPr>
          <w:jc w:val="center"/>
        </w:trPr>
        <w:tc>
          <w:tcPr>
            <w:tcW w:w="3589" w:type="dxa"/>
          </w:tcPr>
          <w:p w:rsidR="007F373F" w:rsidRDefault="00000000">
            <w:pPr>
              <w:spacing w:after="0"/>
              <w:jc w:val="left"/>
            </w:pPr>
            <w:r>
              <w:rPr>
                <w:sz w:val="18"/>
              </w:rPr>
              <w:t>Receivables (trade and other)</w:t>
            </w:r>
          </w:p>
        </w:tc>
        <w:tc>
          <w:tcPr>
            <w:tcW w:w="1311" w:type="dxa"/>
          </w:tcPr>
          <w:p w:rsidR="007F373F" w:rsidRDefault="00000000">
            <w:pPr>
              <w:spacing w:after="0"/>
              <w:jc w:val="right"/>
            </w:pPr>
            <w:r>
              <w:rPr>
                <w:sz w:val="18"/>
              </w:rPr>
              <w:t>727</w:t>
            </w:r>
          </w:p>
        </w:tc>
        <w:tc>
          <w:tcPr>
            <w:tcW w:w="1311" w:type="dxa"/>
          </w:tcPr>
          <w:p w:rsidR="007F373F" w:rsidRDefault="00000000">
            <w:pPr>
              <w:spacing w:after="0"/>
              <w:jc w:val="right"/>
            </w:pPr>
            <w:r>
              <w:rPr>
                <w:sz w:val="18"/>
              </w:rPr>
              <w:t>565</w:t>
            </w:r>
          </w:p>
        </w:tc>
        <w:tc>
          <w:tcPr>
            <w:tcW w:w="1104" w:type="dxa"/>
          </w:tcPr>
          <w:p w:rsidR="007F373F" w:rsidRDefault="00000000">
            <w:pPr>
              <w:spacing w:after="0"/>
              <w:jc w:val="right"/>
            </w:pPr>
            <w:r>
              <w:rPr>
                <w:sz w:val="18"/>
              </w:rPr>
              <w:t>+28.7%</w:t>
            </w:r>
          </w:p>
        </w:tc>
        <w:tc>
          <w:tcPr>
            <w:tcW w:w="1242" w:type="dxa"/>
          </w:tcPr>
          <w:p w:rsidR="007F373F" w:rsidRDefault="00000000">
            <w:pPr>
              <w:spacing w:after="0"/>
              <w:jc w:val="right"/>
            </w:pPr>
            <w:r>
              <w:rPr>
                <w:sz w:val="18"/>
              </w:rPr>
              <w:t>0.0%</w:t>
            </w:r>
          </w:p>
        </w:tc>
        <w:tc>
          <w:tcPr>
            <w:tcW w:w="1173" w:type="dxa"/>
          </w:tcPr>
          <w:p w:rsidR="007F373F" w:rsidRDefault="00000000">
            <w:pPr>
              <w:spacing w:after="0"/>
              <w:jc w:val="right"/>
            </w:pPr>
            <w:r>
              <w:rPr>
                <w:sz w:val="18"/>
              </w:rPr>
              <w:t>0.0%</w:t>
            </w:r>
          </w:p>
        </w:tc>
      </w:tr>
      <w:tr w:rsidR="007F373F">
        <w:trPr>
          <w:jc w:val="center"/>
        </w:trPr>
        <w:tc>
          <w:tcPr>
            <w:tcW w:w="3589" w:type="dxa"/>
          </w:tcPr>
          <w:p w:rsidR="007F373F" w:rsidRDefault="00000000">
            <w:pPr>
              <w:spacing w:after="0"/>
              <w:jc w:val="left"/>
            </w:pPr>
            <w:r>
              <w:rPr>
                <w:sz w:val="18"/>
              </w:rPr>
              <w:t>Loans (net)</w:t>
            </w:r>
          </w:p>
        </w:tc>
        <w:tc>
          <w:tcPr>
            <w:tcW w:w="1311" w:type="dxa"/>
          </w:tcPr>
          <w:p w:rsidR="007F373F" w:rsidRDefault="00000000">
            <w:pPr>
              <w:spacing w:after="0"/>
              <w:jc w:val="right"/>
            </w:pPr>
            <w:r>
              <w:rPr>
                <w:sz w:val="18"/>
              </w:rPr>
              <w:t>1,431,885</w:t>
            </w:r>
          </w:p>
        </w:tc>
        <w:tc>
          <w:tcPr>
            <w:tcW w:w="1311" w:type="dxa"/>
          </w:tcPr>
          <w:p w:rsidR="007F373F" w:rsidRDefault="00000000">
            <w:pPr>
              <w:spacing w:after="0"/>
              <w:jc w:val="right"/>
            </w:pPr>
            <w:r>
              <w:rPr>
                <w:sz w:val="18"/>
              </w:rPr>
              <w:t>1,164,637</w:t>
            </w:r>
          </w:p>
        </w:tc>
        <w:tc>
          <w:tcPr>
            <w:tcW w:w="1104" w:type="dxa"/>
          </w:tcPr>
          <w:p w:rsidR="007F373F" w:rsidRDefault="00000000">
            <w:pPr>
              <w:spacing w:after="0"/>
              <w:jc w:val="right"/>
            </w:pPr>
            <w:r>
              <w:rPr>
                <w:sz w:val="18"/>
              </w:rPr>
              <w:t>+22.9%</w:t>
            </w:r>
          </w:p>
        </w:tc>
        <w:tc>
          <w:tcPr>
            <w:tcW w:w="1242" w:type="dxa"/>
          </w:tcPr>
          <w:p w:rsidR="007F373F" w:rsidRDefault="00000000">
            <w:pPr>
              <w:spacing w:after="0"/>
              <w:jc w:val="right"/>
            </w:pPr>
            <w:r>
              <w:rPr>
                <w:sz w:val="18"/>
              </w:rPr>
              <w:t>84.9%</w:t>
            </w:r>
          </w:p>
        </w:tc>
        <w:tc>
          <w:tcPr>
            <w:tcW w:w="1173" w:type="dxa"/>
          </w:tcPr>
          <w:p w:rsidR="007F373F" w:rsidRDefault="00000000">
            <w:pPr>
              <w:spacing w:after="0"/>
              <w:jc w:val="right"/>
            </w:pPr>
            <w:r>
              <w:rPr>
                <w:sz w:val="18"/>
              </w:rPr>
              <w:t>87.9%</w:t>
            </w:r>
          </w:p>
        </w:tc>
      </w:tr>
      <w:tr w:rsidR="007F373F">
        <w:trPr>
          <w:jc w:val="center"/>
        </w:trPr>
        <w:tc>
          <w:tcPr>
            <w:tcW w:w="3589" w:type="dxa"/>
          </w:tcPr>
          <w:p w:rsidR="007F373F" w:rsidRDefault="00000000">
            <w:pPr>
              <w:spacing w:after="0"/>
              <w:jc w:val="left"/>
            </w:pPr>
            <w:r>
              <w:rPr>
                <w:sz w:val="18"/>
              </w:rPr>
              <w:t>Investments</w:t>
            </w:r>
          </w:p>
        </w:tc>
        <w:tc>
          <w:tcPr>
            <w:tcW w:w="1311" w:type="dxa"/>
          </w:tcPr>
          <w:p w:rsidR="007F373F" w:rsidRDefault="00000000">
            <w:pPr>
              <w:spacing w:after="0"/>
              <w:jc w:val="right"/>
            </w:pPr>
            <w:r>
              <w:rPr>
                <w:sz w:val="18"/>
              </w:rPr>
              <w:t>40,167</w:t>
            </w:r>
          </w:p>
        </w:tc>
        <w:tc>
          <w:tcPr>
            <w:tcW w:w="1311" w:type="dxa"/>
          </w:tcPr>
          <w:p w:rsidR="007F373F" w:rsidRDefault="00000000">
            <w:pPr>
              <w:spacing w:after="0"/>
              <w:jc w:val="right"/>
            </w:pPr>
            <w:r>
              <w:rPr>
                <w:sz w:val="18"/>
              </w:rPr>
              <w:t>40,419</w:t>
            </w:r>
          </w:p>
        </w:tc>
        <w:tc>
          <w:tcPr>
            <w:tcW w:w="1104" w:type="dxa"/>
          </w:tcPr>
          <w:p w:rsidR="007F373F" w:rsidRDefault="00000000">
            <w:pPr>
              <w:spacing w:after="0"/>
              <w:jc w:val="right"/>
            </w:pPr>
            <w:r>
              <w:rPr>
                <w:sz w:val="18"/>
              </w:rPr>
              <w:t>-0.6%</w:t>
            </w:r>
          </w:p>
        </w:tc>
        <w:tc>
          <w:tcPr>
            <w:tcW w:w="1242" w:type="dxa"/>
          </w:tcPr>
          <w:p w:rsidR="007F373F" w:rsidRDefault="00000000">
            <w:pPr>
              <w:spacing w:after="0"/>
              <w:jc w:val="right"/>
            </w:pPr>
            <w:r>
              <w:rPr>
                <w:sz w:val="18"/>
              </w:rPr>
              <w:t>2.4%</w:t>
            </w:r>
          </w:p>
        </w:tc>
        <w:tc>
          <w:tcPr>
            <w:tcW w:w="1173" w:type="dxa"/>
          </w:tcPr>
          <w:p w:rsidR="007F373F" w:rsidRDefault="00000000">
            <w:pPr>
              <w:spacing w:after="0"/>
              <w:jc w:val="right"/>
            </w:pPr>
            <w:r>
              <w:rPr>
                <w:sz w:val="18"/>
              </w:rPr>
              <w:t>3.1%</w:t>
            </w:r>
          </w:p>
        </w:tc>
      </w:tr>
      <w:tr w:rsidR="007F373F">
        <w:trPr>
          <w:jc w:val="center"/>
        </w:trPr>
        <w:tc>
          <w:tcPr>
            <w:tcW w:w="3589" w:type="dxa"/>
          </w:tcPr>
          <w:p w:rsidR="007F373F" w:rsidRDefault="00000000">
            <w:pPr>
              <w:spacing w:after="0"/>
              <w:jc w:val="left"/>
            </w:pPr>
            <w:r>
              <w:rPr>
                <w:sz w:val="18"/>
              </w:rPr>
              <w:t>Other financial assets</w:t>
            </w:r>
          </w:p>
        </w:tc>
        <w:tc>
          <w:tcPr>
            <w:tcW w:w="1311" w:type="dxa"/>
          </w:tcPr>
          <w:p w:rsidR="007F373F" w:rsidRDefault="00000000">
            <w:pPr>
              <w:spacing w:after="0"/>
              <w:jc w:val="right"/>
            </w:pPr>
            <w:r>
              <w:rPr>
                <w:sz w:val="18"/>
              </w:rPr>
              <w:t>20,736</w:t>
            </w:r>
          </w:p>
        </w:tc>
        <w:tc>
          <w:tcPr>
            <w:tcW w:w="1311" w:type="dxa"/>
          </w:tcPr>
          <w:p w:rsidR="007F373F" w:rsidRDefault="00000000">
            <w:pPr>
              <w:spacing w:after="0"/>
              <w:jc w:val="right"/>
            </w:pPr>
            <w:r>
              <w:rPr>
                <w:sz w:val="18"/>
              </w:rPr>
              <w:t>8,671</w:t>
            </w:r>
          </w:p>
        </w:tc>
        <w:tc>
          <w:tcPr>
            <w:tcW w:w="1104" w:type="dxa"/>
          </w:tcPr>
          <w:p w:rsidR="007F373F" w:rsidRDefault="00000000">
            <w:pPr>
              <w:spacing w:after="0"/>
              <w:jc w:val="right"/>
            </w:pPr>
            <w:r>
              <w:rPr>
                <w:sz w:val="18"/>
              </w:rPr>
              <w:t>+139.1%</w:t>
            </w:r>
          </w:p>
        </w:tc>
        <w:tc>
          <w:tcPr>
            <w:tcW w:w="1242" w:type="dxa"/>
          </w:tcPr>
          <w:p w:rsidR="007F373F" w:rsidRDefault="00000000">
            <w:pPr>
              <w:spacing w:after="0"/>
              <w:jc w:val="right"/>
            </w:pPr>
            <w:r>
              <w:rPr>
                <w:sz w:val="18"/>
              </w:rPr>
              <w:t>1.2%</w:t>
            </w:r>
          </w:p>
        </w:tc>
        <w:tc>
          <w:tcPr>
            <w:tcW w:w="1173" w:type="dxa"/>
          </w:tcPr>
          <w:p w:rsidR="007F373F" w:rsidRDefault="00000000">
            <w:pPr>
              <w:spacing w:after="0"/>
              <w:jc w:val="right"/>
            </w:pPr>
            <w:r>
              <w:rPr>
                <w:sz w:val="18"/>
              </w:rPr>
              <w:t>0.7%</w:t>
            </w:r>
          </w:p>
        </w:tc>
      </w:tr>
      <w:tr w:rsidR="007F373F">
        <w:trPr>
          <w:jc w:val="center"/>
        </w:trPr>
        <w:tc>
          <w:tcPr>
            <w:tcW w:w="3589" w:type="dxa"/>
          </w:tcPr>
          <w:p w:rsidR="007F373F" w:rsidRDefault="00000000">
            <w:pPr>
              <w:spacing w:after="0"/>
              <w:jc w:val="left"/>
            </w:pPr>
            <w:r>
              <w:rPr>
                <w:sz w:val="18"/>
              </w:rPr>
              <w:t>Total financial assets</w:t>
            </w:r>
          </w:p>
        </w:tc>
        <w:tc>
          <w:tcPr>
            <w:tcW w:w="1311" w:type="dxa"/>
          </w:tcPr>
          <w:p w:rsidR="007F373F" w:rsidRDefault="00000000">
            <w:pPr>
              <w:spacing w:after="0"/>
              <w:jc w:val="right"/>
            </w:pPr>
            <w:r>
              <w:rPr>
                <w:sz w:val="18"/>
              </w:rPr>
              <w:t>1,656,352</w:t>
            </w:r>
          </w:p>
        </w:tc>
        <w:tc>
          <w:tcPr>
            <w:tcW w:w="1311" w:type="dxa"/>
          </w:tcPr>
          <w:p w:rsidR="007F373F" w:rsidRDefault="00000000">
            <w:pPr>
              <w:spacing w:after="0"/>
              <w:jc w:val="right"/>
            </w:pPr>
            <w:r>
              <w:rPr>
                <w:sz w:val="18"/>
              </w:rPr>
              <w:t>1,299,185</w:t>
            </w:r>
          </w:p>
        </w:tc>
        <w:tc>
          <w:tcPr>
            <w:tcW w:w="1104" w:type="dxa"/>
          </w:tcPr>
          <w:p w:rsidR="007F373F" w:rsidRDefault="00000000">
            <w:pPr>
              <w:spacing w:after="0"/>
              <w:jc w:val="right"/>
            </w:pPr>
            <w:r>
              <w:rPr>
                <w:sz w:val="18"/>
              </w:rPr>
              <w:t>+27.5%</w:t>
            </w:r>
          </w:p>
        </w:tc>
        <w:tc>
          <w:tcPr>
            <w:tcW w:w="1242" w:type="dxa"/>
          </w:tcPr>
          <w:p w:rsidR="007F373F" w:rsidRDefault="00000000">
            <w:pPr>
              <w:spacing w:after="0"/>
              <w:jc w:val="right"/>
            </w:pPr>
            <w:r>
              <w:rPr>
                <w:sz w:val="18"/>
              </w:rPr>
              <w:t>98.2%</w:t>
            </w:r>
          </w:p>
        </w:tc>
        <w:tc>
          <w:tcPr>
            <w:tcW w:w="1173" w:type="dxa"/>
          </w:tcPr>
          <w:p w:rsidR="007F373F" w:rsidRDefault="00000000">
            <w:pPr>
              <w:spacing w:after="0"/>
              <w:jc w:val="right"/>
            </w:pPr>
            <w:r>
              <w:rPr>
                <w:sz w:val="18"/>
              </w:rPr>
              <w:t>98.1%</w:t>
            </w:r>
          </w:p>
        </w:tc>
      </w:tr>
      <w:tr w:rsidR="007F373F">
        <w:trPr>
          <w:jc w:val="center"/>
        </w:trPr>
        <w:tc>
          <w:tcPr>
            <w:tcW w:w="3589" w:type="dxa"/>
          </w:tcPr>
          <w:p w:rsidR="007F373F" w:rsidRDefault="00000000">
            <w:pPr>
              <w:spacing w:after="0"/>
              <w:jc w:val="left"/>
            </w:pPr>
            <w:r>
              <w:rPr>
                <w:sz w:val="18"/>
              </w:rPr>
              <w:t>Property, plant and equipment</w:t>
            </w:r>
          </w:p>
        </w:tc>
        <w:tc>
          <w:tcPr>
            <w:tcW w:w="1311" w:type="dxa"/>
          </w:tcPr>
          <w:p w:rsidR="007F373F" w:rsidRDefault="00000000">
            <w:pPr>
              <w:spacing w:after="0"/>
              <w:jc w:val="right"/>
            </w:pPr>
            <w:r>
              <w:rPr>
                <w:sz w:val="18"/>
              </w:rPr>
              <w:t>4,179</w:t>
            </w:r>
          </w:p>
        </w:tc>
        <w:tc>
          <w:tcPr>
            <w:tcW w:w="1311" w:type="dxa"/>
          </w:tcPr>
          <w:p w:rsidR="007F373F" w:rsidRDefault="00000000">
            <w:pPr>
              <w:spacing w:after="0"/>
              <w:jc w:val="right"/>
            </w:pPr>
            <w:r>
              <w:rPr>
                <w:sz w:val="18"/>
              </w:rPr>
              <w:t>3,191</w:t>
            </w:r>
          </w:p>
        </w:tc>
        <w:tc>
          <w:tcPr>
            <w:tcW w:w="1104" w:type="dxa"/>
          </w:tcPr>
          <w:p w:rsidR="007F373F" w:rsidRDefault="00000000">
            <w:pPr>
              <w:spacing w:after="0"/>
              <w:jc w:val="right"/>
            </w:pPr>
            <w:r>
              <w:rPr>
                <w:sz w:val="18"/>
              </w:rPr>
              <w:t>+31.0%</w:t>
            </w:r>
          </w:p>
        </w:tc>
        <w:tc>
          <w:tcPr>
            <w:tcW w:w="1242" w:type="dxa"/>
          </w:tcPr>
          <w:p w:rsidR="007F373F" w:rsidRDefault="00000000">
            <w:pPr>
              <w:spacing w:after="0"/>
              <w:jc w:val="right"/>
            </w:pPr>
            <w:r>
              <w:rPr>
                <w:sz w:val="18"/>
              </w:rPr>
              <w:t>0.2%</w:t>
            </w:r>
          </w:p>
        </w:tc>
        <w:tc>
          <w:tcPr>
            <w:tcW w:w="1173" w:type="dxa"/>
          </w:tcPr>
          <w:p w:rsidR="007F373F" w:rsidRDefault="00000000">
            <w:pPr>
              <w:spacing w:after="0"/>
              <w:jc w:val="right"/>
            </w:pPr>
            <w:r>
              <w:rPr>
                <w:sz w:val="18"/>
              </w:rPr>
              <w:t>0.2%</w:t>
            </w:r>
          </w:p>
        </w:tc>
      </w:tr>
      <w:tr w:rsidR="007F373F">
        <w:trPr>
          <w:jc w:val="center"/>
        </w:trPr>
        <w:tc>
          <w:tcPr>
            <w:tcW w:w="3589" w:type="dxa"/>
          </w:tcPr>
          <w:p w:rsidR="007F373F" w:rsidRDefault="00000000">
            <w:pPr>
              <w:spacing w:after="0"/>
              <w:jc w:val="left"/>
            </w:pPr>
            <w:r>
              <w:rPr>
                <w:sz w:val="18"/>
              </w:rPr>
              <w:t>Right-of-use assets</w:t>
            </w:r>
          </w:p>
        </w:tc>
        <w:tc>
          <w:tcPr>
            <w:tcW w:w="1311" w:type="dxa"/>
          </w:tcPr>
          <w:p w:rsidR="007F373F" w:rsidRDefault="00000000">
            <w:pPr>
              <w:spacing w:after="0"/>
              <w:jc w:val="right"/>
            </w:pPr>
            <w:r>
              <w:rPr>
                <w:sz w:val="18"/>
              </w:rPr>
              <w:t>17,433</w:t>
            </w:r>
          </w:p>
        </w:tc>
        <w:tc>
          <w:tcPr>
            <w:tcW w:w="1311" w:type="dxa"/>
          </w:tcPr>
          <w:p w:rsidR="007F373F" w:rsidRDefault="00000000">
            <w:pPr>
              <w:spacing w:after="0"/>
              <w:jc w:val="right"/>
            </w:pPr>
            <w:r>
              <w:rPr>
                <w:sz w:val="18"/>
              </w:rPr>
              <w:t>15,395</w:t>
            </w:r>
          </w:p>
        </w:tc>
        <w:tc>
          <w:tcPr>
            <w:tcW w:w="1104" w:type="dxa"/>
          </w:tcPr>
          <w:p w:rsidR="007F373F" w:rsidRDefault="00000000">
            <w:pPr>
              <w:spacing w:after="0"/>
              <w:jc w:val="right"/>
            </w:pPr>
            <w:r>
              <w:rPr>
                <w:sz w:val="18"/>
              </w:rPr>
              <w:t>+13.2%</w:t>
            </w:r>
          </w:p>
        </w:tc>
        <w:tc>
          <w:tcPr>
            <w:tcW w:w="1242" w:type="dxa"/>
          </w:tcPr>
          <w:p w:rsidR="007F373F" w:rsidRDefault="00000000">
            <w:pPr>
              <w:spacing w:after="0"/>
              <w:jc w:val="right"/>
            </w:pPr>
            <w:r>
              <w:rPr>
                <w:sz w:val="18"/>
              </w:rPr>
              <w:t>1.0%</w:t>
            </w:r>
          </w:p>
        </w:tc>
        <w:tc>
          <w:tcPr>
            <w:tcW w:w="1173" w:type="dxa"/>
          </w:tcPr>
          <w:p w:rsidR="007F373F" w:rsidRDefault="00000000">
            <w:pPr>
              <w:spacing w:after="0"/>
              <w:jc w:val="right"/>
            </w:pPr>
            <w:r>
              <w:rPr>
                <w:sz w:val="18"/>
              </w:rPr>
              <w:t>1.2%</w:t>
            </w:r>
          </w:p>
        </w:tc>
      </w:tr>
      <w:tr w:rsidR="007F373F">
        <w:trPr>
          <w:jc w:val="center"/>
        </w:trPr>
        <w:tc>
          <w:tcPr>
            <w:tcW w:w="3589" w:type="dxa"/>
          </w:tcPr>
          <w:p w:rsidR="007F373F" w:rsidRDefault="00000000">
            <w:pPr>
              <w:spacing w:after="0"/>
              <w:jc w:val="left"/>
            </w:pPr>
            <w:r>
              <w:rPr>
                <w:sz w:val="18"/>
              </w:rPr>
              <w:t>Other non-financial assets (incl. tax)</w:t>
            </w:r>
          </w:p>
        </w:tc>
        <w:tc>
          <w:tcPr>
            <w:tcW w:w="1311" w:type="dxa"/>
          </w:tcPr>
          <w:p w:rsidR="007F373F" w:rsidRDefault="00000000">
            <w:pPr>
              <w:spacing w:after="0"/>
              <w:jc w:val="right"/>
            </w:pPr>
            <w:r>
              <w:rPr>
                <w:sz w:val="18"/>
              </w:rPr>
              <w:t>7,811</w:t>
            </w:r>
          </w:p>
        </w:tc>
        <w:tc>
          <w:tcPr>
            <w:tcW w:w="1311" w:type="dxa"/>
          </w:tcPr>
          <w:p w:rsidR="007F373F" w:rsidRDefault="00000000">
            <w:pPr>
              <w:spacing w:after="0"/>
              <w:jc w:val="right"/>
            </w:pPr>
            <w:r>
              <w:rPr>
                <w:sz w:val="18"/>
              </w:rPr>
              <w:t>5,745</w:t>
            </w:r>
          </w:p>
        </w:tc>
        <w:tc>
          <w:tcPr>
            <w:tcW w:w="1104" w:type="dxa"/>
          </w:tcPr>
          <w:p w:rsidR="007F373F" w:rsidRDefault="00000000">
            <w:pPr>
              <w:spacing w:after="0"/>
              <w:jc w:val="right"/>
            </w:pPr>
            <w:r>
              <w:rPr>
                <w:sz w:val="18"/>
              </w:rPr>
              <w:t>+36.0%</w:t>
            </w:r>
          </w:p>
        </w:tc>
        <w:tc>
          <w:tcPr>
            <w:tcW w:w="1242" w:type="dxa"/>
          </w:tcPr>
          <w:p w:rsidR="007F373F" w:rsidRDefault="00000000">
            <w:pPr>
              <w:spacing w:after="0"/>
              <w:jc w:val="right"/>
            </w:pPr>
            <w:r>
              <w:rPr>
                <w:sz w:val="18"/>
              </w:rPr>
              <w:t>0.5%</w:t>
            </w:r>
          </w:p>
        </w:tc>
        <w:tc>
          <w:tcPr>
            <w:tcW w:w="1173" w:type="dxa"/>
          </w:tcPr>
          <w:p w:rsidR="007F373F" w:rsidRDefault="00000000">
            <w:pPr>
              <w:spacing w:after="0"/>
              <w:jc w:val="right"/>
            </w:pPr>
            <w:r>
              <w:rPr>
                <w:sz w:val="18"/>
              </w:rPr>
              <w:t>0.4%</w:t>
            </w:r>
          </w:p>
        </w:tc>
      </w:tr>
      <w:tr w:rsidR="007F373F">
        <w:trPr>
          <w:jc w:val="center"/>
        </w:trPr>
        <w:tc>
          <w:tcPr>
            <w:tcW w:w="3589" w:type="dxa"/>
          </w:tcPr>
          <w:p w:rsidR="007F373F" w:rsidRDefault="00000000">
            <w:pPr>
              <w:spacing w:after="0"/>
              <w:jc w:val="left"/>
            </w:pPr>
            <w:r>
              <w:rPr>
                <w:sz w:val="18"/>
              </w:rPr>
              <w:t>Total non-financial assets</w:t>
            </w:r>
          </w:p>
        </w:tc>
        <w:tc>
          <w:tcPr>
            <w:tcW w:w="1311" w:type="dxa"/>
          </w:tcPr>
          <w:p w:rsidR="007F373F" w:rsidRDefault="00000000">
            <w:pPr>
              <w:spacing w:after="0"/>
              <w:jc w:val="right"/>
            </w:pPr>
            <w:r>
              <w:rPr>
                <w:sz w:val="18"/>
              </w:rPr>
              <w:t>31,126</w:t>
            </w:r>
          </w:p>
        </w:tc>
        <w:tc>
          <w:tcPr>
            <w:tcW w:w="1311" w:type="dxa"/>
          </w:tcPr>
          <w:p w:rsidR="007F373F" w:rsidRDefault="00000000">
            <w:pPr>
              <w:spacing w:after="0"/>
              <w:jc w:val="right"/>
            </w:pPr>
            <w:r>
              <w:rPr>
                <w:sz w:val="18"/>
              </w:rPr>
              <w:t>25,785</w:t>
            </w:r>
          </w:p>
        </w:tc>
        <w:tc>
          <w:tcPr>
            <w:tcW w:w="1104" w:type="dxa"/>
          </w:tcPr>
          <w:p w:rsidR="007F373F" w:rsidRDefault="00000000">
            <w:pPr>
              <w:spacing w:after="0"/>
              <w:jc w:val="right"/>
            </w:pPr>
            <w:r>
              <w:rPr>
                <w:sz w:val="18"/>
              </w:rPr>
              <w:t>+20.7%</w:t>
            </w:r>
          </w:p>
        </w:tc>
        <w:tc>
          <w:tcPr>
            <w:tcW w:w="1242" w:type="dxa"/>
          </w:tcPr>
          <w:p w:rsidR="007F373F" w:rsidRDefault="00000000">
            <w:pPr>
              <w:spacing w:after="0"/>
              <w:jc w:val="right"/>
            </w:pPr>
            <w:r>
              <w:rPr>
                <w:sz w:val="18"/>
              </w:rPr>
              <w:t>1.8%</w:t>
            </w:r>
          </w:p>
        </w:tc>
        <w:tc>
          <w:tcPr>
            <w:tcW w:w="1173" w:type="dxa"/>
          </w:tcPr>
          <w:p w:rsidR="007F373F" w:rsidRDefault="00000000">
            <w:pPr>
              <w:spacing w:after="0"/>
              <w:jc w:val="right"/>
            </w:pPr>
            <w:r>
              <w:rPr>
                <w:sz w:val="18"/>
              </w:rPr>
              <w:t>1.9%</w:t>
            </w:r>
          </w:p>
        </w:tc>
      </w:tr>
      <w:tr w:rsidR="007F373F">
        <w:trPr>
          <w:jc w:val="center"/>
        </w:trPr>
        <w:tc>
          <w:tcPr>
            <w:tcW w:w="3589" w:type="dxa"/>
          </w:tcPr>
          <w:p w:rsidR="007F373F" w:rsidRDefault="00000000">
            <w:pPr>
              <w:spacing w:after="0"/>
              <w:jc w:val="left"/>
            </w:pPr>
            <w:r>
              <w:rPr>
                <w:sz w:val="18"/>
              </w:rPr>
              <w:t>TOTAL ASSETS</w:t>
            </w:r>
          </w:p>
        </w:tc>
        <w:tc>
          <w:tcPr>
            <w:tcW w:w="1311" w:type="dxa"/>
          </w:tcPr>
          <w:p w:rsidR="007F373F" w:rsidRDefault="00000000">
            <w:pPr>
              <w:spacing w:after="0"/>
              <w:jc w:val="right"/>
            </w:pPr>
            <w:r>
              <w:rPr>
                <w:sz w:val="18"/>
              </w:rPr>
              <w:t>1,687,478</w:t>
            </w:r>
          </w:p>
        </w:tc>
        <w:tc>
          <w:tcPr>
            <w:tcW w:w="1311" w:type="dxa"/>
          </w:tcPr>
          <w:p w:rsidR="007F373F" w:rsidRDefault="00000000">
            <w:pPr>
              <w:spacing w:after="0"/>
              <w:jc w:val="right"/>
            </w:pPr>
            <w:r>
              <w:rPr>
                <w:sz w:val="18"/>
              </w:rPr>
              <w:t>1,324,970</w:t>
            </w:r>
          </w:p>
        </w:tc>
        <w:tc>
          <w:tcPr>
            <w:tcW w:w="1104" w:type="dxa"/>
          </w:tcPr>
          <w:p w:rsidR="007F373F" w:rsidRDefault="00000000">
            <w:pPr>
              <w:spacing w:after="0"/>
              <w:jc w:val="right"/>
            </w:pPr>
            <w:r>
              <w:rPr>
                <w:sz w:val="18"/>
              </w:rPr>
              <w:t>+27.4%</w:t>
            </w:r>
          </w:p>
        </w:tc>
        <w:tc>
          <w:tcPr>
            <w:tcW w:w="1242" w:type="dxa"/>
          </w:tcPr>
          <w:p w:rsidR="007F373F" w:rsidRDefault="00000000">
            <w:pPr>
              <w:spacing w:after="0"/>
              <w:jc w:val="right"/>
            </w:pPr>
            <w:r>
              <w:rPr>
                <w:sz w:val="18"/>
              </w:rPr>
              <w:t>100.0%</w:t>
            </w:r>
          </w:p>
        </w:tc>
        <w:tc>
          <w:tcPr>
            <w:tcW w:w="1173" w:type="dxa"/>
          </w:tcPr>
          <w:p w:rsidR="007F373F" w:rsidRDefault="00000000">
            <w:pPr>
              <w:spacing w:after="0"/>
              <w:jc w:val="right"/>
            </w:pPr>
            <w:r>
              <w:rPr>
                <w:sz w:val="18"/>
              </w:rPr>
              <w:t>100.0%</w:t>
            </w:r>
          </w:p>
        </w:tc>
      </w:tr>
      <w:tr w:rsidR="007F373F">
        <w:trPr>
          <w:jc w:val="center"/>
        </w:trPr>
        <w:tc>
          <w:tcPr>
            <w:tcW w:w="3589" w:type="dxa"/>
          </w:tcPr>
          <w:p w:rsidR="007F373F" w:rsidRDefault="00000000">
            <w:pPr>
              <w:spacing w:after="0"/>
              <w:jc w:val="left"/>
            </w:pPr>
            <w:r>
              <w:rPr>
                <w:sz w:val="18"/>
              </w:rPr>
              <w:t>Debt securities (NCDs, CP)</w:t>
            </w:r>
          </w:p>
        </w:tc>
        <w:tc>
          <w:tcPr>
            <w:tcW w:w="1311" w:type="dxa"/>
          </w:tcPr>
          <w:p w:rsidR="007F373F" w:rsidRDefault="00000000">
            <w:pPr>
              <w:spacing w:after="0"/>
              <w:jc w:val="right"/>
            </w:pPr>
            <w:r>
              <w:rPr>
                <w:sz w:val="18"/>
              </w:rPr>
              <w:t>173,031</w:t>
            </w:r>
          </w:p>
        </w:tc>
        <w:tc>
          <w:tcPr>
            <w:tcW w:w="1311" w:type="dxa"/>
          </w:tcPr>
          <w:p w:rsidR="007F373F" w:rsidRDefault="00000000">
            <w:pPr>
              <w:spacing w:after="0"/>
              <w:jc w:val="right"/>
            </w:pPr>
            <w:r>
              <w:rPr>
                <w:sz w:val="18"/>
              </w:rPr>
              <w:t>50,022</w:t>
            </w:r>
          </w:p>
        </w:tc>
        <w:tc>
          <w:tcPr>
            <w:tcW w:w="1104" w:type="dxa"/>
          </w:tcPr>
          <w:p w:rsidR="007F373F" w:rsidRDefault="00000000">
            <w:pPr>
              <w:spacing w:after="0"/>
              <w:jc w:val="right"/>
            </w:pPr>
            <w:r>
              <w:rPr>
                <w:sz w:val="18"/>
              </w:rPr>
              <w:t>+245.9%</w:t>
            </w:r>
          </w:p>
        </w:tc>
        <w:tc>
          <w:tcPr>
            <w:tcW w:w="1242" w:type="dxa"/>
          </w:tcPr>
          <w:p w:rsidR="007F373F" w:rsidRDefault="00000000">
            <w:pPr>
              <w:spacing w:after="0"/>
              <w:jc w:val="right"/>
            </w:pPr>
            <w:r>
              <w:rPr>
                <w:sz w:val="18"/>
              </w:rPr>
              <w:t>10.3%</w:t>
            </w:r>
          </w:p>
        </w:tc>
        <w:tc>
          <w:tcPr>
            <w:tcW w:w="1173" w:type="dxa"/>
          </w:tcPr>
          <w:p w:rsidR="007F373F" w:rsidRDefault="00000000">
            <w:pPr>
              <w:spacing w:after="0"/>
              <w:jc w:val="right"/>
            </w:pPr>
            <w:r>
              <w:rPr>
                <w:sz w:val="18"/>
              </w:rPr>
              <w:t>3.8%</w:t>
            </w:r>
          </w:p>
        </w:tc>
      </w:tr>
      <w:tr w:rsidR="007F373F">
        <w:trPr>
          <w:jc w:val="center"/>
        </w:trPr>
        <w:tc>
          <w:tcPr>
            <w:tcW w:w="3589" w:type="dxa"/>
          </w:tcPr>
          <w:p w:rsidR="007F373F" w:rsidRDefault="00000000">
            <w:pPr>
              <w:spacing w:after="0"/>
              <w:jc w:val="left"/>
            </w:pPr>
            <w:r>
              <w:rPr>
                <w:sz w:val="18"/>
              </w:rPr>
              <w:t>Borrowings other than debt securities</w:t>
            </w:r>
          </w:p>
        </w:tc>
        <w:tc>
          <w:tcPr>
            <w:tcW w:w="1311" w:type="dxa"/>
          </w:tcPr>
          <w:p w:rsidR="007F373F" w:rsidRDefault="00000000">
            <w:pPr>
              <w:spacing w:after="0"/>
              <w:jc w:val="right"/>
            </w:pPr>
            <w:r>
              <w:rPr>
                <w:sz w:val="18"/>
              </w:rPr>
              <w:t>1,083,747</w:t>
            </w:r>
          </w:p>
        </w:tc>
        <w:tc>
          <w:tcPr>
            <w:tcW w:w="1311" w:type="dxa"/>
          </w:tcPr>
          <w:p w:rsidR="007F373F" w:rsidRDefault="00000000">
            <w:pPr>
              <w:spacing w:after="0"/>
              <w:jc w:val="right"/>
            </w:pPr>
            <w:r>
              <w:rPr>
                <w:sz w:val="18"/>
              </w:rPr>
              <w:t>929,237</w:t>
            </w:r>
          </w:p>
        </w:tc>
        <w:tc>
          <w:tcPr>
            <w:tcW w:w="1104" w:type="dxa"/>
          </w:tcPr>
          <w:p w:rsidR="007F373F" w:rsidRDefault="00000000">
            <w:pPr>
              <w:spacing w:after="0"/>
              <w:jc w:val="right"/>
            </w:pPr>
            <w:r>
              <w:rPr>
                <w:sz w:val="18"/>
              </w:rPr>
              <w:t>+16.6%</w:t>
            </w:r>
          </w:p>
        </w:tc>
        <w:tc>
          <w:tcPr>
            <w:tcW w:w="1242" w:type="dxa"/>
          </w:tcPr>
          <w:p w:rsidR="007F373F" w:rsidRDefault="00000000">
            <w:pPr>
              <w:spacing w:after="0"/>
              <w:jc w:val="right"/>
            </w:pPr>
            <w:r>
              <w:rPr>
                <w:sz w:val="18"/>
              </w:rPr>
              <w:t>64.2%</w:t>
            </w:r>
          </w:p>
        </w:tc>
        <w:tc>
          <w:tcPr>
            <w:tcW w:w="1173" w:type="dxa"/>
          </w:tcPr>
          <w:p w:rsidR="007F373F" w:rsidRDefault="00000000">
            <w:pPr>
              <w:spacing w:after="0"/>
              <w:jc w:val="right"/>
            </w:pPr>
            <w:r>
              <w:rPr>
                <w:sz w:val="18"/>
              </w:rPr>
              <w:t>70.1%</w:t>
            </w:r>
          </w:p>
        </w:tc>
      </w:tr>
      <w:tr w:rsidR="007F373F">
        <w:trPr>
          <w:jc w:val="center"/>
        </w:trPr>
        <w:tc>
          <w:tcPr>
            <w:tcW w:w="3589" w:type="dxa"/>
          </w:tcPr>
          <w:p w:rsidR="007F373F" w:rsidRDefault="00000000">
            <w:pPr>
              <w:spacing w:after="0"/>
              <w:jc w:val="left"/>
            </w:pPr>
            <w:r>
              <w:rPr>
                <w:sz w:val="18"/>
              </w:rPr>
              <w:t>Subordinated liabilities</w:t>
            </w:r>
          </w:p>
        </w:tc>
        <w:tc>
          <w:tcPr>
            <w:tcW w:w="1311" w:type="dxa"/>
          </w:tcPr>
          <w:p w:rsidR="007F373F" w:rsidRDefault="00000000">
            <w:pPr>
              <w:spacing w:after="0"/>
              <w:jc w:val="right"/>
            </w:pPr>
            <w:r>
              <w:rPr>
                <w:sz w:val="18"/>
              </w:rPr>
              <w:t>91,635</w:t>
            </w:r>
          </w:p>
        </w:tc>
        <w:tc>
          <w:tcPr>
            <w:tcW w:w="1311" w:type="dxa"/>
          </w:tcPr>
          <w:p w:rsidR="007F373F" w:rsidRDefault="00000000">
            <w:pPr>
              <w:spacing w:after="0"/>
              <w:jc w:val="right"/>
            </w:pPr>
            <w:r>
              <w:rPr>
                <w:sz w:val="18"/>
              </w:rPr>
              <w:t>47,607</w:t>
            </w:r>
          </w:p>
        </w:tc>
        <w:tc>
          <w:tcPr>
            <w:tcW w:w="1104" w:type="dxa"/>
          </w:tcPr>
          <w:p w:rsidR="007F373F" w:rsidRDefault="00000000">
            <w:pPr>
              <w:spacing w:after="0"/>
              <w:jc w:val="right"/>
            </w:pPr>
            <w:r>
              <w:rPr>
                <w:sz w:val="18"/>
              </w:rPr>
              <w:t>+92.5%</w:t>
            </w:r>
          </w:p>
        </w:tc>
        <w:tc>
          <w:tcPr>
            <w:tcW w:w="1242" w:type="dxa"/>
          </w:tcPr>
          <w:p w:rsidR="007F373F" w:rsidRDefault="00000000">
            <w:pPr>
              <w:spacing w:after="0"/>
              <w:jc w:val="right"/>
            </w:pPr>
            <w:r>
              <w:rPr>
                <w:sz w:val="18"/>
              </w:rPr>
              <w:t>5.4%</w:t>
            </w:r>
          </w:p>
        </w:tc>
        <w:tc>
          <w:tcPr>
            <w:tcW w:w="1173" w:type="dxa"/>
          </w:tcPr>
          <w:p w:rsidR="007F373F" w:rsidRDefault="00000000">
            <w:pPr>
              <w:spacing w:after="0"/>
              <w:jc w:val="right"/>
            </w:pPr>
            <w:r>
              <w:rPr>
                <w:sz w:val="18"/>
              </w:rPr>
              <w:t>3.6%</w:t>
            </w:r>
          </w:p>
        </w:tc>
      </w:tr>
      <w:tr w:rsidR="007F373F">
        <w:trPr>
          <w:jc w:val="center"/>
        </w:trPr>
        <w:tc>
          <w:tcPr>
            <w:tcW w:w="3589" w:type="dxa"/>
          </w:tcPr>
          <w:p w:rsidR="007F373F" w:rsidRDefault="00000000">
            <w:pPr>
              <w:spacing w:after="0"/>
              <w:jc w:val="left"/>
            </w:pPr>
            <w:r>
              <w:rPr>
                <w:sz w:val="18"/>
              </w:rPr>
              <w:t>Lease liabilities</w:t>
            </w:r>
          </w:p>
        </w:tc>
        <w:tc>
          <w:tcPr>
            <w:tcW w:w="1311" w:type="dxa"/>
          </w:tcPr>
          <w:p w:rsidR="007F373F" w:rsidRDefault="00000000">
            <w:pPr>
              <w:spacing w:after="0"/>
              <w:jc w:val="right"/>
            </w:pPr>
            <w:r>
              <w:rPr>
                <w:sz w:val="18"/>
              </w:rPr>
              <w:t>19,074</w:t>
            </w:r>
          </w:p>
        </w:tc>
        <w:tc>
          <w:tcPr>
            <w:tcW w:w="1311" w:type="dxa"/>
          </w:tcPr>
          <w:p w:rsidR="007F373F" w:rsidRDefault="00000000">
            <w:pPr>
              <w:spacing w:after="0"/>
              <w:jc w:val="right"/>
            </w:pPr>
            <w:r>
              <w:rPr>
                <w:sz w:val="18"/>
              </w:rPr>
              <w:t>16,854</w:t>
            </w:r>
          </w:p>
        </w:tc>
        <w:tc>
          <w:tcPr>
            <w:tcW w:w="1104" w:type="dxa"/>
          </w:tcPr>
          <w:p w:rsidR="007F373F" w:rsidRDefault="00000000">
            <w:pPr>
              <w:spacing w:after="0"/>
              <w:jc w:val="right"/>
            </w:pPr>
            <w:r>
              <w:rPr>
                <w:sz w:val="18"/>
              </w:rPr>
              <w:t>+13.2%</w:t>
            </w:r>
          </w:p>
        </w:tc>
        <w:tc>
          <w:tcPr>
            <w:tcW w:w="1242" w:type="dxa"/>
          </w:tcPr>
          <w:p w:rsidR="007F373F" w:rsidRDefault="00000000">
            <w:pPr>
              <w:spacing w:after="0"/>
              <w:jc w:val="right"/>
            </w:pPr>
            <w:r>
              <w:rPr>
                <w:sz w:val="18"/>
              </w:rPr>
              <w:t>1.1%</w:t>
            </w:r>
          </w:p>
        </w:tc>
        <w:tc>
          <w:tcPr>
            <w:tcW w:w="1173" w:type="dxa"/>
          </w:tcPr>
          <w:p w:rsidR="007F373F" w:rsidRDefault="00000000">
            <w:pPr>
              <w:spacing w:after="0"/>
              <w:jc w:val="right"/>
            </w:pPr>
            <w:r>
              <w:rPr>
                <w:sz w:val="18"/>
              </w:rPr>
              <w:t>1.3%</w:t>
            </w:r>
          </w:p>
        </w:tc>
      </w:tr>
      <w:tr w:rsidR="007F373F">
        <w:trPr>
          <w:jc w:val="center"/>
        </w:trPr>
        <w:tc>
          <w:tcPr>
            <w:tcW w:w="3589" w:type="dxa"/>
          </w:tcPr>
          <w:p w:rsidR="007F373F" w:rsidRDefault="00000000">
            <w:pPr>
              <w:spacing w:after="0"/>
              <w:jc w:val="left"/>
            </w:pPr>
            <w:r>
              <w:rPr>
                <w:sz w:val="18"/>
              </w:rPr>
              <w:t>Other financial liabilities (incl. payables)</w:t>
            </w:r>
          </w:p>
        </w:tc>
        <w:tc>
          <w:tcPr>
            <w:tcW w:w="1311" w:type="dxa"/>
          </w:tcPr>
          <w:p w:rsidR="007F373F" w:rsidRDefault="00000000">
            <w:pPr>
              <w:spacing w:after="0"/>
              <w:jc w:val="right"/>
            </w:pPr>
            <w:r>
              <w:rPr>
                <w:sz w:val="18"/>
              </w:rPr>
              <w:t>21,638</w:t>
            </w:r>
          </w:p>
        </w:tc>
        <w:tc>
          <w:tcPr>
            <w:tcW w:w="1311" w:type="dxa"/>
          </w:tcPr>
          <w:p w:rsidR="007F373F" w:rsidRDefault="00000000">
            <w:pPr>
              <w:spacing w:after="0"/>
              <w:jc w:val="right"/>
            </w:pPr>
            <w:r>
              <w:rPr>
                <w:sz w:val="18"/>
              </w:rPr>
              <w:t>20,229</w:t>
            </w:r>
          </w:p>
        </w:tc>
        <w:tc>
          <w:tcPr>
            <w:tcW w:w="1104" w:type="dxa"/>
          </w:tcPr>
          <w:p w:rsidR="007F373F" w:rsidRDefault="00000000">
            <w:pPr>
              <w:spacing w:after="0"/>
              <w:jc w:val="right"/>
            </w:pPr>
            <w:r>
              <w:rPr>
                <w:sz w:val="18"/>
              </w:rPr>
              <w:t>+7.0%</w:t>
            </w:r>
          </w:p>
        </w:tc>
        <w:tc>
          <w:tcPr>
            <w:tcW w:w="1242" w:type="dxa"/>
          </w:tcPr>
          <w:p w:rsidR="007F373F" w:rsidRDefault="00000000">
            <w:pPr>
              <w:spacing w:after="0"/>
              <w:jc w:val="right"/>
            </w:pPr>
            <w:r>
              <w:rPr>
                <w:sz w:val="18"/>
              </w:rPr>
              <w:t>1.3%</w:t>
            </w:r>
          </w:p>
        </w:tc>
        <w:tc>
          <w:tcPr>
            <w:tcW w:w="1173" w:type="dxa"/>
          </w:tcPr>
          <w:p w:rsidR="007F373F" w:rsidRDefault="00000000">
            <w:pPr>
              <w:spacing w:after="0"/>
              <w:jc w:val="right"/>
            </w:pPr>
            <w:r>
              <w:rPr>
                <w:sz w:val="18"/>
              </w:rPr>
              <w:t>1.5%</w:t>
            </w:r>
          </w:p>
        </w:tc>
      </w:tr>
      <w:tr w:rsidR="007F373F">
        <w:trPr>
          <w:jc w:val="center"/>
        </w:trPr>
        <w:tc>
          <w:tcPr>
            <w:tcW w:w="3589" w:type="dxa"/>
          </w:tcPr>
          <w:p w:rsidR="007F373F" w:rsidRDefault="00000000">
            <w:pPr>
              <w:spacing w:after="0"/>
              <w:jc w:val="left"/>
            </w:pPr>
            <w:r>
              <w:rPr>
                <w:sz w:val="18"/>
              </w:rPr>
              <w:t>Total financial liabilities</w:t>
            </w:r>
          </w:p>
        </w:tc>
        <w:tc>
          <w:tcPr>
            <w:tcW w:w="1311" w:type="dxa"/>
          </w:tcPr>
          <w:p w:rsidR="007F373F" w:rsidRDefault="00000000">
            <w:pPr>
              <w:spacing w:after="0"/>
              <w:jc w:val="right"/>
            </w:pPr>
            <w:r>
              <w:rPr>
                <w:sz w:val="18"/>
              </w:rPr>
              <w:t>1,390,035</w:t>
            </w:r>
          </w:p>
        </w:tc>
        <w:tc>
          <w:tcPr>
            <w:tcW w:w="1311" w:type="dxa"/>
          </w:tcPr>
          <w:p w:rsidR="007F373F" w:rsidRDefault="00000000">
            <w:pPr>
              <w:spacing w:after="0"/>
              <w:jc w:val="right"/>
            </w:pPr>
            <w:r>
              <w:rPr>
                <w:sz w:val="18"/>
              </w:rPr>
              <w:t>1,065,102</w:t>
            </w:r>
          </w:p>
        </w:tc>
        <w:tc>
          <w:tcPr>
            <w:tcW w:w="1104" w:type="dxa"/>
          </w:tcPr>
          <w:p w:rsidR="007F373F" w:rsidRDefault="00000000">
            <w:pPr>
              <w:spacing w:after="0"/>
              <w:jc w:val="right"/>
            </w:pPr>
            <w:r>
              <w:rPr>
                <w:sz w:val="18"/>
              </w:rPr>
              <w:t>+30.5%</w:t>
            </w:r>
          </w:p>
        </w:tc>
        <w:tc>
          <w:tcPr>
            <w:tcW w:w="1242" w:type="dxa"/>
          </w:tcPr>
          <w:p w:rsidR="007F373F" w:rsidRDefault="00000000">
            <w:pPr>
              <w:spacing w:after="0"/>
              <w:jc w:val="right"/>
            </w:pPr>
            <w:r>
              <w:rPr>
                <w:sz w:val="18"/>
              </w:rPr>
              <w:t>82.4%</w:t>
            </w:r>
          </w:p>
        </w:tc>
        <w:tc>
          <w:tcPr>
            <w:tcW w:w="1173" w:type="dxa"/>
          </w:tcPr>
          <w:p w:rsidR="007F373F" w:rsidRDefault="00000000">
            <w:pPr>
              <w:spacing w:after="0"/>
              <w:jc w:val="right"/>
            </w:pPr>
            <w:r>
              <w:rPr>
                <w:sz w:val="18"/>
              </w:rPr>
              <w:t>80.4%</w:t>
            </w:r>
          </w:p>
        </w:tc>
      </w:tr>
      <w:tr w:rsidR="007F373F">
        <w:trPr>
          <w:jc w:val="center"/>
        </w:trPr>
        <w:tc>
          <w:tcPr>
            <w:tcW w:w="3589" w:type="dxa"/>
          </w:tcPr>
          <w:p w:rsidR="007F373F" w:rsidRDefault="00000000">
            <w:pPr>
              <w:spacing w:after="0"/>
              <w:jc w:val="left"/>
            </w:pPr>
            <w:r>
              <w:rPr>
                <w:sz w:val="18"/>
              </w:rPr>
              <w:t>Non-financial liabilities</w:t>
            </w:r>
          </w:p>
        </w:tc>
        <w:tc>
          <w:tcPr>
            <w:tcW w:w="1311" w:type="dxa"/>
          </w:tcPr>
          <w:p w:rsidR="007F373F" w:rsidRDefault="00000000">
            <w:pPr>
              <w:spacing w:after="0"/>
              <w:jc w:val="right"/>
            </w:pPr>
            <w:r>
              <w:rPr>
                <w:sz w:val="18"/>
              </w:rPr>
              <w:t>4,833</w:t>
            </w:r>
          </w:p>
        </w:tc>
        <w:tc>
          <w:tcPr>
            <w:tcW w:w="1311" w:type="dxa"/>
          </w:tcPr>
          <w:p w:rsidR="007F373F" w:rsidRDefault="00000000">
            <w:pPr>
              <w:spacing w:after="0"/>
              <w:jc w:val="right"/>
            </w:pPr>
            <w:r>
              <w:rPr>
                <w:sz w:val="18"/>
              </w:rPr>
              <w:t>5,132</w:t>
            </w:r>
          </w:p>
        </w:tc>
        <w:tc>
          <w:tcPr>
            <w:tcW w:w="1104" w:type="dxa"/>
          </w:tcPr>
          <w:p w:rsidR="007F373F" w:rsidRDefault="00000000">
            <w:pPr>
              <w:spacing w:after="0"/>
              <w:jc w:val="right"/>
            </w:pPr>
            <w:r>
              <w:rPr>
                <w:sz w:val="18"/>
              </w:rPr>
              <w:t>-5.8%</w:t>
            </w:r>
          </w:p>
        </w:tc>
        <w:tc>
          <w:tcPr>
            <w:tcW w:w="1242" w:type="dxa"/>
          </w:tcPr>
          <w:p w:rsidR="007F373F" w:rsidRDefault="00000000">
            <w:pPr>
              <w:spacing w:after="0"/>
              <w:jc w:val="right"/>
            </w:pPr>
            <w:r>
              <w:rPr>
                <w:sz w:val="18"/>
              </w:rPr>
              <w:t>0.3%</w:t>
            </w:r>
          </w:p>
        </w:tc>
        <w:tc>
          <w:tcPr>
            <w:tcW w:w="1173" w:type="dxa"/>
          </w:tcPr>
          <w:p w:rsidR="007F373F" w:rsidRDefault="00000000">
            <w:pPr>
              <w:spacing w:after="0"/>
              <w:jc w:val="right"/>
            </w:pPr>
            <w:r>
              <w:rPr>
                <w:sz w:val="18"/>
              </w:rPr>
              <w:t>0.4%</w:t>
            </w:r>
          </w:p>
        </w:tc>
      </w:tr>
      <w:tr w:rsidR="007F373F">
        <w:trPr>
          <w:jc w:val="center"/>
        </w:trPr>
        <w:tc>
          <w:tcPr>
            <w:tcW w:w="3589" w:type="dxa"/>
          </w:tcPr>
          <w:p w:rsidR="007F373F" w:rsidRDefault="00000000">
            <w:pPr>
              <w:spacing w:after="0"/>
              <w:jc w:val="left"/>
            </w:pPr>
            <w:r>
              <w:rPr>
                <w:sz w:val="18"/>
              </w:rPr>
              <w:t>Equity share capital</w:t>
            </w:r>
          </w:p>
        </w:tc>
        <w:tc>
          <w:tcPr>
            <w:tcW w:w="1311" w:type="dxa"/>
          </w:tcPr>
          <w:p w:rsidR="007F373F" w:rsidRDefault="00000000">
            <w:pPr>
              <w:spacing w:after="0"/>
              <w:jc w:val="right"/>
            </w:pPr>
            <w:r>
              <w:rPr>
                <w:sz w:val="18"/>
              </w:rPr>
              <w:t>37,421</w:t>
            </w:r>
          </w:p>
        </w:tc>
        <w:tc>
          <w:tcPr>
            <w:tcW w:w="1311" w:type="dxa"/>
          </w:tcPr>
          <w:p w:rsidR="007F373F" w:rsidRDefault="00000000">
            <w:pPr>
              <w:spacing w:after="0"/>
              <w:jc w:val="right"/>
            </w:pPr>
            <w:r>
              <w:rPr>
                <w:sz w:val="18"/>
              </w:rPr>
              <w:t>37,272</w:t>
            </w:r>
          </w:p>
        </w:tc>
        <w:tc>
          <w:tcPr>
            <w:tcW w:w="1104" w:type="dxa"/>
          </w:tcPr>
          <w:p w:rsidR="007F373F" w:rsidRDefault="00000000">
            <w:pPr>
              <w:spacing w:after="0"/>
              <w:jc w:val="right"/>
            </w:pPr>
            <w:r>
              <w:rPr>
                <w:sz w:val="18"/>
              </w:rPr>
              <w:t>+0.4%</w:t>
            </w:r>
          </w:p>
        </w:tc>
        <w:tc>
          <w:tcPr>
            <w:tcW w:w="1242" w:type="dxa"/>
          </w:tcPr>
          <w:p w:rsidR="007F373F" w:rsidRDefault="00000000">
            <w:pPr>
              <w:spacing w:after="0"/>
              <w:jc w:val="right"/>
            </w:pPr>
            <w:r>
              <w:rPr>
                <w:sz w:val="18"/>
              </w:rPr>
              <w:t>2.2%</w:t>
            </w:r>
          </w:p>
        </w:tc>
        <w:tc>
          <w:tcPr>
            <w:tcW w:w="1173" w:type="dxa"/>
          </w:tcPr>
          <w:p w:rsidR="007F373F" w:rsidRDefault="00000000">
            <w:pPr>
              <w:spacing w:after="0"/>
              <w:jc w:val="right"/>
            </w:pPr>
            <w:r>
              <w:rPr>
                <w:sz w:val="18"/>
              </w:rPr>
              <w:t>2.8%</w:t>
            </w:r>
          </w:p>
        </w:tc>
      </w:tr>
      <w:tr w:rsidR="007F373F">
        <w:trPr>
          <w:jc w:val="center"/>
        </w:trPr>
        <w:tc>
          <w:tcPr>
            <w:tcW w:w="3589" w:type="dxa"/>
          </w:tcPr>
          <w:p w:rsidR="007F373F" w:rsidRDefault="00000000">
            <w:pPr>
              <w:spacing w:after="0"/>
              <w:jc w:val="left"/>
            </w:pPr>
            <w:r>
              <w:rPr>
                <w:sz w:val="18"/>
              </w:rPr>
              <w:t>Other equity</w:t>
            </w:r>
          </w:p>
        </w:tc>
        <w:tc>
          <w:tcPr>
            <w:tcW w:w="1311" w:type="dxa"/>
          </w:tcPr>
          <w:p w:rsidR="007F373F" w:rsidRDefault="00000000">
            <w:pPr>
              <w:spacing w:after="0"/>
              <w:jc w:val="right"/>
            </w:pPr>
            <w:r>
              <w:rPr>
                <w:sz w:val="18"/>
              </w:rPr>
              <w:t>255,189</w:t>
            </w:r>
          </w:p>
        </w:tc>
        <w:tc>
          <w:tcPr>
            <w:tcW w:w="1311" w:type="dxa"/>
          </w:tcPr>
          <w:p w:rsidR="007F373F" w:rsidRDefault="00000000">
            <w:pPr>
              <w:spacing w:after="0"/>
              <w:jc w:val="right"/>
            </w:pPr>
            <w:r>
              <w:rPr>
                <w:sz w:val="18"/>
              </w:rPr>
              <w:t>217,464</w:t>
            </w:r>
          </w:p>
        </w:tc>
        <w:tc>
          <w:tcPr>
            <w:tcW w:w="1104" w:type="dxa"/>
          </w:tcPr>
          <w:p w:rsidR="007F373F" w:rsidRDefault="00000000">
            <w:pPr>
              <w:spacing w:after="0"/>
              <w:jc w:val="right"/>
            </w:pPr>
            <w:r>
              <w:rPr>
                <w:sz w:val="18"/>
              </w:rPr>
              <w:t>+17.3%</w:t>
            </w:r>
          </w:p>
        </w:tc>
        <w:tc>
          <w:tcPr>
            <w:tcW w:w="1242" w:type="dxa"/>
          </w:tcPr>
          <w:p w:rsidR="007F373F" w:rsidRDefault="00000000">
            <w:pPr>
              <w:spacing w:after="0"/>
              <w:jc w:val="right"/>
            </w:pPr>
            <w:r>
              <w:rPr>
                <w:sz w:val="18"/>
              </w:rPr>
              <w:t>15.1%</w:t>
            </w:r>
          </w:p>
        </w:tc>
        <w:tc>
          <w:tcPr>
            <w:tcW w:w="1173" w:type="dxa"/>
          </w:tcPr>
          <w:p w:rsidR="007F373F" w:rsidRDefault="00000000">
            <w:pPr>
              <w:spacing w:after="0"/>
              <w:jc w:val="right"/>
            </w:pPr>
            <w:r>
              <w:rPr>
                <w:sz w:val="18"/>
              </w:rPr>
              <w:t>16.4%</w:t>
            </w:r>
          </w:p>
        </w:tc>
      </w:tr>
      <w:tr w:rsidR="007F373F">
        <w:trPr>
          <w:jc w:val="center"/>
        </w:trPr>
        <w:tc>
          <w:tcPr>
            <w:tcW w:w="3589" w:type="dxa"/>
          </w:tcPr>
          <w:p w:rsidR="007F373F" w:rsidRDefault="00000000">
            <w:pPr>
              <w:spacing w:after="0"/>
              <w:jc w:val="left"/>
            </w:pPr>
            <w:r>
              <w:rPr>
                <w:sz w:val="18"/>
              </w:rPr>
              <w:t>TOTAL EQUITY</w:t>
            </w:r>
          </w:p>
        </w:tc>
        <w:tc>
          <w:tcPr>
            <w:tcW w:w="1311" w:type="dxa"/>
          </w:tcPr>
          <w:p w:rsidR="007F373F" w:rsidRDefault="00000000">
            <w:pPr>
              <w:spacing w:after="0"/>
              <w:jc w:val="right"/>
            </w:pPr>
            <w:r>
              <w:rPr>
                <w:sz w:val="18"/>
              </w:rPr>
              <w:t>292,610</w:t>
            </w:r>
          </w:p>
        </w:tc>
        <w:tc>
          <w:tcPr>
            <w:tcW w:w="1311" w:type="dxa"/>
          </w:tcPr>
          <w:p w:rsidR="007F373F" w:rsidRDefault="00000000">
            <w:pPr>
              <w:spacing w:after="0"/>
              <w:jc w:val="right"/>
            </w:pPr>
            <w:r>
              <w:rPr>
                <w:sz w:val="18"/>
              </w:rPr>
              <w:t>254,736</w:t>
            </w:r>
          </w:p>
        </w:tc>
        <w:tc>
          <w:tcPr>
            <w:tcW w:w="1104" w:type="dxa"/>
          </w:tcPr>
          <w:p w:rsidR="007F373F" w:rsidRDefault="00000000">
            <w:pPr>
              <w:spacing w:after="0"/>
              <w:jc w:val="right"/>
            </w:pPr>
            <w:r>
              <w:rPr>
                <w:sz w:val="18"/>
              </w:rPr>
              <w:t>+14.9%</w:t>
            </w:r>
          </w:p>
        </w:tc>
        <w:tc>
          <w:tcPr>
            <w:tcW w:w="1242" w:type="dxa"/>
          </w:tcPr>
          <w:p w:rsidR="007F373F" w:rsidRDefault="00000000">
            <w:pPr>
              <w:spacing w:after="0"/>
              <w:jc w:val="right"/>
            </w:pPr>
            <w:r>
              <w:rPr>
                <w:sz w:val="18"/>
              </w:rPr>
              <w:t>17.3%</w:t>
            </w:r>
          </w:p>
        </w:tc>
        <w:tc>
          <w:tcPr>
            <w:tcW w:w="1173" w:type="dxa"/>
          </w:tcPr>
          <w:p w:rsidR="007F373F" w:rsidRDefault="00000000">
            <w:pPr>
              <w:spacing w:after="0"/>
              <w:jc w:val="right"/>
            </w:pPr>
            <w:r>
              <w:rPr>
                <w:sz w:val="18"/>
              </w:rPr>
              <w:t>19.2%</w:t>
            </w:r>
          </w:p>
        </w:tc>
      </w:tr>
    </w:tbl>
    <w:p w:rsidR="007F373F" w:rsidRDefault="00000000">
      <w:pPr>
        <w:spacing w:before="40" w:after="80"/>
      </w:pPr>
      <w:r>
        <w:rPr>
          <w:i/>
          <w:sz w:val="18"/>
        </w:rPr>
        <w:t>Source: Fedfina Annual Report 2025-26, Balance Sheet; common-size percentages derived. Receivables line combines trade and other receivables; other non-financial assets include current tax and deferred tax assets.</w:t>
      </w:r>
    </w:p>
    <w:p w:rsidR="007F373F" w:rsidRDefault="00000000">
      <w:r>
        <w:t>Interpretation. The balance sheet grew 27.4% to ₹16,875 crore. Loans are 84.9% of assets (FY25: 87.9%); the slight fall reflects an 85% increase in cash and cash equivalents to ₹1,340 crore, as the company carried more liquidity at year-end after the March 2026 NCD and ECB draw-downs. Derivative assets of ₹215 crore are the mark-to-market of cross-currency swaps hedging the ECB programme (notional ₹2,446 crore) – they are matched by the rupee value of the hedged borrowings, not a speculative position. On the liability side, borrowings of all types were 79.9% of total assets and equity 17.3% (FY25: 19.2%) – the arithmetic of rising leverage. Debt securities more than tripled (CP ₹1,164 crore and new NCDs) and subordinated liabilities nearly doubled with the ₹450 crore Tier II issue. Right-of-use assets (₹174 crore) and lease liabilities (₹191 crore) reflect the leased branch network. The equity base of ₹2,926 crore comprises ₹374 crore of share capital and ₹2,552 crore of reserves; no goodwill or intangible of significance exists, so book value is tangible book value.</w:t>
      </w:r>
    </w:p>
    <w:p w:rsidR="007F373F" w:rsidRDefault="00000000">
      <w:pPr>
        <w:pStyle w:val="Heading1"/>
        <w:pageBreakBefore/>
      </w:pPr>
      <w:r>
        <w:lastRenderedPageBreak/>
        <w:t>Funding Profile and Liability Management</w:t>
      </w:r>
    </w:p>
    <w:p w:rsidR="007F373F" w:rsidRDefault="00000000">
      <w:pPr>
        <w:spacing w:after="0"/>
        <w:jc w:val="center"/>
      </w:pPr>
      <w:r>
        <w:rPr>
          <w:noProof/>
        </w:rPr>
        <w:drawing>
          <wp:inline distT="0" distB="0" distL="0" distR="0">
            <wp:extent cx="5120640" cy="20948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row.png"/>
                    <pic:cNvPicPr/>
                  </pic:nvPicPr>
                  <pic:blipFill>
                    <a:blip r:embed="rId20"/>
                    <a:stretch>
                      <a:fillRect/>
                    </a:stretch>
                  </pic:blipFill>
                  <pic:spPr>
                    <a:xfrm>
                      <a:off x="0" y="0"/>
                      <a:ext cx="5120640" cy="2094807"/>
                    </a:xfrm>
                    <a:prstGeom prst="rect">
                      <a:avLst/>
                    </a:prstGeom>
                  </pic:spPr>
                </pic:pic>
              </a:graphicData>
            </a:graphic>
          </wp:inline>
        </w:drawing>
      </w:r>
    </w:p>
    <w:p w:rsidR="007F373F" w:rsidRDefault="00000000">
      <w:pPr>
        <w:spacing w:after="80"/>
        <w:jc w:val="center"/>
      </w:pPr>
      <w:r>
        <w:rPr>
          <w:i/>
          <w:sz w:val="18"/>
        </w:rPr>
        <w:t>Figure 8 – Borrowings by instrument, 31 March 2026. Source: Fedfina Annual Report 2025-26, notes 16, 17 and 18 (carrying amounts).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865"/>
        <w:gridCol w:w="1380"/>
        <w:gridCol w:w="897"/>
        <w:gridCol w:w="1380"/>
        <w:gridCol w:w="897"/>
        <w:gridCol w:w="1311"/>
      </w:tblGrid>
      <w:tr w:rsidR="007F373F">
        <w:trPr>
          <w:jc w:val="center"/>
        </w:trPr>
        <w:tc>
          <w:tcPr>
            <w:tcW w:w="3865" w:type="dxa"/>
          </w:tcPr>
          <w:p w:rsidR="007F373F" w:rsidRDefault="00000000">
            <w:pPr>
              <w:spacing w:after="0"/>
              <w:jc w:val="left"/>
            </w:pPr>
            <w:r>
              <w:rPr>
                <w:b/>
                <w:sz w:val="19"/>
              </w:rPr>
              <w:t>Borrowing instrument (₹ lakh)</w:t>
            </w:r>
          </w:p>
        </w:tc>
        <w:tc>
          <w:tcPr>
            <w:tcW w:w="1380" w:type="dxa"/>
          </w:tcPr>
          <w:p w:rsidR="007F373F" w:rsidRDefault="00000000">
            <w:pPr>
              <w:spacing w:after="0"/>
              <w:jc w:val="left"/>
            </w:pPr>
            <w:r>
              <w:rPr>
                <w:b/>
                <w:sz w:val="19"/>
              </w:rPr>
              <w:t>31 Mar 2026</w:t>
            </w:r>
          </w:p>
        </w:tc>
        <w:tc>
          <w:tcPr>
            <w:tcW w:w="897" w:type="dxa"/>
          </w:tcPr>
          <w:p w:rsidR="007F373F" w:rsidRDefault="00000000">
            <w:pPr>
              <w:spacing w:after="0"/>
              <w:jc w:val="left"/>
            </w:pPr>
            <w:r>
              <w:rPr>
                <w:b/>
                <w:sz w:val="19"/>
              </w:rPr>
              <w:t>Share</w:t>
            </w:r>
          </w:p>
        </w:tc>
        <w:tc>
          <w:tcPr>
            <w:tcW w:w="1380" w:type="dxa"/>
          </w:tcPr>
          <w:p w:rsidR="007F373F" w:rsidRDefault="00000000">
            <w:pPr>
              <w:spacing w:after="0"/>
              <w:jc w:val="left"/>
            </w:pPr>
            <w:r>
              <w:rPr>
                <w:b/>
                <w:sz w:val="19"/>
              </w:rPr>
              <w:t>31 Mar 2025</w:t>
            </w:r>
          </w:p>
        </w:tc>
        <w:tc>
          <w:tcPr>
            <w:tcW w:w="897" w:type="dxa"/>
          </w:tcPr>
          <w:p w:rsidR="007F373F" w:rsidRDefault="00000000">
            <w:pPr>
              <w:spacing w:after="0"/>
              <w:jc w:val="left"/>
            </w:pPr>
            <w:r>
              <w:rPr>
                <w:b/>
                <w:sz w:val="19"/>
              </w:rPr>
              <w:t>Share</w:t>
            </w:r>
          </w:p>
        </w:tc>
        <w:tc>
          <w:tcPr>
            <w:tcW w:w="1311" w:type="dxa"/>
          </w:tcPr>
          <w:p w:rsidR="007F373F" w:rsidRDefault="00000000">
            <w:pPr>
              <w:spacing w:after="0"/>
              <w:jc w:val="left"/>
            </w:pPr>
            <w:r>
              <w:rPr>
                <w:b/>
                <w:sz w:val="19"/>
              </w:rPr>
              <w:t>Change</w:t>
            </w:r>
          </w:p>
        </w:tc>
      </w:tr>
      <w:tr w:rsidR="007F373F">
        <w:trPr>
          <w:jc w:val="center"/>
        </w:trPr>
        <w:tc>
          <w:tcPr>
            <w:tcW w:w="3865" w:type="dxa"/>
          </w:tcPr>
          <w:p w:rsidR="007F373F" w:rsidRDefault="00000000">
            <w:pPr>
              <w:spacing w:after="0"/>
              <w:jc w:val="left"/>
            </w:pPr>
            <w:r>
              <w:rPr>
                <w:sz w:val="19"/>
              </w:rPr>
              <w:t>Term loans from banks (other than related party)</w:t>
            </w:r>
          </w:p>
        </w:tc>
        <w:tc>
          <w:tcPr>
            <w:tcW w:w="1380" w:type="dxa"/>
          </w:tcPr>
          <w:p w:rsidR="007F373F" w:rsidRDefault="00000000">
            <w:pPr>
              <w:spacing w:after="0"/>
              <w:jc w:val="right"/>
            </w:pPr>
            <w:r>
              <w:rPr>
                <w:sz w:val="19"/>
              </w:rPr>
              <w:t>568,211</w:t>
            </w:r>
          </w:p>
        </w:tc>
        <w:tc>
          <w:tcPr>
            <w:tcW w:w="897" w:type="dxa"/>
          </w:tcPr>
          <w:p w:rsidR="007F373F" w:rsidRDefault="00000000">
            <w:pPr>
              <w:spacing w:after="0"/>
              <w:jc w:val="right"/>
            </w:pPr>
            <w:r>
              <w:rPr>
                <w:sz w:val="19"/>
              </w:rPr>
              <w:t>42.1%</w:t>
            </w:r>
          </w:p>
        </w:tc>
        <w:tc>
          <w:tcPr>
            <w:tcW w:w="1380" w:type="dxa"/>
          </w:tcPr>
          <w:p w:rsidR="007F373F" w:rsidRDefault="00000000">
            <w:pPr>
              <w:spacing w:after="0"/>
              <w:jc w:val="right"/>
            </w:pPr>
            <w:r>
              <w:rPr>
                <w:sz w:val="19"/>
              </w:rPr>
              <w:t>563,264</w:t>
            </w:r>
          </w:p>
        </w:tc>
        <w:tc>
          <w:tcPr>
            <w:tcW w:w="897" w:type="dxa"/>
          </w:tcPr>
          <w:p w:rsidR="007F373F" w:rsidRDefault="00000000">
            <w:pPr>
              <w:spacing w:after="0"/>
              <w:jc w:val="right"/>
            </w:pPr>
            <w:r>
              <w:rPr>
                <w:sz w:val="19"/>
              </w:rPr>
              <w:t>54.9%</w:t>
            </w:r>
          </w:p>
        </w:tc>
        <w:tc>
          <w:tcPr>
            <w:tcW w:w="1311" w:type="dxa"/>
          </w:tcPr>
          <w:p w:rsidR="007F373F" w:rsidRDefault="00000000">
            <w:pPr>
              <w:spacing w:after="0"/>
              <w:jc w:val="right"/>
            </w:pPr>
            <w:r>
              <w:rPr>
                <w:sz w:val="19"/>
              </w:rPr>
              <w:t>+1%</w:t>
            </w:r>
          </w:p>
        </w:tc>
      </w:tr>
      <w:tr w:rsidR="007F373F">
        <w:trPr>
          <w:jc w:val="center"/>
        </w:trPr>
        <w:tc>
          <w:tcPr>
            <w:tcW w:w="3865" w:type="dxa"/>
          </w:tcPr>
          <w:p w:rsidR="007F373F" w:rsidRDefault="00000000">
            <w:pPr>
              <w:spacing w:after="0"/>
              <w:jc w:val="left"/>
            </w:pPr>
            <w:r>
              <w:rPr>
                <w:sz w:val="19"/>
              </w:rPr>
              <w:t>Term loan from related party (Federal Bank)</w:t>
            </w:r>
          </w:p>
        </w:tc>
        <w:tc>
          <w:tcPr>
            <w:tcW w:w="1380" w:type="dxa"/>
          </w:tcPr>
          <w:p w:rsidR="007F373F" w:rsidRDefault="00000000">
            <w:pPr>
              <w:spacing w:after="0"/>
              <w:jc w:val="right"/>
            </w:pPr>
            <w:r>
              <w:rPr>
                <w:sz w:val="19"/>
              </w:rPr>
              <w:t>106,413</w:t>
            </w:r>
          </w:p>
        </w:tc>
        <w:tc>
          <w:tcPr>
            <w:tcW w:w="897" w:type="dxa"/>
          </w:tcPr>
          <w:p w:rsidR="007F373F" w:rsidRDefault="00000000">
            <w:pPr>
              <w:spacing w:after="0"/>
              <w:jc w:val="right"/>
            </w:pPr>
            <w:r>
              <w:rPr>
                <w:sz w:val="19"/>
              </w:rPr>
              <w:t>7.9%</w:t>
            </w:r>
          </w:p>
        </w:tc>
        <w:tc>
          <w:tcPr>
            <w:tcW w:w="1380" w:type="dxa"/>
          </w:tcPr>
          <w:p w:rsidR="007F373F" w:rsidRDefault="00000000">
            <w:pPr>
              <w:spacing w:after="0"/>
              <w:jc w:val="right"/>
            </w:pPr>
            <w:r>
              <w:rPr>
                <w:sz w:val="19"/>
              </w:rPr>
              <w:t>102,963</w:t>
            </w:r>
          </w:p>
        </w:tc>
        <w:tc>
          <w:tcPr>
            <w:tcW w:w="897" w:type="dxa"/>
          </w:tcPr>
          <w:p w:rsidR="007F373F" w:rsidRDefault="00000000">
            <w:pPr>
              <w:spacing w:after="0"/>
              <w:jc w:val="right"/>
            </w:pPr>
            <w:r>
              <w:rPr>
                <w:sz w:val="19"/>
              </w:rPr>
              <w:t>10.0%</w:t>
            </w:r>
          </w:p>
        </w:tc>
        <w:tc>
          <w:tcPr>
            <w:tcW w:w="1311" w:type="dxa"/>
          </w:tcPr>
          <w:p w:rsidR="007F373F" w:rsidRDefault="00000000">
            <w:pPr>
              <w:spacing w:after="0"/>
              <w:jc w:val="right"/>
            </w:pPr>
            <w:r>
              <w:rPr>
                <w:sz w:val="19"/>
              </w:rPr>
              <w:t>+3%</w:t>
            </w:r>
          </w:p>
        </w:tc>
      </w:tr>
      <w:tr w:rsidR="007F373F">
        <w:trPr>
          <w:jc w:val="center"/>
        </w:trPr>
        <w:tc>
          <w:tcPr>
            <w:tcW w:w="3865" w:type="dxa"/>
          </w:tcPr>
          <w:p w:rsidR="007F373F" w:rsidRDefault="00000000">
            <w:pPr>
              <w:spacing w:after="0"/>
              <w:jc w:val="left"/>
            </w:pPr>
            <w:r>
              <w:rPr>
                <w:sz w:val="19"/>
              </w:rPr>
              <w:t>External commercial borrowings (ECB)</w:t>
            </w:r>
          </w:p>
        </w:tc>
        <w:tc>
          <w:tcPr>
            <w:tcW w:w="1380" w:type="dxa"/>
          </w:tcPr>
          <w:p w:rsidR="007F373F" w:rsidRDefault="00000000">
            <w:pPr>
              <w:spacing w:after="0"/>
              <w:jc w:val="right"/>
            </w:pPr>
            <w:r>
              <w:rPr>
                <w:sz w:val="19"/>
              </w:rPr>
              <w:t>238,236</w:t>
            </w:r>
          </w:p>
        </w:tc>
        <w:tc>
          <w:tcPr>
            <w:tcW w:w="897" w:type="dxa"/>
          </w:tcPr>
          <w:p w:rsidR="007F373F" w:rsidRDefault="00000000">
            <w:pPr>
              <w:spacing w:after="0"/>
              <w:jc w:val="right"/>
            </w:pPr>
            <w:r>
              <w:rPr>
                <w:sz w:val="19"/>
              </w:rPr>
              <w:t>17.7%</w:t>
            </w:r>
          </w:p>
        </w:tc>
        <w:tc>
          <w:tcPr>
            <w:tcW w:w="1380" w:type="dxa"/>
          </w:tcPr>
          <w:p w:rsidR="007F373F" w:rsidRDefault="00000000">
            <w:pPr>
              <w:spacing w:after="0"/>
              <w:jc w:val="right"/>
            </w:pPr>
            <w:r>
              <w:rPr>
                <w:sz w:val="19"/>
              </w:rPr>
              <w:t>25,669</w:t>
            </w:r>
          </w:p>
        </w:tc>
        <w:tc>
          <w:tcPr>
            <w:tcW w:w="897" w:type="dxa"/>
          </w:tcPr>
          <w:p w:rsidR="007F373F" w:rsidRDefault="00000000">
            <w:pPr>
              <w:spacing w:after="0"/>
              <w:jc w:val="right"/>
            </w:pPr>
            <w:r>
              <w:rPr>
                <w:sz w:val="19"/>
              </w:rPr>
              <w:t>2.5%</w:t>
            </w:r>
          </w:p>
        </w:tc>
        <w:tc>
          <w:tcPr>
            <w:tcW w:w="1311" w:type="dxa"/>
          </w:tcPr>
          <w:p w:rsidR="007F373F" w:rsidRDefault="00000000">
            <w:pPr>
              <w:spacing w:after="0"/>
              <w:jc w:val="right"/>
            </w:pPr>
            <w:r>
              <w:rPr>
                <w:sz w:val="19"/>
              </w:rPr>
              <w:t>+828%</w:t>
            </w:r>
          </w:p>
        </w:tc>
      </w:tr>
      <w:tr w:rsidR="007F373F">
        <w:trPr>
          <w:jc w:val="center"/>
        </w:trPr>
        <w:tc>
          <w:tcPr>
            <w:tcW w:w="3865" w:type="dxa"/>
          </w:tcPr>
          <w:p w:rsidR="007F373F" w:rsidRDefault="00000000">
            <w:pPr>
              <w:spacing w:after="0"/>
              <w:jc w:val="left"/>
            </w:pPr>
            <w:r>
              <w:rPr>
                <w:sz w:val="19"/>
              </w:rPr>
              <w:t>Term loans from other parties (FIs)</w:t>
            </w:r>
          </w:p>
        </w:tc>
        <w:tc>
          <w:tcPr>
            <w:tcW w:w="1380" w:type="dxa"/>
          </w:tcPr>
          <w:p w:rsidR="007F373F" w:rsidRDefault="00000000">
            <w:pPr>
              <w:spacing w:after="0"/>
              <w:jc w:val="right"/>
            </w:pPr>
            <w:r>
              <w:rPr>
                <w:sz w:val="19"/>
              </w:rPr>
              <w:t>86,557</w:t>
            </w:r>
          </w:p>
        </w:tc>
        <w:tc>
          <w:tcPr>
            <w:tcW w:w="897" w:type="dxa"/>
          </w:tcPr>
          <w:p w:rsidR="007F373F" w:rsidRDefault="00000000">
            <w:pPr>
              <w:spacing w:after="0"/>
              <w:jc w:val="right"/>
            </w:pPr>
            <w:r>
              <w:rPr>
                <w:sz w:val="19"/>
              </w:rPr>
              <w:t>6.4%</w:t>
            </w:r>
          </w:p>
        </w:tc>
        <w:tc>
          <w:tcPr>
            <w:tcW w:w="1380" w:type="dxa"/>
          </w:tcPr>
          <w:p w:rsidR="007F373F" w:rsidRDefault="00000000">
            <w:pPr>
              <w:spacing w:after="0"/>
              <w:jc w:val="right"/>
            </w:pPr>
            <w:r>
              <w:rPr>
                <w:sz w:val="19"/>
              </w:rPr>
              <w:t>73,083</w:t>
            </w:r>
          </w:p>
        </w:tc>
        <w:tc>
          <w:tcPr>
            <w:tcW w:w="897" w:type="dxa"/>
          </w:tcPr>
          <w:p w:rsidR="007F373F" w:rsidRDefault="00000000">
            <w:pPr>
              <w:spacing w:after="0"/>
              <w:jc w:val="right"/>
            </w:pPr>
            <w:r>
              <w:rPr>
                <w:sz w:val="19"/>
              </w:rPr>
              <w:t>7.1%</w:t>
            </w:r>
          </w:p>
        </w:tc>
        <w:tc>
          <w:tcPr>
            <w:tcW w:w="1311" w:type="dxa"/>
          </w:tcPr>
          <w:p w:rsidR="007F373F" w:rsidRDefault="00000000">
            <w:pPr>
              <w:spacing w:after="0"/>
              <w:jc w:val="right"/>
            </w:pPr>
            <w:r>
              <w:rPr>
                <w:sz w:val="19"/>
              </w:rPr>
              <w:t>+18%</w:t>
            </w:r>
          </w:p>
        </w:tc>
      </w:tr>
      <w:tr w:rsidR="007F373F">
        <w:trPr>
          <w:jc w:val="center"/>
        </w:trPr>
        <w:tc>
          <w:tcPr>
            <w:tcW w:w="3865" w:type="dxa"/>
          </w:tcPr>
          <w:p w:rsidR="007F373F" w:rsidRDefault="00000000">
            <w:pPr>
              <w:spacing w:after="0"/>
              <w:jc w:val="left"/>
            </w:pPr>
            <w:r>
              <w:rPr>
                <w:sz w:val="19"/>
              </w:rPr>
              <w:t>Loans repayable on demand – banks</w:t>
            </w:r>
          </w:p>
        </w:tc>
        <w:tc>
          <w:tcPr>
            <w:tcW w:w="1380" w:type="dxa"/>
          </w:tcPr>
          <w:p w:rsidR="007F373F" w:rsidRDefault="00000000">
            <w:pPr>
              <w:spacing w:after="0"/>
              <w:jc w:val="right"/>
            </w:pPr>
            <w:r>
              <w:rPr>
                <w:sz w:val="19"/>
              </w:rPr>
              <w:t>78,330</w:t>
            </w:r>
          </w:p>
        </w:tc>
        <w:tc>
          <w:tcPr>
            <w:tcW w:w="897" w:type="dxa"/>
          </w:tcPr>
          <w:p w:rsidR="007F373F" w:rsidRDefault="00000000">
            <w:pPr>
              <w:spacing w:after="0"/>
              <w:jc w:val="right"/>
            </w:pPr>
            <w:r>
              <w:rPr>
                <w:sz w:val="19"/>
              </w:rPr>
              <w:t>5.8%</w:t>
            </w:r>
          </w:p>
        </w:tc>
        <w:tc>
          <w:tcPr>
            <w:tcW w:w="1380" w:type="dxa"/>
          </w:tcPr>
          <w:p w:rsidR="007F373F" w:rsidRDefault="00000000">
            <w:pPr>
              <w:spacing w:after="0"/>
              <w:jc w:val="right"/>
            </w:pPr>
            <w:r>
              <w:rPr>
                <w:sz w:val="19"/>
              </w:rPr>
              <w:t>158,254</w:t>
            </w:r>
          </w:p>
        </w:tc>
        <w:tc>
          <w:tcPr>
            <w:tcW w:w="897" w:type="dxa"/>
          </w:tcPr>
          <w:p w:rsidR="007F373F" w:rsidRDefault="00000000">
            <w:pPr>
              <w:spacing w:after="0"/>
              <w:jc w:val="right"/>
            </w:pPr>
            <w:r>
              <w:rPr>
                <w:sz w:val="19"/>
              </w:rPr>
              <w:t>15.4%</w:t>
            </w:r>
          </w:p>
        </w:tc>
        <w:tc>
          <w:tcPr>
            <w:tcW w:w="1311" w:type="dxa"/>
          </w:tcPr>
          <w:p w:rsidR="007F373F" w:rsidRDefault="00000000">
            <w:pPr>
              <w:spacing w:after="0"/>
              <w:jc w:val="right"/>
            </w:pPr>
            <w:r>
              <w:rPr>
                <w:sz w:val="19"/>
              </w:rPr>
              <w:t>-51%</w:t>
            </w:r>
          </w:p>
        </w:tc>
      </w:tr>
      <w:tr w:rsidR="007F373F">
        <w:trPr>
          <w:jc w:val="center"/>
        </w:trPr>
        <w:tc>
          <w:tcPr>
            <w:tcW w:w="3865" w:type="dxa"/>
          </w:tcPr>
          <w:p w:rsidR="007F373F" w:rsidRDefault="00000000">
            <w:pPr>
              <w:spacing w:after="0"/>
              <w:jc w:val="left"/>
            </w:pPr>
            <w:r>
              <w:rPr>
                <w:sz w:val="19"/>
              </w:rPr>
              <w:t>Loans repayable on demand – related party</w:t>
            </w:r>
          </w:p>
        </w:tc>
        <w:tc>
          <w:tcPr>
            <w:tcW w:w="1380" w:type="dxa"/>
          </w:tcPr>
          <w:p w:rsidR="007F373F" w:rsidRDefault="00000000">
            <w:pPr>
              <w:spacing w:after="0"/>
              <w:jc w:val="right"/>
            </w:pPr>
            <w:r>
              <w:rPr>
                <w:sz w:val="19"/>
              </w:rPr>
              <w:t>6,000</w:t>
            </w:r>
          </w:p>
        </w:tc>
        <w:tc>
          <w:tcPr>
            <w:tcW w:w="897" w:type="dxa"/>
          </w:tcPr>
          <w:p w:rsidR="007F373F" w:rsidRDefault="00000000">
            <w:pPr>
              <w:spacing w:after="0"/>
              <w:jc w:val="right"/>
            </w:pPr>
            <w:r>
              <w:rPr>
                <w:sz w:val="19"/>
              </w:rPr>
              <w:t>0.4%</w:t>
            </w:r>
          </w:p>
        </w:tc>
        <w:tc>
          <w:tcPr>
            <w:tcW w:w="1380" w:type="dxa"/>
          </w:tcPr>
          <w:p w:rsidR="007F373F" w:rsidRDefault="00000000">
            <w:pPr>
              <w:spacing w:after="0"/>
              <w:jc w:val="right"/>
            </w:pPr>
            <w:r>
              <w:rPr>
                <w:sz w:val="19"/>
              </w:rPr>
              <w:t>6,004</w:t>
            </w:r>
          </w:p>
        </w:tc>
        <w:tc>
          <w:tcPr>
            <w:tcW w:w="897" w:type="dxa"/>
          </w:tcPr>
          <w:p w:rsidR="007F373F" w:rsidRDefault="00000000">
            <w:pPr>
              <w:spacing w:after="0"/>
              <w:jc w:val="right"/>
            </w:pPr>
            <w:r>
              <w:rPr>
                <w:sz w:val="19"/>
              </w:rPr>
              <w:t>0.6%</w:t>
            </w:r>
          </w:p>
        </w:tc>
        <w:tc>
          <w:tcPr>
            <w:tcW w:w="1311" w:type="dxa"/>
          </w:tcPr>
          <w:p w:rsidR="007F373F" w:rsidRDefault="00000000">
            <w:pPr>
              <w:spacing w:after="0"/>
              <w:jc w:val="right"/>
            </w:pPr>
            <w:r>
              <w:rPr>
                <w:sz w:val="19"/>
              </w:rPr>
              <w:t>-0%</w:t>
            </w:r>
          </w:p>
        </w:tc>
      </w:tr>
      <w:tr w:rsidR="007F373F">
        <w:trPr>
          <w:jc w:val="center"/>
        </w:trPr>
        <w:tc>
          <w:tcPr>
            <w:tcW w:w="3865" w:type="dxa"/>
          </w:tcPr>
          <w:p w:rsidR="007F373F" w:rsidRDefault="00000000">
            <w:pPr>
              <w:spacing w:after="0"/>
              <w:jc w:val="left"/>
            </w:pPr>
            <w:r>
              <w:rPr>
                <w:sz w:val="19"/>
              </w:rPr>
              <w:t>Secured NCDs (carrying amount)</w:t>
            </w:r>
          </w:p>
        </w:tc>
        <w:tc>
          <w:tcPr>
            <w:tcW w:w="1380" w:type="dxa"/>
          </w:tcPr>
          <w:p w:rsidR="007F373F" w:rsidRDefault="00000000">
            <w:pPr>
              <w:spacing w:after="0"/>
              <w:jc w:val="right"/>
            </w:pPr>
            <w:r>
              <w:rPr>
                <w:sz w:val="19"/>
              </w:rPr>
              <w:t>56,588</w:t>
            </w:r>
          </w:p>
        </w:tc>
        <w:tc>
          <w:tcPr>
            <w:tcW w:w="897" w:type="dxa"/>
          </w:tcPr>
          <w:p w:rsidR="007F373F" w:rsidRDefault="00000000">
            <w:pPr>
              <w:spacing w:after="0"/>
              <w:jc w:val="right"/>
            </w:pPr>
            <w:r>
              <w:rPr>
                <w:sz w:val="19"/>
              </w:rPr>
              <w:t>4.2%</w:t>
            </w:r>
          </w:p>
        </w:tc>
        <w:tc>
          <w:tcPr>
            <w:tcW w:w="1380" w:type="dxa"/>
          </w:tcPr>
          <w:p w:rsidR="007F373F" w:rsidRDefault="00000000">
            <w:pPr>
              <w:spacing w:after="0"/>
              <w:jc w:val="right"/>
            </w:pPr>
            <w:r>
              <w:rPr>
                <w:sz w:val="19"/>
              </w:rPr>
              <w:t>40,144</w:t>
            </w:r>
          </w:p>
        </w:tc>
        <w:tc>
          <w:tcPr>
            <w:tcW w:w="897" w:type="dxa"/>
          </w:tcPr>
          <w:p w:rsidR="007F373F" w:rsidRDefault="00000000">
            <w:pPr>
              <w:spacing w:after="0"/>
              <w:jc w:val="right"/>
            </w:pPr>
            <w:r>
              <w:rPr>
                <w:sz w:val="19"/>
              </w:rPr>
              <w:t>3.9%</w:t>
            </w:r>
          </w:p>
        </w:tc>
        <w:tc>
          <w:tcPr>
            <w:tcW w:w="1311" w:type="dxa"/>
          </w:tcPr>
          <w:p w:rsidR="007F373F" w:rsidRDefault="00000000">
            <w:pPr>
              <w:spacing w:after="0"/>
              <w:jc w:val="right"/>
            </w:pPr>
            <w:r>
              <w:rPr>
                <w:sz w:val="19"/>
              </w:rPr>
              <w:t>+41%</w:t>
            </w:r>
          </w:p>
        </w:tc>
      </w:tr>
      <w:tr w:rsidR="007F373F">
        <w:trPr>
          <w:jc w:val="center"/>
        </w:trPr>
        <w:tc>
          <w:tcPr>
            <w:tcW w:w="3865" w:type="dxa"/>
          </w:tcPr>
          <w:p w:rsidR="007F373F" w:rsidRDefault="00000000">
            <w:pPr>
              <w:spacing w:after="0"/>
              <w:jc w:val="left"/>
            </w:pPr>
            <w:r>
              <w:rPr>
                <w:sz w:val="19"/>
              </w:rPr>
              <w:t>Commercial paper (net of discount)</w:t>
            </w:r>
          </w:p>
        </w:tc>
        <w:tc>
          <w:tcPr>
            <w:tcW w:w="1380" w:type="dxa"/>
          </w:tcPr>
          <w:p w:rsidR="007F373F" w:rsidRDefault="00000000">
            <w:pPr>
              <w:spacing w:after="0"/>
              <w:jc w:val="right"/>
            </w:pPr>
            <w:r>
              <w:rPr>
                <w:sz w:val="19"/>
              </w:rPr>
              <w:t>116,443</w:t>
            </w:r>
          </w:p>
        </w:tc>
        <w:tc>
          <w:tcPr>
            <w:tcW w:w="897" w:type="dxa"/>
          </w:tcPr>
          <w:p w:rsidR="007F373F" w:rsidRDefault="00000000">
            <w:pPr>
              <w:spacing w:after="0"/>
              <w:jc w:val="right"/>
            </w:pPr>
            <w:r>
              <w:rPr>
                <w:sz w:val="19"/>
              </w:rPr>
              <w:t>8.6%</w:t>
            </w:r>
          </w:p>
        </w:tc>
        <w:tc>
          <w:tcPr>
            <w:tcW w:w="1380" w:type="dxa"/>
          </w:tcPr>
          <w:p w:rsidR="007F373F" w:rsidRDefault="00000000">
            <w:pPr>
              <w:spacing w:after="0"/>
              <w:jc w:val="right"/>
            </w:pPr>
            <w:r>
              <w:rPr>
                <w:sz w:val="19"/>
              </w:rPr>
              <w:t>9,878</w:t>
            </w:r>
          </w:p>
        </w:tc>
        <w:tc>
          <w:tcPr>
            <w:tcW w:w="897" w:type="dxa"/>
          </w:tcPr>
          <w:p w:rsidR="007F373F" w:rsidRDefault="00000000">
            <w:pPr>
              <w:spacing w:after="0"/>
              <w:jc w:val="right"/>
            </w:pPr>
            <w:r>
              <w:rPr>
                <w:sz w:val="19"/>
              </w:rPr>
              <w:t>1.0%</w:t>
            </w:r>
          </w:p>
        </w:tc>
        <w:tc>
          <w:tcPr>
            <w:tcW w:w="1311" w:type="dxa"/>
          </w:tcPr>
          <w:p w:rsidR="007F373F" w:rsidRDefault="00000000">
            <w:pPr>
              <w:spacing w:after="0"/>
              <w:jc w:val="right"/>
            </w:pPr>
            <w:r>
              <w:rPr>
                <w:sz w:val="19"/>
              </w:rPr>
              <w:t>+1079%</w:t>
            </w:r>
          </w:p>
        </w:tc>
      </w:tr>
      <w:tr w:rsidR="007F373F">
        <w:trPr>
          <w:jc w:val="center"/>
        </w:trPr>
        <w:tc>
          <w:tcPr>
            <w:tcW w:w="3865" w:type="dxa"/>
          </w:tcPr>
          <w:p w:rsidR="007F373F" w:rsidRDefault="00000000">
            <w:pPr>
              <w:spacing w:after="0"/>
              <w:jc w:val="left"/>
            </w:pPr>
            <w:r>
              <w:rPr>
                <w:sz w:val="19"/>
              </w:rPr>
              <w:t>Subordinated NCDs – related party</w:t>
            </w:r>
          </w:p>
        </w:tc>
        <w:tc>
          <w:tcPr>
            <w:tcW w:w="1380" w:type="dxa"/>
          </w:tcPr>
          <w:p w:rsidR="007F373F" w:rsidRDefault="00000000">
            <w:pPr>
              <w:spacing w:after="0"/>
              <w:jc w:val="right"/>
            </w:pPr>
            <w:r>
              <w:rPr>
                <w:sz w:val="19"/>
              </w:rPr>
              <w:t>24,612</w:t>
            </w:r>
          </w:p>
        </w:tc>
        <w:tc>
          <w:tcPr>
            <w:tcW w:w="897" w:type="dxa"/>
          </w:tcPr>
          <w:p w:rsidR="007F373F" w:rsidRDefault="00000000">
            <w:pPr>
              <w:spacing w:after="0"/>
              <w:jc w:val="right"/>
            </w:pPr>
            <w:r>
              <w:rPr>
                <w:sz w:val="19"/>
              </w:rPr>
              <w:t>1.8%</w:t>
            </w:r>
          </w:p>
        </w:tc>
        <w:tc>
          <w:tcPr>
            <w:tcW w:w="1380" w:type="dxa"/>
          </w:tcPr>
          <w:p w:rsidR="007F373F" w:rsidRDefault="00000000">
            <w:pPr>
              <w:spacing w:after="0"/>
              <w:jc w:val="right"/>
            </w:pPr>
            <w:r>
              <w:rPr>
                <w:sz w:val="19"/>
              </w:rPr>
              <w:t>24,548</w:t>
            </w:r>
          </w:p>
        </w:tc>
        <w:tc>
          <w:tcPr>
            <w:tcW w:w="897" w:type="dxa"/>
          </w:tcPr>
          <w:p w:rsidR="007F373F" w:rsidRDefault="00000000">
            <w:pPr>
              <w:spacing w:after="0"/>
              <w:jc w:val="right"/>
            </w:pPr>
            <w:r>
              <w:rPr>
                <w:sz w:val="19"/>
              </w:rPr>
              <w:t>2.4%</w:t>
            </w:r>
          </w:p>
        </w:tc>
        <w:tc>
          <w:tcPr>
            <w:tcW w:w="1311" w:type="dxa"/>
          </w:tcPr>
          <w:p w:rsidR="007F373F" w:rsidRDefault="00000000">
            <w:pPr>
              <w:spacing w:after="0"/>
              <w:jc w:val="right"/>
            </w:pPr>
            <w:r>
              <w:rPr>
                <w:sz w:val="19"/>
              </w:rPr>
              <w:t>+0%</w:t>
            </w:r>
          </w:p>
        </w:tc>
      </w:tr>
      <w:tr w:rsidR="007F373F">
        <w:trPr>
          <w:jc w:val="center"/>
        </w:trPr>
        <w:tc>
          <w:tcPr>
            <w:tcW w:w="3865" w:type="dxa"/>
          </w:tcPr>
          <w:p w:rsidR="007F373F" w:rsidRDefault="00000000">
            <w:pPr>
              <w:spacing w:after="0"/>
              <w:jc w:val="left"/>
            </w:pPr>
            <w:r>
              <w:rPr>
                <w:sz w:val="19"/>
              </w:rPr>
              <w:t>Subordinated NCDs – others</w:t>
            </w:r>
          </w:p>
        </w:tc>
        <w:tc>
          <w:tcPr>
            <w:tcW w:w="1380" w:type="dxa"/>
          </w:tcPr>
          <w:p w:rsidR="007F373F" w:rsidRDefault="00000000">
            <w:pPr>
              <w:spacing w:after="0"/>
              <w:jc w:val="right"/>
            </w:pPr>
            <w:r>
              <w:rPr>
                <w:sz w:val="19"/>
              </w:rPr>
              <w:t>67,023</w:t>
            </w:r>
          </w:p>
        </w:tc>
        <w:tc>
          <w:tcPr>
            <w:tcW w:w="897" w:type="dxa"/>
          </w:tcPr>
          <w:p w:rsidR="007F373F" w:rsidRDefault="00000000">
            <w:pPr>
              <w:spacing w:after="0"/>
              <w:jc w:val="right"/>
            </w:pPr>
            <w:r>
              <w:rPr>
                <w:sz w:val="19"/>
              </w:rPr>
              <w:t>5.0%</w:t>
            </w:r>
          </w:p>
        </w:tc>
        <w:tc>
          <w:tcPr>
            <w:tcW w:w="1380" w:type="dxa"/>
          </w:tcPr>
          <w:p w:rsidR="007F373F" w:rsidRDefault="00000000">
            <w:pPr>
              <w:spacing w:after="0"/>
              <w:jc w:val="right"/>
            </w:pPr>
            <w:r>
              <w:rPr>
                <w:sz w:val="19"/>
              </w:rPr>
              <w:t>23,059</w:t>
            </w:r>
          </w:p>
        </w:tc>
        <w:tc>
          <w:tcPr>
            <w:tcW w:w="897" w:type="dxa"/>
          </w:tcPr>
          <w:p w:rsidR="007F373F" w:rsidRDefault="00000000">
            <w:pPr>
              <w:spacing w:after="0"/>
              <w:jc w:val="right"/>
            </w:pPr>
            <w:r>
              <w:rPr>
                <w:sz w:val="19"/>
              </w:rPr>
              <w:t>2.2%</w:t>
            </w:r>
          </w:p>
        </w:tc>
        <w:tc>
          <w:tcPr>
            <w:tcW w:w="1311" w:type="dxa"/>
          </w:tcPr>
          <w:p w:rsidR="007F373F" w:rsidRDefault="00000000">
            <w:pPr>
              <w:spacing w:after="0"/>
              <w:jc w:val="right"/>
            </w:pPr>
            <w:r>
              <w:rPr>
                <w:sz w:val="19"/>
              </w:rPr>
              <w:t>+191%</w:t>
            </w:r>
          </w:p>
        </w:tc>
      </w:tr>
      <w:tr w:rsidR="007F373F">
        <w:trPr>
          <w:jc w:val="center"/>
        </w:trPr>
        <w:tc>
          <w:tcPr>
            <w:tcW w:w="3865" w:type="dxa"/>
          </w:tcPr>
          <w:p w:rsidR="007F373F" w:rsidRDefault="00000000">
            <w:pPr>
              <w:spacing w:after="0"/>
              <w:jc w:val="left"/>
            </w:pPr>
            <w:r>
              <w:rPr>
                <w:sz w:val="19"/>
              </w:rPr>
              <w:t>Total borrowings</w:t>
            </w:r>
          </w:p>
        </w:tc>
        <w:tc>
          <w:tcPr>
            <w:tcW w:w="1380" w:type="dxa"/>
          </w:tcPr>
          <w:p w:rsidR="007F373F" w:rsidRDefault="00000000">
            <w:pPr>
              <w:spacing w:after="0"/>
              <w:jc w:val="right"/>
            </w:pPr>
            <w:r>
              <w:rPr>
                <w:sz w:val="19"/>
              </w:rPr>
              <w:t>1,348,413</w:t>
            </w:r>
          </w:p>
        </w:tc>
        <w:tc>
          <w:tcPr>
            <w:tcW w:w="897" w:type="dxa"/>
          </w:tcPr>
          <w:p w:rsidR="007F373F" w:rsidRDefault="00000000">
            <w:pPr>
              <w:spacing w:after="0"/>
              <w:jc w:val="right"/>
            </w:pPr>
            <w:r>
              <w:rPr>
                <w:sz w:val="19"/>
              </w:rPr>
              <w:t>100%</w:t>
            </w:r>
          </w:p>
        </w:tc>
        <w:tc>
          <w:tcPr>
            <w:tcW w:w="1380" w:type="dxa"/>
          </w:tcPr>
          <w:p w:rsidR="007F373F" w:rsidRDefault="00000000">
            <w:pPr>
              <w:spacing w:after="0"/>
              <w:jc w:val="right"/>
            </w:pPr>
            <w:r>
              <w:rPr>
                <w:sz w:val="19"/>
              </w:rPr>
              <w:t>1,026,866</w:t>
            </w:r>
          </w:p>
        </w:tc>
        <w:tc>
          <w:tcPr>
            <w:tcW w:w="897" w:type="dxa"/>
          </w:tcPr>
          <w:p w:rsidR="007F373F" w:rsidRDefault="00000000">
            <w:pPr>
              <w:spacing w:after="0"/>
              <w:jc w:val="right"/>
            </w:pPr>
            <w:r>
              <w:rPr>
                <w:sz w:val="19"/>
              </w:rPr>
              <w:t>100%</w:t>
            </w:r>
          </w:p>
        </w:tc>
        <w:tc>
          <w:tcPr>
            <w:tcW w:w="1311" w:type="dxa"/>
          </w:tcPr>
          <w:p w:rsidR="007F373F" w:rsidRDefault="00000000">
            <w:pPr>
              <w:spacing w:after="0"/>
              <w:jc w:val="right"/>
            </w:pPr>
            <w:r>
              <w:rPr>
                <w:sz w:val="19"/>
              </w:rPr>
              <w:t>+31.3%</w:t>
            </w:r>
          </w:p>
        </w:tc>
      </w:tr>
    </w:tbl>
    <w:p w:rsidR="007F373F" w:rsidRDefault="00000000">
      <w:pPr>
        <w:spacing w:before="40" w:after="80"/>
      </w:pPr>
      <w:r>
        <w:rPr>
          <w:i/>
          <w:sz w:val="18"/>
        </w:rPr>
        <w:t>Source: Fedfina Annual Report 2025-26, notes 16 (debt securities), 17 (borrowings other than debt securities) and 18 (subordinated liabilities). Totals reconcile to Directors’ Report borrowings of ₹13,48,413 lakh.</w:t>
      </w:r>
    </w:p>
    <w:p w:rsidR="007F373F" w:rsidRDefault="00000000">
      <w:pPr>
        <w:pStyle w:val="ListBullet"/>
      </w:pPr>
      <w:r>
        <w:rPr>
          <w:b/>
        </w:rPr>
        <w:t xml:space="preserve">Diversification: </w:t>
      </w:r>
      <w:r>
        <w:t>41 lenders (FY25: 39) across public, private and foreign banks, financial institutions and capital markets; the company lists more than 30 bank relationships. Bank term loans remain the anchor at 50% (company basis), with ECBs 17%, NCDs/CP 13% and direct assignments 14% of the funding mix.</w:t>
      </w:r>
    </w:p>
    <w:p w:rsidR="007F373F" w:rsidRDefault="00000000">
      <w:pPr>
        <w:pStyle w:val="ListBullet"/>
      </w:pPr>
      <w:r>
        <w:rPr>
          <w:b/>
        </w:rPr>
        <w:t xml:space="preserve">ECB programme: </w:t>
      </w:r>
      <w:r>
        <w:t>USD 250 million raised under the ECB route, fully hedged for the entire maturity through cross-currency swaps (notional ₹2,446 crore); FCNR borrowings of ₹62.5 crore. ECBs lengthen tenor and diversify the investor base.</w:t>
      </w:r>
    </w:p>
    <w:p w:rsidR="007F373F" w:rsidRDefault="00000000">
      <w:pPr>
        <w:pStyle w:val="ListBullet"/>
      </w:pPr>
      <w:r>
        <w:rPr>
          <w:b/>
        </w:rPr>
        <w:t xml:space="preserve">Commercial paper: </w:t>
      </w:r>
      <w:r>
        <w:t>₹1,164 crore outstanding (maximum ₹1,375 crore during the year; FY25 maximum ₹575 crore), all under one year – cheaper but adds rollover exposure.</w:t>
      </w:r>
    </w:p>
    <w:p w:rsidR="007F373F" w:rsidRDefault="00000000">
      <w:pPr>
        <w:pStyle w:val="ListBullet"/>
      </w:pPr>
      <w:r>
        <w:rPr>
          <w:b/>
        </w:rPr>
        <w:t xml:space="preserve">Related-party funding: </w:t>
      </w:r>
      <w:r>
        <w:t>Federal Bank provided ₹1,370 crore (term loan ₹1,064 crore, demand loan ₹60 crore, subordinated NCDs ₹246 crore) – 10.2% of borrowings (derived); interest paid to the bank ₹84.8 crore.</w:t>
      </w:r>
    </w:p>
    <w:p w:rsidR="007F373F" w:rsidRDefault="00000000">
      <w:pPr>
        <w:pStyle w:val="ListBullet"/>
      </w:pPr>
      <w:r>
        <w:rPr>
          <w:b/>
        </w:rPr>
        <w:t xml:space="preserve">Rate structure and cost: </w:t>
      </w:r>
      <w:r>
        <w:t>fixed-rate borrowings raised from about 10% to 40% of the book during FY26; finance costs ₹879 crore (+3%) on average borrowings of ₹11,876 crore (derived) ≈ 7.4% all-in; reported cost of borrowings 8.1% for the year, 7.83% in Q4 FY26.</w:t>
      </w:r>
    </w:p>
    <w:p w:rsidR="007F373F" w:rsidRDefault="00000000">
      <w:pPr>
        <w:pStyle w:val="Heading1"/>
        <w:pageBreakBefore/>
      </w:pPr>
      <w:r>
        <w:lastRenderedPageBreak/>
        <w:t>Capital Adequacy and Leverage</w:t>
      </w:r>
    </w:p>
    <w:p w:rsidR="007F373F" w:rsidRDefault="00000000">
      <w:pPr>
        <w:spacing w:after="0"/>
        <w:jc w:val="center"/>
      </w:pPr>
      <w:r>
        <w:rPr>
          <w:noProof/>
        </w:rPr>
        <w:drawing>
          <wp:inline distT="0" distB="0" distL="0" distR="0">
            <wp:extent cx="4754880" cy="18010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r.png"/>
                    <pic:cNvPicPr/>
                  </pic:nvPicPr>
                  <pic:blipFill>
                    <a:blip r:embed="rId21"/>
                    <a:stretch>
                      <a:fillRect/>
                    </a:stretch>
                  </pic:blipFill>
                  <pic:spPr>
                    <a:xfrm>
                      <a:off x="0" y="0"/>
                      <a:ext cx="4754880" cy="1801091"/>
                    </a:xfrm>
                    <a:prstGeom prst="rect">
                      <a:avLst/>
                    </a:prstGeom>
                  </pic:spPr>
                </pic:pic>
              </a:graphicData>
            </a:graphic>
          </wp:inline>
        </w:drawing>
      </w:r>
    </w:p>
    <w:p w:rsidR="007F373F" w:rsidRDefault="00000000">
      <w:pPr>
        <w:spacing w:after="80"/>
        <w:jc w:val="center"/>
      </w:pPr>
      <w:r>
        <w:rPr>
          <w:i/>
          <w:sz w:val="18"/>
        </w:rPr>
        <w:t>Figure 7 – Capital adequacy and book value per share, FY22–FY26. Sources: annual reports FY24–FY26 KPI charts and Directors’ Reports.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451"/>
        <w:gridCol w:w="1380"/>
        <w:gridCol w:w="1380"/>
        <w:gridCol w:w="3520"/>
      </w:tblGrid>
      <w:tr w:rsidR="007F373F">
        <w:trPr>
          <w:jc w:val="center"/>
        </w:trPr>
        <w:tc>
          <w:tcPr>
            <w:tcW w:w="3451" w:type="dxa"/>
          </w:tcPr>
          <w:p w:rsidR="007F373F" w:rsidRDefault="00000000">
            <w:pPr>
              <w:spacing w:after="0"/>
              <w:jc w:val="left"/>
            </w:pPr>
            <w:r>
              <w:rPr>
                <w:b/>
                <w:sz w:val="19"/>
              </w:rPr>
              <w:t>Capital measure</w:t>
            </w:r>
          </w:p>
        </w:tc>
        <w:tc>
          <w:tcPr>
            <w:tcW w:w="1380" w:type="dxa"/>
          </w:tcPr>
          <w:p w:rsidR="007F373F" w:rsidRDefault="00000000">
            <w:pPr>
              <w:spacing w:after="0"/>
              <w:jc w:val="left"/>
            </w:pPr>
            <w:r>
              <w:rPr>
                <w:b/>
                <w:sz w:val="19"/>
              </w:rPr>
              <w:t>31 Mar 2026</w:t>
            </w:r>
          </w:p>
        </w:tc>
        <w:tc>
          <w:tcPr>
            <w:tcW w:w="1380" w:type="dxa"/>
          </w:tcPr>
          <w:p w:rsidR="007F373F" w:rsidRDefault="00000000">
            <w:pPr>
              <w:spacing w:after="0"/>
              <w:jc w:val="left"/>
            </w:pPr>
            <w:r>
              <w:rPr>
                <w:b/>
                <w:sz w:val="19"/>
              </w:rPr>
              <w:t>31 Mar 2025</w:t>
            </w:r>
          </w:p>
        </w:tc>
        <w:tc>
          <w:tcPr>
            <w:tcW w:w="3520" w:type="dxa"/>
          </w:tcPr>
          <w:p w:rsidR="007F373F" w:rsidRDefault="00000000">
            <w:pPr>
              <w:spacing w:after="0"/>
              <w:jc w:val="left"/>
            </w:pPr>
            <w:r>
              <w:rPr>
                <w:b/>
                <w:sz w:val="19"/>
              </w:rPr>
              <w:t>Comment</w:t>
            </w:r>
          </w:p>
        </w:tc>
      </w:tr>
      <w:tr w:rsidR="007F373F">
        <w:trPr>
          <w:jc w:val="center"/>
        </w:trPr>
        <w:tc>
          <w:tcPr>
            <w:tcW w:w="3451" w:type="dxa"/>
          </w:tcPr>
          <w:p w:rsidR="007F373F" w:rsidRDefault="00000000">
            <w:pPr>
              <w:spacing w:after="0"/>
              <w:jc w:val="left"/>
            </w:pPr>
            <w:r>
              <w:rPr>
                <w:sz w:val="19"/>
              </w:rPr>
              <w:t>CRAR (%)</w:t>
            </w:r>
          </w:p>
        </w:tc>
        <w:tc>
          <w:tcPr>
            <w:tcW w:w="1380" w:type="dxa"/>
          </w:tcPr>
          <w:p w:rsidR="007F373F" w:rsidRDefault="00000000">
            <w:pPr>
              <w:spacing w:after="0"/>
              <w:jc w:val="right"/>
            </w:pPr>
            <w:r>
              <w:rPr>
                <w:sz w:val="19"/>
              </w:rPr>
              <w:t>22.40</w:t>
            </w:r>
          </w:p>
        </w:tc>
        <w:tc>
          <w:tcPr>
            <w:tcW w:w="1380" w:type="dxa"/>
          </w:tcPr>
          <w:p w:rsidR="007F373F" w:rsidRDefault="00000000">
            <w:pPr>
              <w:spacing w:after="0"/>
              <w:jc w:val="right"/>
            </w:pPr>
            <w:r>
              <w:rPr>
                <w:sz w:val="19"/>
              </w:rPr>
              <w:t>21.92</w:t>
            </w:r>
          </w:p>
        </w:tc>
        <w:tc>
          <w:tcPr>
            <w:tcW w:w="3520" w:type="dxa"/>
          </w:tcPr>
          <w:p w:rsidR="007F373F" w:rsidRDefault="00000000">
            <w:pPr>
              <w:spacing w:after="0"/>
              <w:jc w:val="left"/>
            </w:pPr>
            <w:r>
              <w:rPr>
                <w:sz w:val="19"/>
              </w:rPr>
              <w:t>RBI minimum for NBFC-ML: 15%</w:t>
            </w:r>
          </w:p>
        </w:tc>
      </w:tr>
      <w:tr w:rsidR="007F373F">
        <w:trPr>
          <w:jc w:val="center"/>
        </w:trPr>
        <w:tc>
          <w:tcPr>
            <w:tcW w:w="3451" w:type="dxa"/>
          </w:tcPr>
          <w:p w:rsidR="007F373F" w:rsidRDefault="00000000">
            <w:pPr>
              <w:spacing w:after="0"/>
              <w:jc w:val="left"/>
            </w:pPr>
            <w:r>
              <w:rPr>
                <w:sz w:val="19"/>
              </w:rPr>
              <w:t>Tier I capital ratio (%)</w:t>
            </w:r>
          </w:p>
        </w:tc>
        <w:tc>
          <w:tcPr>
            <w:tcW w:w="1380" w:type="dxa"/>
          </w:tcPr>
          <w:p w:rsidR="007F373F" w:rsidRDefault="00000000">
            <w:pPr>
              <w:spacing w:after="0"/>
              <w:jc w:val="right"/>
            </w:pPr>
            <w:r>
              <w:rPr>
                <w:sz w:val="19"/>
              </w:rPr>
              <w:t>17.52</w:t>
            </w:r>
          </w:p>
        </w:tc>
        <w:tc>
          <w:tcPr>
            <w:tcW w:w="1380" w:type="dxa"/>
          </w:tcPr>
          <w:p w:rsidR="007F373F" w:rsidRDefault="00000000">
            <w:pPr>
              <w:spacing w:after="0"/>
              <w:jc w:val="right"/>
            </w:pPr>
            <w:r>
              <w:rPr>
                <w:sz w:val="19"/>
              </w:rPr>
              <w:t>18.92</w:t>
            </w:r>
          </w:p>
        </w:tc>
        <w:tc>
          <w:tcPr>
            <w:tcW w:w="3520" w:type="dxa"/>
          </w:tcPr>
          <w:p w:rsidR="007F373F" w:rsidRDefault="00000000">
            <w:pPr>
              <w:spacing w:after="0"/>
              <w:jc w:val="left"/>
            </w:pPr>
            <w:r>
              <w:rPr>
                <w:sz w:val="19"/>
              </w:rPr>
              <w:t>Minimum Tier I 10%; fell 1.4 pp as risk-weighted assets grew faster than retained earnings</w:t>
            </w:r>
          </w:p>
        </w:tc>
      </w:tr>
      <w:tr w:rsidR="007F373F">
        <w:trPr>
          <w:jc w:val="center"/>
        </w:trPr>
        <w:tc>
          <w:tcPr>
            <w:tcW w:w="3451" w:type="dxa"/>
          </w:tcPr>
          <w:p w:rsidR="007F373F" w:rsidRDefault="00000000">
            <w:pPr>
              <w:spacing w:after="0"/>
              <w:jc w:val="left"/>
            </w:pPr>
            <w:r>
              <w:rPr>
                <w:sz w:val="19"/>
              </w:rPr>
              <w:t>Tier II capital ratio (%)</w:t>
            </w:r>
          </w:p>
        </w:tc>
        <w:tc>
          <w:tcPr>
            <w:tcW w:w="1380" w:type="dxa"/>
          </w:tcPr>
          <w:p w:rsidR="007F373F" w:rsidRDefault="00000000">
            <w:pPr>
              <w:spacing w:after="0"/>
              <w:jc w:val="right"/>
            </w:pPr>
            <w:r>
              <w:rPr>
                <w:sz w:val="19"/>
              </w:rPr>
              <w:t>4.88</w:t>
            </w:r>
          </w:p>
        </w:tc>
        <w:tc>
          <w:tcPr>
            <w:tcW w:w="1380" w:type="dxa"/>
          </w:tcPr>
          <w:p w:rsidR="007F373F" w:rsidRDefault="00000000">
            <w:pPr>
              <w:spacing w:after="0"/>
              <w:jc w:val="right"/>
            </w:pPr>
            <w:r>
              <w:rPr>
                <w:sz w:val="19"/>
              </w:rPr>
              <w:t>3.00</w:t>
            </w:r>
          </w:p>
        </w:tc>
        <w:tc>
          <w:tcPr>
            <w:tcW w:w="3520" w:type="dxa"/>
          </w:tcPr>
          <w:p w:rsidR="007F373F" w:rsidRDefault="00000000">
            <w:pPr>
              <w:spacing w:after="0"/>
              <w:jc w:val="left"/>
            </w:pPr>
            <w:r>
              <w:rPr>
                <w:sz w:val="19"/>
              </w:rPr>
              <w:t>Raised by ₹450 crore subordinated debt in March 2026</w:t>
            </w:r>
          </w:p>
        </w:tc>
      </w:tr>
      <w:tr w:rsidR="007F373F">
        <w:trPr>
          <w:jc w:val="center"/>
        </w:trPr>
        <w:tc>
          <w:tcPr>
            <w:tcW w:w="3451" w:type="dxa"/>
          </w:tcPr>
          <w:p w:rsidR="007F373F" w:rsidRDefault="00000000">
            <w:pPr>
              <w:spacing w:after="0"/>
              <w:jc w:val="left"/>
            </w:pPr>
            <w:r>
              <w:rPr>
                <w:sz w:val="19"/>
              </w:rPr>
              <w:t>Subordinated debt raised in year (₹ lakh)</w:t>
            </w:r>
          </w:p>
        </w:tc>
        <w:tc>
          <w:tcPr>
            <w:tcW w:w="1380" w:type="dxa"/>
          </w:tcPr>
          <w:p w:rsidR="007F373F" w:rsidRDefault="00000000">
            <w:pPr>
              <w:spacing w:after="0"/>
              <w:jc w:val="right"/>
            </w:pPr>
            <w:r>
              <w:rPr>
                <w:sz w:val="19"/>
              </w:rPr>
              <w:t>66,417</w:t>
            </w:r>
          </w:p>
        </w:tc>
        <w:tc>
          <w:tcPr>
            <w:tcW w:w="1380" w:type="dxa"/>
          </w:tcPr>
          <w:p w:rsidR="007F373F" w:rsidRDefault="00000000">
            <w:pPr>
              <w:spacing w:after="0"/>
              <w:jc w:val="right"/>
            </w:pPr>
            <w:r>
              <w:rPr>
                <w:sz w:val="19"/>
              </w:rPr>
              <w:t>31,960</w:t>
            </w:r>
          </w:p>
        </w:tc>
        <w:tc>
          <w:tcPr>
            <w:tcW w:w="3520" w:type="dxa"/>
          </w:tcPr>
          <w:p w:rsidR="007F373F" w:rsidRDefault="00000000">
            <w:pPr>
              <w:spacing w:after="0"/>
              <w:jc w:val="left"/>
            </w:pPr>
            <w:r>
              <w:rPr>
                <w:sz w:val="19"/>
              </w:rPr>
              <w:t>Note 48 capital disclosure</w:t>
            </w:r>
          </w:p>
        </w:tc>
      </w:tr>
      <w:tr w:rsidR="007F373F">
        <w:trPr>
          <w:jc w:val="center"/>
        </w:trPr>
        <w:tc>
          <w:tcPr>
            <w:tcW w:w="3451" w:type="dxa"/>
          </w:tcPr>
          <w:p w:rsidR="007F373F" w:rsidRDefault="00000000">
            <w:pPr>
              <w:spacing w:after="0"/>
              <w:jc w:val="left"/>
            </w:pPr>
            <w:r>
              <w:rPr>
                <w:sz w:val="19"/>
              </w:rPr>
              <w:t>Net worth (₹ lakh)</w:t>
            </w:r>
          </w:p>
        </w:tc>
        <w:tc>
          <w:tcPr>
            <w:tcW w:w="1380" w:type="dxa"/>
          </w:tcPr>
          <w:p w:rsidR="007F373F" w:rsidRDefault="00000000">
            <w:pPr>
              <w:spacing w:after="0"/>
              <w:jc w:val="right"/>
            </w:pPr>
            <w:r>
              <w:rPr>
                <w:sz w:val="19"/>
              </w:rPr>
              <w:t>292,610</w:t>
            </w:r>
          </w:p>
        </w:tc>
        <w:tc>
          <w:tcPr>
            <w:tcW w:w="1380" w:type="dxa"/>
          </w:tcPr>
          <w:p w:rsidR="007F373F" w:rsidRDefault="00000000">
            <w:pPr>
              <w:spacing w:after="0"/>
              <w:jc w:val="right"/>
            </w:pPr>
            <w:r>
              <w:rPr>
                <w:sz w:val="19"/>
              </w:rPr>
              <w:t>254,736</w:t>
            </w:r>
          </w:p>
        </w:tc>
        <w:tc>
          <w:tcPr>
            <w:tcW w:w="3520" w:type="dxa"/>
          </w:tcPr>
          <w:p w:rsidR="007F373F" w:rsidRDefault="00000000">
            <w:pPr>
              <w:spacing w:after="0"/>
              <w:jc w:val="left"/>
            </w:pPr>
            <w:r>
              <w:rPr>
                <w:sz w:val="19"/>
              </w:rPr>
              <w:t>+14.9%; retained earnings + ESOP allotments</w:t>
            </w:r>
          </w:p>
        </w:tc>
      </w:tr>
      <w:tr w:rsidR="007F373F">
        <w:trPr>
          <w:jc w:val="center"/>
        </w:trPr>
        <w:tc>
          <w:tcPr>
            <w:tcW w:w="3451" w:type="dxa"/>
          </w:tcPr>
          <w:p w:rsidR="007F373F" w:rsidRDefault="00000000">
            <w:pPr>
              <w:spacing w:after="0"/>
              <w:jc w:val="left"/>
            </w:pPr>
            <w:r>
              <w:rPr>
                <w:sz w:val="19"/>
              </w:rPr>
              <w:t>Borrowings (₹ lakh)</w:t>
            </w:r>
          </w:p>
        </w:tc>
        <w:tc>
          <w:tcPr>
            <w:tcW w:w="1380" w:type="dxa"/>
          </w:tcPr>
          <w:p w:rsidR="007F373F" w:rsidRDefault="00000000">
            <w:pPr>
              <w:spacing w:after="0"/>
              <w:jc w:val="right"/>
            </w:pPr>
            <w:r>
              <w:rPr>
                <w:sz w:val="19"/>
              </w:rPr>
              <w:t>1,348,413</w:t>
            </w:r>
          </w:p>
        </w:tc>
        <w:tc>
          <w:tcPr>
            <w:tcW w:w="1380" w:type="dxa"/>
          </w:tcPr>
          <w:p w:rsidR="007F373F" w:rsidRDefault="00000000">
            <w:pPr>
              <w:spacing w:after="0"/>
              <w:jc w:val="right"/>
            </w:pPr>
            <w:r>
              <w:rPr>
                <w:sz w:val="19"/>
              </w:rPr>
              <w:t>1,026,866</w:t>
            </w:r>
          </w:p>
        </w:tc>
        <w:tc>
          <w:tcPr>
            <w:tcW w:w="3520" w:type="dxa"/>
          </w:tcPr>
          <w:p w:rsidR="007F373F" w:rsidRDefault="00000000">
            <w:pPr>
              <w:spacing w:after="0"/>
              <w:jc w:val="right"/>
            </w:pPr>
            <w:r>
              <w:rPr>
                <w:sz w:val="19"/>
              </w:rPr>
              <w:t>+31.3%</w:t>
            </w:r>
          </w:p>
        </w:tc>
      </w:tr>
      <w:tr w:rsidR="007F373F">
        <w:trPr>
          <w:jc w:val="center"/>
        </w:trPr>
        <w:tc>
          <w:tcPr>
            <w:tcW w:w="3451" w:type="dxa"/>
          </w:tcPr>
          <w:p w:rsidR="007F373F" w:rsidRDefault="00000000">
            <w:pPr>
              <w:spacing w:after="0"/>
              <w:jc w:val="left"/>
            </w:pPr>
            <w:r>
              <w:rPr>
                <w:sz w:val="19"/>
              </w:rPr>
              <w:t>Debt-to-equity (x) – reported</w:t>
            </w:r>
          </w:p>
        </w:tc>
        <w:tc>
          <w:tcPr>
            <w:tcW w:w="1380" w:type="dxa"/>
          </w:tcPr>
          <w:p w:rsidR="007F373F" w:rsidRDefault="00000000">
            <w:pPr>
              <w:spacing w:after="0"/>
              <w:jc w:val="right"/>
            </w:pPr>
            <w:r>
              <w:rPr>
                <w:sz w:val="19"/>
              </w:rPr>
              <w:t>4.6</w:t>
            </w:r>
          </w:p>
        </w:tc>
        <w:tc>
          <w:tcPr>
            <w:tcW w:w="1380" w:type="dxa"/>
          </w:tcPr>
          <w:p w:rsidR="007F373F" w:rsidRDefault="00000000">
            <w:pPr>
              <w:spacing w:after="0"/>
              <w:jc w:val="right"/>
            </w:pPr>
            <w:r>
              <w:rPr>
                <w:sz w:val="19"/>
              </w:rPr>
              <w:t>4.0</w:t>
            </w:r>
          </w:p>
        </w:tc>
        <w:tc>
          <w:tcPr>
            <w:tcW w:w="3520" w:type="dxa"/>
          </w:tcPr>
          <w:p w:rsidR="007F373F" w:rsidRDefault="00000000">
            <w:pPr>
              <w:spacing w:after="0"/>
              <w:jc w:val="left"/>
            </w:pPr>
            <w:r>
              <w:rPr>
                <w:sz w:val="19"/>
              </w:rPr>
              <w:t>Investment case page / Key Highlights</w:t>
            </w:r>
          </w:p>
        </w:tc>
      </w:tr>
      <w:tr w:rsidR="007F373F">
        <w:trPr>
          <w:jc w:val="center"/>
        </w:trPr>
        <w:tc>
          <w:tcPr>
            <w:tcW w:w="3451" w:type="dxa"/>
          </w:tcPr>
          <w:p w:rsidR="007F373F" w:rsidRDefault="00000000">
            <w:pPr>
              <w:spacing w:after="0"/>
              <w:jc w:val="left"/>
            </w:pPr>
            <w:r>
              <w:rPr>
                <w:sz w:val="19"/>
              </w:rPr>
              <w:t>Debt-to-equity (x) – derived</w:t>
            </w:r>
          </w:p>
        </w:tc>
        <w:tc>
          <w:tcPr>
            <w:tcW w:w="1380" w:type="dxa"/>
          </w:tcPr>
          <w:p w:rsidR="007F373F" w:rsidRDefault="00000000">
            <w:pPr>
              <w:spacing w:after="0"/>
              <w:jc w:val="right"/>
            </w:pPr>
            <w:r>
              <w:rPr>
                <w:sz w:val="19"/>
              </w:rPr>
              <w:t>4.61</w:t>
            </w:r>
          </w:p>
        </w:tc>
        <w:tc>
          <w:tcPr>
            <w:tcW w:w="1380" w:type="dxa"/>
          </w:tcPr>
          <w:p w:rsidR="007F373F" w:rsidRDefault="00000000">
            <w:pPr>
              <w:spacing w:after="0"/>
              <w:jc w:val="right"/>
            </w:pPr>
            <w:r>
              <w:rPr>
                <w:sz w:val="19"/>
              </w:rPr>
              <w:t>4.03</w:t>
            </w:r>
          </w:p>
        </w:tc>
        <w:tc>
          <w:tcPr>
            <w:tcW w:w="3520" w:type="dxa"/>
          </w:tcPr>
          <w:p w:rsidR="007F373F" w:rsidRDefault="00000000">
            <w:pPr>
              <w:spacing w:after="0"/>
              <w:jc w:val="left"/>
            </w:pPr>
            <w:r>
              <w:rPr>
                <w:sz w:val="19"/>
              </w:rPr>
              <w:t>Borrowings ÷ net worth</w:t>
            </w:r>
          </w:p>
        </w:tc>
      </w:tr>
      <w:tr w:rsidR="007F373F">
        <w:trPr>
          <w:jc w:val="center"/>
        </w:trPr>
        <w:tc>
          <w:tcPr>
            <w:tcW w:w="3451" w:type="dxa"/>
          </w:tcPr>
          <w:p w:rsidR="007F373F" w:rsidRDefault="00000000">
            <w:pPr>
              <w:spacing w:after="0"/>
              <w:jc w:val="left"/>
            </w:pPr>
            <w:r>
              <w:rPr>
                <w:sz w:val="19"/>
              </w:rPr>
              <w:t>Equity to total assets (%) – derived</w:t>
            </w:r>
          </w:p>
        </w:tc>
        <w:tc>
          <w:tcPr>
            <w:tcW w:w="1380" w:type="dxa"/>
          </w:tcPr>
          <w:p w:rsidR="007F373F" w:rsidRDefault="00000000">
            <w:pPr>
              <w:spacing w:after="0"/>
              <w:jc w:val="right"/>
            </w:pPr>
            <w:r>
              <w:rPr>
                <w:sz w:val="19"/>
              </w:rPr>
              <w:t>17.3</w:t>
            </w:r>
          </w:p>
        </w:tc>
        <w:tc>
          <w:tcPr>
            <w:tcW w:w="1380" w:type="dxa"/>
          </w:tcPr>
          <w:p w:rsidR="007F373F" w:rsidRDefault="00000000">
            <w:pPr>
              <w:spacing w:after="0"/>
              <w:jc w:val="right"/>
            </w:pPr>
            <w:r>
              <w:rPr>
                <w:sz w:val="19"/>
              </w:rPr>
              <w:t>19.2</w:t>
            </w:r>
          </w:p>
        </w:tc>
        <w:tc>
          <w:tcPr>
            <w:tcW w:w="3520" w:type="dxa"/>
          </w:tcPr>
          <w:p w:rsidR="007F373F" w:rsidRDefault="00000000">
            <w:pPr>
              <w:spacing w:after="0"/>
              <w:jc w:val="left"/>
            </w:pPr>
            <w:r>
              <w:rPr>
                <w:sz w:val="19"/>
              </w:rPr>
              <w:t>Simple leverage measure</w:t>
            </w:r>
          </w:p>
        </w:tc>
      </w:tr>
      <w:tr w:rsidR="007F373F">
        <w:trPr>
          <w:jc w:val="center"/>
        </w:trPr>
        <w:tc>
          <w:tcPr>
            <w:tcW w:w="3451" w:type="dxa"/>
          </w:tcPr>
          <w:p w:rsidR="007F373F" w:rsidRDefault="00000000">
            <w:pPr>
              <w:spacing w:after="0"/>
              <w:jc w:val="left"/>
            </w:pPr>
            <w:r>
              <w:rPr>
                <w:sz w:val="19"/>
              </w:rPr>
              <w:t>Transfer to statutory reserve (₹ lakh)</w:t>
            </w:r>
          </w:p>
        </w:tc>
        <w:tc>
          <w:tcPr>
            <w:tcW w:w="1380" w:type="dxa"/>
          </w:tcPr>
          <w:p w:rsidR="007F373F" w:rsidRDefault="00000000">
            <w:pPr>
              <w:spacing w:after="0"/>
              <w:jc w:val="right"/>
            </w:pPr>
            <w:r>
              <w:rPr>
                <w:sz w:val="19"/>
              </w:rPr>
              <w:t>6,872</w:t>
            </w:r>
          </w:p>
        </w:tc>
        <w:tc>
          <w:tcPr>
            <w:tcW w:w="1380" w:type="dxa"/>
          </w:tcPr>
          <w:p w:rsidR="007F373F" w:rsidRDefault="00000000">
            <w:pPr>
              <w:spacing w:after="0"/>
              <w:jc w:val="right"/>
            </w:pPr>
            <w:r>
              <w:rPr>
                <w:sz w:val="19"/>
              </w:rPr>
              <w:t>4,504</w:t>
            </w:r>
          </w:p>
        </w:tc>
        <w:tc>
          <w:tcPr>
            <w:tcW w:w="3520" w:type="dxa"/>
          </w:tcPr>
          <w:p w:rsidR="007F373F" w:rsidRDefault="00000000">
            <w:pPr>
              <w:spacing w:after="0"/>
              <w:jc w:val="left"/>
            </w:pPr>
            <w:r>
              <w:rPr>
                <w:sz w:val="19"/>
              </w:rPr>
              <w:t>20% of PAT under Section 45-IC, RBI Act (FY25 derived)</w:t>
            </w:r>
          </w:p>
        </w:tc>
      </w:tr>
    </w:tbl>
    <w:p w:rsidR="007F373F" w:rsidRDefault="00000000">
      <w:pPr>
        <w:spacing w:before="40" w:after="80"/>
      </w:pPr>
      <w:r>
        <w:rPr>
          <w:i/>
          <w:sz w:val="18"/>
        </w:rPr>
        <w:t>Source: Fedfina Annual Report 2025-26, note 48 (capital), Directors’ Report; Fedfina Annual Report 2024-25 Directors’ Report.</w:t>
      </w:r>
    </w:p>
    <w:p w:rsidR="007F373F" w:rsidRDefault="00000000">
      <w:r>
        <w:t>Interpretation. Capital adequacy of 22.4% gives headroom of 7.4 percentage points over the regulatory floor, but the composition has shifted: Tier I fell from 18.9% to 17.5% while Tier II rose from 3.0% to 4.9%. Since Tier II is capped relative to Tier I and does not absorb losses on a going-concern basis, future growth at 20–25% will require Tier I accretion from profits (RoE 12.6% supports roughly 12–13% growth in equity with no dividend) or, eventually, fresh equity. The derived debt-equity of 4.61x is above the 4.0x of FY25 and well above the 3.6x of FY24; it remains moderate for a secured retail NBFC (sector leverage of 5–6x is common) but it is the metric that rating agencies and the Board will watch most closely. The lower risk weights on gold loans and the elimination of 100%-weighted unsecured loans help: risk-weighted assets grew more slowly than the balance sheet, which is why CRAR rose despite higher leverage.</w:t>
      </w:r>
    </w:p>
    <w:p w:rsidR="007F373F" w:rsidRDefault="00000000">
      <w:pPr>
        <w:pStyle w:val="Heading1"/>
        <w:pageBreakBefore/>
      </w:pPr>
      <w:r>
        <w:lastRenderedPageBreak/>
        <w:t>Asset Quality, Stage Analysis and Expected Credit Loss</w:t>
      </w:r>
    </w:p>
    <w:p w:rsidR="007F373F" w:rsidRDefault="00000000">
      <w:pPr>
        <w:spacing w:after="0"/>
        <w:jc w:val="center"/>
      </w:pPr>
      <w:r>
        <w:rPr>
          <w:noProof/>
        </w:rPr>
        <w:drawing>
          <wp:inline distT="0" distB="0" distL="0" distR="0">
            <wp:extent cx="4572000" cy="15932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s.png"/>
                    <pic:cNvPicPr/>
                  </pic:nvPicPr>
                  <pic:blipFill>
                    <a:blip r:embed="rId22"/>
                    <a:stretch>
                      <a:fillRect/>
                    </a:stretch>
                  </pic:blipFill>
                  <pic:spPr>
                    <a:xfrm>
                      <a:off x="0" y="0"/>
                      <a:ext cx="4572000" cy="1593273"/>
                    </a:xfrm>
                    <a:prstGeom prst="rect">
                      <a:avLst/>
                    </a:prstGeom>
                  </pic:spPr>
                </pic:pic>
              </a:graphicData>
            </a:graphic>
          </wp:inline>
        </w:drawing>
      </w:r>
    </w:p>
    <w:p w:rsidR="007F373F" w:rsidRDefault="00000000">
      <w:pPr>
        <w:spacing w:after="80"/>
        <w:jc w:val="center"/>
      </w:pPr>
      <w:r>
        <w:rPr>
          <w:i/>
          <w:sz w:val="18"/>
        </w:rPr>
        <w:t>Figure 11 – Stage classification of loans at amortised cost, 31 March 2025 vs 2026 (% of gross). Source: Fedfina Annual Report 2025-26, note 8; percentages derived.</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141"/>
        <w:gridCol w:w="1518"/>
        <w:gridCol w:w="1242"/>
        <w:gridCol w:w="1518"/>
        <w:gridCol w:w="1311"/>
      </w:tblGrid>
      <w:tr w:rsidR="007F373F">
        <w:trPr>
          <w:jc w:val="center"/>
        </w:trPr>
        <w:tc>
          <w:tcPr>
            <w:tcW w:w="4141" w:type="dxa"/>
          </w:tcPr>
          <w:p w:rsidR="007F373F" w:rsidRDefault="00000000">
            <w:pPr>
              <w:spacing w:after="0"/>
              <w:jc w:val="left"/>
            </w:pPr>
            <w:r>
              <w:rPr>
                <w:b/>
                <w:sz w:val="19"/>
              </w:rPr>
              <w:t>Stage-wise loans at amortised cost (₹ lakh)</w:t>
            </w:r>
          </w:p>
        </w:tc>
        <w:tc>
          <w:tcPr>
            <w:tcW w:w="1518" w:type="dxa"/>
          </w:tcPr>
          <w:p w:rsidR="007F373F" w:rsidRDefault="00000000">
            <w:pPr>
              <w:spacing w:after="0"/>
              <w:jc w:val="left"/>
            </w:pPr>
            <w:r>
              <w:rPr>
                <w:b/>
                <w:sz w:val="19"/>
              </w:rPr>
              <w:t>31 Mar 2026</w:t>
            </w:r>
          </w:p>
        </w:tc>
        <w:tc>
          <w:tcPr>
            <w:tcW w:w="1242" w:type="dxa"/>
          </w:tcPr>
          <w:p w:rsidR="007F373F" w:rsidRDefault="00000000">
            <w:pPr>
              <w:spacing w:after="0"/>
              <w:jc w:val="left"/>
            </w:pPr>
            <w:r>
              <w:rPr>
                <w:b/>
                <w:sz w:val="19"/>
              </w:rPr>
              <w:t>% of book</w:t>
            </w:r>
          </w:p>
        </w:tc>
        <w:tc>
          <w:tcPr>
            <w:tcW w:w="1518" w:type="dxa"/>
          </w:tcPr>
          <w:p w:rsidR="007F373F" w:rsidRDefault="00000000">
            <w:pPr>
              <w:spacing w:after="0"/>
              <w:jc w:val="left"/>
            </w:pPr>
            <w:r>
              <w:rPr>
                <w:b/>
                <w:sz w:val="19"/>
              </w:rPr>
              <w:t>31 Mar 2025</w:t>
            </w:r>
          </w:p>
        </w:tc>
        <w:tc>
          <w:tcPr>
            <w:tcW w:w="1311" w:type="dxa"/>
          </w:tcPr>
          <w:p w:rsidR="007F373F" w:rsidRDefault="00000000">
            <w:pPr>
              <w:spacing w:after="0"/>
              <w:jc w:val="left"/>
            </w:pPr>
            <w:r>
              <w:rPr>
                <w:b/>
                <w:sz w:val="19"/>
              </w:rPr>
              <w:t>% of book</w:t>
            </w:r>
          </w:p>
        </w:tc>
      </w:tr>
      <w:tr w:rsidR="007F373F">
        <w:trPr>
          <w:jc w:val="center"/>
        </w:trPr>
        <w:tc>
          <w:tcPr>
            <w:tcW w:w="4141" w:type="dxa"/>
          </w:tcPr>
          <w:p w:rsidR="007F373F" w:rsidRDefault="00000000">
            <w:pPr>
              <w:spacing w:after="0"/>
              <w:jc w:val="left"/>
            </w:pPr>
            <w:r>
              <w:rPr>
                <w:sz w:val="19"/>
              </w:rPr>
              <w:t>Stage 1 (performing)</w:t>
            </w:r>
          </w:p>
        </w:tc>
        <w:tc>
          <w:tcPr>
            <w:tcW w:w="1518" w:type="dxa"/>
          </w:tcPr>
          <w:p w:rsidR="007F373F" w:rsidRDefault="00000000">
            <w:pPr>
              <w:spacing w:after="0"/>
              <w:jc w:val="right"/>
            </w:pPr>
            <w:r>
              <w:rPr>
                <w:sz w:val="19"/>
              </w:rPr>
              <w:t>1,112,245</w:t>
            </w:r>
          </w:p>
        </w:tc>
        <w:tc>
          <w:tcPr>
            <w:tcW w:w="1242" w:type="dxa"/>
          </w:tcPr>
          <w:p w:rsidR="007F373F" w:rsidRDefault="00000000">
            <w:pPr>
              <w:spacing w:after="0"/>
              <w:jc w:val="right"/>
            </w:pPr>
            <w:r>
              <w:rPr>
                <w:sz w:val="19"/>
              </w:rPr>
              <w:t>96.5%</w:t>
            </w:r>
          </w:p>
        </w:tc>
        <w:tc>
          <w:tcPr>
            <w:tcW w:w="1518" w:type="dxa"/>
          </w:tcPr>
          <w:p w:rsidR="007F373F" w:rsidRDefault="00000000">
            <w:pPr>
              <w:spacing w:after="0"/>
              <w:jc w:val="right"/>
            </w:pPr>
            <w:r>
              <w:rPr>
                <w:sz w:val="19"/>
              </w:rPr>
              <w:t>777,298</w:t>
            </w:r>
          </w:p>
        </w:tc>
        <w:tc>
          <w:tcPr>
            <w:tcW w:w="1311" w:type="dxa"/>
          </w:tcPr>
          <w:p w:rsidR="007F373F" w:rsidRDefault="00000000">
            <w:pPr>
              <w:spacing w:after="0"/>
              <w:jc w:val="right"/>
            </w:pPr>
            <w:r>
              <w:rPr>
                <w:sz w:val="19"/>
              </w:rPr>
              <w:t>92.6%</w:t>
            </w:r>
          </w:p>
        </w:tc>
      </w:tr>
      <w:tr w:rsidR="007F373F">
        <w:trPr>
          <w:jc w:val="center"/>
        </w:trPr>
        <w:tc>
          <w:tcPr>
            <w:tcW w:w="4141" w:type="dxa"/>
          </w:tcPr>
          <w:p w:rsidR="007F373F" w:rsidRDefault="00000000">
            <w:pPr>
              <w:spacing w:after="0"/>
              <w:jc w:val="left"/>
            </w:pPr>
            <w:r>
              <w:rPr>
                <w:sz w:val="19"/>
              </w:rPr>
              <w:t>Stage 2 (significant increase in credit risk)</w:t>
            </w:r>
          </w:p>
        </w:tc>
        <w:tc>
          <w:tcPr>
            <w:tcW w:w="1518" w:type="dxa"/>
          </w:tcPr>
          <w:p w:rsidR="007F373F" w:rsidRDefault="00000000">
            <w:pPr>
              <w:spacing w:after="0"/>
              <w:jc w:val="right"/>
            </w:pPr>
            <w:r>
              <w:rPr>
                <w:sz w:val="19"/>
              </w:rPr>
              <w:t>22,225</w:t>
            </w:r>
          </w:p>
        </w:tc>
        <w:tc>
          <w:tcPr>
            <w:tcW w:w="1242" w:type="dxa"/>
          </w:tcPr>
          <w:p w:rsidR="007F373F" w:rsidRDefault="00000000">
            <w:pPr>
              <w:spacing w:after="0"/>
              <w:jc w:val="right"/>
            </w:pPr>
            <w:r>
              <w:rPr>
                <w:sz w:val="19"/>
              </w:rPr>
              <w:t>1.9%</w:t>
            </w:r>
          </w:p>
        </w:tc>
        <w:tc>
          <w:tcPr>
            <w:tcW w:w="1518" w:type="dxa"/>
          </w:tcPr>
          <w:p w:rsidR="007F373F" w:rsidRDefault="00000000">
            <w:pPr>
              <w:spacing w:after="0"/>
              <w:jc w:val="right"/>
            </w:pPr>
            <w:r>
              <w:rPr>
                <w:sz w:val="19"/>
              </w:rPr>
              <w:t>42,637</w:t>
            </w:r>
          </w:p>
        </w:tc>
        <w:tc>
          <w:tcPr>
            <w:tcW w:w="1311" w:type="dxa"/>
          </w:tcPr>
          <w:p w:rsidR="007F373F" w:rsidRDefault="00000000">
            <w:pPr>
              <w:spacing w:after="0"/>
              <w:jc w:val="right"/>
            </w:pPr>
            <w:r>
              <w:rPr>
                <w:sz w:val="19"/>
              </w:rPr>
              <w:t>5.1%</w:t>
            </w:r>
          </w:p>
        </w:tc>
      </w:tr>
      <w:tr w:rsidR="007F373F">
        <w:trPr>
          <w:jc w:val="center"/>
        </w:trPr>
        <w:tc>
          <w:tcPr>
            <w:tcW w:w="4141" w:type="dxa"/>
          </w:tcPr>
          <w:p w:rsidR="007F373F" w:rsidRDefault="00000000">
            <w:pPr>
              <w:spacing w:after="0"/>
              <w:jc w:val="left"/>
            </w:pPr>
            <w:r>
              <w:rPr>
                <w:sz w:val="19"/>
              </w:rPr>
              <w:t>Stage 3 (credit-impaired)</w:t>
            </w:r>
          </w:p>
        </w:tc>
        <w:tc>
          <w:tcPr>
            <w:tcW w:w="1518" w:type="dxa"/>
          </w:tcPr>
          <w:p w:rsidR="007F373F" w:rsidRDefault="00000000">
            <w:pPr>
              <w:spacing w:after="0"/>
              <w:jc w:val="right"/>
            </w:pPr>
            <w:r>
              <w:rPr>
                <w:sz w:val="19"/>
              </w:rPr>
              <w:t>17,878</w:t>
            </w:r>
          </w:p>
        </w:tc>
        <w:tc>
          <w:tcPr>
            <w:tcW w:w="1242" w:type="dxa"/>
          </w:tcPr>
          <w:p w:rsidR="007F373F" w:rsidRDefault="00000000">
            <w:pPr>
              <w:spacing w:after="0"/>
              <w:jc w:val="right"/>
            </w:pPr>
            <w:r>
              <w:rPr>
                <w:sz w:val="19"/>
              </w:rPr>
              <w:t>1.6%</w:t>
            </w:r>
          </w:p>
        </w:tc>
        <w:tc>
          <w:tcPr>
            <w:tcW w:w="1518" w:type="dxa"/>
          </w:tcPr>
          <w:p w:rsidR="007F373F" w:rsidRDefault="00000000">
            <w:pPr>
              <w:spacing w:after="0"/>
              <w:jc w:val="right"/>
            </w:pPr>
            <w:r>
              <w:rPr>
                <w:sz w:val="19"/>
              </w:rPr>
              <w:t>19,475</w:t>
            </w:r>
          </w:p>
        </w:tc>
        <w:tc>
          <w:tcPr>
            <w:tcW w:w="1311" w:type="dxa"/>
          </w:tcPr>
          <w:p w:rsidR="007F373F" w:rsidRDefault="00000000">
            <w:pPr>
              <w:spacing w:after="0"/>
              <w:jc w:val="right"/>
            </w:pPr>
            <w:r>
              <w:rPr>
                <w:sz w:val="19"/>
              </w:rPr>
              <w:t>2.3%</w:t>
            </w:r>
          </w:p>
        </w:tc>
      </w:tr>
      <w:tr w:rsidR="007F373F">
        <w:trPr>
          <w:jc w:val="center"/>
        </w:trPr>
        <w:tc>
          <w:tcPr>
            <w:tcW w:w="4141" w:type="dxa"/>
          </w:tcPr>
          <w:p w:rsidR="007F373F" w:rsidRDefault="00000000">
            <w:pPr>
              <w:spacing w:after="0"/>
              <w:jc w:val="left"/>
            </w:pPr>
            <w:r>
              <w:rPr>
                <w:sz w:val="19"/>
              </w:rPr>
              <w:t>Total at amortised cost</w:t>
            </w:r>
          </w:p>
        </w:tc>
        <w:tc>
          <w:tcPr>
            <w:tcW w:w="1518" w:type="dxa"/>
          </w:tcPr>
          <w:p w:rsidR="007F373F" w:rsidRDefault="00000000">
            <w:pPr>
              <w:spacing w:after="0"/>
              <w:jc w:val="right"/>
            </w:pPr>
            <w:r>
              <w:rPr>
                <w:sz w:val="19"/>
              </w:rPr>
              <w:t>1,152,348</w:t>
            </w:r>
          </w:p>
        </w:tc>
        <w:tc>
          <w:tcPr>
            <w:tcW w:w="1242" w:type="dxa"/>
          </w:tcPr>
          <w:p w:rsidR="007F373F" w:rsidRDefault="00000000">
            <w:pPr>
              <w:spacing w:after="0"/>
              <w:jc w:val="right"/>
            </w:pPr>
            <w:r>
              <w:rPr>
                <w:sz w:val="19"/>
              </w:rPr>
              <w:t>100%</w:t>
            </w:r>
          </w:p>
        </w:tc>
        <w:tc>
          <w:tcPr>
            <w:tcW w:w="1518" w:type="dxa"/>
          </w:tcPr>
          <w:p w:rsidR="007F373F" w:rsidRDefault="00000000">
            <w:pPr>
              <w:spacing w:after="0"/>
              <w:jc w:val="right"/>
            </w:pPr>
            <w:r>
              <w:rPr>
                <w:sz w:val="19"/>
              </w:rPr>
              <w:t>839,410</w:t>
            </w:r>
          </w:p>
        </w:tc>
        <w:tc>
          <w:tcPr>
            <w:tcW w:w="1311" w:type="dxa"/>
          </w:tcPr>
          <w:p w:rsidR="007F373F" w:rsidRDefault="00000000">
            <w:pPr>
              <w:spacing w:after="0"/>
              <w:jc w:val="right"/>
            </w:pPr>
            <w:r>
              <w:rPr>
                <w:sz w:val="19"/>
              </w:rPr>
              <w:t>100%</w:t>
            </w:r>
          </w:p>
        </w:tc>
      </w:tr>
      <w:tr w:rsidR="007F373F">
        <w:trPr>
          <w:jc w:val="center"/>
        </w:trPr>
        <w:tc>
          <w:tcPr>
            <w:tcW w:w="4141" w:type="dxa"/>
          </w:tcPr>
          <w:p w:rsidR="007F373F" w:rsidRDefault="00000000">
            <w:pPr>
              <w:spacing w:after="0"/>
              <w:jc w:val="left"/>
            </w:pPr>
            <w:r>
              <w:rPr>
                <w:sz w:val="19"/>
              </w:rPr>
              <w:t>Loans at FVOCI (held for sale)</w:t>
            </w:r>
          </w:p>
        </w:tc>
        <w:tc>
          <w:tcPr>
            <w:tcW w:w="1518" w:type="dxa"/>
          </w:tcPr>
          <w:p w:rsidR="007F373F" w:rsidRDefault="00000000">
            <w:pPr>
              <w:spacing w:after="0"/>
              <w:jc w:val="right"/>
            </w:pPr>
            <w:r>
              <w:rPr>
                <w:sz w:val="19"/>
              </w:rPr>
              <w:t>298,200</w:t>
            </w:r>
          </w:p>
        </w:tc>
        <w:tc>
          <w:tcPr>
            <w:tcW w:w="1242" w:type="dxa"/>
          </w:tcPr>
          <w:p w:rsidR="007F373F" w:rsidRDefault="007F373F">
            <w:pPr>
              <w:spacing w:after="0"/>
              <w:jc w:val="left"/>
            </w:pPr>
          </w:p>
        </w:tc>
        <w:tc>
          <w:tcPr>
            <w:tcW w:w="1518" w:type="dxa"/>
          </w:tcPr>
          <w:p w:rsidR="007F373F" w:rsidRDefault="00000000">
            <w:pPr>
              <w:spacing w:after="0"/>
              <w:jc w:val="right"/>
            </w:pPr>
            <w:r>
              <w:rPr>
                <w:sz w:val="19"/>
              </w:rPr>
              <w:t>344,432</w:t>
            </w:r>
          </w:p>
        </w:tc>
        <w:tc>
          <w:tcPr>
            <w:tcW w:w="1311" w:type="dxa"/>
          </w:tcPr>
          <w:p w:rsidR="007F373F" w:rsidRDefault="007F373F">
            <w:pPr>
              <w:spacing w:after="0"/>
              <w:jc w:val="left"/>
            </w:pPr>
          </w:p>
        </w:tc>
      </w:tr>
    </w:tbl>
    <w:p w:rsidR="007F373F" w:rsidRDefault="00000000">
      <w:pPr>
        <w:spacing w:before="40" w:after="80"/>
      </w:pPr>
      <w:r>
        <w:rPr>
          <w:i/>
          <w:sz w:val="18"/>
        </w:rPr>
        <w:t>Source: Fedfina Annual Report 2025-26, note 8; percentages derived.</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5522"/>
        <w:gridCol w:w="2070"/>
        <w:gridCol w:w="2139"/>
      </w:tblGrid>
      <w:tr w:rsidR="007F373F">
        <w:trPr>
          <w:jc w:val="center"/>
        </w:trPr>
        <w:tc>
          <w:tcPr>
            <w:tcW w:w="5522" w:type="dxa"/>
          </w:tcPr>
          <w:p w:rsidR="007F373F" w:rsidRDefault="00000000">
            <w:pPr>
              <w:spacing w:after="0"/>
              <w:jc w:val="left"/>
            </w:pPr>
            <w:r>
              <w:rPr>
                <w:b/>
                <w:sz w:val="19"/>
              </w:rPr>
              <w:t>Movement of credit-impaired loans incl. FVOCI (note 48.09, ₹ lakh)</w:t>
            </w:r>
          </w:p>
        </w:tc>
        <w:tc>
          <w:tcPr>
            <w:tcW w:w="2070" w:type="dxa"/>
          </w:tcPr>
          <w:p w:rsidR="007F373F" w:rsidRDefault="00000000">
            <w:pPr>
              <w:spacing w:after="0"/>
              <w:jc w:val="left"/>
            </w:pPr>
            <w:r>
              <w:rPr>
                <w:b/>
                <w:sz w:val="19"/>
              </w:rPr>
              <w:t>FY26</w:t>
            </w:r>
          </w:p>
        </w:tc>
        <w:tc>
          <w:tcPr>
            <w:tcW w:w="2139" w:type="dxa"/>
          </w:tcPr>
          <w:p w:rsidR="007F373F" w:rsidRDefault="00000000">
            <w:pPr>
              <w:spacing w:after="0"/>
              <w:jc w:val="left"/>
            </w:pPr>
            <w:r>
              <w:rPr>
                <w:b/>
                <w:sz w:val="19"/>
              </w:rPr>
              <w:t>FY25</w:t>
            </w:r>
          </w:p>
        </w:tc>
      </w:tr>
      <w:tr w:rsidR="007F373F">
        <w:trPr>
          <w:jc w:val="center"/>
        </w:trPr>
        <w:tc>
          <w:tcPr>
            <w:tcW w:w="5522" w:type="dxa"/>
          </w:tcPr>
          <w:p w:rsidR="007F373F" w:rsidRDefault="00000000">
            <w:pPr>
              <w:spacing w:after="0"/>
              <w:jc w:val="left"/>
            </w:pPr>
            <w:r>
              <w:rPr>
                <w:sz w:val="19"/>
              </w:rPr>
              <w:t>Gross credit-impaired – opening</w:t>
            </w:r>
          </w:p>
        </w:tc>
        <w:tc>
          <w:tcPr>
            <w:tcW w:w="2070" w:type="dxa"/>
          </w:tcPr>
          <w:p w:rsidR="007F373F" w:rsidRDefault="00000000">
            <w:pPr>
              <w:spacing w:after="0"/>
              <w:jc w:val="right"/>
            </w:pPr>
            <w:r>
              <w:rPr>
                <w:sz w:val="19"/>
              </w:rPr>
              <w:t>23,888</w:t>
            </w:r>
          </w:p>
        </w:tc>
        <w:tc>
          <w:tcPr>
            <w:tcW w:w="2139" w:type="dxa"/>
          </w:tcPr>
          <w:p w:rsidR="007F373F" w:rsidRDefault="00000000">
            <w:pPr>
              <w:spacing w:after="0"/>
              <w:jc w:val="right"/>
            </w:pPr>
            <w:r>
              <w:rPr>
                <w:sz w:val="19"/>
              </w:rPr>
              <w:t>16,457</w:t>
            </w:r>
          </w:p>
        </w:tc>
      </w:tr>
      <w:tr w:rsidR="007F373F">
        <w:trPr>
          <w:jc w:val="center"/>
        </w:trPr>
        <w:tc>
          <w:tcPr>
            <w:tcW w:w="5522" w:type="dxa"/>
          </w:tcPr>
          <w:p w:rsidR="007F373F" w:rsidRDefault="00000000">
            <w:pPr>
              <w:spacing w:after="0"/>
              <w:jc w:val="left"/>
            </w:pPr>
            <w:r>
              <w:rPr>
                <w:sz w:val="19"/>
              </w:rPr>
              <w:t>Additions during the year</w:t>
            </w:r>
          </w:p>
        </w:tc>
        <w:tc>
          <w:tcPr>
            <w:tcW w:w="2070" w:type="dxa"/>
          </w:tcPr>
          <w:p w:rsidR="007F373F" w:rsidRDefault="00000000">
            <w:pPr>
              <w:spacing w:after="0"/>
              <w:jc w:val="right"/>
            </w:pPr>
            <w:r>
              <w:rPr>
                <w:sz w:val="19"/>
              </w:rPr>
              <w:t>22,713</w:t>
            </w:r>
          </w:p>
        </w:tc>
        <w:tc>
          <w:tcPr>
            <w:tcW w:w="2139" w:type="dxa"/>
          </w:tcPr>
          <w:p w:rsidR="007F373F" w:rsidRDefault="00000000">
            <w:pPr>
              <w:spacing w:after="0"/>
              <w:jc w:val="right"/>
            </w:pPr>
            <w:r>
              <w:rPr>
                <w:sz w:val="19"/>
              </w:rPr>
              <w:t>19,523</w:t>
            </w:r>
          </w:p>
        </w:tc>
      </w:tr>
      <w:tr w:rsidR="007F373F">
        <w:trPr>
          <w:jc w:val="center"/>
        </w:trPr>
        <w:tc>
          <w:tcPr>
            <w:tcW w:w="5522" w:type="dxa"/>
          </w:tcPr>
          <w:p w:rsidR="007F373F" w:rsidRDefault="00000000">
            <w:pPr>
              <w:spacing w:after="0"/>
              <w:jc w:val="left"/>
            </w:pPr>
            <w:r>
              <w:rPr>
                <w:sz w:val="19"/>
              </w:rPr>
              <w:t>Reductions (upgrades, recoveries, sales)</w:t>
            </w:r>
          </w:p>
        </w:tc>
        <w:tc>
          <w:tcPr>
            <w:tcW w:w="2070" w:type="dxa"/>
          </w:tcPr>
          <w:p w:rsidR="007F373F" w:rsidRDefault="00000000">
            <w:pPr>
              <w:spacing w:after="0"/>
              <w:jc w:val="right"/>
            </w:pPr>
            <w:r>
              <w:rPr>
                <w:sz w:val="19"/>
              </w:rPr>
              <w:t>10,590</w:t>
            </w:r>
          </w:p>
        </w:tc>
        <w:tc>
          <w:tcPr>
            <w:tcW w:w="2139" w:type="dxa"/>
          </w:tcPr>
          <w:p w:rsidR="007F373F" w:rsidRDefault="00000000">
            <w:pPr>
              <w:spacing w:after="0"/>
              <w:jc w:val="right"/>
            </w:pPr>
            <w:r>
              <w:rPr>
                <w:sz w:val="19"/>
              </w:rPr>
              <w:t>11,409</w:t>
            </w:r>
          </w:p>
        </w:tc>
      </w:tr>
      <w:tr w:rsidR="007F373F">
        <w:trPr>
          <w:jc w:val="center"/>
        </w:trPr>
        <w:tc>
          <w:tcPr>
            <w:tcW w:w="5522" w:type="dxa"/>
          </w:tcPr>
          <w:p w:rsidR="007F373F" w:rsidRDefault="00000000">
            <w:pPr>
              <w:spacing w:after="0"/>
              <w:jc w:val="left"/>
            </w:pPr>
            <w:r>
              <w:rPr>
                <w:sz w:val="19"/>
              </w:rPr>
              <w:t>Write-offs</w:t>
            </w:r>
          </w:p>
        </w:tc>
        <w:tc>
          <w:tcPr>
            <w:tcW w:w="2070" w:type="dxa"/>
          </w:tcPr>
          <w:p w:rsidR="007F373F" w:rsidRDefault="00000000">
            <w:pPr>
              <w:spacing w:after="0"/>
              <w:jc w:val="right"/>
            </w:pPr>
            <w:r>
              <w:rPr>
                <w:sz w:val="19"/>
              </w:rPr>
              <w:t>8,817</w:t>
            </w:r>
          </w:p>
        </w:tc>
        <w:tc>
          <w:tcPr>
            <w:tcW w:w="2139" w:type="dxa"/>
          </w:tcPr>
          <w:p w:rsidR="007F373F" w:rsidRDefault="00000000">
            <w:pPr>
              <w:spacing w:after="0"/>
              <w:jc w:val="right"/>
            </w:pPr>
            <w:r>
              <w:rPr>
                <w:sz w:val="19"/>
              </w:rPr>
              <w:t>683</w:t>
            </w:r>
          </w:p>
        </w:tc>
      </w:tr>
      <w:tr w:rsidR="007F373F">
        <w:trPr>
          <w:jc w:val="center"/>
        </w:trPr>
        <w:tc>
          <w:tcPr>
            <w:tcW w:w="5522" w:type="dxa"/>
          </w:tcPr>
          <w:p w:rsidR="007F373F" w:rsidRDefault="00000000">
            <w:pPr>
              <w:spacing w:after="0"/>
              <w:jc w:val="left"/>
            </w:pPr>
            <w:r>
              <w:rPr>
                <w:sz w:val="19"/>
              </w:rPr>
              <w:t>Gross credit-impaired – closing</w:t>
            </w:r>
          </w:p>
        </w:tc>
        <w:tc>
          <w:tcPr>
            <w:tcW w:w="2070" w:type="dxa"/>
          </w:tcPr>
          <w:p w:rsidR="007F373F" w:rsidRDefault="00000000">
            <w:pPr>
              <w:spacing w:after="0"/>
              <w:jc w:val="right"/>
            </w:pPr>
            <w:r>
              <w:rPr>
                <w:sz w:val="19"/>
              </w:rPr>
              <w:t>27,194</w:t>
            </w:r>
          </w:p>
        </w:tc>
        <w:tc>
          <w:tcPr>
            <w:tcW w:w="2139" w:type="dxa"/>
          </w:tcPr>
          <w:p w:rsidR="007F373F" w:rsidRDefault="00000000">
            <w:pPr>
              <w:spacing w:after="0"/>
              <w:jc w:val="right"/>
            </w:pPr>
            <w:r>
              <w:rPr>
                <w:sz w:val="19"/>
              </w:rPr>
              <w:t>23,888</w:t>
            </w:r>
          </w:p>
        </w:tc>
      </w:tr>
      <w:tr w:rsidR="007F373F">
        <w:trPr>
          <w:jc w:val="center"/>
        </w:trPr>
        <w:tc>
          <w:tcPr>
            <w:tcW w:w="5522" w:type="dxa"/>
          </w:tcPr>
          <w:p w:rsidR="007F373F" w:rsidRDefault="00000000">
            <w:pPr>
              <w:spacing w:after="0"/>
              <w:jc w:val="left"/>
            </w:pPr>
            <w:r>
              <w:rPr>
                <w:sz w:val="19"/>
              </w:rPr>
              <w:t>Net credit-impaired – closing</w:t>
            </w:r>
          </w:p>
        </w:tc>
        <w:tc>
          <w:tcPr>
            <w:tcW w:w="2070" w:type="dxa"/>
          </w:tcPr>
          <w:p w:rsidR="007F373F" w:rsidRDefault="00000000">
            <w:pPr>
              <w:spacing w:after="0"/>
              <w:jc w:val="right"/>
            </w:pPr>
            <w:r>
              <w:rPr>
                <w:sz w:val="19"/>
              </w:rPr>
              <w:t>18,505</w:t>
            </w:r>
          </w:p>
        </w:tc>
        <w:tc>
          <w:tcPr>
            <w:tcW w:w="2139" w:type="dxa"/>
          </w:tcPr>
          <w:p w:rsidR="007F373F" w:rsidRDefault="00000000">
            <w:pPr>
              <w:spacing w:after="0"/>
              <w:jc w:val="right"/>
            </w:pPr>
            <w:r>
              <w:rPr>
                <w:sz w:val="19"/>
              </w:rPr>
              <w:t>14,438</w:t>
            </w:r>
          </w:p>
        </w:tc>
      </w:tr>
      <w:tr w:rsidR="007F373F">
        <w:trPr>
          <w:jc w:val="center"/>
        </w:trPr>
        <w:tc>
          <w:tcPr>
            <w:tcW w:w="5522" w:type="dxa"/>
          </w:tcPr>
          <w:p w:rsidR="007F373F" w:rsidRDefault="00000000">
            <w:pPr>
              <w:spacing w:after="0"/>
              <w:jc w:val="left"/>
            </w:pPr>
            <w:r>
              <w:rPr>
                <w:sz w:val="19"/>
              </w:rPr>
              <w:t>Net credit-impaired ratio (%)</w:t>
            </w:r>
          </w:p>
        </w:tc>
        <w:tc>
          <w:tcPr>
            <w:tcW w:w="2070" w:type="dxa"/>
          </w:tcPr>
          <w:p w:rsidR="007F373F" w:rsidRDefault="00000000">
            <w:pPr>
              <w:spacing w:after="0"/>
              <w:jc w:val="right"/>
            </w:pPr>
            <w:r>
              <w:rPr>
                <w:sz w:val="19"/>
              </w:rPr>
              <w:t>1.28</w:t>
            </w:r>
          </w:p>
        </w:tc>
        <w:tc>
          <w:tcPr>
            <w:tcW w:w="2139" w:type="dxa"/>
          </w:tcPr>
          <w:p w:rsidR="007F373F" w:rsidRDefault="00000000">
            <w:pPr>
              <w:spacing w:after="0"/>
              <w:jc w:val="right"/>
            </w:pPr>
            <w:r>
              <w:rPr>
                <w:sz w:val="19"/>
              </w:rPr>
              <w:t>1.22</w:t>
            </w:r>
          </w:p>
        </w:tc>
      </w:tr>
      <w:tr w:rsidR="007F373F">
        <w:trPr>
          <w:jc w:val="center"/>
        </w:trPr>
        <w:tc>
          <w:tcPr>
            <w:tcW w:w="5522" w:type="dxa"/>
          </w:tcPr>
          <w:p w:rsidR="007F373F" w:rsidRDefault="00000000">
            <w:pPr>
              <w:spacing w:after="0"/>
              <w:jc w:val="left"/>
            </w:pPr>
            <w:r>
              <w:rPr>
                <w:sz w:val="19"/>
              </w:rPr>
              <w:t>NPA accounts sold to ARCs – number / principal</w:t>
            </w:r>
          </w:p>
        </w:tc>
        <w:tc>
          <w:tcPr>
            <w:tcW w:w="2070" w:type="dxa"/>
          </w:tcPr>
          <w:p w:rsidR="007F373F" w:rsidRDefault="00000000">
            <w:pPr>
              <w:spacing w:after="0"/>
              <w:jc w:val="left"/>
            </w:pPr>
            <w:r>
              <w:rPr>
                <w:sz w:val="19"/>
              </w:rPr>
              <w:t>814 / 10,490</w:t>
            </w:r>
          </w:p>
        </w:tc>
        <w:tc>
          <w:tcPr>
            <w:tcW w:w="2139" w:type="dxa"/>
          </w:tcPr>
          <w:p w:rsidR="007F373F" w:rsidRDefault="00000000">
            <w:pPr>
              <w:spacing w:after="0"/>
              <w:jc w:val="left"/>
            </w:pPr>
            <w:r>
              <w:rPr>
                <w:sz w:val="19"/>
              </w:rPr>
              <w:t>1 / 1,690</w:t>
            </w:r>
          </w:p>
        </w:tc>
      </w:tr>
      <w:tr w:rsidR="007F373F">
        <w:trPr>
          <w:jc w:val="center"/>
        </w:trPr>
        <w:tc>
          <w:tcPr>
            <w:tcW w:w="5522" w:type="dxa"/>
          </w:tcPr>
          <w:p w:rsidR="007F373F" w:rsidRDefault="00000000">
            <w:pPr>
              <w:spacing w:after="0"/>
              <w:jc w:val="left"/>
            </w:pPr>
            <w:r>
              <w:rPr>
                <w:sz w:val="19"/>
              </w:rPr>
              <w:t>Top-20 borrowers – exposure / % of advances</w:t>
            </w:r>
          </w:p>
        </w:tc>
        <w:tc>
          <w:tcPr>
            <w:tcW w:w="2070" w:type="dxa"/>
          </w:tcPr>
          <w:p w:rsidR="007F373F" w:rsidRDefault="00000000">
            <w:pPr>
              <w:spacing w:after="0"/>
              <w:jc w:val="left"/>
            </w:pPr>
            <w:r>
              <w:rPr>
                <w:sz w:val="19"/>
              </w:rPr>
              <w:t>6,848 / 0.47%</w:t>
            </w:r>
          </w:p>
        </w:tc>
        <w:tc>
          <w:tcPr>
            <w:tcW w:w="2139" w:type="dxa"/>
          </w:tcPr>
          <w:p w:rsidR="007F373F" w:rsidRDefault="00000000">
            <w:pPr>
              <w:spacing w:after="0"/>
              <w:jc w:val="left"/>
            </w:pPr>
            <w:r>
              <w:rPr>
                <w:sz w:val="19"/>
              </w:rPr>
              <w:t>8,251 / 0.7%</w:t>
            </w:r>
          </w:p>
        </w:tc>
      </w:tr>
    </w:tbl>
    <w:p w:rsidR="007F373F" w:rsidRDefault="00000000">
      <w:pPr>
        <w:spacing w:before="40" w:after="80"/>
      </w:pPr>
      <w:r>
        <w:rPr>
          <w:i/>
          <w:sz w:val="18"/>
        </w:rPr>
        <w:t>Source: Fedfina Annual Report 2025-26, note 48 – RBI disclosures.</w:t>
      </w:r>
    </w:p>
    <w:p w:rsidR="007F373F" w:rsidRDefault="00000000">
      <w:r>
        <w:t>Interpretation. On an Ind AS basis the improvement is unambiguous: Stage 2 loans fell from 5.1% to 1.9% of the amortised-cost book and Stage 3 from 2.3% to 1.6%, so the share of the book showing any stress fell from 7.4% to 3.5%. The movement table shows how: additions to credit-impaired loans rose 16% (₹227 crore – the old ST LAP and business-loan vintages continuing to slip) but write-offs rose thirteen-fold to ₹88 crore and 814 accounts with ₹105 crore principal were sold to ARCs, so the closing stock of impaired loans (₹272 crore, +14%) grew more slowly than the book (+23%). Impairment expense of ₹115 crore comprised ₹134 crore of bad debts net of recoveries offset by ₹19 crore of ECL releases; the ECL allowance ended at ₹187 crore, 1.29% of gross loans. The net credit-impaired ratio of 1.28% and NNPA of 1.3% reconcile. Concentration is negligible: the top 20 borrowers are 0.47% of advances and the four largest impaired accounts total ₹9.4 crore.</w:t>
      </w:r>
    </w:p>
    <w:p w:rsidR="007F373F" w:rsidRDefault="00000000">
      <w:pPr>
        <w:pStyle w:val="Heading1"/>
        <w:pageBreakBefore/>
      </w:pPr>
      <w:r>
        <w:lastRenderedPageBreak/>
        <w:t>DuPont Analysis and Return Decomposition</w:t>
      </w:r>
    </w:p>
    <w:p w:rsidR="007F373F" w:rsidRDefault="00000000">
      <w:pPr>
        <w:spacing w:after="0"/>
        <w:jc w:val="center"/>
      </w:pPr>
      <w:r>
        <w:rPr>
          <w:noProof/>
        </w:rPr>
        <w:drawing>
          <wp:inline distT="0" distB="0" distL="0" distR="0">
            <wp:extent cx="5852160" cy="22167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_roe.png"/>
                    <pic:cNvPicPr/>
                  </pic:nvPicPr>
                  <pic:blipFill>
                    <a:blip r:embed="rId23"/>
                    <a:stretch>
                      <a:fillRect/>
                    </a:stretch>
                  </pic:blipFill>
                  <pic:spPr>
                    <a:xfrm>
                      <a:off x="0" y="0"/>
                      <a:ext cx="5852160" cy="2216727"/>
                    </a:xfrm>
                    <a:prstGeom prst="rect">
                      <a:avLst/>
                    </a:prstGeom>
                  </pic:spPr>
                </pic:pic>
              </a:graphicData>
            </a:graphic>
          </wp:inline>
        </w:drawing>
      </w:r>
    </w:p>
    <w:p w:rsidR="007F373F" w:rsidRDefault="00000000">
      <w:pPr>
        <w:spacing w:after="80"/>
        <w:jc w:val="center"/>
      </w:pPr>
      <w:r>
        <w:rPr>
          <w:i/>
          <w:sz w:val="18"/>
        </w:rPr>
        <w:t>Figure 4 – Return on assets and return on equity, FY22–FY26. Source: annual reports FY24–FY26 KPI charts.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969"/>
        <w:gridCol w:w="1380"/>
        <w:gridCol w:w="1380"/>
        <w:gridCol w:w="2001"/>
      </w:tblGrid>
      <w:tr w:rsidR="007F373F">
        <w:trPr>
          <w:jc w:val="center"/>
        </w:trPr>
        <w:tc>
          <w:tcPr>
            <w:tcW w:w="4969" w:type="dxa"/>
          </w:tcPr>
          <w:p w:rsidR="007F373F" w:rsidRDefault="00000000">
            <w:pPr>
              <w:spacing w:after="0"/>
              <w:jc w:val="left"/>
            </w:pPr>
            <w:r>
              <w:rPr>
                <w:b/>
                <w:sz w:val="19"/>
              </w:rPr>
              <w:t>Component (% of average total assets, derived)</w:t>
            </w:r>
          </w:p>
        </w:tc>
        <w:tc>
          <w:tcPr>
            <w:tcW w:w="1380" w:type="dxa"/>
          </w:tcPr>
          <w:p w:rsidR="007F373F" w:rsidRDefault="00000000">
            <w:pPr>
              <w:spacing w:after="0"/>
              <w:jc w:val="left"/>
            </w:pPr>
            <w:r>
              <w:rPr>
                <w:b/>
                <w:sz w:val="19"/>
              </w:rPr>
              <w:t>FY26</w:t>
            </w:r>
          </w:p>
        </w:tc>
        <w:tc>
          <w:tcPr>
            <w:tcW w:w="1380" w:type="dxa"/>
          </w:tcPr>
          <w:p w:rsidR="007F373F" w:rsidRDefault="00000000">
            <w:pPr>
              <w:spacing w:after="0"/>
              <w:jc w:val="left"/>
            </w:pPr>
            <w:r>
              <w:rPr>
                <w:b/>
                <w:sz w:val="19"/>
              </w:rPr>
              <w:t>FY25</w:t>
            </w:r>
          </w:p>
        </w:tc>
        <w:tc>
          <w:tcPr>
            <w:tcW w:w="2001" w:type="dxa"/>
          </w:tcPr>
          <w:p w:rsidR="007F373F" w:rsidRDefault="00000000">
            <w:pPr>
              <w:spacing w:after="0"/>
              <w:jc w:val="left"/>
            </w:pPr>
            <w:r>
              <w:rPr>
                <w:b/>
                <w:sz w:val="19"/>
              </w:rPr>
              <w:t>Change (pp)</w:t>
            </w:r>
          </w:p>
        </w:tc>
      </w:tr>
      <w:tr w:rsidR="007F373F">
        <w:trPr>
          <w:jc w:val="center"/>
        </w:trPr>
        <w:tc>
          <w:tcPr>
            <w:tcW w:w="4969" w:type="dxa"/>
          </w:tcPr>
          <w:p w:rsidR="007F373F" w:rsidRDefault="00000000">
            <w:pPr>
              <w:spacing w:after="0"/>
              <w:jc w:val="left"/>
            </w:pPr>
            <w:r>
              <w:rPr>
                <w:sz w:val="19"/>
              </w:rPr>
              <w:t>Interest income</w:t>
            </w:r>
          </w:p>
        </w:tc>
        <w:tc>
          <w:tcPr>
            <w:tcW w:w="1380" w:type="dxa"/>
          </w:tcPr>
          <w:p w:rsidR="007F373F" w:rsidRDefault="00000000">
            <w:pPr>
              <w:spacing w:after="0"/>
              <w:jc w:val="right"/>
            </w:pPr>
            <w:r>
              <w:rPr>
                <w:sz w:val="19"/>
              </w:rPr>
              <w:t>14.00</w:t>
            </w:r>
          </w:p>
        </w:tc>
        <w:tc>
          <w:tcPr>
            <w:tcW w:w="1380" w:type="dxa"/>
          </w:tcPr>
          <w:p w:rsidR="007F373F" w:rsidRDefault="00000000">
            <w:pPr>
              <w:spacing w:after="0"/>
              <w:jc w:val="right"/>
            </w:pPr>
            <w:r>
              <w:rPr>
                <w:sz w:val="19"/>
              </w:rPr>
              <w:t>15.78</w:t>
            </w:r>
          </w:p>
        </w:tc>
        <w:tc>
          <w:tcPr>
            <w:tcW w:w="2001" w:type="dxa"/>
          </w:tcPr>
          <w:p w:rsidR="007F373F" w:rsidRDefault="00000000">
            <w:pPr>
              <w:spacing w:after="0"/>
              <w:jc w:val="right"/>
            </w:pPr>
            <w:r>
              <w:rPr>
                <w:sz w:val="19"/>
              </w:rPr>
              <w:t>-1.78</w:t>
            </w:r>
          </w:p>
        </w:tc>
      </w:tr>
      <w:tr w:rsidR="007F373F">
        <w:trPr>
          <w:jc w:val="center"/>
        </w:trPr>
        <w:tc>
          <w:tcPr>
            <w:tcW w:w="4969" w:type="dxa"/>
          </w:tcPr>
          <w:p w:rsidR="007F373F" w:rsidRDefault="00000000">
            <w:pPr>
              <w:spacing w:after="0"/>
              <w:jc w:val="left"/>
            </w:pPr>
            <w:r>
              <w:rPr>
                <w:sz w:val="19"/>
              </w:rPr>
              <w:t>Less: finance costs</w:t>
            </w:r>
          </w:p>
        </w:tc>
        <w:tc>
          <w:tcPr>
            <w:tcW w:w="1380" w:type="dxa"/>
          </w:tcPr>
          <w:p w:rsidR="007F373F" w:rsidRDefault="00000000">
            <w:pPr>
              <w:spacing w:after="0"/>
              <w:jc w:val="right"/>
            </w:pPr>
            <w:r>
              <w:rPr>
                <w:sz w:val="19"/>
              </w:rPr>
              <w:t>5.84</w:t>
            </w:r>
          </w:p>
        </w:tc>
        <w:tc>
          <w:tcPr>
            <w:tcW w:w="1380" w:type="dxa"/>
          </w:tcPr>
          <w:p w:rsidR="007F373F" w:rsidRDefault="00000000">
            <w:pPr>
              <w:spacing w:after="0"/>
              <w:jc w:val="right"/>
            </w:pPr>
            <w:r>
              <w:rPr>
                <w:sz w:val="19"/>
              </w:rPr>
              <w:t>7.00</w:t>
            </w:r>
          </w:p>
        </w:tc>
        <w:tc>
          <w:tcPr>
            <w:tcW w:w="2001" w:type="dxa"/>
          </w:tcPr>
          <w:p w:rsidR="007F373F" w:rsidRDefault="00000000">
            <w:pPr>
              <w:spacing w:after="0"/>
              <w:jc w:val="right"/>
            </w:pPr>
            <w:r>
              <w:rPr>
                <w:sz w:val="19"/>
              </w:rPr>
              <w:t>-1.16</w:t>
            </w:r>
          </w:p>
        </w:tc>
      </w:tr>
      <w:tr w:rsidR="007F373F">
        <w:trPr>
          <w:jc w:val="center"/>
        </w:trPr>
        <w:tc>
          <w:tcPr>
            <w:tcW w:w="4969" w:type="dxa"/>
          </w:tcPr>
          <w:p w:rsidR="007F373F" w:rsidRDefault="00000000">
            <w:pPr>
              <w:spacing w:after="0"/>
              <w:jc w:val="left"/>
            </w:pPr>
            <w:r>
              <w:rPr>
                <w:sz w:val="19"/>
              </w:rPr>
              <w:t>= Net interest income (NIM on assets)</w:t>
            </w:r>
          </w:p>
        </w:tc>
        <w:tc>
          <w:tcPr>
            <w:tcW w:w="1380" w:type="dxa"/>
          </w:tcPr>
          <w:p w:rsidR="007F373F" w:rsidRDefault="00000000">
            <w:pPr>
              <w:spacing w:after="0"/>
              <w:jc w:val="right"/>
            </w:pPr>
            <w:r>
              <w:rPr>
                <w:sz w:val="19"/>
              </w:rPr>
              <w:t>8.16</w:t>
            </w:r>
          </w:p>
        </w:tc>
        <w:tc>
          <w:tcPr>
            <w:tcW w:w="1380" w:type="dxa"/>
          </w:tcPr>
          <w:p w:rsidR="007F373F" w:rsidRDefault="00000000">
            <w:pPr>
              <w:spacing w:after="0"/>
              <w:jc w:val="right"/>
            </w:pPr>
            <w:r>
              <w:rPr>
                <w:sz w:val="19"/>
              </w:rPr>
              <w:t>8.78</w:t>
            </w:r>
          </w:p>
        </w:tc>
        <w:tc>
          <w:tcPr>
            <w:tcW w:w="2001" w:type="dxa"/>
          </w:tcPr>
          <w:p w:rsidR="007F373F" w:rsidRDefault="00000000">
            <w:pPr>
              <w:spacing w:after="0"/>
              <w:jc w:val="right"/>
            </w:pPr>
            <w:r>
              <w:rPr>
                <w:sz w:val="19"/>
              </w:rPr>
              <w:t>-0.62</w:t>
            </w:r>
          </w:p>
        </w:tc>
      </w:tr>
      <w:tr w:rsidR="007F373F">
        <w:trPr>
          <w:jc w:val="center"/>
        </w:trPr>
        <w:tc>
          <w:tcPr>
            <w:tcW w:w="4969" w:type="dxa"/>
          </w:tcPr>
          <w:p w:rsidR="007F373F" w:rsidRDefault="00000000">
            <w:pPr>
              <w:spacing w:after="0"/>
              <w:jc w:val="left"/>
            </w:pPr>
            <w:r>
              <w:rPr>
                <w:sz w:val="19"/>
              </w:rPr>
              <w:t>Add: fee, fair-value and other income (net of fee expense)</w:t>
            </w:r>
          </w:p>
        </w:tc>
        <w:tc>
          <w:tcPr>
            <w:tcW w:w="1380" w:type="dxa"/>
          </w:tcPr>
          <w:p w:rsidR="007F373F" w:rsidRDefault="00000000">
            <w:pPr>
              <w:spacing w:after="0"/>
              <w:jc w:val="right"/>
            </w:pPr>
            <w:r>
              <w:rPr>
                <w:sz w:val="19"/>
              </w:rPr>
              <w:t>0.78</w:t>
            </w:r>
          </w:p>
        </w:tc>
        <w:tc>
          <w:tcPr>
            <w:tcW w:w="1380" w:type="dxa"/>
          </w:tcPr>
          <w:p w:rsidR="007F373F" w:rsidRDefault="00000000">
            <w:pPr>
              <w:spacing w:after="0"/>
              <w:jc w:val="right"/>
            </w:pPr>
            <w:r>
              <w:rPr>
                <w:sz w:val="19"/>
              </w:rPr>
              <w:t>1.12</w:t>
            </w:r>
          </w:p>
        </w:tc>
        <w:tc>
          <w:tcPr>
            <w:tcW w:w="2001" w:type="dxa"/>
          </w:tcPr>
          <w:p w:rsidR="007F373F" w:rsidRDefault="00000000">
            <w:pPr>
              <w:spacing w:after="0"/>
              <w:jc w:val="right"/>
            </w:pPr>
            <w:r>
              <w:rPr>
                <w:sz w:val="19"/>
              </w:rPr>
              <w:t>-0.34</w:t>
            </w:r>
          </w:p>
        </w:tc>
      </w:tr>
      <w:tr w:rsidR="007F373F">
        <w:trPr>
          <w:jc w:val="center"/>
        </w:trPr>
        <w:tc>
          <w:tcPr>
            <w:tcW w:w="4969" w:type="dxa"/>
          </w:tcPr>
          <w:p w:rsidR="007F373F" w:rsidRDefault="00000000">
            <w:pPr>
              <w:spacing w:after="0"/>
              <w:jc w:val="left"/>
            </w:pPr>
            <w:r>
              <w:rPr>
                <w:sz w:val="19"/>
              </w:rPr>
              <w:t>Less: operating expenses</w:t>
            </w:r>
          </w:p>
        </w:tc>
        <w:tc>
          <w:tcPr>
            <w:tcW w:w="1380" w:type="dxa"/>
          </w:tcPr>
          <w:p w:rsidR="007F373F" w:rsidRDefault="00000000">
            <w:pPr>
              <w:spacing w:after="0"/>
              <w:jc w:val="right"/>
            </w:pPr>
            <w:r>
              <w:rPr>
                <w:sz w:val="19"/>
              </w:rPr>
              <w:t>5.12</w:t>
            </w:r>
          </w:p>
        </w:tc>
        <w:tc>
          <w:tcPr>
            <w:tcW w:w="1380" w:type="dxa"/>
          </w:tcPr>
          <w:p w:rsidR="007F373F" w:rsidRDefault="00000000">
            <w:pPr>
              <w:spacing w:after="0"/>
              <w:jc w:val="right"/>
            </w:pPr>
            <w:r>
              <w:rPr>
                <w:sz w:val="19"/>
              </w:rPr>
              <w:t>5.64</w:t>
            </w:r>
          </w:p>
        </w:tc>
        <w:tc>
          <w:tcPr>
            <w:tcW w:w="2001" w:type="dxa"/>
          </w:tcPr>
          <w:p w:rsidR="007F373F" w:rsidRDefault="00000000">
            <w:pPr>
              <w:spacing w:after="0"/>
              <w:jc w:val="right"/>
            </w:pPr>
            <w:r>
              <w:rPr>
                <w:sz w:val="19"/>
              </w:rPr>
              <w:t>-0.52</w:t>
            </w:r>
          </w:p>
        </w:tc>
      </w:tr>
      <w:tr w:rsidR="007F373F">
        <w:trPr>
          <w:jc w:val="center"/>
        </w:trPr>
        <w:tc>
          <w:tcPr>
            <w:tcW w:w="4969" w:type="dxa"/>
          </w:tcPr>
          <w:p w:rsidR="007F373F" w:rsidRDefault="00000000">
            <w:pPr>
              <w:spacing w:after="0"/>
              <w:jc w:val="left"/>
            </w:pPr>
            <w:r>
              <w:rPr>
                <w:sz w:val="19"/>
              </w:rPr>
              <w:t>Less: impairment (credit cost)</w:t>
            </w:r>
          </w:p>
        </w:tc>
        <w:tc>
          <w:tcPr>
            <w:tcW w:w="1380" w:type="dxa"/>
          </w:tcPr>
          <w:p w:rsidR="007F373F" w:rsidRDefault="00000000">
            <w:pPr>
              <w:spacing w:after="0"/>
              <w:jc w:val="right"/>
            </w:pPr>
            <w:r>
              <w:rPr>
                <w:sz w:val="19"/>
              </w:rPr>
              <w:t>0.77</w:t>
            </w:r>
          </w:p>
        </w:tc>
        <w:tc>
          <w:tcPr>
            <w:tcW w:w="1380" w:type="dxa"/>
          </w:tcPr>
          <w:p w:rsidR="007F373F" w:rsidRDefault="00000000">
            <w:pPr>
              <w:spacing w:after="0"/>
              <w:jc w:val="right"/>
            </w:pPr>
            <w:r>
              <w:rPr>
                <w:sz w:val="19"/>
              </w:rPr>
              <w:t>1.77</w:t>
            </w:r>
          </w:p>
        </w:tc>
        <w:tc>
          <w:tcPr>
            <w:tcW w:w="2001" w:type="dxa"/>
          </w:tcPr>
          <w:p w:rsidR="007F373F" w:rsidRDefault="00000000">
            <w:pPr>
              <w:spacing w:after="0"/>
              <w:jc w:val="right"/>
            </w:pPr>
            <w:r>
              <w:rPr>
                <w:sz w:val="19"/>
              </w:rPr>
              <w:t>-1.01</w:t>
            </w:r>
          </w:p>
        </w:tc>
      </w:tr>
      <w:tr w:rsidR="007F373F">
        <w:trPr>
          <w:jc w:val="center"/>
        </w:trPr>
        <w:tc>
          <w:tcPr>
            <w:tcW w:w="4969" w:type="dxa"/>
          </w:tcPr>
          <w:p w:rsidR="007F373F" w:rsidRDefault="00000000">
            <w:pPr>
              <w:spacing w:after="0"/>
              <w:jc w:val="left"/>
            </w:pPr>
            <w:r>
              <w:rPr>
                <w:sz w:val="19"/>
              </w:rPr>
              <w:t>= Profit before tax</w:t>
            </w:r>
          </w:p>
        </w:tc>
        <w:tc>
          <w:tcPr>
            <w:tcW w:w="1380" w:type="dxa"/>
          </w:tcPr>
          <w:p w:rsidR="007F373F" w:rsidRDefault="00000000">
            <w:pPr>
              <w:spacing w:after="0"/>
              <w:jc w:val="right"/>
            </w:pPr>
            <w:r>
              <w:rPr>
                <w:sz w:val="19"/>
              </w:rPr>
              <w:t>3.06</w:t>
            </w:r>
          </w:p>
        </w:tc>
        <w:tc>
          <w:tcPr>
            <w:tcW w:w="1380" w:type="dxa"/>
          </w:tcPr>
          <w:p w:rsidR="007F373F" w:rsidRDefault="00000000">
            <w:pPr>
              <w:spacing w:after="0"/>
              <w:jc w:val="right"/>
            </w:pPr>
            <w:r>
              <w:rPr>
                <w:sz w:val="19"/>
              </w:rPr>
              <w:t>2.49</w:t>
            </w:r>
          </w:p>
        </w:tc>
        <w:tc>
          <w:tcPr>
            <w:tcW w:w="2001" w:type="dxa"/>
          </w:tcPr>
          <w:p w:rsidR="007F373F" w:rsidRDefault="00000000">
            <w:pPr>
              <w:spacing w:after="0"/>
              <w:jc w:val="right"/>
            </w:pPr>
            <w:r>
              <w:rPr>
                <w:sz w:val="19"/>
              </w:rPr>
              <w:t>+0.57</w:t>
            </w:r>
          </w:p>
        </w:tc>
      </w:tr>
      <w:tr w:rsidR="007F373F">
        <w:trPr>
          <w:jc w:val="center"/>
        </w:trPr>
        <w:tc>
          <w:tcPr>
            <w:tcW w:w="4969" w:type="dxa"/>
          </w:tcPr>
          <w:p w:rsidR="007F373F" w:rsidRDefault="00000000">
            <w:pPr>
              <w:spacing w:after="0"/>
              <w:jc w:val="left"/>
            </w:pPr>
            <w:r>
              <w:rPr>
                <w:sz w:val="19"/>
              </w:rPr>
              <w:t>Less: tax</w:t>
            </w:r>
          </w:p>
        </w:tc>
        <w:tc>
          <w:tcPr>
            <w:tcW w:w="1380" w:type="dxa"/>
          </w:tcPr>
          <w:p w:rsidR="007F373F" w:rsidRDefault="00000000">
            <w:pPr>
              <w:spacing w:after="0"/>
              <w:jc w:val="right"/>
            </w:pPr>
            <w:r>
              <w:rPr>
                <w:sz w:val="19"/>
              </w:rPr>
              <w:t>0.78</w:t>
            </w:r>
          </w:p>
        </w:tc>
        <w:tc>
          <w:tcPr>
            <w:tcW w:w="1380" w:type="dxa"/>
          </w:tcPr>
          <w:p w:rsidR="007F373F" w:rsidRDefault="00000000">
            <w:pPr>
              <w:spacing w:after="0"/>
              <w:jc w:val="right"/>
            </w:pPr>
            <w:r>
              <w:rPr>
                <w:sz w:val="19"/>
              </w:rPr>
              <w:t>0.64</w:t>
            </w:r>
          </w:p>
        </w:tc>
        <w:tc>
          <w:tcPr>
            <w:tcW w:w="2001" w:type="dxa"/>
          </w:tcPr>
          <w:p w:rsidR="007F373F" w:rsidRDefault="00000000">
            <w:pPr>
              <w:spacing w:after="0"/>
              <w:jc w:val="right"/>
            </w:pPr>
            <w:r>
              <w:rPr>
                <w:sz w:val="19"/>
              </w:rPr>
              <w:t>+0.14</w:t>
            </w:r>
          </w:p>
        </w:tc>
      </w:tr>
      <w:tr w:rsidR="007F373F">
        <w:trPr>
          <w:jc w:val="center"/>
        </w:trPr>
        <w:tc>
          <w:tcPr>
            <w:tcW w:w="4969" w:type="dxa"/>
          </w:tcPr>
          <w:p w:rsidR="007F373F" w:rsidRDefault="00000000">
            <w:pPr>
              <w:spacing w:after="0"/>
              <w:jc w:val="left"/>
            </w:pPr>
            <w:r>
              <w:rPr>
                <w:sz w:val="19"/>
              </w:rPr>
              <w:t>= Return on average assets (two-point average)</w:t>
            </w:r>
          </w:p>
        </w:tc>
        <w:tc>
          <w:tcPr>
            <w:tcW w:w="1380" w:type="dxa"/>
          </w:tcPr>
          <w:p w:rsidR="007F373F" w:rsidRDefault="00000000">
            <w:pPr>
              <w:spacing w:after="0"/>
              <w:jc w:val="right"/>
            </w:pPr>
            <w:r>
              <w:rPr>
                <w:sz w:val="19"/>
              </w:rPr>
              <w:t>2.28</w:t>
            </w:r>
          </w:p>
        </w:tc>
        <w:tc>
          <w:tcPr>
            <w:tcW w:w="1380" w:type="dxa"/>
          </w:tcPr>
          <w:p w:rsidR="007F373F" w:rsidRDefault="00000000">
            <w:pPr>
              <w:spacing w:after="0"/>
              <w:jc w:val="right"/>
            </w:pPr>
            <w:r>
              <w:rPr>
                <w:sz w:val="19"/>
              </w:rPr>
              <w:t>1.85</w:t>
            </w:r>
          </w:p>
        </w:tc>
        <w:tc>
          <w:tcPr>
            <w:tcW w:w="2001" w:type="dxa"/>
          </w:tcPr>
          <w:p w:rsidR="007F373F" w:rsidRDefault="00000000">
            <w:pPr>
              <w:spacing w:after="0"/>
              <w:jc w:val="right"/>
            </w:pPr>
            <w:r>
              <w:rPr>
                <w:sz w:val="19"/>
              </w:rPr>
              <w:t>+0.43</w:t>
            </w:r>
          </w:p>
        </w:tc>
      </w:tr>
      <w:tr w:rsidR="007F373F">
        <w:trPr>
          <w:jc w:val="center"/>
        </w:trPr>
        <w:tc>
          <w:tcPr>
            <w:tcW w:w="4969" w:type="dxa"/>
          </w:tcPr>
          <w:p w:rsidR="007F373F" w:rsidRDefault="00000000">
            <w:pPr>
              <w:spacing w:after="0"/>
              <w:jc w:val="left"/>
            </w:pPr>
            <w:r>
              <w:rPr>
                <w:sz w:val="19"/>
              </w:rPr>
              <w:t>Reported RoA (company methodology)</w:t>
            </w:r>
          </w:p>
        </w:tc>
        <w:tc>
          <w:tcPr>
            <w:tcW w:w="1380" w:type="dxa"/>
          </w:tcPr>
          <w:p w:rsidR="007F373F" w:rsidRDefault="00000000">
            <w:pPr>
              <w:spacing w:after="0"/>
              <w:jc w:val="right"/>
            </w:pPr>
            <w:r>
              <w:rPr>
                <w:sz w:val="19"/>
              </w:rPr>
              <w:t>2.44</w:t>
            </w:r>
          </w:p>
        </w:tc>
        <w:tc>
          <w:tcPr>
            <w:tcW w:w="1380" w:type="dxa"/>
          </w:tcPr>
          <w:p w:rsidR="007F373F" w:rsidRDefault="00000000">
            <w:pPr>
              <w:spacing w:after="0"/>
              <w:jc w:val="right"/>
            </w:pPr>
            <w:r>
              <w:rPr>
                <w:sz w:val="19"/>
              </w:rPr>
              <w:t>1.82</w:t>
            </w:r>
          </w:p>
        </w:tc>
        <w:tc>
          <w:tcPr>
            <w:tcW w:w="2001" w:type="dxa"/>
          </w:tcPr>
          <w:p w:rsidR="007F373F" w:rsidRDefault="00000000">
            <w:pPr>
              <w:spacing w:after="0"/>
              <w:jc w:val="right"/>
            </w:pPr>
            <w:r>
              <w:rPr>
                <w:sz w:val="19"/>
              </w:rPr>
              <w:t>+0.62</w:t>
            </w:r>
          </w:p>
        </w:tc>
      </w:tr>
      <w:tr w:rsidR="007F373F">
        <w:trPr>
          <w:jc w:val="center"/>
        </w:trPr>
        <w:tc>
          <w:tcPr>
            <w:tcW w:w="4969" w:type="dxa"/>
          </w:tcPr>
          <w:p w:rsidR="007F373F" w:rsidRDefault="00000000">
            <w:pPr>
              <w:spacing w:after="0"/>
              <w:jc w:val="left"/>
            </w:pPr>
            <w:r>
              <w:rPr>
                <w:sz w:val="19"/>
              </w:rPr>
              <w:t>× Leverage (average assets ÷ average equity)</w:t>
            </w:r>
          </w:p>
        </w:tc>
        <w:tc>
          <w:tcPr>
            <w:tcW w:w="1380" w:type="dxa"/>
          </w:tcPr>
          <w:p w:rsidR="007F373F" w:rsidRDefault="00000000">
            <w:pPr>
              <w:spacing w:after="0"/>
              <w:jc w:val="right"/>
            </w:pPr>
            <w:r>
              <w:rPr>
                <w:sz w:val="19"/>
              </w:rPr>
              <w:t>5.50x</w:t>
            </w:r>
          </w:p>
        </w:tc>
        <w:tc>
          <w:tcPr>
            <w:tcW w:w="1380" w:type="dxa"/>
          </w:tcPr>
          <w:p w:rsidR="007F373F" w:rsidRDefault="00000000">
            <w:pPr>
              <w:spacing w:after="0"/>
              <w:jc w:val="right"/>
            </w:pPr>
            <w:r>
              <w:rPr>
                <w:sz w:val="19"/>
              </w:rPr>
              <w:t>5.07x</w:t>
            </w:r>
          </w:p>
        </w:tc>
        <w:tc>
          <w:tcPr>
            <w:tcW w:w="2001" w:type="dxa"/>
          </w:tcPr>
          <w:p w:rsidR="007F373F" w:rsidRDefault="00000000">
            <w:pPr>
              <w:spacing w:after="0"/>
              <w:jc w:val="right"/>
            </w:pPr>
            <w:r>
              <w:rPr>
                <w:sz w:val="19"/>
              </w:rPr>
              <w:t>+0.43</w:t>
            </w:r>
          </w:p>
        </w:tc>
      </w:tr>
      <w:tr w:rsidR="007F373F">
        <w:trPr>
          <w:jc w:val="center"/>
        </w:trPr>
        <w:tc>
          <w:tcPr>
            <w:tcW w:w="4969" w:type="dxa"/>
          </w:tcPr>
          <w:p w:rsidR="007F373F" w:rsidRDefault="00000000">
            <w:pPr>
              <w:spacing w:after="0"/>
              <w:jc w:val="left"/>
            </w:pPr>
            <w:r>
              <w:rPr>
                <w:sz w:val="19"/>
              </w:rPr>
              <w:t>= Return on average equity (derived)</w:t>
            </w:r>
          </w:p>
        </w:tc>
        <w:tc>
          <w:tcPr>
            <w:tcW w:w="1380" w:type="dxa"/>
          </w:tcPr>
          <w:p w:rsidR="007F373F" w:rsidRDefault="00000000">
            <w:pPr>
              <w:spacing w:after="0"/>
              <w:jc w:val="right"/>
            </w:pPr>
            <w:r>
              <w:rPr>
                <w:sz w:val="19"/>
              </w:rPr>
              <w:t>12.56</w:t>
            </w:r>
          </w:p>
        </w:tc>
        <w:tc>
          <w:tcPr>
            <w:tcW w:w="1380" w:type="dxa"/>
          </w:tcPr>
          <w:p w:rsidR="007F373F" w:rsidRDefault="00000000">
            <w:pPr>
              <w:spacing w:after="0"/>
              <w:jc w:val="right"/>
            </w:pPr>
            <w:r>
              <w:rPr>
                <w:sz w:val="19"/>
              </w:rPr>
              <w:t>9.37</w:t>
            </w:r>
          </w:p>
        </w:tc>
        <w:tc>
          <w:tcPr>
            <w:tcW w:w="2001" w:type="dxa"/>
          </w:tcPr>
          <w:p w:rsidR="007F373F" w:rsidRDefault="00000000">
            <w:pPr>
              <w:spacing w:after="0"/>
              <w:jc w:val="right"/>
            </w:pPr>
            <w:r>
              <w:rPr>
                <w:sz w:val="19"/>
              </w:rPr>
              <w:t>+3.19</w:t>
            </w:r>
          </w:p>
        </w:tc>
      </w:tr>
      <w:tr w:rsidR="007F373F">
        <w:trPr>
          <w:jc w:val="center"/>
        </w:trPr>
        <w:tc>
          <w:tcPr>
            <w:tcW w:w="4969" w:type="dxa"/>
          </w:tcPr>
          <w:p w:rsidR="007F373F" w:rsidRDefault="00000000">
            <w:pPr>
              <w:spacing w:after="0"/>
              <w:jc w:val="left"/>
            </w:pPr>
            <w:r>
              <w:rPr>
                <w:sz w:val="19"/>
              </w:rPr>
              <w:t>Reported RoE</w:t>
            </w:r>
          </w:p>
        </w:tc>
        <w:tc>
          <w:tcPr>
            <w:tcW w:w="1380" w:type="dxa"/>
          </w:tcPr>
          <w:p w:rsidR="007F373F" w:rsidRDefault="00000000">
            <w:pPr>
              <w:spacing w:after="0"/>
              <w:jc w:val="right"/>
            </w:pPr>
            <w:r>
              <w:rPr>
                <w:sz w:val="19"/>
              </w:rPr>
              <w:t>12.62</w:t>
            </w:r>
          </w:p>
        </w:tc>
        <w:tc>
          <w:tcPr>
            <w:tcW w:w="1380" w:type="dxa"/>
          </w:tcPr>
          <w:p w:rsidR="007F373F" w:rsidRDefault="00000000">
            <w:pPr>
              <w:spacing w:after="0"/>
              <w:jc w:val="right"/>
            </w:pPr>
            <w:r>
              <w:rPr>
                <w:sz w:val="19"/>
              </w:rPr>
              <w:t>9.39</w:t>
            </w:r>
          </w:p>
        </w:tc>
        <w:tc>
          <w:tcPr>
            <w:tcW w:w="2001" w:type="dxa"/>
          </w:tcPr>
          <w:p w:rsidR="007F373F" w:rsidRDefault="00000000">
            <w:pPr>
              <w:spacing w:after="0"/>
              <w:jc w:val="right"/>
            </w:pPr>
            <w:r>
              <w:rPr>
                <w:sz w:val="19"/>
              </w:rPr>
              <w:t>+3.23</w:t>
            </w:r>
          </w:p>
        </w:tc>
      </w:tr>
    </w:tbl>
    <w:p w:rsidR="007F373F" w:rsidRDefault="00000000">
      <w:pPr>
        <w:spacing w:before="40" w:after="80"/>
      </w:pPr>
      <w:r>
        <w:rPr>
          <w:i/>
          <w:sz w:val="18"/>
        </w:rPr>
        <w:t>Source: Derived from the Statement of Profit and Loss and Balance Sheets in Fedfina Annual Report 2025-26 and Fedfina Annual Report 2024-25; averages are simple two-point averages, hence the small difference from reported RoA/RoE.</w:t>
      </w:r>
    </w:p>
    <w:p w:rsidR="007F373F" w:rsidRDefault="00000000">
      <w:r>
        <w:t>Interpretation. The decomposition isolates the three levers of FY26: (1) the margin lever – NIM on assets widened by -0.62 pp as finance costs fell faster than asset yields; (2) the credit lever – impairment fell 1.01 pp of assets, the largest single contribution; and (3) the efficiency lever – operating expenses fell 0.52 pp of assets as the balance sheet grew faster than costs. Against these, non-interest income fell 0.34 pp (lower DA and distribution income). Leverage rose from 5.07x to 5.50x, so RoE improved by more than RoA. The reported RoE of 12.62% and derived 12.55% agree closely. A 2.3–2.4% RoA on 5.5x average leverage yields a 12–13% RoE; reaching the mid-teens RoE of FY23 (14.4%) requires either further credit-cost normalisation below 0.8%, operating leverage from branch maturity, or higher leverage – the last of which has its own limits.</w:t>
      </w:r>
    </w:p>
    <w:p w:rsidR="007F373F" w:rsidRDefault="00000000">
      <w:pPr>
        <w:pStyle w:val="Heading1"/>
        <w:pageBreakBefore/>
      </w:pPr>
      <w:r>
        <w:lastRenderedPageBreak/>
        <w:t>Per-Share Metrics, Market Capitalisation and Valuation Perspective</w:t>
      </w:r>
    </w:p>
    <w:p w:rsidR="007F373F" w:rsidRDefault="00000000">
      <w:r>
        <w:t>Fedfina’s equity shares have traded on NSE and BSE since 30 November 2023. The FY26 annual report discloses a market capitalisation of ₹4,642 crore at 31 March 2026, which with 374,206,101 shares outstanding implies a closing price of about ₹124 per share (derived). The IPO price in November 2023 was ₹140 per share, so the shares were below the issue price at the end of FY26 despite the recovery in earnings. The report does not reproduce monthly price data in text form, so no price-trend analysis is attempted here.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727"/>
        <w:gridCol w:w="1380"/>
        <w:gridCol w:w="1380"/>
        <w:gridCol w:w="1380"/>
        <w:gridCol w:w="1863"/>
      </w:tblGrid>
      <w:tr w:rsidR="007F373F">
        <w:trPr>
          <w:jc w:val="center"/>
        </w:trPr>
        <w:tc>
          <w:tcPr>
            <w:tcW w:w="3727" w:type="dxa"/>
          </w:tcPr>
          <w:p w:rsidR="007F373F" w:rsidRDefault="00000000">
            <w:pPr>
              <w:spacing w:after="0"/>
              <w:jc w:val="left"/>
            </w:pPr>
            <w:r>
              <w:rPr>
                <w:b/>
                <w:sz w:val="20"/>
              </w:rPr>
              <w:t>Per-share and valuation measure</w:t>
            </w:r>
          </w:p>
        </w:tc>
        <w:tc>
          <w:tcPr>
            <w:tcW w:w="1380" w:type="dxa"/>
          </w:tcPr>
          <w:p w:rsidR="007F373F" w:rsidRDefault="00000000">
            <w:pPr>
              <w:spacing w:after="0"/>
              <w:jc w:val="left"/>
            </w:pPr>
            <w:r>
              <w:rPr>
                <w:b/>
                <w:sz w:val="20"/>
              </w:rPr>
              <w:t>FY24</w:t>
            </w:r>
          </w:p>
        </w:tc>
        <w:tc>
          <w:tcPr>
            <w:tcW w:w="1380" w:type="dxa"/>
          </w:tcPr>
          <w:p w:rsidR="007F373F" w:rsidRDefault="00000000">
            <w:pPr>
              <w:spacing w:after="0"/>
              <w:jc w:val="left"/>
            </w:pPr>
            <w:r>
              <w:rPr>
                <w:b/>
                <w:sz w:val="20"/>
              </w:rPr>
              <w:t>FY25</w:t>
            </w:r>
          </w:p>
        </w:tc>
        <w:tc>
          <w:tcPr>
            <w:tcW w:w="1380" w:type="dxa"/>
          </w:tcPr>
          <w:p w:rsidR="007F373F" w:rsidRDefault="00000000">
            <w:pPr>
              <w:spacing w:after="0"/>
              <w:jc w:val="left"/>
            </w:pPr>
            <w:r>
              <w:rPr>
                <w:b/>
                <w:sz w:val="20"/>
              </w:rPr>
              <w:t>FY26</w:t>
            </w:r>
          </w:p>
        </w:tc>
        <w:tc>
          <w:tcPr>
            <w:tcW w:w="1863" w:type="dxa"/>
          </w:tcPr>
          <w:p w:rsidR="007F373F" w:rsidRDefault="00000000">
            <w:pPr>
              <w:spacing w:after="0"/>
              <w:jc w:val="left"/>
            </w:pPr>
            <w:r>
              <w:rPr>
                <w:b/>
                <w:sz w:val="20"/>
              </w:rPr>
              <w:t>Basis</w:t>
            </w:r>
          </w:p>
        </w:tc>
      </w:tr>
      <w:tr w:rsidR="007F373F">
        <w:trPr>
          <w:jc w:val="center"/>
        </w:trPr>
        <w:tc>
          <w:tcPr>
            <w:tcW w:w="3727" w:type="dxa"/>
          </w:tcPr>
          <w:p w:rsidR="007F373F" w:rsidRDefault="00000000">
            <w:pPr>
              <w:spacing w:after="0"/>
              <w:jc w:val="left"/>
            </w:pPr>
            <w:r>
              <w:rPr>
                <w:sz w:val="20"/>
              </w:rPr>
              <w:t>Shares outstanding (crore)</w:t>
            </w:r>
          </w:p>
        </w:tc>
        <w:tc>
          <w:tcPr>
            <w:tcW w:w="1380" w:type="dxa"/>
          </w:tcPr>
          <w:p w:rsidR="007F373F" w:rsidRDefault="00000000">
            <w:pPr>
              <w:spacing w:after="0"/>
              <w:jc w:val="right"/>
            </w:pPr>
            <w:r>
              <w:rPr>
                <w:sz w:val="20"/>
              </w:rPr>
              <w:t>37.0</w:t>
            </w:r>
          </w:p>
        </w:tc>
        <w:tc>
          <w:tcPr>
            <w:tcW w:w="1380" w:type="dxa"/>
          </w:tcPr>
          <w:p w:rsidR="007F373F" w:rsidRDefault="00000000">
            <w:pPr>
              <w:spacing w:after="0"/>
              <w:jc w:val="right"/>
            </w:pPr>
            <w:r>
              <w:rPr>
                <w:sz w:val="20"/>
              </w:rPr>
              <w:t>37.27</w:t>
            </w:r>
          </w:p>
        </w:tc>
        <w:tc>
          <w:tcPr>
            <w:tcW w:w="1380" w:type="dxa"/>
          </w:tcPr>
          <w:p w:rsidR="007F373F" w:rsidRDefault="00000000">
            <w:pPr>
              <w:spacing w:after="0"/>
              <w:jc w:val="right"/>
            </w:pPr>
            <w:r>
              <w:rPr>
                <w:sz w:val="20"/>
              </w:rPr>
              <w:t>37.42</w:t>
            </w:r>
          </w:p>
        </w:tc>
        <w:tc>
          <w:tcPr>
            <w:tcW w:w="1863" w:type="dxa"/>
          </w:tcPr>
          <w:p w:rsidR="007F373F" w:rsidRDefault="00000000">
            <w:pPr>
              <w:spacing w:after="0"/>
              <w:jc w:val="left"/>
            </w:pPr>
            <w:r>
              <w:rPr>
                <w:sz w:val="20"/>
              </w:rPr>
              <w:t>Balance sheet / CG report</w:t>
            </w:r>
          </w:p>
        </w:tc>
      </w:tr>
      <w:tr w:rsidR="007F373F">
        <w:trPr>
          <w:jc w:val="center"/>
        </w:trPr>
        <w:tc>
          <w:tcPr>
            <w:tcW w:w="3727" w:type="dxa"/>
          </w:tcPr>
          <w:p w:rsidR="007F373F" w:rsidRDefault="00000000">
            <w:pPr>
              <w:spacing w:after="0"/>
              <w:jc w:val="left"/>
            </w:pPr>
            <w:r>
              <w:rPr>
                <w:sz w:val="20"/>
              </w:rPr>
              <w:t>Basic EPS (₹)</w:t>
            </w:r>
          </w:p>
        </w:tc>
        <w:tc>
          <w:tcPr>
            <w:tcW w:w="1380" w:type="dxa"/>
          </w:tcPr>
          <w:p w:rsidR="007F373F" w:rsidRDefault="00000000">
            <w:pPr>
              <w:spacing w:after="0"/>
              <w:jc w:val="right"/>
            </w:pPr>
            <w:r>
              <w:rPr>
                <w:sz w:val="20"/>
              </w:rPr>
              <w:t>7.22</w:t>
            </w:r>
          </w:p>
        </w:tc>
        <w:tc>
          <w:tcPr>
            <w:tcW w:w="1380" w:type="dxa"/>
          </w:tcPr>
          <w:p w:rsidR="007F373F" w:rsidRDefault="00000000">
            <w:pPr>
              <w:spacing w:after="0"/>
              <w:jc w:val="right"/>
            </w:pPr>
            <w:r>
              <w:rPr>
                <w:sz w:val="20"/>
              </w:rPr>
              <w:t>6.06</w:t>
            </w:r>
          </w:p>
        </w:tc>
        <w:tc>
          <w:tcPr>
            <w:tcW w:w="1380" w:type="dxa"/>
          </w:tcPr>
          <w:p w:rsidR="007F373F" w:rsidRDefault="00000000">
            <w:pPr>
              <w:spacing w:after="0"/>
              <w:jc w:val="right"/>
            </w:pPr>
            <w:r>
              <w:rPr>
                <w:sz w:val="20"/>
              </w:rPr>
              <w:t>9.20</w:t>
            </w:r>
          </w:p>
        </w:tc>
        <w:tc>
          <w:tcPr>
            <w:tcW w:w="1863" w:type="dxa"/>
          </w:tcPr>
          <w:p w:rsidR="007F373F" w:rsidRDefault="00000000">
            <w:pPr>
              <w:spacing w:after="0"/>
              <w:jc w:val="left"/>
            </w:pPr>
            <w:r>
              <w:rPr>
                <w:sz w:val="20"/>
              </w:rPr>
              <w:t>Directors’ Reports</w:t>
            </w:r>
          </w:p>
        </w:tc>
      </w:tr>
      <w:tr w:rsidR="007F373F">
        <w:trPr>
          <w:jc w:val="center"/>
        </w:trPr>
        <w:tc>
          <w:tcPr>
            <w:tcW w:w="3727" w:type="dxa"/>
          </w:tcPr>
          <w:p w:rsidR="007F373F" w:rsidRDefault="00000000">
            <w:pPr>
              <w:spacing w:after="0"/>
              <w:jc w:val="left"/>
            </w:pPr>
            <w:r>
              <w:rPr>
                <w:sz w:val="20"/>
              </w:rPr>
              <w:t>Diluted EPS (₹)</w:t>
            </w:r>
          </w:p>
        </w:tc>
        <w:tc>
          <w:tcPr>
            <w:tcW w:w="1380" w:type="dxa"/>
          </w:tcPr>
          <w:p w:rsidR="007F373F" w:rsidRDefault="00000000">
            <w:pPr>
              <w:spacing w:after="0"/>
              <w:jc w:val="right"/>
            </w:pPr>
            <w:r>
              <w:rPr>
                <w:sz w:val="20"/>
              </w:rPr>
              <w:t>7.12</w:t>
            </w:r>
          </w:p>
        </w:tc>
        <w:tc>
          <w:tcPr>
            <w:tcW w:w="1380" w:type="dxa"/>
          </w:tcPr>
          <w:p w:rsidR="007F373F" w:rsidRDefault="00000000">
            <w:pPr>
              <w:spacing w:after="0"/>
              <w:jc w:val="right"/>
            </w:pPr>
            <w:r>
              <w:rPr>
                <w:sz w:val="20"/>
              </w:rPr>
              <w:t>6.04</w:t>
            </w:r>
          </w:p>
        </w:tc>
        <w:tc>
          <w:tcPr>
            <w:tcW w:w="1380" w:type="dxa"/>
          </w:tcPr>
          <w:p w:rsidR="007F373F" w:rsidRDefault="00000000">
            <w:pPr>
              <w:spacing w:after="0"/>
              <w:jc w:val="right"/>
            </w:pPr>
            <w:r>
              <w:rPr>
                <w:sz w:val="20"/>
              </w:rPr>
              <w:t>9.12</w:t>
            </w:r>
          </w:p>
        </w:tc>
        <w:tc>
          <w:tcPr>
            <w:tcW w:w="1863" w:type="dxa"/>
          </w:tcPr>
          <w:p w:rsidR="007F373F" w:rsidRDefault="00000000">
            <w:pPr>
              <w:spacing w:after="0"/>
              <w:jc w:val="left"/>
            </w:pPr>
            <w:r>
              <w:rPr>
                <w:sz w:val="20"/>
              </w:rPr>
              <w:t>Directors’ Reports</w:t>
            </w:r>
          </w:p>
        </w:tc>
      </w:tr>
      <w:tr w:rsidR="007F373F">
        <w:trPr>
          <w:jc w:val="center"/>
        </w:trPr>
        <w:tc>
          <w:tcPr>
            <w:tcW w:w="3727" w:type="dxa"/>
          </w:tcPr>
          <w:p w:rsidR="007F373F" w:rsidRDefault="00000000">
            <w:pPr>
              <w:spacing w:after="0"/>
              <w:jc w:val="left"/>
            </w:pPr>
            <w:r>
              <w:rPr>
                <w:sz w:val="20"/>
              </w:rPr>
              <w:t>Book value per share (₹)</w:t>
            </w:r>
          </w:p>
        </w:tc>
        <w:tc>
          <w:tcPr>
            <w:tcW w:w="1380" w:type="dxa"/>
          </w:tcPr>
          <w:p w:rsidR="007F373F" w:rsidRDefault="00000000">
            <w:pPr>
              <w:spacing w:after="0"/>
              <w:jc w:val="right"/>
            </w:pPr>
            <w:r>
              <w:rPr>
                <w:sz w:val="20"/>
              </w:rPr>
              <w:t>61.20</w:t>
            </w:r>
          </w:p>
        </w:tc>
        <w:tc>
          <w:tcPr>
            <w:tcW w:w="1380" w:type="dxa"/>
          </w:tcPr>
          <w:p w:rsidR="007F373F" w:rsidRDefault="00000000">
            <w:pPr>
              <w:spacing w:after="0"/>
              <w:jc w:val="right"/>
            </w:pPr>
            <w:r>
              <w:rPr>
                <w:sz w:val="20"/>
              </w:rPr>
              <w:t>68.35</w:t>
            </w:r>
          </w:p>
        </w:tc>
        <w:tc>
          <w:tcPr>
            <w:tcW w:w="1380" w:type="dxa"/>
          </w:tcPr>
          <w:p w:rsidR="007F373F" w:rsidRDefault="00000000">
            <w:pPr>
              <w:spacing w:after="0"/>
              <w:jc w:val="right"/>
            </w:pPr>
            <w:r>
              <w:rPr>
                <w:sz w:val="20"/>
              </w:rPr>
              <w:t>78.19</w:t>
            </w:r>
          </w:p>
        </w:tc>
        <w:tc>
          <w:tcPr>
            <w:tcW w:w="1863" w:type="dxa"/>
          </w:tcPr>
          <w:p w:rsidR="007F373F" w:rsidRDefault="00000000">
            <w:pPr>
              <w:spacing w:after="0"/>
              <w:jc w:val="left"/>
            </w:pPr>
            <w:r>
              <w:rPr>
                <w:sz w:val="20"/>
              </w:rPr>
              <w:t>Directors’ Reports</w:t>
            </w:r>
          </w:p>
        </w:tc>
      </w:tr>
      <w:tr w:rsidR="007F373F">
        <w:trPr>
          <w:jc w:val="center"/>
        </w:trPr>
        <w:tc>
          <w:tcPr>
            <w:tcW w:w="3727" w:type="dxa"/>
          </w:tcPr>
          <w:p w:rsidR="007F373F" w:rsidRDefault="00000000">
            <w:pPr>
              <w:spacing w:after="0"/>
              <w:jc w:val="left"/>
            </w:pPr>
            <w:r>
              <w:rPr>
                <w:sz w:val="20"/>
              </w:rPr>
              <w:t>Dividend per share (₹)</w:t>
            </w:r>
          </w:p>
        </w:tc>
        <w:tc>
          <w:tcPr>
            <w:tcW w:w="1380" w:type="dxa"/>
          </w:tcPr>
          <w:p w:rsidR="007F373F" w:rsidRDefault="00000000">
            <w:pPr>
              <w:spacing w:after="0"/>
              <w:jc w:val="right"/>
            </w:pPr>
            <w:r>
              <w:rPr>
                <w:sz w:val="20"/>
              </w:rPr>
              <w:t>Nil</w:t>
            </w:r>
          </w:p>
        </w:tc>
        <w:tc>
          <w:tcPr>
            <w:tcW w:w="1380" w:type="dxa"/>
          </w:tcPr>
          <w:p w:rsidR="007F373F" w:rsidRDefault="00000000">
            <w:pPr>
              <w:spacing w:after="0"/>
              <w:jc w:val="right"/>
            </w:pPr>
            <w:r>
              <w:rPr>
                <w:sz w:val="20"/>
              </w:rPr>
              <w:t>Nil</w:t>
            </w:r>
          </w:p>
        </w:tc>
        <w:tc>
          <w:tcPr>
            <w:tcW w:w="1380" w:type="dxa"/>
          </w:tcPr>
          <w:p w:rsidR="007F373F" w:rsidRDefault="00000000">
            <w:pPr>
              <w:spacing w:after="0"/>
              <w:jc w:val="right"/>
            </w:pPr>
            <w:r>
              <w:rPr>
                <w:sz w:val="20"/>
              </w:rPr>
              <w:t>Nil</w:t>
            </w:r>
          </w:p>
        </w:tc>
        <w:tc>
          <w:tcPr>
            <w:tcW w:w="1863" w:type="dxa"/>
          </w:tcPr>
          <w:p w:rsidR="007F373F" w:rsidRDefault="00000000">
            <w:pPr>
              <w:spacing w:after="0"/>
              <w:jc w:val="left"/>
            </w:pPr>
            <w:r>
              <w:rPr>
                <w:sz w:val="20"/>
              </w:rPr>
              <w:t>No dividend recommended</w:t>
            </w:r>
          </w:p>
        </w:tc>
      </w:tr>
      <w:tr w:rsidR="007F373F">
        <w:trPr>
          <w:jc w:val="center"/>
        </w:trPr>
        <w:tc>
          <w:tcPr>
            <w:tcW w:w="3727" w:type="dxa"/>
          </w:tcPr>
          <w:p w:rsidR="007F373F" w:rsidRDefault="00000000">
            <w:pPr>
              <w:spacing w:after="0"/>
              <w:jc w:val="left"/>
            </w:pPr>
            <w:r>
              <w:rPr>
                <w:sz w:val="20"/>
              </w:rPr>
              <w:t>Market capitalisation (₹ crore)</w:t>
            </w:r>
          </w:p>
        </w:tc>
        <w:tc>
          <w:tcPr>
            <w:tcW w:w="1380" w:type="dxa"/>
          </w:tcPr>
          <w:p w:rsidR="007F373F" w:rsidRDefault="00000000">
            <w:pPr>
              <w:spacing w:after="0"/>
              <w:jc w:val="right"/>
            </w:pPr>
            <w:r>
              <w:rPr>
                <w:sz w:val="20"/>
              </w:rPr>
              <w:t>n.a.</w:t>
            </w:r>
          </w:p>
        </w:tc>
        <w:tc>
          <w:tcPr>
            <w:tcW w:w="1380" w:type="dxa"/>
          </w:tcPr>
          <w:p w:rsidR="007F373F" w:rsidRDefault="00000000">
            <w:pPr>
              <w:spacing w:after="0"/>
              <w:jc w:val="right"/>
            </w:pPr>
            <w:r>
              <w:rPr>
                <w:sz w:val="20"/>
              </w:rPr>
              <w:t>n.a.</w:t>
            </w:r>
          </w:p>
        </w:tc>
        <w:tc>
          <w:tcPr>
            <w:tcW w:w="1380" w:type="dxa"/>
          </w:tcPr>
          <w:p w:rsidR="007F373F" w:rsidRDefault="00000000">
            <w:pPr>
              <w:spacing w:after="0"/>
              <w:jc w:val="right"/>
            </w:pPr>
            <w:r>
              <w:rPr>
                <w:sz w:val="20"/>
              </w:rPr>
              <w:t>4,642</w:t>
            </w:r>
          </w:p>
        </w:tc>
        <w:tc>
          <w:tcPr>
            <w:tcW w:w="1863" w:type="dxa"/>
          </w:tcPr>
          <w:p w:rsidR="007F373F" w:rsidRDefault="00000000">
            <w:pPr>
              <w:spacing w:after="0"/>
              <w:jc w:val="left"/>
            </w:pPr>
            <w:r>
              <w:rPr>
                <w:sz w:val="20"/>
              </w:rPr>
              <w:t>Fedfina Annual Report 2025-26 inside cover</w:t>
            </w:r>
          </w:p>
        </w:tc>
      </w:tr>
      <w:tr w:rsidR="007F373F">
        <w:trPr>
          <w:jc w:val="center"/>
        </w:trPr>
        <w:tc>
          <w:tcPr>
            <w:tcW w:w="3727" w:type="dxa"/>
          </w:tcPr>
          <w:p w:rsidR="007F373F" w:rsidRDefault="00000000">
            <w:pPr>
              <w:spacing w:after="0"/>
              <w:jc w:val="left"/>
            </w:pPr>
            <w:r>
              <w:rPr>
                <w:sz w:val="20"/>
              </w:rPr>
              <w:t>Implied price per share (₹)</w:t>
            </w:r>
          </w:p>
        </w:tc>
        <w:tc>
          <w:tcPr>
            <w:tcW w:w="1380" w:type="dxa"/>
          </w:tcPr>
          <w:p w:rsidR="007F373F" w:rsidRDefault="00000000">
            <w:pPr>
              <w:spacing w:after="0"/>
              <w:jc w:val="right"/>
            </w:pPr>
            <w:r>
              <w:rPr>
                <w:sz w:val="20"/>
              </w:rPr>
              <w:t>–</w:t>
            </w:r>
          </w:p>
        </w:tc>
        <w:tc>
          <w:tcPr>
            <w:tcW w:w="1380" w:type="dxa"/>
          </w:tcPr>
          <w:p w:rsidR="007F373F" w:rsidRDefault="00000000">
            <w:pPr>
              <w:spacing w:after="0"/>
              <w:jc w:val="right"/>
            </w:pPr>
            <w:r>
              <w:rPr>
                <w:sz w:val="20"/>
              </w:rPr>
              <w:t>–</w:t>
            </w:r>
          </w:p>
        </w:tc>
        <w:tc>
          <w:tcPr>
            <w:tcW w:w="1380" w:type="dxa"/>
          </w:tcPr>
          <w:p w:rsidR="007F373F" w:rsidRDefault="00000000">
            <w:pPr>
              <w:spacing w:after="0"/>
              <w:jc w:val="right"/>
            </w:pPr>
            <w:r>
              <w:rPr>
                <w:sz w:val="20"/>
              </w:rPr>
              <w:t>124</w:t>
            </w:r>
          </w:p>
        </w:tc>
        <w:tc>
          <w:tcPr>
            <w:tcW w:w="1863" w:type="dxa"/>
          </w:tcPr>
          <w:p w:rsidR="007F373F" w:rsidRDefault="00000000">
            <w:pPr>
              <w:spacing w:after="0"/>
              <w:jc w:val="left"/>
            </w:pPr>
            <w:r>
              <w:rPr>
                <w:sz w:val="20"/>
              </w:rPr>
              <w:t>Derived: mcap ÷ shares</w:t>
            </w:r>
          </w:p>
        </w:tc>
      </w:tr>
      <w:tr w:rsidR="007F373F">
        <w:trPr>
          <w:jc w:val="center"/>
        </w:trPr>
        <w:tc>
          <w:tcPr>
            <w:tcW w:w="3727" w:type="dxa"/>
          </w:tcPr>
          <w:p w:rsidR="007F373F" w:rsidRDefault="00000000">
            <w:pPr>
              <w:spacing w:after="0"/>
              <w:jc w:val="left"/>
            </w:pPr>
            <w:r>
              <w:rPr>
                <w:sz w:val="20"/>
              </w:rPr>
              <w:t>Price-to-book (x)</w:t>
            </w:r>
          </w:p>
        </w:tc>
        <w:tc>
          <w:tcPr>
            <w:tcW w:w="1380" w:type="dxa"/>
          </w:tcPr>
          <w:p w:rsidR="007F373F" w:rsidRDefault="00000000">
            <w:pPr>
              <w:spacing w:after="0"/>
              <w:jc w:val="right"/>
            </w:pPr>
            <w:r>
              <w:rPr>
                <w:sz w:val="20"/>
              </w:rPr>
              <w:t>–</w:t>
            </w:r>
          </w:p>
        </w:tc>
        <w:tc>
          <w:tcPr>
            <w:tcW w:w="1380" w:type="dxa"/>
          </w:tcPr>
          <w:p w:rsidR="007F373F" w:rsidRDefault="00000000">
            <w:pPr>
              <w:spacing w:after="0"/>
              <w:jc w:val="right"/>
            </w:pPr>
            <w:r>
              <w:rPr>
                <w:sz w:val="20"/>
              </w:rPr>
              <w:t>–</w:t>
            </w:r>
          </w:p>
        </w:tc>
        <w:tc>
          <w:tcPr>
            <w:tcW w:w="1380" w:type="dxa"/>
          </w:tcPr>
          <w:p w:rsidR="007F373F" w:rsidRDefault="00000000">
            <w:pPr>
              <w:spacing w:after="0"/>
              <w:jc w:val="right"/>
            </w:pPr>
            <w:r>
              <w:rPr>
                <w:sz w:val="20"/>
              </w:rPr>
              <w:t>1.59</w:t>
            </w:r>
          </w:p>
        </w:tc>
        <w:tc>
          <w:tcPr>
            <w:tcW w:w="1863" w:type="dxa"/>
          </w:tcPr>
          <w:p w:rsidR="007F373F" w:rsidRDefault="00000000">
            <w:pPr>
              <w:spacing w:after="0"/>
              <w:jc w:val="left"/>
            </w:pPr>
            <w:r>
              <w:rPr>
                <w:sz w:val="20"/>
              </w:rPr>
              <w:t>Derived</w:t>
            </w:r>
          </w:p>
        </w:tc>
      </w:tr>
      <w:tr w:rsidR="007F373F">
        <w:trPr>
          <w:jc w:val="center"/>
        </w:trPr>
        <w:tc>
          <w:tcPr>
            <w:tcW w:w="3727" w:type="dxa"/>
          </w:tcPr>
          <w:p w:rsidR="007F373F" w:rsidRDefault="00000000">
            <w:pPr>
              <w:spacing w:after="0"/>
              <w:jc w:val="left"/>
            </w:pPr>
            <w:r>
              <w:rPr>
                <w:sz w:val="20"/>
              </w:rPr>
              <w:t>Price-to-earnings (x, basic)</w:t>
            </w:r>
          </w:p>
        </w:tc>
        <w:tc>
          <w:tcPr>
            <w:tcW w:w="1380" w:type="dxa"/>
          </w:tcPr>
          <w:p w:rsidR="007F373F" w:rsidRDefault="00000000">
            <w:pPr>
              <w:spacing w:after="0"/>
              <w:jc w:val="right"/>
            </w:pPr>
            <w:r>
              <w:rPr>
                <w:sz w:val="20"/>
              </w:rPr>
              <w:t>–</w:t>
            </w:r>
          </w:p>
        </w:tc>
        <w:tc>
          <w:tcPr>
            <w:tcW w:w="1380" w:type="dxa"/>
          </w:tcPr>
          <w:p w:rsidR="007F373F" w:rsidRDefault="00000000">
            <w:pPr>
              <w:spacing w:after="0"/>
              <w:jc w:val="right"/>
            </w:pPr>
            <w:r>
              <w:rPr>
                <w:sz w:val="20"/>
              </w:rPr>
              <w:t>–</w:t>
            </w:r>
          </w:p>
        </w:tc>
        <w:tc>
          <w:tcPr>
            <w:tcW w:w="1380" w:type="dxa"/>
          </w:tcPr>
          <w:p w:rsidR="007F373F" w:rsidRDefault="00000000">
            <w:pPr>
              <w:spacing w:after="0"/>
              <w:jc w:val="right"/>
            </w:pPr>
            <w:r>
              <w:rPr>
                <w:sz w:val="20"/>
              </w:rPr>
              <w:t>13.5</w:t>
            </w:r>
          </w:p>
        </w:tc>
        <w:tc>
          <w:tcPr>
            <w:tcW w:w="1863" w:type="dxa"/>
          </w:tcPr>
          <w:p w:rsidR="007F373F" w:rsidRDefault="00000000">
            <w:pPr>
              <w:spacing w:after="0"/>
              <w:jc w:val="left"/>
            </w:pPr>
            <w:r>
              <w:rPr>
                <w:sz w:val="20"/>
              </w:rPr>
              <w:t>Derived</w:t>
            </w:r>
          </w:p>
        </w:tc>
      </w:tr>
      <w:tr w:rsidR="007F373F">
        <w:trPr>
          <w:jc w:val="center"/>
        </w:trPr>
        <w:tc>
          <w:tcPr>
            <w:tcW w:w="3727" w:type="dxa"/>
          </w:tcPr>
          <w:p w:rsidR="007F373F" w:rsidRDefault="00000000">
            <w:pPr>
              <w:spacing w:after="0"/>
              <w:jc w:val="left"/>
            </w:pPr>
            <w:r>
              <w:rPr>
                <w:sz w:val="20"/>
              </w:rPr>
              <w:t>Earnings yield (%)</w:t>
            </w:r>
          </w:p>
        </w:tc>
        <w:tc>
          <w:tcPr>
            <w:tcW w:w="1380" w:type="dxa"/>
          </w:tcPr>
          <w:p w:rsidR="007F373F" w:rsidRDefault="00000000">
            <w:pPr>
              <w:spacing w:after="0"/>
              <w:jc w:val="right"/>
            </w:pPr>
            <w:r>
              <w:rPr>
                <w:sz w:val="20"/>
              </w:rPr>
              <w:t>–</w:t>
            </w:r>
          </w:p>
        </w:tc>
        <w:tc>
          <w:tcPr>
            <w:tcW w:w="1380" w:type="dxa"/>
          </w:tcPr>
          <w:p w:rsidR="007F373F" w:rsidRDefault="00000000">
            <w:pPr>
              <w:spacing w:after="0"/>
              <w:jc w:val="right"/>
            </w:pPr>
            <w:r>
              <w:rPr>
                <w:sz w:val="20"/>
              </w:rPr>
              <w:t>–</w:t>
            </w:r>
          </w:p>
        </w:tc>
        <w:tc>
          <w:tcPr>
            <w:tcW w:w="1380" w:type="dxa"/>
          </w:tcPr>
          <w:p w:rsidR="007F373F" w:rsidRDefault="00000000">
            <w:pPr>
              <w:spacing w:after="0"/>
              <w:jc w:val="right"/>
            </w:pPr>
            <w:r>
              <w:rPr>
                <w:sz w:val="20"/>
              </w:rPr>
              <w:t>7.4</w:t>
            </w:r>
          </w:p>
        </w:tc>
        <w:tc>
          <w:tcPr>
            <w:tcW w:w="1863" w:type="dxa"/>
          </w:tcPr>
          <w:p w:rsidR="007F373F" w:rsidRDefault="00000000">
            <w:pPr>
              <w:spacing w:after="0"/>
              <w:jc w:val="left"/>
            </w:pPr>
            <w:r>
              <w:rPr>
                <w:sz w:val="20"/>
              </w:rPr>
              <w:t>Derived</w:t>
            </w:r>
          </w:p>
        </w:tc>
      </w:tr>
      <w:tr w:rsidR="007F373F">
        <w:trPr>
          <w:jc w:val="center"/>
        </w:trPr>
        <w:tc>
          <w:tcPr>
            <w:tcW w:w="3727" w:type="dxa"/>
          </w:tcPr>
          <w:p w:rsidR="007F373F" w:rsidRDefault="00000000">
            <w:pPr>
              <w:spacing w:after="0"/>
              <w:jc w:val="left"/>
            </w:pPr>
            <w:r>
              <w:rPr>
                <w:sz w:val="20"/>
              </w:rPr>
              <w:t>Market cap to AUM (%)</w:t>
            </w:r>
          </w:p>
        </w:tc>
        <w:tc>
          <w:tcPr>
            <w:tcW w:w="1380" w:type="dxa"/>
          </w:tcPr>
          <w:p w:rsidR="007F373F" w:rsidRDefault="00000000">
            <w:pPr>
              <w:spacing w:after="0"/>
              <w:jc w:val="right"/>
            </w:pPr>
            <w:r>
              <w:rPr>
                <w:sz w:val="20"/>
              </w:rPr>
              <w:t>–</w:t>
            </w:r>
          </w:p>
        </w:tc>
        <w:tc>
          <w:tcPr>
            <w:tcW w:w="1380" w:type="dxa"/>
          </w:tcPr>
          <w:p w:rsidR="007F373F" w:rsidRDefault="00000000">
            <w:pPr>
              <w:spacing w:after="0"/>
              <w:jc w:val="right"/>
            </w:pPr>
            <w:r>
              <w:rPr>
                <w:sz w:val="20"/>
              </w:rPr>
              <w:t>–</w:t>
            </w:r>
          </w:p>
        </w:tc>
        <w:tc>
          <w:tcPr>
            <w:tcW w:w="1380" w:type="dxa"/>
          </w:tcPr>
          <w:p w:rsidR="007F373F" w:rsidRDefault="00000000">
            <w:pPr>
              <w:spacing w:after="0"/>
              <w:jc w:val="right"/>
            </w:pPr>
            <w:r>
              <w:rPr>
                <w:sz w:val="20"/>
              </w:rPr>
              <w:t>23.0</w:t>
            </w:r>
          </w:p>
        </w:tc>
        <w:tc>
          <w:tcPr>
            <w:tcW w:w="1863" w:type="dxa"/>
          </w:tcPr>
          <w:p w:rsidR="007F373F" w:rsidRDefault="00000000">
            <w:pPr>
              <w:spacing w:after="0"/>
              <w:jc w:val="left"/>
            </w:pPr>
            <w:r>
              <w:rPr>
                <w:sz w:val="20"/>
              </w:rPr>
              <w:t>Derived</w:t>
            </w:r>
          </w:p>
        </w:tc>
      </w:tr>
    </w:tbl>
    <w:p w:rsidR="007F373F" w:rsidRDefault="007F373F">
      <w:pPr>
        <w:spacing w:after="40"/>
      </w:pPr>
    </w:p>
    <w:p w:rsidR="007F373F" w:rsidRDefault="00000000">
      <w:pPr>
        <w:pStyle w:val="Heading2"/>
      </w:pPr>
      <w:r>
        <w:t>Valuation perspective (illustrative, not a recommendation)</w:t>
      </w:r>
    </w:p>
    <w:p w:rsidR="007F373F" w:rsidRDefault="00000000">
      <w:r>
        <w:t>At roughly 1.6x book and 13x FY26 earnings, the market was valuing Fedfina at a discount to the large gold-loan NBFCs and bank-backed lenders, which typically trade at higher multiples of book when RoE is in the high teens. The discount is consistent with an RoE of 12.6% (below the 15%+ that justifies a premium to book), the recent FY25 earnings reset, leverage rising to 4.6x, True North’s exit overhang during the year and the small free float. Factors that could narrow it include sustained sub-1% credit cost, RoE moving towards the Q4 FY26 run-rate of 14.0%, and evidence that the FY26 branch cohort is scaling. Conversely, a gold-price correction or renewed ST LAP slippage would widen it.</w:t>
      </w:r>
    </w:p>
    <w:p w:rsidR="007F373F" w:rsidRDefault="00000000">
      <w:r>
        <w:t>Sensitivity (derived, illustrative). Each ₹10 crore of additional annual PAT adds about ₹0.27 to EPS; each 10 bps of credit cost on FY26 average assets is worth about ₹15 crore of PBT (₹11 crore of PAT, or ₹0.30 of EPS). Book value grows by roughly ₹9 per share a year at the FY26 earnings level with no dividend. These sensitivities show why the credit-cost line dominates the equity story.</w:t>
      </w:r>
    </w:p>
    <w:p w:rsidR="007F373F" w:rsidRDefault="00000000">
      <w:r>
        <w:lastRenderedPageBreak/>
        <w:t>Caveat. All market-based figures use the single market-capitalisation disclosure in the annual report and are therefore dated; they are provided to complete the fundamental picture, not as a valuation opinion.</w:t>
      </w:r>
    </w:p>
    <w:p w:rsidR="007F373F" w:rsidRDefault="00000000">
      <w:pPr>
        <w:pStyle w:val="Heading1"/>
        <w:pageBreakBefore/>
      </w:pPr>
      <w:r>
        <w:lastRenderedPageBreak/>
        <w:t>Chapter 6 — Risk Management Architecture</w:t>
      </w:r>
    </w:p>
    <w:p w:rsidR="007F373F" w:rsidRDefault="00000000">
      <w:r>
        <w:t>For a lender, risk management is the business, not a department. Fedfina’s FY26 MD&amp;A describes an enterprise risk-management framework built on three lines of defence – business units own risk; the risk, compliance and finance functions provide oversight; internal audit provides independent assurance – under a Board-level Risk Management Committee supported by the Audit Committee, the Asset Liability Committee (ALCO), the IT Strategy Committee, a Wilful Default Review Committee and a Special Committee for monitoring frauds. The Board has adopted an ICAAP policy, a Fraud Risk Management and Fraud Investigation Policy, a whistle-blower policy, a compensation policy aligned to the RBI circular of 29 April 2022 and a related-party transaction policy.</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139"/>
        <w:gridCol w:w="3175"/>
        <w:gridCol w:w="4417"/>
      </w:tblGrid>
      <w:tr w:rsidR="007F373F">
        <w:trPr>
          <w:jc w:val="center"/>
        </w:trPr>
        <w:tc>
          <w:tcPr>
            <w:tcW w:w="2139" w:type="dxa"/>
          </w:tcPr>
          <w:p w:rsidR="007F373F" w:rsidRDefault="00000000">
            <w:pPr>
              <w:spacing w:after="0"/>
              <w:jc w:val="left"/>
            </w:pPr>
            <w:r>
              <w:rPr>
                <w:b/>
                <w:sz w:val="18"/>
              </w:rPr>
              <w:t>Risk category (FY26 MD&amp;A)</w:t>
            </w:r>
          </w:p>
        </w:tc>
        <w:tc>
          <w:tcPr>
            <w:tcW w:w="3175" w:type="dxa"/>
          </w:tcPr>
          <w:p w:rsidR="007F373F" w:rsidRDefault="00000000">
            <w:pPr>
              <w:spacing w:after="0"/>
              <w:jc w:val="left"/>
            </w:pPr>
            <w:r>
              <w:rPr>
                <w:b/>
                <w:sz w:val="18"/>
              </w:rPr>
              <w:t>Description given by the company</w:t>
            </w:r>
          </w:p>
        </w:tc>
        <w:tc>
          <w:tcPr>
            <w:tcW w:w="4417" w:type="dxa"/>
          </w:tcPr>
          <w:p w:rsidR="007F373F" w:rsidRDefault="00000000">
            <w:pPr>
              <w:spacing w:after="0"/>
              <w:jc w:val="left"/>
            </w:pPr>
            <w:r>
              <w:rPr>
                <w:b/>
                <w:sz w:val="18"/>
              </w:rPr>
              <w:t>Mitigation disclosed</w:t>
            </w:r>
          </w:p>
        </w:tc>
      </w:tr>
      <w:tr w:rsidR="007F373F">
        <w:trPr>
          <w:jc w:val="center"/>
        </w:trPr>
        <w:tc>
          <w:tcPr>
            <w:tcW w:w="2139" w:type="dxa"/>
          </w:tcPr>
          <w:p w:rsidR="007F373F" w:rsidRDefault="00000000">
            <w:pPr>
              <w:spacing w:after="0"/>
              <w:jc w:val="left"/>
            </w:pPr>
            <w:r>
              <w:rPr>
                <w:sz w:val="18"/>
              </w:rPr>
              <w:t>Credit risk</w:t>
            </w:r>
          </w:p>
        </w:tc>
        <w:tc>
          <w:tcPr>
            <w:tcW w:w="3175" w:type="dxa"/>
          </w:tcPr>
          <w:p w:rsidR="007F373F" w:rsidRDefault="00000000">
            <w:pPr>
              <w:spacing w:after="0"/>
              <w:jc w:val="left"/>
            </w:pPr>
            <w:r>
              <w:rPr>
                <w:sz w:val="18"/>
              </w:rPr>
              <w:t>Borrower default on gold, mortgage and legacy business loans</w:t>
            </w:r>
          </w:p>
        </w:tc>
        <w:tc>
          <w:tcPr>
            <w:tcW w:w="4417" w:type="dxa"/>
          </w:tcPr>
          <w:p w:rsidR="007F373F" w:rsidRDefault="00000000">
            <w:pPr>
              <w:spacing w:after="0"/>
              <w:jc w:val="left"/>
            </w:pPr>
            <w:r>
              <w:rPr>
                <w:sz w:val="18"/>
              </w:rPr>
              <w:t>Secured lending (98.9% of AUM), LTV discipline, BRE-based underwriting, bureau thresholds, early-warning signals, in-house collections, ECL provisioning</w:t>
            </w:r>
          </w:p>
        </w:tc>
      </w:tr>
      <w:tr w:rsidR="007F373F">
        <w:trPr>
          <w:jc w:val="center"/>
        </w:trPr>
        <w:tc>
          <w:tcPr>
            <w:tcW w:w="2139" w:type="dxa"/>
          </w:tcPr>
          <w:p w:rsidR="007F373F" w:rsidRDefault="00000000">
            <w:pPr>
              <w:spacing w:after="0"/>
              <w:jc w:val="left"/>
            </w:pPr>
            <w:r>
              <w:rPr>
                <w:sz w:val="18"/>
              </w:rPr>
              <w:t>Liquidity risk</w:t>
            </w:r>
          </w:p>
        </w:tc>
        <w:tc>
          <w:tcPr>
            <w:tcW w:w="3175" w:type="dxa"/>
          </w:tcPr>
          <w:p w:rsidR="007F373F" w:rsidRDefault="00000000">
            <w:pPr>
              <w:spacing w:after="0"/>
              <w:jc w:val="left"/>
            </w:pPr>
            <w:r>
              <w:rPr>
                <w:sz w:val="18"/>
              </w:rPr>
              <w:t>Inability to meet obligations as they fall due or to refinance</w:t>
            </w:r>
          </w:p>
        </w:tc>
        <w:tc>
          <w:tcPr>
            <w:tcW w:w="4417" w:type="dxa"/>
          </w:tcPr>
          <w:p w:rsidR="007F373F" w:rsidRDefault="00000000">
            <w:pPr>
              <w:spacing w:after="0"/>
              <w:jc w:val="left"/>
            </w:pPr>
            <w:r>
              <w:rPr>
                <w:sz w:val="18"/>
              </w:rPr>
              <w:t>ALCO; structural-liquidity buckets; 41 lenders; cash ₹1,340 crore; undrawn lines; CP/NCD/ECB diversification</w:t>
            </w:r>
          </w:p>
        </w:tc>
      </w:tr>
      <w:tr w:rsidR="007F373F">
        <w:trPr>
          <w:jc w:val="center"/>
        </w:trPr>
        <w:tc>
          <w:tcPr>
            <w:tcW w:w="2139" w:type="dxa"/>
          </w:tcPr>
          <w:p w:rsidR="007F373F" w:rsidRDefault="00000000">
            <w:pPr>
              <w:spacing w:after="0"/>
              <w:jc w:val="left"/>
            </w:pPr>
            <w:r>
              <w:rPr>
                <w:sz w:val="18"/>
              </w:rPr>
              <w:t>Market risk</w:t>
            </w:r>
          </w:p>
        </w:tc>
        <w:tc>
          <w:tcPr>
            <w:tcW w:w="3175" w:type="dxa"/>
          </w:tcPr>
          <w:p w:rsidR="007F373F" w:rsidRDefault="00000000">
            <w:pPr>
              <w:spacing w:after="0"/>
              <w:jc w:val="left"/>
            </w:pPr>
            <w:r>
              <w:rPr>
                <w:sz w:val="18"/>
              </w:rPr>
              <w:t>Interest-rate, gold-price and foreign-exchange movements</w:t>
            </w:r>
          </w:p>
        </w:tc>
        <w:tc>
          <w:tcPr>
            <w:tcW w:w="4417" w:type="dxa"/>
          </w:tcPr>
          <w:p w:rsidR="007F373F" w:rsidRDefault="00000000">
            <w:pPr>
              <w:spacing w:after="0"/>
              <w:jc w:val="left"/>
            </w:pPr>
            <w:r>
              <w:rPr>
                <w:sz w:val="18"/>
              </w:rPr>
              <w:t>40% fixed-rate borrowings; daily gold-price tracking and LTV triggers; ECBs fully hedged with cross-currency swaps</w:t>
            </w:r>
          </w:p>
        </w:tc>
      </w:tr>
      <w:tr w:rsidR="007F373F">
        <w:trPr>
          <w:jc w:val="center"/>
        </w:trPr>
        <w:tc>
          <w:tcPr>
            <w:tcW w:w="2139" w:type="dxa"/>
          </w:tcPr>
          <w:p w:rsidR="007F373F" w:rsidRDefault="00000000">
            <w:pPr>
              <w:spacing w:after="0"/>
              <w:jc w:val="left"/>
            </w:pPr>
            <w:r>
              <w:rPr>
                <w:sz w:val="18"/>
              </w:rPr>
              <w:t>Operational risk</w:t>
            </w:r>
          </w:p>
        </w:tc>
        <w:tc>
          <w:tcPr>
            <w:tcW w:w="3175" w:type="dxa"/>
          </w:tcPr>
          <w:p w:rsidR="007F373F" w:rsidRDefault="00000000">
            <w:pPr>
              <w:spacing w:after="0"/>
              <w:jc w:val="left"/>
            </w:pPr>
            <w:r>
              <w:rPr>
                <w:sz w:val="18"/>
              </w:rPr>
              <w:t>Process failures, people errors, custody losses, system outages</w:t>
            </w:r>
          </w:p>
        </w:tc>
        <w:tc>
          <w:tcPr>
            <w:tcW w:w="4417" w:type="dxa"/>
          </w:tcPr>
          <w:p w:rsidR="007F373F" w:rsidRDefault="00000000">
            <w:pPr>
              <w:spacing w:after="0"/>
              <w:jc w:val="left"/>
            </w:pPr>
            <w:r>
              <w:rPr>
                <w:sz w:val="18"/>
              </w:rPr>
              <w:t>Standard operating procedures, maker-checker, insurance, audits, security-box prototype, business continuity</w:t>
            </w:r>
          </w:p>
        </w:tc>
      </w:tr>
      <w:tr w:rsidR="007F373F">
        <w:trPr>
          <w:jc w:val="center"/>
        </w:trPr>
        <w:tc>
          <w:tcPr>
            <w:tcW w:w="2139" w:type="dxa"/>
          </w:tcPr>
          <w:p w:rsidR="007F373F" w:rsidRDefault="00000000">
            <w:pPr>
              <w:spacing w:after="0"/>
              <w:jc w:val="left"/>
            </w:pPr>
            <w:r>
              <w:rPr>
                <w:sz w:val="18"/>
              </w:rPr>
              <w:t>Fraud risk</w:t>
            </w:r>
          </w:p>
        </w:tc>
        <w:tc>
          <w:tcPr>
            <w:tcW w:w="3175" w:type="dxa"/>
          </w:tcPr>
          <w:p w:rsidR="007F373F" w:rsidRDefault="00000000">
            <w:pPr>
              <w:spacing w:after="0"/>
              <w:jc w:val="left"/>
            </w:pPr>
            <w:r>
              <w:rPr>
                <w:sz w:val="18"/>
              </w:rPr>
              <w:t>Internal or external fraud (gold purity, identity, documentation)</w:t>
            </w:r>
          </w:p>
        </w:tc>
        <w:tc>
          <w:tcPr>
            <w:tcW w:w="4417" w:type="dxa"/>
          </w:tcPr>
          <w:p w:rsidR="007F373F" w:rsidRDefault="00000000">
            <w:pPr>
              <w:spacing w:after="0"/>
              <w:jc w:val="left"/>
            </w:pPr>
            <w:r>
              <w:rPr>
                <w:sz w:val="18"/>
              </w:rPr>
              <w:t>Multi-layered prevention: due diligence, authentication checks, AI analytics; ₹110 lakh reported in FY26</w:t>
            </w:r>
          </w:p>
        </w:tc>
      </w:tr>
      <w:tr w:rsidR="007F373F">
        <w:trPr>
          <w:jc w:val="center"/>
        </w:trPr>
        <w:tc>
          <w:tcPr>
            <w:tcW w:w="2139" w:type="dxa"/>
          </w:tcPr>
          <w:p w:rsidR="007F373F" w:rsidRDefault="00000000">
            <w:pPr>
              <w:spacing w:after="0"/>
              <w:jc w:val="left"/>
            </w:pPr>
            <w:r>
              <w:rPr>
                <w:sz w:val="18"/>
              </w:rPr>
              <w:t>Technology and cyber risk</w:t>
            </w:r>
          </w:p>
        </w:tc>
        <w:tc>
          <w:tcPr>
            <w:tcW w:w="3175" w:type="dxa"/>
          </w:tcPr>
          <w:p w:rsidR="007F373F" w:rsidRDefault="00000000">
            <w:pPr>
              <w:spacing w:after="0"/>
              <w:jc w:val="left"/>
            </w:pPr>
            <w:r>
              <w:rPr>
                <w:sz w:val="18"/>
              </w:rPr>
              <w:t>Data breaches, ransomware, system compromise</w:t>
            </w:r>
          </w:p>
        </w:tc>
        <w:tc>
          <w:tcPr>
            <w:tcW w:w="4417" w:type="dxa"/>
          </w:tcPr>
          <w:p w:rsidR="007F373F" w:rsidRDefault="00000000">
            <w:pPr>
              <w:spacing w:after="0"/>
              <w:jc w:val="left"/>
            </w:pPr>
            <w:r>
              <w:rPr>
                <w:sz w:val="18"/>
              </w:rPr>
              <w:t>Zero Trust, MFA, EDR/XDR, VAPT, red-teaming, vendor risk management; IT Strategy Committee</w:t>
            </w:r>
          </w:p>
        </w:tc>
      </w:tr>
      <w:tr w:rsidR="007F373F">
        <w:trPr>
          <w:jc w:val="center"/>
        </w:trPr>
        <w:tc>
          <w:tcPr>
            <w:tcW w:w="2139" w:type="dxa"/>
          </w:tcPr>
          <w:p w:rsidR="007F373F" w:rsidRDefault="00000000">
            <w:pPr>
              <w:spacing w:after="0"/>
              <w:jc w:val="left"/>
            </w:pPr>
            <w:r>
              <w:rPr>
                <w:sz w:val="18"/>
              </w:rPr>
              <w:t>Regulatory and compliance risk</w:t>
            </w:r>
          </w:p>
        </w:tc>
        <w:tc>
          <w:tcPr>
            <w:tcW w:w="3175" w:type="dxa"/>
          </w:tcPr>
          <w:p w:rsidR="007F373F" w:rsidRDefault="00000000">
            <w:pPr>
              <w:spacing w:after="0"/>
              <w:jc w:val="left"/>
            </w:pPr>
            <w:r>
              <w:rPr>
                <w:sz w:val="18"/>
              </w:rPr>
              <w:t>Breach of RBI/SEBI/Companies Act requirements; regulatory change</w:t>
            </w:r>
          </w:p>
        </w:tc>
        <w:tc>
          <w:tcPr>
            <w:tcW w:w="4417" w:type="dxa"/>
          </w:tcPr>
          <w:p w:rsidR="007F373F" w:rsidRDefault="00000000">
            <w:pPr>
              <w:spacing w:after="0"/>
              <w:jc w:val="left"/>
            </w:pPr>
            <w:r>
              <w:rPr>
                <w:sz w:val="18"/>
              </w:rPr>
              <w:t>Compliance function, secretarial audit, internal ombudsman, policy framework; gold-loan directions readiness</w:t>
            </w:r>
          </w:p>
        </w:tc>
      </w:tr>
      <w:tr w:rsidR="007F373F">
        <w:trPr>
          <w:jc w:val="center"/>
        </w:trPr>
        <w:tc>
          <w:tcPr>
            <w:tcW w:w="2139" w:type="dxa"/>
          </w:tcPr>
          <w:p w:rsidR="007F373F" w:rsidRDefault="00000000">
            <w:pPr>
              <w:spacing w:after="0"/>
              <w:jc w:val="left"/>
            </w:pPr>
            <w:r>
              <w:rPr>
                <w:sz w:val="18"/>
              </w:rPr>
              <w:t>Reputational risk</w:t>
            </w:r>
          </w:p>
        </w:tc>
        <w:tc>
          <w:tcPr>
            <w:tcW w:w="3175" w:type="dxa"/>
          </w:tcPr>
          <w:p w:rsidR="007F373F" w:rsidRDefault="00000000">
            <w:pPr>
              <w:spacing w:after="0"/>
              <w:jc w:val="left"/>
            </w:pPr>
            <w:r>
              <w:rPr>
                <w:sz w:val="18"/>
              </w:rPr>
              <w:t>Loss of stakeholder trust from conduct or service failures</w:t>
            </w:r>
          </w:p>
        </w:tc>
        <w:tc>
          <w:tcPr>
            <w:tcW w:w="4417" w:type="dxa"/>
          </w:tcPr>
          <w:p w:rsidR="007F373F" w:rsidRDefault="00000000">
            <w:pPr>
              <w:spacing w:after="0"/>
              <w:jc w:val="left"/>
            </w:pPr>
            <w:r>
              <w:rPr>
                <w:sz w:val="18"/>
              </w:rPr>
              <w:t>Fair-practices code, grievance redressal, transparent auctions, CSAT monitoring</w:t>
            </w:r>
          </w:p>
        </w:tc>
      </w:tr>
      <w:tr w:rsidR="007F373F">
        <w:trPr>
          <w:jc w:val="center"/>
        </w:trPr>
        <w:tc>
          <w:tcPr>
            <w:tcW w:w="2139" w:type="dxa"/>
          </w:tcPr>
          <w:p w:rsidR="007F373F" w:rsidRDefault="00000000">
            <w:pPr>
              <w:spacing w:after="0"/>
              <w:jc w:val="left"/>
            </w:pPr>
            <w:r>
              <w:rPr>
                <w:sz w:val="18"/>
              </w:rPr>
              <w:t>Strategic / concentration risk</w:t>
            </w:r>
          </w:p>
        </w:tc>
        <w:tc>
          <w:tcPr>
            <w:tcW w:w="3175" w:type="dxa"/>
          </w:tcPr>
          <w:p w:rsidR="007F373F" w:rsidRDefault="00000000">
            <w:pPr>
              <w:spacing w:after="0"/>
              <w:jc w:val="left"/>
            </w:pPr>
            <w:r>
              <w:rPr>
                <w:sz w:val="18"/>
              </w:rPr>
              <w:t>Product or geographic concentration; execution of Fedfina 2.0</w:t>
            </w:r>
          </w:p>
        </w:tc>
        <w:tc>
          <w:tcPr>
            <w:tcW w:w="4417" w:type="dxa"/>
          </w:tcPr>
          <w:p w:rsidR="007F373F" w:rsidRDefault="00000000">
            <w:pPr>
              <w:spacing w:after="0"/>
              <w:jc w:val="left"/>
            </w:pPr>
            <w:r>
              <w:rPr>
                <w:sz w:val="18"/>
              </w:rPr>
              <w:t>Twin-engine model; 17-state footprint; top-5 states 75.1% of AUM; Board oversight</w:t>
            </w:r>
          </w:p>
        </w:tc>
      </w:tr>
      <w:tr w:rsidR="007F373F">
        <w:trPr>
          <w:jc w:val="center"/>
        </w:trPr>
        <w:tc>
          <w:tcPr>
            <w:tcW w:w="2139" w:type="dxa"/>
          </w:tcPr>
          <w:p w:rsidR="007F373F" w:rsidRDefault="00000000">
            <w:pPr>
              <w:spacing w:after="0"/>
              <w:jc w:val="left"/>
            </w:pPr>
            <w:r>
              <w:rPr>
                <w:sz w:val="18"/>
              </w:rPr>
              <w:t>ESG / climate risk</w:t>
            </w:r>
          </w:p>
        </w:tc>
        <w:tc>
          <w:tcPr>
            <w:tcW w:w="3175" w:type="dxa"/>
          </w:tcPr>
          <w:p w:rsidR="007F373F" w:rsidRDefault="00000000">
            <w:pPr>
              <w:spacing w:after="0"/>
              <w:jc w:val="left"/>
            </w:pPr>
            <w:r>
              <w:rPr>
                <w:sz w:val="18"/>
              </w:rPr>
              <w:t>Physical and transition climate risks; social licence</w:t>
            </w:r>
          </w:p>
        </w:tc>
        <w:tc>
          <w:tcPr>
            <w:tcW w:w="4417" w:type="dxa"/>
          </w:tcPr>
          <w:p w:rsidR="007F373F" w:rsidRDefault="00000000">
            <w:pPr>
              <w:spacing w:after="0"/>
              <w:jc w:val="left"/>
            </w:pPr>
            <w:r>
              <w:rPr>
                <w:sz w:val="18"/>
              </w:rPr>
              <w:t>Climate-risk assessment conducted; emission-intensity reduction; green-loan exploration</w:t>
            </w:r>
          </w:p>
        </w:tc>
      </w:tr>
    </w:tbl>
    <w:p w:rsidR="007F373F" w:rsidRDefault="00000000">
      <w:pPr>
        <w:spacing w:before="40" w:after="80"/>
      </w:pPr>
      <w:r>
        <w:rPr>
          <w:i/>
          <w:sz w:val="18"/>
        </w:rPr>
        <w:t>Source: Fedfina Annual Report 2025-26, MD&amp;A – Risk Management section and ‘Risks and concerns’ table; Directors’ Report; Report on Corporate Governance.</w:t>
      </w:r>
    </w:p>
    <w:p w:rsidR="007F373F" w:rsidRDefault="00000000">
      <w:pPr>
        <w:pStyle w:val="Heading2"/>
      </w:pPr>
      <w:r>
        <w:t>Assurance and oversight indicators FY26</w:t>
      </w:r>
    </w:p>
    <w:tbl>
      <w:tblPr>
        <w:tblW w:w="0" w:type="auto"/>
        <w:jc w:val="center"/>
        <w:tblCellMar>
          <w:top w:w="40" w:type="dxa"/>
          <w:left w:w="60" w:type="dxa"/>
          <w:bottom w:w="40" w:type="dxa"/>
          <w:right w:w="60" w:type="dxa"/>
        </w:tblCellMar>
        <w:tblLook w:val="04A0" w:firstRow="1" w:lastRow="0" w:firstColumn="1" w:lastColumn="0" w:noHBand="0" w:noVBand="1"/>
      </w:tblPr>
      <w:tblGrid>
        <w:gridCol w:w="1624"/>
        <w:gridCol w:w="1624"/>
        <w:gridCol w:w="1624"/>
        <w:gridCol w:w="1624"/>
        <w:gridCol w:w="1624"/>
        <w:gridCol w:w="1624"/>
      </w:tblGrid>
      <w:tr w:rsidR="007F373F">
        <w:trPr>
          <w:jc w:val="center"/>
        </w:trPr>
        <w:tc>
          <w:tcPr>
            <w:tcW w:w="1624" w:type="dxa"/>
          </w:tcPr>
          <w:p w:rsidR="007F373F" w:rsidRDefault="00000000">
            <w:pPr>
              <w:spacing w:after="0"/>
              <w:jc w:val="center"/>
            </w:pPr>
            <w:r>
              <w:rPr>
                <w:b/>
                <w:sz w:val="26"/>
              </w:rPr>
              <w:t>11</w:t>
            </w:r>
          </w:p>
          <w:p w:rsidR="007F373F" w:rsidRDefault="00000000">
            <w:pPr>
              <w:spacing w:after="0"/>
              <w:jc w:val="center"/>
            </w:pPr>
            <w:r>
              <w:rPr>
                <w:sz w:val="18"/>
              </w:rPr>
              <w:t>Board meetings</w:t>
            </w:r>
          </w:p>
        </w:tc>
        <w:tc>
          <w:tcPr>
            <w:tcW w:w="1624" w:type="dxa"/>
          </w:tcPr>
          <w:p w:rsidR="007F373F" w:rsidRDefault="00000000">
            <w:pPr>
              <w:spacing w:after="0"/>
              <w:jc w:val="center"/>
            </w:pPr>
            <w:r>
              <w:rPr>
                <w:b/>
                <w:sz w:val="26"/>
              </w:rPr>
              <w:t>4</w:t>
            </w:r>
          </w:p>
          <w:p w:rsidR="007F373F" w:rsidRDefault="00000000">
            <w:pPr>
              <w:spacing w:after="0"/>
              <w:jc w:val="center"/>
            </w:pPr>
            <w:r>
              <w:rPr>
                <w:sz w:val="18"/>
              </w:rPr>
              <w:t>IT Strategy Committee meetings</w:t>
            </w:r>
          </w:p>
        </w:tc>
        <w:tc>
          <w:tcPr>
            <w:tcW w:w="1624" w:type="dxa"/>
          </w:tcPr>
          <w:p w:rsidR="007F373F" w:rsidRDefault="00000000">
            <w:pPr>
              <w:spacing w:after="0"/>
              <w:jc w:val="center"/>
            </w:pPr>
            <w:r>
              <w:rPr>
                <w:b/>
                <w:sz w:val="26"/>
              </w:rPr>
              <w:t>16 (3)</w:t>
            </w:r>
          </w:p>
          <w:p w:rsidR="007F373F" w:rsidRDefault="00000000">
            <w:pPr>
              <w:spacing w:after="0"/>
              <w:jc w:val="center"/>
            </w:pPr>
            <w:r>
              <w:rPr>
                <w:sz w:val="18"/>
              </w:rPr>
              <w:t>Whistle-blower complaints (vigil)</w:t>
            </w:r>
          </w:p>
        </w:tc>
        <w:tc>
          <w:tcPr>
            <w:tcW w:w="1624" w:type="dxa"/>
          </w:tcPr>
          <w:p w:rsidR="007F373F" w:rsidRDefault="00000000">
            <w:pPr>
              <w:spacing w:after="0"/>
              <w:jc w:val="center"/>
            </w:pPr>
            <w:r>
              <w:rPr>
                <w:b/>
                <w:sz w:val="26"/>
              </w:rPr>
              <w:t>Nil</w:t>
            </w:r>
          </w:p>
          <w:p w:rsidR="007F373F" w:rsidRDefault="00000000">
            <w:pPr>
              <w:spacing w:after="0"/>
              <w:jc w:val="center"/>
            </w:pPr>
            <w:r>
              <w:rPr>
                <w:sz w:val="18"/>
              </w:rPr>
              <w:t>Audit / secretarial qualifications</w:t>
            </w:r>
          </w:p>
        </w:tc>
        <w:tc>
          <w:tcPr>
            <w:tcW w:w="1624" w:type="dxa"/>
          </w:tcPr>
          <w:p w:rsidR="007F373F" w:rsidRDefault="00000000">
            <w:pPr>
              <w:spacing w:after="0"/>
              <w:jc w:val="center"/>
            </w:pPr>
            <w:r>
              <w:rPr>
                <w:b/>
                <w:sz w:val="26"/>
              </w:rPr>
              <w:t>₹110 lakh</w:t>
            </w:r>
          </w:p>
          <w:p w:rsidR="007F373F" w:rsidRDefault="00000000">
            <w:pPr>
              <w:spacing w:after="0"/>
              <w:jc w:val="center"/>
            </w:pPr>
            <w:r>
              <w:rPr>
                <w:sz w:val="18"/>
              </w:rPr>
              <w:t>Frauds reported to RBI</w:t>
            </w:r>
          </w:p>
        </w:tc>
        <w:tc>
          <w:tcPr>
            <w:tcW w:w="1624" w:type="dxa"/>
          </w:tcPr>
          <w:p w:rsidR="007F373F" w:rsidRDefault="00000000">
            <w:pPr>
              <w:spacing w:after="0"/>
              <w:jc w:val="center"/>
            </w:pPr>
            <w:r>
              <w:rPr>
                <w:b/>
                <w:sz w:val="26"/>
              </w:rPr>
              <w:t>0.47%</w:t>
            </w:r>
          </w:p>
          <w:p w:rsidR="007F373F" w:rsidRDefault="00000000">
            <w:pPr>
              <w:spacing w:after="0"/>
              <w:jc w:val="center"/>
            </w:pPr>
            <w:r>
              <w:rPr>
                <w:sz w:val="18"/>
              </w:rPr>
              <w:t>Top-20 borrowers / advances</w:t>
            </w:r>
          </w:p>
        </w:tc>
      </w:tr>
    </w:tbl>
    <w:p w:rsidR="007F373F" w:rsidRDefault="007F373F">
      <w:pPr>
        <w:spacing w:after="40"/>
      </w:pPr>
    </w:p>
    <w:p w:rsidR="007F373F" w:rsidRDefault="00000000">
      <w:r>
        <w:t>Assessment. The architecture is standard for a Middle-Layer NBFC and is now tested: the FY25 stress revealed a gap (collections lagging growth) that the framework detected late but then remediated within a year through structural changes rather than cosmetic ones. The pages that follow examine each risk with the quantitative disclosures available.</w:t>
      </w:r>
    </w:p>
    <w:p w:rsidR="007F373F" w:rsidRDefault="00000000">
      <w:pPr>
        <w:pStyle w:val="Heading1"/>
        <w:pageBreakBefore/>
      </w:pPr>
      <w:r>
        <w:lastRenderedPageBreak/>
        <w:t>Credit Risk</w:t>
      </w:r>
    </w:p>
    <w:p w:rsidR="007F373F" w:rsidRDefault="00000000">
      <w:r>
        <w:t>Credit risk is the risk that borrowers fail to repay. For Fedfina it has three distinct faces: gold loans, where the collateral almost always covers the exposure and the residual risk is price and fraud; mortgage loans, where default is low but resolution is slow and costly; and the legacy unsecured book, which has now been exited. The FY26 data show the result of moving the mix towards the first two.</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727"/>
        <w:gridCol w:w="1242"/>
        <w:gridCol w:w="1518"/>
        <w:gridCol w:w="1794"/>
        <w:gridCol w:w="1449"/>
      </w:tblGrid>
      <w:tr w:rsidR="007F373F">
        <w:trPr>
          <w:jc w:val="center"/>
        </w:trPr>
        <w:tc>
          <w:tcPr>
            <w:tcW w:w="3727" w:type="dxa"/>
          </w:tcPr>
          <w:p w:rsidR="007F373F" w:rsidRDefault="00000000">
            <w:pPr>
              <w:spacing w:after="0"/>
              <w:jc w:val="left"/>
            </w:pPr>
            <w:r>
              <w:rPr>
                <w:b/>
                <w:sz w:val="19"/>
              </w:rPr>
              <w:t>Indicator</w:t>
            </w:r>
          </w:p>
        </w:tc>
        <w:tc>
          <w:tcPr>
            <w:tcW w:w="1242" w:type="dxa"/>
          </w:tcPr>
          <w:p w:rsidR="007F373F" w:rsidRDefault="00000000">
            <w:pPr>
              <w:spacing w:after="0"/>
              <w:jc w:val="left"/>
            </w:pPr>
            <w:r>
              <w:rPr>
                <w:b/>
                <w:sz w:val="19"/>
              </w:rPr>
              <w:t>FY24</w:t>
            </w:r>
          </w:p>
        </w:tc>
        <w:tc>
          <w:tcPr>
            <w:tcW w:w="1518" w:type="dxa"/>
          </w:tcPr>
          <w:p w:rsidR="007F373F" w:rsidRDefault="00000000">
            <w:pPr>
              <w:spacing w:after="0"/>
              <w:jc w:val="left"/>
            </w:pPr>
            <w:r>
              <w:rPr>
                <w:b/>
                <w:sz w:val="19"/>
              </w:rPr>
              <w:t>FY25</w:t>
            </w:r>
          </w:p>
        </w:tc>
        <w:tc>
          <w:tcPr>
            <w:tcW w:w="1794" w:type="dxa"/>
          </w:tcPr>
          <w:p w:rsidR="007F373F" w:rsidRDefault="00000000">
            <w:pPr>
              <w:spacing w:after="0"/>
              <w:jc w:val="left"/>
            </w:pPr>
            <w:r>
              <w:rPr>
                <w:b/>
                <w:sz w:val="19"/>
              </w:rPr>
              <w:t>FY26</w:t>
            </w:r>
          </w:p>
        </w:tc>
        <w:tc>
          <w:tcPr>
            <w:tcW w:w="1449" w:type="dxa"/>
          </w:tcPr>
          <w:p w:rsidR="007F373F" w:rsidRDefault="00000000">
            <w:pPr>
              <w:spacing w:after="0"/>
              <w:jc w:val="left"/>
            </w:pPr>
            <w:r>
              <w:rPr>
                <w:b/>
                <w:sz w:val="19"/>
              </w:rPr>
              <w:t>Direction</w:t>
            </w:r>
          </w:p>
        </w:tc>
      </w:tr>
      <w:tr w:rsidR="007F373F">
        <w:trPr>
          <w:jc w:val="center"/>
        </w:trPr>
        <w:tc>
          <w:tcPr>
            <w:tcW w:w="3727" w:type="dxa"/>
          </w:tcPr>
          <w:p w:rsidR="007F373F" w:rsidRDefault="00000000">
            <w:pPr>
              <w:spacing w:after="0"/>
              <w:jc w:val="left"/>
            </w:pPr>
            <w:r>
              <w:rPr>
                <w:sz w:val="19"/>
              </w:rPr>
              <w:t>GNPA / NNPA (%)</w:t>
            </w:r>
          </w:p>
        </w:tc>
        <w:tc>
          <w:tcPr>
            <w:tcW w:w="1242" w:type="dxa"/>
          </w:tcPr>
          <w:p w:rsidR="007F373F" w:rsidRDefault="00000000">
            <w:pPr>
              <w:spacing w:after="0"/>
              <w:jc w:val="left"/>
            </w:pPr>
            <w:r>
              <w:rPr>
                <w:sz w:val="19"/>
              </w:rPr>
              <w:t>1.7 / 1.3</w:t>
            </w:r>
          </w:p>
        </w:tc>
        <w:tc>
          <w:tcPr>
            <w:tcW w:w="1518" w:type="dxa"/>
          </w:tcPr>
          <w:p w:rsidR="007F373F" w:rsidRDefault="00000000">
            <w:pPr>
              <w:spacing w:after="0"/>
              <w:jc w:val="left"/>
            </w:pPr>
            <w:r>
              <w:rPr>
                <w:sz w:val="19"/>
              </w:rPr>
              <w:t>2.0 / 1.2</w:t>
            </w:r>
          </w:p>
        </w:tc>
        <w:tc>
          <w:tcPr>
            <w:tcW w:w="1794" w:type="dxa"/>
          </w:tcPr>
          <w:p w:rsidR="007F373F" w:rsidRDefault="00000000">
            <w:pPr>
              <w:spacing w:after="0"/>
              <w:jc w:val="left"/>
            </w:pPr>
            <w:r>
              <w:rPr>
                <w:sz w:val="19"/>
              </w:rPr>
              <w:t>1.9 / 1.3</w:t>
            </w:r>
          </w:p>
        </w:tc>
        <w:tc>
          <w:tcPr>
            <w:tcW w:w="1449" w:type="dxa"/>
          </w:tcPr>
          <w:p w:rsidR="007F373F" w:rsidRDefault="00000000">
            <w:pPr>
              <w:spacing w:after="0"/>
              <w:jc w:val="left"/>
            </w:pPr>
            <w:r>
              <w:rPr>
                <w:sz w:val="19"/>
              </w:rPr>
              <w:t>Stable</w:t>
            </w:r>
          </w:p>
        </w:tc>
      </w:tr>
      <w:tr w:rsidR="007F373F">
        <w:trPr>
          <w:jc w:val="center"/>
        </w:trPr>
        <w:tc>
          <w:tcPr>
            <w:tcW w:w="3727" w:type="dxa"/>
          </w:tcPr>
          <w:p w:rsidR="007F373F" w:rsidRDefault="00000000">
            <w:pPr>
              <w:spacing w:after="0"/>
              <w:jc w:val="left"/>
            </w:pPr>
            <w:r>
              <w:rPr>
                <w:sz w:val="19"/>
              </w:rPr>
              <w:t>Provision coverage ratio (%)</w:t>
            </w:r>
          </w:p>
        </w:tc>
        <w:tc>
          <w:tcPr>
            <w:tcW w:w="1242" w:type="dxa"/>
          </w:tcPr>
          <w:p w:rsidR="007F373F" w:rsidRDefault="00000000">
            <w:pPr>
              <w:spacing w:after="0"/>
              <w:jc w:val="right"/>
            </w:pPr>
            <w:r>
              <w:rPr>
                <w:sz w:val="19"/>
              </w:rPr>
              <w:t>20.4</w:t>
            </w:r>
          </w:p>
        </w:tc>
        <w:tc>
          <w:tcPr>
            <w:tcW w:w="1518" w:type="dxa"/>
          </w:tcPr>
          <w:p w:rsidR="007F373F" w:rsidRDefault="00000000">
            <w:pPr>
              <w:spacing w:after="0"/>
              <w:jc w:val="right"/>
            </w:pPr>
            <w:r>
              <w:rPr>
                <w:sz w:val="19"/>
              </w:rPr>
              <w:t>40.0</w:t>
            </w:r>
          </w:p>
        </w:tc>
        <w:tc>
          <w:tcPr>
            <w:tcW w:w="1794" w:type="dxa"/>
          </w:tcPr>
          <w:p w:rsidR="007F373F" w:rsidRDefault="00000000">
            <w:pPr>
              <w:spacing w:after="0"/>
              <w:jc w:val="right"/>
            </w:pPr>
            <w:r>
              <w:rPr>
                <w:sz w:val="19"/>
              </w:rPr>
              <w:t>32.3</w:t>
            </w:r>
          </w:p>
        </w:tc>
        <w:tc>
          <w:tcPr>
            <w:tcW w:w="1449" w:type="dxa"/>
          </w:tcPr>
          <w:p w:rsidR="007F373F" w:rsidRDefault="00000000">
            <w:pPr>
              <w:spacing w:after="0"/>
              <w:jc w:val="left"/>
            </w:pPr>
            <w:r>
              <w:rPr>
                <w:sz w:val="19"/>
              </w:rPr>
              <w:t>Lower after write-offs/ARC sales</w:t>
            </w:r>
          </w:p>
        </w:tc>
      </w:tr>
      <w:tr w:rsidR="007F373F">
        <w:trPr>
          <w:jc w:val="center"/>
        </w:trPr>
        <w:tc>
          <w:tcPr>
            <w:tcW w:w="3727" w:type="dxa"/>
          </w:tcPr>
          <w:p w:rsidR="007F373F" w:rsidRDefault="00000000">
            <w:pPr>
              <w:spacing w:after="0"/>
              <w:jc w:val="left"/>
            </w:pPr>
            <w:r>
              <w:rPr>
                <w:sz w:val="19"/>
              </w:rPr>
              <w:t>Credit cost (% average assets)</w:t>
            </w:r>
          </w:p>
        </w:tc>
        <w:tc>
          <w:tcPr>
            <w:tcW w:w="1242" w:type="dxa"/>
          </w:tcPr>
          <w:p w:rsidR="007F373F" w:rsidRDefault="00000000">
            <w:pPr>
              <w:spacing w:after="0"/>
              <w:jc w:val="right"/>
            </w:pPr>
            <w:r>
              <w:rPr>
                <w:sz w:val="19"/>
              </w:rPr>
              <w:t>0.7</w:t>
            </w:r>
          </w:p>
        </w:tc>
        <w:tc>
          <w:tcPr>
            <w:tcW w:w="1518" w:type="dxa"/>
          </w:tcPr>
          <w:p w:rsidR="007F373F" w:rsidRDefault="00000000">
            <w:pPr>
              <w:spacing w:after="0"/>
              <w:jc w:val="right"/>
            </w:pPr>
            <w:r>
              <w:rPr>
                <w:sz w:val="19"/>
              </w:rPr>
              <w:t>1.8</w:t>
            </w:r>
          </w:p>
        </w:tc>
        <w:tc>
          <w:tcPr>
            <w:tcW w:w="1794" w:type="dxa"/>
          </w:tcPr>
          <w:p w:rsidR="007F373F" w:rsidRDefault="00000000">
            <w:pPr>
              <w:spacing w:after="0"/>
              <w:jc w:val="right"/>
            </w:pPr>
            <w:r>
              <w:rPr>
                <w:sz w:val="19"/>
              </w:rPr>
              <w:t>0.8</w:t>
            </w:r>
          </w:p>
        </w:tc>
        <w:tc>
          <w:tcPr>
            <w:tcW w:w="1449" w:type="dxa"/>
          </w:tcPr>
          <w:p w:rsidR="007F373F" w:rsidRDefault="00000000">
            <w:pPr>
              <w:spacing w:after="0"/>
              <w:jc w:val="left"/>
            </w:pPr>
            <w:r>
              <w:rPr>
                <w:sz w:val="19"/>
              </w:rPr>
              <w:t>Normalised</w:t>
            </w:r>
          </w:p>
        </w:tc>
      </w:tr>
      <w:tr w:rsidR="007F373F">
        <w:trPr>
          <w:jc w:val="center"/>
        </w:trPr>
        <w:tc>
          <w:tcPr>
            <w:tcW w:w="3727" w:type="dxa"/>
          </w:tcPr>
          <w:p w:rsidR="007F373F" w:rsidRDefault="00000000">
            <w:pPr>
              <w:spacing w:after="0"/>
              <w:jc w:val="left"/>
            </w:pPr>
            <w:r>
              <w:rPr>
                <w:sz w:val="19"/>
              </w:rPr>
              <w:t>Impairment on financial instruments (₹ crore)</w:t>
            </w:r>
          </w:p>
        </w:tc>
        <w:tc>
          <w:tcPr>
            <w:tcW w:w="1242" w:type="dxa"/>
          </w:tcPr>
          <w:p w:rsidR="007F373F" w:rsidRDefault="00000000">
            <w:pPr>
              <w:spacing w:after="0"/>
              <w:jc w:val="right"/>
            </w:pPr>
            <w:r>
              <w:rPr>
                <w:sz w:val="19"/>
              </w:rPr>
              <w:t>n.a.</w:t>
            </w:r>
          </w:p>
        </w:tc>
        <w:tc>
          <w:tcPr>
            <w:tcW w:w="1518" w:type="dxa"/>
          </w:tcPr>
          <w:p w:rsidR="007F373F" w:rsidRDefault="00000000">
            <w:pPr>
              <w:spacing w:after="0"/>
              <w:jc w:val="right"/>
            </w:pPr>
            <w:r>
              <w:rPr>
                <w:sz w:val="19"/>
              </w:rPr>
              <w:t>216.4</w:t>
            </w:r>
          </w:p>
        </w:tc>
        <w:tc>
          <w:tcPr>
            <w:tcW w:w="1794" w:type="dxa"/>
          </w:tcPr>
          <w:p w:rsidR="007F373F" w:rsidRDefault="00000000">
            <w:pPr>
              <w:spacing w:after="0"/>
              <w:jc w:val="right"/>
            </w:pPr>
            <w:r>
              <w:rPr>
                <w:sz w:val="19"/>
              </w:rPr>
              <w:t>115.3</w:t>
            </w:r>
          </w:p>
        </w:tc>
        <w:tc>
          <w:tcPr>
            <w:tcW w:w="1449" w:type="dxa"/>
          </w:tcPr>
          <w:p w:rsidR="007F373F" w:rsidRDefault="00000000">
            <w:pPr>
              <w:spacing w:after="0"/>
              <w:jc w:val="left"/>
            </w:pPr>
            <w:r>
              <w:rPr>
                <w:sz w:val="19"/>
              </w:rPr>
              <w:t>−47%</w:t>
            </w:r>
          </w:p>
        </w:tc>
      </w:tr>
      <w:tr w:rsidR="007F373F">
        <w:trPr>
          <w:jc w:val="center"/>
        </w:trPr>
        <w:tc>
          <w:tcPr>
            <w:tcW w:w="3727" w:type="dxa"/>
          </w:tcPr>
          <w:p w:rsidR="007F373F" w:rsidRDefault="00000000">
            <w:pPr>
              <w:spacing w:after="0"/>
              <w:jc w:val="left"/>
            </w:pPr>
            <w:r>
              <w:rPr>
                <w:sz w:val="19"/>
              </w:rPr>
              <w:t>Stage 2 + Stage 3 share of amortised book</w:t>
            </w:r>
          </w:p>
        </w:tc>
        <w:tc>
          <w:tcPr>
            <w:tcW w:w="1242" w:type="dxa"/>
          </w:tcPr>
          <w:p w:rsidR="007F373F" w:rsidRDefault="00000000">
            <w:pPr>
              <w:spacing w:after="0"/>
              <w:jc w:val="right"/>
            </w:pPr>
            <w:r>
              <w:rPr>
                <w:sz w:val="19"/>
              </w:rPr>
              <w:t>n.a.</w:t>
            </w:r>
          </w:p>
        </w:tc>
        <w:tc>
          <w:tcPr>
            <w:tcW w:w="1518" w:type="dxa"/>
          </w:tcPr>
          <w:p w:rsidR="007F373F" w:rsidRDefault="00000000">
            <w:pPr>
              <w:spacing w:after="0"/>
              <w:jc w:val="right"/>
            </w:pPr>
            <w:r>
              <w:rPr>
                <w:sz w:val="19"/>
              </w:rPr>
              <w:t>7.4%</w:t>
            </w:r>
          </w:p>
        </w:tc>
        <w:tc>
          <w:tcPr>
            <w:tcW w:w="1794" w:type="dxa"/>
          </w:tcPr>
          <w:p w:rsidR="007F373F" w:rsidRDefault="00000000">
            <w:pPr>
              <w:spacing w:after="0"/>
              <w:jc w:val="right"/>
            </w:pPr>
            <w:r>
              <w:rPr>
                <w:sz w:val="19"/>
              </w:rPr>
              <w:t>3.5%</w:t>
            </w:r>
          </w:p>
        </w:tc>
        <w:tc>
          <w:tcPr>
            <w:tcW w:w="1449" w:type="dxa"/>
          </w:tcPr>
          <w:p w:rsidR="007F373F" w:rsidRDefault="00000000">
            <w:pPr>
              <w:spacing w:after="0"/>
              <w:jc w:val="left"/>
            </w:pPr>
            <w:r>
              <w:rPr>
                <w:sz w:val="19"/>
              </w:rPr>
              <w:t>Halved</w:t>
            </w:r>
          </w:p>
        </w:tc>
      </w:tr>
      <w:tr w:rsidR="007F373F">
        <w:trPr>
          <w:jc w:val="center"/>
        </w:trPr>
        <w:tc>
          <w:tcPr>
            <w:tcW w:w="3727" w:type="dxa"/>
          </w:tcPr>
          <w:p w:rsidR="007F373F" w:rsidRDefault="00000000">
            <w:pPr>
              <w:spacing w:after="0"/>
              <w:jc w:val="left"/>
            </w:pPr>
            <w:r>
              <w:rPr>
                <w:sz w:val="19"/>
              </w:rPr>
              <w:t>Secured share of AUM</w:t>
            </w:r>
          </w:p>
        </w:tc>
        <w:tc>
          <w:tcPr>
            <w:tcW w:w="1242" w:type="dxa"/>
          </w:tcPr>
          <w:p w:rsidR="007F373F" w:rsidRDefault="00000000">
            <w:pPr>
              <w:spacing w:after="0"/>
              <w:jc w:val="left"/>
            </w:pPr>
            <w:r>
              <w:rPr>
                <w:sz w:val="19"/>
              </w:rPr>
              <w:t>≈ 84%</w:t>
            </w:r>
          </w:p>
        </w:tc>
        <w:tc>
          <w:tcPr>
            <w:tcW w:w="1518" w:type="dxa"/>
          </w:tcPr>
          <w:p w:rsidR="007F373F" w:rsidRDefault="00000000">
            <w:pPr>
              <w:spacing w:after="0"/>
              <w:jc w:val="left"/>
            </w:pPr>
            <w:r>
              <w:rPr>
                <w:sz w:val="19"/>
              </w:rPr>
              <w:t>≈ 89%</w:t>
            </w:r>
          </w:p>
        </w:tc>
        <w:tc>
          <w:tcPr>
            <w:tcW w:w="1794" w:type="dxa"/>
          </w:tcPr>
          <w:p w:rsidR="007F373F" w:rsidRDefault="00000000">
            <w:pPr>
              <w:spacing w:after="0"/>
              <w:jc w:val="right"/>
            </w:pPr>
            <w:r>
              <w:rPr>
                <w:sz w:val="19"/>
              </w:rPr>
              <w:t>98.9%</w:t>
            </w:r>
          </w:p>
        </w:tc>
        <w:tc>
          <w:tcPr>
            <w:tcW w:w="1449" w:type="dxa"/>
          </w:tcPr>
          <w:p w:rsidR="007F373F" w:rsidRDefault="00000000">
            <w:pPr>
              <w:spacing w:after="0"/>
              <w:jc w:val="left"/>
            </w:pPr>
            <w:r>
              <w:rPr>
                <w:sz w:val="19"/>
              </w:rPr>
              <w:t>Fully secured</w:t>
            </w:r>
          </w:p>
        </w:tc>
      </w:tr>
      <w:tr w:rsidR="007F373F">
        <w:trPr>
          <w:jc w:val="center"/>
        </w:trPr>
        <w:tc>
          <w:tcPr>
            <w:tcW w:w="3727" w:type="dxa"/>
          </w:tcPr>
          <w:p w:rsidR="007F373F" w:rsidRDefault="00000000">
            <w:pPr>
              <w:spacing w:after="0"/>
              <w:jc w:val="left"/>
            </w:pPr>
            <w:r>
              <w:rPr>
                <w:sz w:val="19"/>
              </w:rPr>
              <w:t>Unsecured loans on book (₹ crore)</w:t>
            </w:r>
          </w:p>
        </w:tc>
        <w:tc>
          <w:tcPr>
            <w:tcW w:w="1242" w:type="dxa"/>
          </w:tcPr>
          <w:p w:rsidR="007F373F" w:rsidRDefault="00000000">
            <w:pPr>
              <w:spacing w:after="0"/>
              <w:jc w:val="right"/>
            </w:pPr>
            <w:r>
              <w:rPr>
                <w:sz w:val="19"/>
              </w:rPr>
              <w:t>n.a.</w:t>
            </w:r>
          </w:p>
        </w:tc>
        <w:tc>
          <w:tcPr>
            <w:tcW w:w="1518" w:type="dxa"/>
          </w:tcPr>
          <w:p w:rsidR="007F373F" w:rsidRDefault="00000000">
            <w:pPr>
              <w:spacing w:after="0"/>
              <w:jc w:val="right"/>
            </w:pPr>
            <w:r>
              <w:rPr>
                <w:sz w:val="19"/>
              </w:rPr>
              <w:t>1,232</w:t>
            </w:r>
          </w:p>
        </w:tc>
        <w:tc>
          <w:tcPr>
            <w:tcW w:w="1794" w:type="dxa"/>
          </w:tcPr>
          <w:p w:rsidR="007F373F" w:rsidRDefault="00000000">
            <w:pPr>
              <w:spacing w:after="0"/>
              <w:jc w:val="right"/>
            </w:pPr>
            <w:r>
              <w:rPr>
                <w:sz w:val="19"/>
              </w:rPr>
              <w:t>48</w:t>
            </w:r>
          </w:p>
        </w:tc>
        <w:tc>
          <w:tcPr>
            <w:tcW w:w="1449" w:type="dxa"/>
          </w:tcPr>
          <w:p w:rsidR="007F373F" w:rsidRDefault="00000000">
            <w:pPr>
              <w:spacing w:after="0"/>
              <w:jc w:val="left"/>
            </w:pPr>
            <w:r>
              <w:rPr>
                <w:sz w:val="19"/>
              </w:rPr>
              <w:t>−96%</w:t>
            </w:r>
          </w:p>
        </w:tc>
      </w:tr>
      <w:tr w:rsidR="007F373F">
        <w:trPr>
          <w:jc w:val="center"/>
        </w:trPr>
        <w:tc>
          <w:tcPr>
            <w:tcW w:w="3727" w:type="dxa"/>
          </w:tcPr>
          <w:p w:rsidR="007F373F" w:rsidRDefault="00000000">
            <w:pPr>
              <w:spacing w:after="0"/>
              <w:jc w:val="left"/>
            </w:pPr>
            <w:r>
              <w:rPr>
                <w:sz w:val="19"/>
              </w:rPr>
              <w:t>Write-offs (₹ crore, note 48)</w:t>
            </w:r>
          </w:p>
        </w:tc>
        <w:tc>
          <w:tcPr>
            <w:tcW w:w="1242" w:type="dxa"/>
          </w:tcPr>
          <w:p w:rsidR="007F373F" w:rsidRDefault="00000000">
            <w:pPr>
              <w:spacing w:after="0"/>
              <w:jc w:val="right"/>
            </w:pPr>
            <w:r>
              <w:rPr>
                <w:sz w:val="19"/>
              </w:rPr>
              <w:t>n.a.</w:t>
            </w:r>
          </w:p>
        </w:tc>
        <w:tc>
          <w:tcPr>
            <w:tcW w:w="1518" w:type="dxa"/>
          </w:tcPr>
          <w:p w:rsidR="007F373F" w:rsidRDefault="00000000">
            <w:pPr>
              <w:spacing w:after="0"/>
              <w:jc w:val="right"/>
            </w:pPr>
            <w:r>
              <w:rPr>
                <w:sz w:val="19"/>
              </w:rPr>
              <w:t>6.8</w:t>
            </w:r>
          </w:p>
        </w:tc>
        <w:tc>
          <w:tcPr>
            <w:tcW w:w="1794" w:type="dxa"/>
          </w:tcPr>
          <w:p w:rsidR="007F373F" w:rsidRDefault="00000000">
            <w:pPr>
              <w:spacing w:after="0"/>
              <w:jc w:val="right"/>
            </w:pPr>
            <w:r>
              <w:rPr>
                <w:sz w:val="19"/>
              </w:rPr>
              <w:t>88.2</w:t>
            </w:r>
          </w:p>
        </w:tc>
        <w:tc>
          <w:tcPr>
            <w:tcW w:w="1449" w:type="dxa"/>
          </w:tcPr>
          <w:p w:rsidR="007F373F" w:rsidRDefault="00000000">
            <w:pPr>
              <w:spacing w:after="0"/>
              <w:jc w:val="left"/>
            </w:pPr>
            <w:r>
              <w:rPr>
                <w:sz w:val="19"/>
              </w:rPr>
              <w:t>Clean-up</w:t>
            </w:r>
          </w:p>
        </w:tc>
      </w:tr>
      <w:tr w:rsidR="007F373F">
        <w:trPr>
          <w:jc w:val="center"/>
        </w:trPr>
        <w:tc>
          <w:tcPr>
            <w:tcW w:w="3727" w:type="dxa"/>
          </w:tcPr>
          <w:p w:rsidR="007F373F" w:rsidRDefault="00000000">
            <w:pPr>
              <w:spacing w:after="0"/>
              <w:jc w:val="left"/>
            </w:pPr>
            <w:r>
              <w:rPr>
                <w:sz w:val="19"/>
              </w:rPr>
              <w:t>NPA accounts sold to ARCs (principal, ₹ crore)</w:t>
            </w:r>
          </w:p>
        </w:tc>
        <w:tc>
          <w:tcPr>
            <w:tcW w:w="1242" w:type="dxa"/>
          </w:tcPr>
          <w:p w:rsidR="007F373F" w:rsidRDefault="00000000">
            <w:pPr>
              <w:spacing w:after="0"/>
              <w:jc w:val="right"/>
            </w:pPr>
            <w:r>
              <w:rPr>
                <w:sz w:val="19"/>
              </w:rPr>
              <w:t>n.a.</w:t>
            </w:r>
          </w:p>
        </w:tc>
        <w:tc>
          <w:tcPr>
            <w:tcW w:w="1518" w:type="dxa"/>
          </w:tcPr>
          <w:p w:rsidR="007F373F" w:rsidRDefault="00000000">
            <w:pPr>
              <w:spacing w:after="0"/>
              <w:jc w:val="left"/>
            </w:pPr>
            <w:r>
              <w:rPr>
                <w:sz w:val="19"/>
              </w:rPr>
              <w:t>16.9 (1 account)</w:t>
            </w:r>
          </w:p>
        </w:tc>
        <w:tc>
          <w:tcPr>
            <w:tcW w:w="1794" w:type="dxa"/>
          </w:tcPr>
          <w:p w:rsidR="007F373F" w:rsidRDefault="00000000">
            <w:pPr>
              <w:spacing w:after="0"/>
              <w:jc w:val="left"/>
            </w:pPr>
            <w:r>
              <w:rPr>
                <w:sz w:val="19"/>
              </w:rPr>
              <w:t>104.9 (814 accounts)</w:t>
            </w:r>
          </w:p>
        </w:tc>
        <w:tc>
          <w:tcPr>
            <w:tcW w:w="1449" w:type="dxa"/>
          </w:tcPr>
          <w:p w:rsidR="007F373F" w:rsidRDefault="00000000">
            <w:pPr>
              <w:spacing w:after="0"/>
              <w:jc w:val="left"/>
            </w:pPr>
            <w:r>
              <w:rPr>
                <w:sz w:val="19"/>
              </w:rPr>
              <w:t>Clean-up</w:t>
            </w:r>
          </w:p>
        </w:tc>
      </w:tr>
      <w:tr w:rsidR="007F373F">
        <w:trPr>
          <w:jc w:val="center"/>
        </w:trPr>
        <w:tc>
          <w:tcPr>
            <w:tcW w:w="3727" w:type="dxa"/>
          </w:tcPr>
          <w:p w:rsidR="007F373F" w:rsidRDefault="00000000">
            <w:pPr>
              <w:spacing w:after="0"/>
              <w:jc w:val="left"/>
            </w:pPr>
            <w:r>
              <w:rPr>
                <w:sz w:val="19"/>
              </w:rPr>
              <w:t>Monthly Stage 3 recoveries (₹ crore)</w:t>
            </w:r>
          </w:p>
        </w:tc>
        <w:tc>
          <w:tcPr>
            <w:tcW w:w="1242" w:type="dxa"/>
          </w:tcPr>
          <w:p w:rsidR="007F373F" w:rsidRDefault="00000000">
            <w:pPr>
              <w:spacing w:after="0"/>
              <w:jc w:val="right"/>
            </w:pPr>
            <w:r>
              <w:rPr>
                <w:sz w:val="19"/>
              </w:rPr>
              <w:t>n.a.</w:t>
            </w:r>
          </w:p>
        </w:tc>
        <w:tc>
          <w:tcPr>
            <w:tcW w:w="1518" w:type="dxa"/>
          </w:tcPr>
          <w:p w:rsidR="007F373F" w:rsidRDefault="00000000">
            <w:pPr>
              <w:spacing w:after="0"/>
              <w:jc w:val="right"/>
            </w:pPr>
            <w:r>
              <w:rPr>
                <w:sz w:val="19"/>
              </w:rPr>
              <w:t>6.5</w:t>
            </w:r>
          </w:p>
        </w:tc>
        <w:tc>
          <w:tcPr>
            <w:tcW w:w="1794" w:type="dxa"/>
          </w:tcPr>
          <w:p w:rsidR="007F373F" w:rsidRDefault="00000000">
            <w:pPr>
              <w:spacing w:after="0"/>
              <w:jc w:val="right"/>
            </w:pPr>
            <w:r>
              <w:rPr>
                <w:sz w:val="19"/>
              </w:rPr>
              <w:t>14.5</w:t>
            </w:r>
          </w:p>
        </w:tc>
        <w:tc>
          <w:tcPr>
            <w:tcW w:w="1449" w:type="dxa"/>
          </w:tcPr>
          <w:p w:rsidR="007F373F" w:rsidRDefault="00000000">
            <w:pPr>
              <w:spacing w:after="0"/>
              <w:jc w:val="left"/>
            </w:pPr>
            <w:r>
              <w:rPr>
                <w:sz w:val="19"/>
              </w:rPr>
              <w:t>More than doubled</w:t>
            </w:r>
          </w:p>
        </w:tc>
      </w:tr>
      <w:tr w:rsidR="007F373F">
        <w:trPr>
          <w:jc w:val="center"/>
        </w:trPr>
        <w:tc>
          <w:tcPr>
            <w:tcW w:w="3727" w:type="dxa"/>
          </w:tcPr>
          <w:p w:rsidR="007F373F" w:rsidRDefault="00000000">
            <w:pPr>
              <w:spacing w:after="0"/>
              <w:jc w:val="left"/>
            </w:pPr>
            <w:r>
              <w:rPr>
                <w:sz w:val="19"/>
              </w:rPr>
              <w:t>Gold portfolio LTV</w:t>
            </w:r>
          </w:p>
        </w:tc>
        <w:tc>
          <w:tcPr>
            <w:tcW w:w="1242" w:type="dxa"/>
          </w:tcPr>
          <w:p w:rsidR="007F373F" w:rsidRDefault="00000000">
            <w:pPr>
              <w:spacing w:after="0"/>
              <w:jc w:val="right"/>
            </w:pPr>
            <w:r>
              <w:rPr>
                <w:sz w:val="19"/>
              </w:rPr>
              <w:t>70.5%</w:t>
            </w:r>
          </w:p>
        </w:tc>
        <w:tc>
          <w:tcPr>
            <w:tcW w:w="1518" w:type="dxa"/>
          </w:tcPr>
          <w:p w:rsidR="007F373F" w:rsidRDefault="00000000">
            <w:pPr>
              <w:spacing w:after="0"/>
              <w:jc w:val="right"/>
            </w:pPr>
            <w:r>
              <w:rPr>
                <w:sz w:val="19"/>
              </w:rPr>
              <w:t>n.a.</w:t>
            </w:r>
          </w:p>
        </w:tc>
        <w:tc>
          <w:tcPr>
            <w:tcW w:w="1794" w:type="dxa"/>
          </w:tcPr>
          <w:p w:rsidR="007F373F" w:rsidRDefault="00000000">
            <w:pPr>
              <w:spacing w:after="0"/>
              <w:jc w:val="right"/>
            </w:pPr>
            <w:r>
              <w:rPr>
                <w:sz w:val="19"/>
              </w:rPr>
              <w:t>60.9%</w:t>
            </w:r>
          </w:p>
        </w:tc>
        <w:tc>
          <w:tcPr>
            <w:tcW w:w="1449" w:type="dxa"/>
          </w:tcPr>
          <w:p w:rsidR="007F373F" w:rsidRDefault="00000000">
            <w:pPr>
              <w:spacing w:after="0"/>
              <w:jc w:val="left"/>
            </w:pPr>
            <w:r>
              <w:rPr>
                <w:sz w:val="19"/>
              </w:rPr>
              <w:t>Conservative</w:t>
            </w:r>
          </w:p>
        </w:tc>
      </w:tr>
    </w:tbl>
    <w:p w:rsidR="007F373F" w:rsidRDefault="00000000">
      <w:pPr>
        <w:spacing w:before="40" w:after="80"/>
      </w:pPr>
      <w:r>
        <w:rPr>
          <w:i/>
          <w:sz w:val="18"/>
        </w:rPr>
        <w:t>Source: Fedfina Annual Report 2023-24, Fedfina Annual Report 2024-25, Fedfina Annual Report 2025-26 – Key Highlights, MD&amp;CEO statements, notes 8, 32 and 48. FY24/FY25 secured shares derived from product mix.</w:t>
      </w:r>
    </w:p>
    <w:p w:rsidR="007F373F" w:rsidRDefault="00000000">
      <w:pPr>
        <w:pStyle w:val="Heading2"/>
      </w:pPr>
      <w:r>
        <w:t>Underwriting and monitoring controls</w:t>
      </w:r>
    </w:p>
    <w:p w:rsidR="007F373F" w:rsidRDefault="00000000">
      <w:pPr>
        <w:pStyle w:val="ListBullet"/>
      </w:pPr>
      <w:r>
        <w:rPr>
          <w:b/>
        </w:rPr>
        <w:t xml:space="preserve">Origination: </w:t>
      </w:r>
      <w:r>
        <w:t>≈75% in-house sourcing (DSA 25%); API-led BRE for ST LAP removes discretion; bureau-score thresholds (81% of MT LAP and 68% of ST LAP AUM above CIBIL 700); cash-flow assessment for informal incomes; property valuation and legal checks; 82.2% of mortgage AUM backed by self-occupied property.</w:t>
      </w:r>
    </w:p>
    <w:p w:rsidR="007F373F" w:rsidRDefault="00000000">
      <w:pPr>
        <w:pStyle w:val="ListBullet"/>
      </w:pPr>
      <w:r>
        <w:rPr>
          <w:b/>
        </w:rPr>
        <w:t xml:space="preserve">Portfolio monitoring: </w:t>
      </w:r>
      <w:r>
        <w:t>early-warning signals, vintage tracking of the FY26 book versus the old book, concentration limits (top-20 borrowers 0.47% of advances; four largest impaired accounts ₹9.4 crore), ECL staging under Ind AS 109 with RBI prudential floors.</w:t>
      </w:r>
    </w:p>
    <w:p w:rsidR="007F373F" w:rsidRDefault="00000000">
      <w:pPr>
        <w:pStyle w:val="ListBullet"/>
      </w:pPr>
      <w:r>
        <w:rPr>
          <w:b/>
        </w:rPr>
        <w:t xml:space="preserve">Collections: </w:t>
      </w:r>
      <w:r>
        <w:t>verticalised, in-house team scaled to 1.8x FY25 strength with agency reliance cut to 0.4x; digital collections above 70% of monthly receipts; 90% of accounts on e-NACH; early-bucket cure rates up ~2 pp and Stage 1–2 cure rates up 5–6 pp; collection efficiency 99.7%.</w:t>
      </w:r>
    </w:p>
    <w:p w:rsidR="007F373F" w:rsidRDefault="00000000">
      <w:pPr>
        <w:pStyle w:val="ListBullet"/>
      </w:pPr>
      <w:r>
        <w:rPr>
          <w:b/>
        </w:rPr>
        <w:t xml:space="preserve">Resolution: </w:t>
      </w:r>
      <w:r>
        <w:t>SARFAESI for mortgages; gold auctions under RBI norms (4,633 accounts, 92% of dues realised); sale of delinquent pools to ARCs.</w:t>
      </w:r>
    </w:p>
    <w:p w:rsidR="007F373F" w:rsidRDefault="00000000">
      <w:pPr>
        <w:pStyle w:val="Heading2"/>
      </w:pPr>
      <w:r>
        <w:t>Residual concerns</w:t>
      </w:r>
    </w:p>
    <w:p w:rsidR="007F373F" w:rsidRDefault="00000000">
      <w:r>
        <w:t xml:space="preserve">Three concerns remain. First, additions to credit-impaired loans rose 16% to ₹227 crore in FY26 – the old vintages are still slipping, and the improvement in stock ratios owes much to write-offs and sales. Second, the FY26 ST LAP cohort is unseasoned; small-ticket mortgage delinquency typically </w:t>
      </w:r>
      <w:r>
        <w:lastRenderedPageBreak/>
        <w:t>peaks 18–36 months after origination. Third, the household balance sheets that service ST LAP and gold loans are exposed to the same unsecured-credit stress that hurt the sector in FY25, even though Fedfina no longer lends unsecured itself. The sub-1% credit-cost commitment should therefore be judged over FY27–FY28, not FY26 alone.</w:t>
      </w:r>
    </w:p>
    <w:p w:rsidR="007F373F" w:rsidRDefault="00000000">
      <w:pPr>
        <w:pStyle w:val="Heading1"/>
        <w:pageBreakBefore/>
      </w:pPr>
      <w:r>
        <w:lastRenderedPageBreak/>
        <w:t>Liquidity Risk and Asset-Liability Management</w:t>
      </w:r>
    </w:p>
    <w:p w:rsidR="007F373F" w:rsidRDefault="00000000">
      <w:r>
        <w:t>Because NBFCs cannot raise deposits, liquidity risk is existential: the 2018 IL&amp;FS episode showed how quickly wholesale funding can close. Fedfina’s structural liquidity statement at 31 March 2026 (note 48) shows the maturity profile of advances and borrowings in RBI buckets; the cumulative view is charted below.</w:t>
      </w:r>
    </w:p>
    <w:p w:rsidR="007F373F" w:rsidRDefault="00000000">
      <w:pPr>
        <w:spacing w:after="0"/>
        <w:jc w:val="center"/>
      </w:pPr>
      <w:r>
        <w:rPr>
          <w:noProof/>
        </w:rPr>
        <w:drawing>
          <wp:inline distT="0" distB="0" distL="0" distR="0">
            <wp:extent cx="4206240" cy="15932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m.png"/>
                    <pic:cNvPicPr/>
                  </pic:nvPicPr>
                  <pic:blipFill>
                    <a:blip r:embed="rId24"/>
                    <a:stretch>
                      <a:fillRect/>
                    </a:stretch>
                  </pic:blipFill>
                  <pic:spPr>
                    <a:xfrm>
                      <a:off x="0" y="0"/>
                      <a:ext cx="4206240" cy="1593273"/>
                    </a:xfrm>
                    <a:prstGeom prst="rect">
                      <a:avLst/>
                    </a:prstGeom>
                  </pic:spPr>
                </pic:pic>
              </a:graphicData>
            </a:graphic>
          </wp:inline>
        </w:drawing>
      </w:r>
    </w:p>
    <w:p w:rsidR="007F373F" w:rsidRDefault="00000000">
      <w:pPr>
        <w:spacing w:after="80"/>
        <w:jc w:val="center"/>
      </w:pPr>
      <w:r>
        <w:rPr>
          <w:i/>
          <w:sz w:val="18"/>
        </w:rPr>
        <w:t>Figure 15 – Cumulative maturity of advances versus borrowings, 31 March 2026 (₹ crore). Source: Fedfina Annual Report 2025-26, note 48 – maturity pattern of assets and liabilities.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242"/>
        <w:gridCol w:w="1656"/>
        <w:gridCol w:w="1656"/>
        <w:gridCol w:w="1518"/>
        <w:gridCol w:w="1794"/>
        <w:gridCol w:w="1863"/>
      </w:tblGrid>
      <w:tr w:rsidR="007F373F">
        <w:trPr>
          <w:jc w:val="center"/>
        </w:trPr>
        <w:tc>
          <w:tcPr>
            <w:tcW w:w="1242" w:type="dxa"/>
          </w:tcPr>
          <w:p w:rsidR="007F373F" w:rsidRDefault="00000000">
            <w:pPr>
              <w:spacing w:after="0"/>
              <w:jc w:val="left"/>
            </w:pPr>
            <w:r>
              <w:rPr>
                <w:b/>
                <w:sz w:val="19"/>
              </w:rPr>
              <w:t>Bucket</w:t>
            </w:r>
          </w:p>
        </w:tc>
        <w:tc>
          <w:tcPr>
            <w:tcW w:w="1656" w:type="dxa"/>
          </w:tcPr>
          <w:p w:rsidR="007F373F" w:rsidRDefault="00000000">
            <w:pPr>
              <w:spacing w:after="0"/>
              <w:jc w:val="left"/>
            </w:pPr>
            <w:r>
              <w:rPr>
                <w:b/>
                <w:sz w:val="19"/>
              </w:rPr>
              <w:t>Advances (₹ cr)</w:t>
            </w:r>
          </w:p>
        </w:tc>
        <w:tc>
          <w:tcPr>
            <w:tcW w:w="1656" w:type="dxa"/>
          </w:tcPr>
          <w:p w:rsidR="007F373F" w:rsidRDefault="00000000">
            <w:pPr>
              <w:spacing w:after="0"/>
              <w:jc w:val="left"/>
            </w:pPr>
            <w:r>
              <w:rPr>
                <w:b/>
                <w:sz w:val="19"/>
              </w:rPr>
              <w:t>Borrowings (₹ cr)</w:t>
            </w:r>
          </w:p>
        </w:tc>
        <w:tc>
          <w:tcPr>
            <w:tcW w:w="1518" w:type="dxa"/>
          </w:tcPr>
          <w:p w:rsidR="007F373F" w:rsidRDefault="00000000">
            <w:pPr>
              <w:spacing w:after="0"/>
              <w:jc w:val="left"/>
            </w:pPr>
            <w:r>
              <w:rPr>
                <w:b/>
                <w:sz w:val="19"/>
              </w:rPr>
              <w:t>Gap (₹ cr)</w:t>
            </w:r>
          </w:p>
        </w:tc>
        <w:tc>
          <w:tcPr>
            <w:tcW w:w="1794" w:type="dxa"/>
          </w:tcPr>
          <w:p w:rsidR="007F373F" w:rsidRDefault="00000000">
            <w:pPr>
              <w:spacing w:after="0"/>
              <w:jc w:val="left"/>
            </w:pPr>
            <w:r>
              <w:rPr>
                <w:b/>
                <w:sz w:val="19"/>
              </w:rPr>
              <w:t>Cum. advances %</w:t>
            </w:r>
          </w:p>
        </w:tc>
        <w:tc>
          <w:tcPr>
            <w:tcW w:w="1863" w:type="dxa"/>
          </w:tcPr>
          <w:p w:rsidR="007F373F" w:rsidRDefault="00000000">
            <w:pPr>
              <w:spacing w:after="0"/>
              <w:jc w:val="left"/>
            </w:pPr>
            <w:r>
              <w:rPr>
                <w:b/>
                <w:sz w:val="19"/>
              </w:rPr>
              <w:t>Cum. borrowings %</w:t>
            </w:r>
          </w:p>
        </w:tc>
      </w:tr>
      <w:tr w:rsidR="007F373F">
        <w:trPr>
          <w:jc w:val="center"/>
        </w:trPr>
        <w:tc>
          <w:tcPr>
            <w:tcW w:w="1242" w:type="dxa"/>
          </w:tcPr>
          <w:p w:rsidR="007F373F" w:rsidRDefault="00000000">
            <w:pPr>
              <w:spacing w:after="0"/>
              <w:jc w:val="left"/>
            </w:pPr>
            <w:r>
              <w:rPr>
                <w:sz w:val="19"/>
              </w:rPr>
              <w:t>1-7d</w:t>
            </w:r>
          </w:p>
        </w:tc>
        <w:tc>
          <w:tcPr>
            <w:tcW w:w="1656" w:type="dxa"/>
          </w:tcPr>
          <w:p w:rsidR="007F373F" w:rsidRDefault="00000000">
            <w:pPr>
              <w:spacing w:after="0"/>
              <w:jc w:val="right"/>
            </w:pPr>
            <w:r>
              <w:rPr>
                <w:sz w:val="19"/>
              </w:rPr>
              <w:t>83</w:t>
            </w:r>
          </w:p>
        </w:tc>
        <w:tc>
          <w:tcPr>
            <w:tcW w:w="1656" w:type="dxa"/>
          </w:tcPr>
          <w:p w:rsidR="007F373F" w:rsidRDefault="00000000">
            <w:pPr>
              <w:spacing w:after="0"/>
              <w:jc w:val="right"/>
            </w:pPr>
            <w:r>
              <w:rPr>
                <w:sz w:val="19"/>
              </w:rPr>
              <w:t>330</w:t>
            </w:r>
          </w:p>
        </w:tc>
        <w:tc>
          <w:tcPr>
            <w:tcW w:w="1518" w:type="dxa"/>
          </w:tcPr>
          <w:p w:rsidR="007F373F" w:rsidRDefault="00000000">
            <w:pPr>
              <w:spacing w:after="0"/>
              <w:jc w:val="right"/>
            </w:pPr>
            <w:r>
              <w:rPr>
                <w:sz w:val="19"/>
              </w:rPr>
              <w:t>-247</w:t>
            </w:r>
          </w:p>
        </w:tc>
        <w:tc>
          <w:tcPr>
            <w:tcW w:w="1794" w:type="dxa"/>
          </w:tcPr>
          <w:p w:rsidR="007F373F" w:rsidRDefault="00000000">
            <w:pPr>
              <w:spacing w:after="0"/>
              <w:jc w:val="right"/>
            </w:pPr>
            <w:r>
              <w:rPr>
                <w:sz w:val="19"/>
              </w:rPr>
              <w:t>0.6%</w:t>
            </w:r>
          </w:p>
        </w:tc>
        <w:tc>
          <w:tcPr>
            <w:tcW w:w="1863" w:type="dxa"/>
          </w:tcPr>
          <w:p w:rsidR="007F373F" w:rsidRDefault="00000000">
            <w:pPr>
              <w:spacing w:after="0"/>
              <w:jc w:val="right"/>
            </w:pPr>
            <w:r>
              <w:rPr>
                <w:sz w:val="19"/>
              </w:rPr>
              <w:t>2.4%</w:t>
            </w:r>
          </w:p>
        </w:tc>
      </w:tr>
      <w:tr w:rsidR="007F373F">
        <w:trPr>
          <w:jc w:val="center"/>
        </w:trPr>
        <w:tc>
          <w:tcPr>
            <w:tcW w:w="1242" w:type="dxa"/>
          </w:tcPr>
          <w:p w:rsidR="007F373F" w:rsidRDefault="00000000">
            <w:pPr>
              <w:spacing w:after="0"/>
              <w:jc w:val="left"/>
            </w:pPr>
            <w:r>
              <w:rPr>
                <w:sz w:val="19"/>
              </w:rPr>
              <w:t>8-14d</w:t>
            </w:r>
          </w:p>
        </w:tc>
        <w:tc>
          <w:tcPr>
            <w:tcW w:w="1656" w:type="dxa"/>
          </w:tcPr>
          <w:p w:rsidR="007F373F" w:rsidRDefault="00000000">
            <w:pPr>
              <w:spacing w:after="0"/>
              <w:jc w:val="right"/>
            </w:pPr>
            <w:r>
              <w:rPr>
                <w:sz w:val="19"/>
              </w:rPr>
              <w:t>16</w:t>
            </w:r>
          </w:p>
        </w:tc>
        <w:tc>
          <w:tcPr>
            <w:tcW w:w="1656" w:type="dxa"/>
          </w:tcPr>
          <w:p w:rsidR="007F373F" w:rsidRDefault="00000000">
            <w:pPr>
              <w:spacing w:after="0"/>
              <w:jc w:val="right"/>
            </w:pPr>
            <w:r>
              <w:rPr>
                <w:sz w:val="19"/>
              </w:rPr>
              <w:t>13</w:t>
            </w:r>
          </w:p>
        </w:tc>
        <w:tc>
          <w:tcPr>
            <w:tcW w:w="1518" w:type="dxa"/>
          </w:tcPr>
          <w:p w:rsidR="007F373F" w:rsidRDefault="00000000">
            <w:pPr>
              <w:spacing w:after="0"/>
              <w:jc w:val="right"/>
            </w:pPr>
            <w:r>
              <w:rPr>
                <w:sz w:val="19"/>
              </w:rPr>
              <w:t>+2</w:t>
            </w:r>
          </w:p>
        </w:tc>
        <w:tc>
          <w:tcPr>
            <w:tcW w:w="1794" w:type="dxa"/>
          </w:tcPr>
          <w:p w:rsidR="007F373F" w:rsidRDefault="00000000">
            <w:pPr>
              <w:spacing w:after="0"/>
              <w:jc w:val="right"/>
            </w:pPr>
            <w:r>
              <w:rPr>
                <w:sz w:val="19"/>
              </w:rPr>
              <w:t>0.7%</w:t>
            </w:r>
          </w:p>
        </w:tc>
        <w:tc>
          <w:tcPr>
            <w:tcW w:w="1863" w:type="dxa"/>
          </w:tcPr>
          <w:p w:rsidR="007F373F" w:rsidRDefault="00000000">
            <w:pPr>
              <w:spacing w:after="0"/>
              <w:jc w:val="right"/>
            </w:pPr>
            <w:r>
              <w:rPr>
                <w:sz w:val="19"/>
              </w:rPr>
              <w:t>2.5%</w:t>
            </w:r>
          </w:p>
        </w:tc>
      </w:tr>
      <w:tr w:rsidR="007F373F">
        <w:trPr>
          <w:jc w:val="center"/>
        </w:trPr>
        <w:tc>
          <w:tcPr>
            <w:tcW w:w="1242" w:type="dxa"/>
          </w:tcPr>
          <w:p w:rsidR="007F373F" w:rsidRDefault="00000000">
            <w:pPr>
              <w:spacing w:after="0"/>
              <w:jc w:val="left"/>
            </w:pPr>
            <w:r>
              <w:rPr>
                <w:sz w:val="19"/>
              </w:rPr>
              <w:t>15-31d</w:t>
            </w:r>
          </w:p>
        </w:tc>
        <w:tc>
          <w:tcPr>
            <w:tcW w:w="1656" w:type="dxa"/>
          </w:tcPr>
          <w:p w:rsidR="007F373F" w:rsidRDefault="00000000">
            <w:pPr>
              <w:spacing w:after="0"/>
              <w:jc w:val="right"/>
            </w:pPr>
            <w:r>
              <w:rPr>
                <w:sz w:val="19"/>
              </w:rPr>
              <w:t>142</w:t>
            </w:r>
          </w:p>
        </w:tc>
        <w:tc>
          <w:tcPr>
            <w:tcW w:w="1656" w:type="dxa"/>
          </w:tcPr>
          <w:p w:rsidR="007F373F" w:rsidRDefault="00000000">
            <w:pPr>
              <w:spacing w:after="0"/>
              <w:jc w:val="right"/>
            </w:pPr>
            <w:r>
              <w:rPr>
                <w:sz w:val="19"/>
              </w:rPr>
              <w:t>249</w:t>
            </w:r>
          </w:p>
        </w:tc>
        <w:tc>
          <w:tcPr>
            <w:tcW w:w="1518" w:type="dxa"/>
          </w:tcPr>
          <w:p w:rsidR="007F373F" w:rsidRDefault="00000000">
            <w:pPr>
              <w:spacing w:after="0"/>
              <w:jc w:val="right"/>
            </w:pPr>
            <w:r>
              <w:rPr>
                <w:sz w:val="19"/>
              </w:rPr>
              <w:t>-107</w:t>
            </w:r>
          </w:p>
        </w:tc>
        <w:tc>
          <w:tcPr>
            <w:tcW w:w="1794" w:type="dxa"/>
          </w:tcPr>
          <w:p w:rsidR="007F373F" w:rsidRDefault="00000000">
            <w:pPr>
              <w:spacing w:after="0"/>
              <w:jc w:val="right"/>
            </w:pPr>
            <w:r>
              <w:rPr>
                <w:sz w:val="19"/>
              </w:rPr>
              <w:t>1.7%</w:t>
            </w:r>
          </w:p>
        </w:tc>
        <w:tc>
          <w:tcPr>
            <w:tcW w:w="1863" w:type="dxa"/>
          </w:tcPr>
          <w:p w:rsidR="007F373F" w:rsidRDefault="00000000">
            <w:pPr>
              <w:spacing w:after="0"/>
              <w:jc w:val="right"/>
            </w:pPr>
            <w:r>
              <w:rPr>
                <w:sz w:val="19"/>
              </w:rPr>
              <w:t>4.4%</w:t>
            </w:r>
          </w:p>
        </w:tc>
      </w:tr>
      <w:tr w:rsidR="007F373F">
        <w:trPr>
          <w:jc w:val="center"/>
        </w:trPr>
        <w:tc>
          <w:tcPr>
            <w:tcW w:w="1242" w:type="dxa"/>
          </w:tcPr>
          <w:p w:rsidR="007F373F" w:rsidRDefault="00000000">
            <w:pPr>
              <w:spacing w:after="0"/>
              <w:jc w:val="left"/>
            </w:pPr>
            <w:r>
              <w:rPr>
                <w:sz w:val="19"/>
              </w:rPr>
              <w:t>1-2m</w:t>
            </w:r>
          </w:p>
        </w:tc>
        <w:tc>
          <w:tcPr>
            <w:tcW w:w="1656" w:type="dxa"/>
          </w:tcPr>
          <w:p w:rsidR="007F373F" w:rsidRDefault="00000000">
            <w:pPr>
              <w:spacing w:after="0"/>
              <w:jc w:val="right"/>
            </w:pPr>
            <w:r>
              <w:rPr>
                <w:sz w:val="19"/>
              </w:rPr>
              <w:t>217</w:t>
            </w:r>
          </w:p>
        </w:tc>
        <w:tc>
          <w:tcPr>
            <w:tcW w:w="1656" w:type="dxa"/>
          </w:tcPr>
          <w:p w:rsidR="007F373F" w:rsidRDefault="00000000">
            <w:pPr>
              <w:spacing w:after="0"/>
              <w:jc w:val="right"/>
            </w:pPr>
            <w:r>
              <w:rPr>
                <w:sz w:val="19"/>
              </w:rPr>
              <w:t>445</w:t>
            </w:r>
          </w:p>
        </w:tc>
        <w:tc>
          <w:tcPr>
            <w:tcW w:w="1518" w:type="dxa"/>
          </w:tcPr>
          <w:p w:rsidR="007F373F" w:rsidRDefault="00000000">
            <w:pPr>
              <w:spacing w:after="0"/>
              <w:jc w:val="right"/>
            </w:pPr>
            <w:r>
              <w:rPr>
                <w:sz w:val="19"/>
              </w:rPr>
              <w:t>-229</w:t>
            </w:r>
          </w:p>
        </w:tc>
        <w:tc>
          <w:tcPr>
            <w:tcW w:w="1794" w:type="dxa"/>
          </w:tcPr>
          <w:p w:rsidR="007F373F" w:rsidRDefault="00000000">
            <w:pPr>
              <w:spacing w:after="0"/>
              <w:jc w:val="right"/>
            </w:pPr>
            <w:r>
              <w:rPr>
                <w:sz w:val="19"/>
              </w:rPr>
              <w:t>3.2%</w:t>
            </w:r>
          </w:p>
        </w:tc>
        <w:tc>
          <w:tcPr>
            <w:tcW w:w="1863" w:type="dxa"/>
          </w:tcPr>
          <w:p w:rsidR="007F373F" w:rsidRDefault="00000000">
            <w:pPr>
              <w:spacing w:after="0"/>
              <w:jc w:val="right"/>
            </w:pPr>
            <w:r>
              <w:rPr>
                <w:sz w:val="19"/>
              </w:rPr>
              <w:t>7.7%</w:t>
            </w:r>
          </w:p>
        </w:tc>
      </w:tr>
      <w:tr w:rsidR="007F373F">
        <w:trPr>
          <w:jc w:val="center"/>
        </w:trPr>
        <w:tc>
          <w:tcPr>
            <w:tcW w:w="1242" w:type="dxa"/>
          </w:tcPr>
          <w:p w:rsidR="007F373F" w:rsidRDefault="00000000">
            <w:pPr>
              <w:spacing w:after="0"/>
              <w:jc w:val="left"/>
            </w:pPr>
            <w:r>
              <w:rPr>
                <w:sz w:val="19"/>
              </w:rPr>
              <w:t>2-3m</w:t>
            </w:r>
          </w:p>
        </w:tc>
        <w:tc>
          <w:tcPr>
            <w:tcW w:w="1656" w:type="dxa"/>
          </w:tcPr>
          <w:p w:rsidR="007F373F" w:rsidRDefault="00000000">
            <w:pPr>
              <w:spacing w:after="0"/>
              <w:jc w:val="right"/>
            </w:pPr>
            <w:r>
              <w:rPr>
                <w:sz w:val="19"/>
              </w:rPr>
              <w:t>180</w:t>
            </w:r>
          </w:p>
        </w:tc>
        <w:tc>
          <w:tcPr>
            <w:tcW w:w="1656" w:type="dxa"/>
          </w:tcPr>
          <w:p w:rsidR="007F373F" w:rsidRDefault="00000000">
            <w:pPr>
              <w:spacing w:after="0"/>
              <w:jc w:val="right"/>
            </w:pPr>
            <w:r>
              <w:rPr>
                <w:sz w:val="19"/>
              </w:rPr>
              <w:t>601</w:t>
            </w:r>
          </w:p>
        </w:tc>
        <w:tc>
          <w:tcPr>
            <w:tcW w:w="1518" w:type="dxa"/>
          </w:tcPr>
          <w:p w:rsidR="007F373F" w:rsidRDefault="00000000">
            <w:pPr>
              <w:spacing w:after="0"/>
              <w:jc w:val="right"/>
            </w:pPr>
            <w:r>
              <w:rPr>
                <w:sz w:val="19"/>
              </w:rPr>
              <w:t>-421</w:t>
            </w:r>
          </w:p>
        </w:tc>
        <w:tc>
          <w:tcPr>
            <w:tcW w:w="1794" w:type="dxa"/>
          </w:tcPr>
          <w:p w:rsidR="007F373F" w:rsidRDefault="00000000">
            <w:pPr>
              <w:spacing w:after="0"/>
              <w:jc w:val="right"/>
            </w:pPr>
            <w:r>
              <w:rPr>
                <w:sz w:val="19"/>
              </w:rPr>
              <w:t>4.5%</w:t>
            </w:r>
          </w:p>
        </w:tc>
        <w:tc>
          <w:tcPr>
            <w:tcW w:w="1863" w:type="dxa"/>
          </w:tcPr>
          <w:p w:rsidR="007F373F" w:rsidRDefault="00000000">
            <w:pPr>
              <w:spacing w:after="0"/>
              <w:jc w:val="right"/>
            </w:pPr>
            <w:r>
              <w:rPr>
                <w:sz w:val="19"/>
              </w:rPr>
              <w:t>12.2%</w:t>
            </w:r>
          </w:p>
        </w:tc>
      </w:tr>
      <w:tr w:rsidR="007F373F">
        <w:trPr>
          <w:jc w:val="center"/>
        </w:trPr>
        <w:tc>
          <w:tcPr>
            <w:tcW w:w="1242" w:type="dxa"/>
          </w:tcPr>
          <w:p w:rsidR="007F373F" w:rsidRDefault="00000000">
            <w:pPr>
              <w:spacing w:after="0"/>
              <w:jc w:val="left"/>
            </w:pPr>
            <w:r>
              <w:rPr>
                <w:sz w:val="19"/>
              </w:rPr>
              <w:t>3-6m</w:t>
            </w:r>
          </w:p>
        </w:tc>
        <w:tc>
          <w:tcPr>
            <w:tcW w:w="1656" w:type="dxa"/>
          </w:tcPr>
          <w:p w:rsidR="007F373F" w:rsidRDefault="00000000">
            <w:pPr>
              <w:spacing w:after="0"/>
              <w:jc w:val="right"/>
            </w:pPr>
            <w:r>
              <w:rPr>
                <w:sz w:val="19"/>
              </w:rPr>
              <w:t>653</w:t>
            </w:r>
          </w:p>
        </w:tc>
        <w:tc>
          <w:tcPr>
            <w:tcW w:w="1656" w:type="dxa"/>
          </w:tcPr>
          <w:p w:rsidR="007F373F" w:rsidRDefault="00000000">
            <w:pPr>
              <w:spacing w:after="0"/>
              <w:jc w:val="right"/>
            </w:pPr>
            <w:r>
              <w:rPr>
                <w:sz w:val="19"/>
              </w:rPr>
              <w:t>1,369</w:t>
            </w:r>
          </w:p>
        </w:tc>
        <w:tc>
          <w:tcPr>
            <w:tcW w:w="1518" w:type="dxa"/>
          </w:tcPr>
          <w:p w:rsidR="007F373F" w:rsidRDefault="00000000">
            <w:pPr>
              <w:spacing w:after="0"/>
              <w:jc w:val="right"/>
            </w:pPr>
            <w:r>
              <w:rPr>
                <w:sz w:val="19"/>
              </w:rPr>
              <w:t>-716</w:t>
            </w:r>
          </w:p>
        </w:tc>
        <w:tc>
          <w:tcPr>
            <w:tcW w:w="1794" w:type="dxa"/>
          </w:tcPr>
          <w:p w:rsidR="007F373F" w:rsidRDefault="00000000">
            <w:pPr>
              <w:spacing w:after="0"/>
              <w:jc w:val="right"/>
            </w:pPr>
            <w:r>
              <w:rPr>
                <w:sz w:val="19"/>
              </w:rPr>
              <w:t>9.0%</w:t>
            </w:r>
          </w:p>
        </w:tc>
        <w:tc>
          <w:tcPr>
            <w:tcW w:w="1863" w:type="dxa"/>
          </w:tcPr>
          <w:p w:rsidR="007F373F" w:rsidRDefault="00000000">
            <w:pPr>
              <w:spacing w:after="0"/>
              <w:jc w:val="right"/>
            </w:pPr>
            <w:r>
              <w:rPr>
                <w:sz w:val="19"/>
              </w:rPr>
              <w:t>22.3%</w:t>
            </w:r>
          </w:p>
        </w:tc>
      </w:tr>
      <w:tr w:rsidR="007F373F">
        <w:trPr>
          <w:jc w:val="center"/>
        </w:trPr>
        <w:tc>
          <w:tcPr>
            <w:tcW w:w="1242" w:type="dxa"/>
          </w:tcPr>
          <w:p w:rsidR="007F373F" w:rsidRDefault="00000000">
            <w:pPr>
              <w:spacing w:after="0"/>
              <w:jc w:val="left"/>
            </w:pPr>
            <w:r>
              <w:rPr>
                <w:sz w:val="19"/>
              </w:rPr>
              <w:t>6-12m</w:t>
            </w:r>
          </w:p>
        </w:tc>
        <w:tc>
          <w:tcPr>
            <w:tcW w:w="1656" w:type="dxa"/>
          </w:tcPr>
          <w:p w:rsidR="007F373F" w:rsidRDefault="00000000">
            <w:pPr>
              <w:spacing w:after="0"/>
              <w:jc w:val="right"/>
            </w:pPr>
            <w:r>
              <w:rPr>
                <w:sz w:val="19"/>
              </w:rPr>
              <w:t>7,721</w:t>
            </w:r>
          </w:p>
        </w:tc>
        <w:tc>
          <w:tcPr>
            <w:tcW w:w="1656" w:type="dxa"/>
          </w:tcPr>
          <w:p w:rsidR="007F373F" w:rsidRDefault="00000000">
            <w:pPr>
              <w:spacing w:after="0"/>
              <w:jc w:val="right"/>
            </w:pPr>
            <w:r>
              <w:rPr>
                <w:sz w:val="19"/>
              </w:rPr>
              <w:t>2,253</w:t>
            </w:r>
          </w:p>
        </w:tc>
        <w:tc>
          <w:tcPr>
            <w:tcW w:w="1518" w:type="dxa"/>
          </w:tcPr>
          <w:p w:rsidR="007F373F" w:rsidRDefault="00000000">
            <w:pPr>
              <w:spacing w:after="0"/>
              <w:jc w:val="right"/>
            </w:pPr>
            <w:r>
              <w:rPr>
                <w:sz w:val="19"/>
              </w:rPr>
              <w:t>+5,468</w:t>
            </w:r>
          </w:p>
        </w:tc>
        <w:tc>
          <w:tcPr>
            <w:tcW w:w="1794" w:type="dxa"/>
          </w:tcPr>
          <w:p w:rsidR="007F373F" w:rsidRDefault="00000000">
            <w:pPr>
              <w:spacing w:after="0"/>
              <w:jc w:val="right"/>
            </w:pPr>
            <w:r>
              <w:rPr>
                <w:sz w:val="19"/>
              </w:rPr>
              <w:t>62.9%</w:t>
            </w:r>
          </w:p>
        </w:tc>
        <w:tc>
          <w:tcPr>
            <w:tcW w:w="1863" w:type="dxa"/>
          </w:tcPr>
          <w:p w:rsidR="007F373F" w:rsidRDefault="00000000">
            <w:pPr>
              <w:spacing w:after="0"/>
              <w:jc w:val="right"/>
            </w:pPr>
            <w:r>
              <w:rPr>
                <w:sz w:val="19"/>
              </w:rPr>
              <w:t>39.0%</w:t>
            </w:r>
          </w:p>
        </w:tc>
      </w:tr>
      <w:tr w:rsidR="007F373F">
        <w:trPr>
          <w:jc w:val="center"/>
        </w:trPr>
        <w:tc>
          <w:tcPr>
            <w:tcW w:w="1242" w:type="dxa"/>
          </w:tcPr>
          <w:p w:rsidR="007F373F" w:rsidRDefault="00000000">
            <w:pPr>
              <w:spacing w:after="0"/>
              <w:jc w:val="left"/>
            </w:pPr>
            <w:r>
              <w:rPr>
                <w:sz w:val="19"/>
              </w:rPr>
              <w:t>1-3y</w:t>
            </w:r>
          </w:p>
        </w:tc>
        <w:tc>
          <w:tcPr>
            <w:tcW w:w="1656" w:type="dxa"/>
          </w:tcPr>
          <w:p w:rsidR="007F373F" w:rsidRDefault="00000000">
            <w:pPr>
              <w:spacing w:after="0"/>
              <w:jc w:val="right"/>
            </w:pPr>
            <w:r>
              <w:rPr>
                <w:sz w:val="19"/>
              </w:rPr>
              <w:t>1,984</w:t>
            </w:r>
          </w:p>
        </w:tc>
        <w:tc>
          <w:tcPr>
            <w:tcW w:w="1656" w:type="dxa"/>
          </w:tcPr>
          <w:p w:rsidR="007F373F" w:rsidRDefault="00000000">
            <w:pPr>
              <w:spacing w:after="0"/>
              <w:jc w:val="right"/>
            </w:pPr>
            <w:r>
              <w:rPr>
                <w:sz w:val="19"/>
              </w:rPr>
              <w:t>6,409</w:t>
            </w:r>
          </w:p>
        </w:tc>
        <w:tc>
          <w:tcPr>
            <w:tcW w:w="1518" w:type="dxa"/>
          </w:tcPr>
          <w:p w:rsidR="007F373F" w:rsidRDefault="00000000">
            <w:pPr>
              <w:spacing w:after="0"/>
              <w:jc w:val="right"/>
            </w:pPr>
            <w:r>
              <w:rPr>
                <w:sz w:val="19"/>
              </w:rPr>
              <w:t>-4,425</w:t>
            </w:r>
          </w:p>
        </w:tc>
        <w:tc>
          <w:tcPr>
            <w:tcW w:w="1794" w:type="dxa"/>
          </w:tcPr>
          <w:p w:rsidR="007F373F" w:rsidRDefault="00000000">
            <w:pPr>
              <w:spacing w:after="0"/>
              <w:jc w:val="right"/>
            </w:pPr>
            <w:r>
              <w:rPr>
                <w:sz w:val="19"/>
              </w:rPr>
              <w:t>76.8%</w:t>
            </w:r>
          </w:p>
        </w:tc>
        <w:tc>
          <w:tcPr>
            <w:tcW w:w="1863" w:type="dxa"/>
          </w:tcPr>
          <w:p w:rsidR="007F373F" w:rsidRDefault="00000000">
            <w:pPr>
              <w:spacing w:after="0"/>
              <w:jc w:val="right"/>
            </w:pPr>
            <w:r>
              <w:rPr>
                <w:sz w:val="19"/>
              </w:rPr>
              <w:t>86.6%</w:t>
            </w:r>
          </w:p>
        </w:tc>
      </w:tr>
      <w:tr w:rsidR="007F373F">
        <w:trPr>
          <w:jc w:val="center"/>
        </w:trPr>
        <w:tc>
          <w:tcPr>
            <w:tcW w:w="1242" w:type="dxa"/>
          </w:tcPr>
          <w:p w:rsidR="007F373F" w:rsidRDefault="00000000">
            <w:pPr>
              <w:spacing w:after="0"/>
              <w:jc w:val="left"/>
            </w:pPr>
            <w:r>
              <w:rPr>
                <w:sz w:val="19"/>
              </w:rPr>
              <w:t>3-5y</w:t>
            </w:r>
          </w:p>
        </w:tc>
        <w:tc>
          <w:tcPr>
            <w:tcW w:w="1656" w:type="dxa"/>
          </w:tcPr>
          <w:p w:rsidR="007F373F" w:rsidRDefault="00000000">
            <w:pPr>
              <w:spacing w:after="0"/>
              <w:jc w:val="right"/>
            </w:pPr>
            <w:r>
              <w:rPr>
                <w:sz w:val="19"/>
              </w:rPr>
              <w:t>1,982</w:t>
            </w:r>
          </w:p>
        </w:tc>
        <w:tc>
          <w:tcPr>
            <w:tcW w:w="1656" w:type="dxa"/>
          </w:tcPr>
          <w:p w:rsidR="007F373F" w:rsidRDefault="00000000">
            <w:pPr>
              <w:spacing w:after="0"/>
              <w:jc w:val="right"/>
            </w:pPr>
            <w:r>
              <w:rPr>
                <w:sz w:val="19"/>
              </w:rPr>
              <w:t>1,325</w:t>
            </w:r>
          </w:p>
        </w:tc>
        <w:tc>
          <w:tcPr>
            <w:tcW w:w="1518" w:type="dxa"/>
          </w:tcPr>
          <w:p w:rsidR="007F373F" w:rsidRDefault="00000000">
            <w:pPr>
              <w:spacing w:after="0"/>
              <w:jc w:val="right"/>
            </w:pPr>
            <w:r>
              <w:rPr>
                <w:sz w:val="19"/>
              </w:rPr>
              <w:t>+657</w:t>
            </w:r>
          </w:p>
        </w:tc>
        <w:tc>
          <w:tcPr>
            <w:tcW w:w="1794" w:type="dxa"/>
          </w:tcPr>
          <w:p w:rsidR="007F373F" w:rsidRDefault="00000000">
            <w:pPr>
              <w:spacing w:after="0"/>
              <w:jc w:val="right"/>
            </w:pPr>
            <w:r>
              <w:rPr>
                <w:sz w:val="19"/>
              </w:rPr>
              <w:t>90.6%</w:t>
            </w:r>
          </w:p>
        </w:tc>
        <w:tc>
          <w:tcPr>
            <w:tcW w:w="1863" w:type="dxa"/>
          </w:tcPr>
          <w:p w:rsidR="007F373F" w:rsidRDefault="00000000">
            <w:pPr>
              <w:spacing w:after="0"/>
              <w:jc w:val="right"/>
            </w:pPr>
            <w:r>
              <w:rPr>
                <w:sz w:val="19"/>
              </w:rPr>
              <w:t>96.4%</w:t>
            </w:r>
          </w:p>
        </w:tc>
      </w:tr>
      <w:tr w:rsidR="007F373F">
        <w:trPr>
          <w:jc w:val="center"/>
        </w:trPr>
        <w:tc>
          <w:tcPr>
            <w:tcW w:w="1242" w:type="dxa"/>
          </w:tcPr>
          <w:p w:rsidR="007F373F" w:rsidRDefault="00000000">
            <w:pPr>
              <w:spacing w:after="0"/>
              <w:jc w:val="left"/>
            </w:pPr>
            <w:r>
              <w:rPr>
                <w:sz w:val="19"/>
              </w:rPr>
              <w:t>&gt;5y</w:t>
            </w:r>
          </w:p>
        </w:tc>
        <w:tc>
          <w:tcPr>
            <w:tcW w:w="1656" w:type="dxa"/>
          </w:tcPr>
          <w:p w:rsidR="007F373F" w:rsidRDefault="00000000">
            <w:pPr>
              <w:spacing w:after="0"/>
              <w:jc w:val="right"/>
            </w:pPr>
            <w:r>
              <w:rPr>
                <w:sz w:val="19"/>
              </w:rPr>
              <w:t>1,341</w:t>
            </w:r>
          </w:p>
        </w:tc>
        <w:tc>
          <w:tcPr>
            <w:tcW w:w="1656" w:type="dxa"/>
          </w:tcPr>
          <w:p w:rsidR="007F373F" w:rsidRDefault="00000000">
            <w:pPr>
              <w:spacing w:after="0"/>
              <w:jc w:val="right"/>
            </w:pPr>
            <w:r>
              <w:rPr>
                <w:sz w:val="19"/>
              </w:rPr>
              <w:t>488</w:t>
            </w:r>
          </w:p>
        </w:tc>
        <w:tc>
          <w:tcPr>
            <w:tcW w:w="1518" w:type="dxa"/>
          </w:tcPr>
          <w:p w:rsidR="007F373F" w:rsidRDefault="00000000">
            <w:pPr>
              <w:spacing w:after="0"/>
              <w:jc w:val="right"/>
            </w:pPr>
            <w:r>
              <w:rPr>
                <w:sz w:val="19"/>
              </w:rPr>
              <w:t>+852</w:t>
            </w:r>
          </w:p>
        </w:tc>
        <w:tc>
          <w:tcPr>
            <w:tcW w:w="1794" w:type="dxa"/>
          </w:tcPr>
          <w:p w:rsidR="007F373F" w:rsidRDefault="00000000">
            <w:pPr>
              <w:spacing w:after="0"/>
              <w:jc w:val="right"/>
            </w:pPr>
            <w:r>
              <w:rPr>
                <w:sz w:val="19"/>
              </w:rPr>
              <w:t>100.0%</w:t>
            </w:r>
          </w:p>
        </w:tc>
        <w:tc>
          <w:tcPr>
            <w:tcW w:w="1863" w:type="dxa"/>
          </w:tcPr>
          <w:p w:rsidR="007F373F" w:rsidRDefault="00000000">
            <w:pPr>
              <w:spacing w:after="0"/>
              <w:jc w:val="right"/>
            </w:pPr>
            <w:r>
              <w:rPr>
                <w:sz w:val="19"/>
              </w:rPr>
              <w:t>100.0%</w:t>
            </w:r>
          </w:p>
        </w:tc>
      </w:tr>
      <w:tr w:rsidR="007F373F">
        <w:trPr>
          <w:jc w:val="center"/>
        </w:trPr>
        <w:tc>
          <w:tcPr>
            <w:tcW w:w="1242" w:type="dxa"/>
          </w:tcPr>
          <w:p w:rsidR="007F373F" w:rsidRDefault="00000000">
            <w:pPr>
              <w:spacing w:after="0"/>
              <w:jc w:val="left"/>
            </w:pPr>
            <w:r>
              <w:rPr>
                <w:sz w:val="19"/>
              </w:rPr>
              <w:t>Total</w:t>
            </w:r>
          </w:p>
        </w:tc>
        <w:tc>
          <w:tcPr>
            <w:tcW w:w="1656" w:type="dxa"/>
          </w:tcPr>
          <w:p w:rsidR="007F373F" w:rsidRDefault="00000000">
            <w:pPr>
              <w:spacing w:after="0"/>
              <w:jc w:val="right"/>
            </w:pPr>
            <w:r>
              <w:rPr>
                <w:sz w:val="19"/>
              </w:rPr>
              <w:t>14,319</w:t>
            </w:r>
          </w:p>
        </w:tc>
        <w:tc>
          <w:tcPr>
            <w:tcW w:w="1656" w:type="dxa"/>
          </w:tcPr>
          <w:p w:rsidR="007F373F" w:rsidRDefault="00000000">
            <w:pPr>
              <w:spacing w:after="0"/>
              <w:jc w:val="right"/>
            </w:pPr>
            <w:r>
              <w:rPr>
                <w:sz w:val="19"/>
              </w:rPr>
              <w:t>13,484</w:t>
            </w:r>
          </w:p>
        </w:tc>
        <w:tc>
          <w:tcPr>
            <w:tcW w:w="1518" w:type="dxa"/>
          </w:tcPr>
          <w:p w:rsidR="007F373F" w:rsidRDefault="00000000">
            <w:pPr>
              <w:spacing w:after="0"/>
              <w:jc w:val="right"/>
            </w:pPr>
            <w:r>
              <w:rPr>
                <w:sz w:val="19"/>
              </w:rPr>
              <w:t>+835</w:t>
            </w:r>
          </w:p>
        </w:tc>
        <w:tc>
          <w:tcPr>
            <w:tcW w:w="1794" w:type="dxa"/>
          </w:tcPr>
          <w:p w:rsidR="007F373F" w:rsidRDefault="00000000">
            <w:pPr>
              <w:spacing w:after="0"/>
              <w:jc w:val="right"/>
            </w:pPr>
            <w:r>
              <w:rPr>
                <w:sz w:val="19"/>
              </w:rPr>
              <w:t>100%</w:t>
            </w:r>
          </w:p>
        </w:tc>
        <w:tc>
          <w:tcPr>
            <w:tcW w:w="1863" w:type="dxa"/>
          </w:tcPr>
          <w:p w:rsidR="007F373F" w:rsidRDefault="00000000">
            <w:pPr>
              <w:spacing w:after="0"/>
              <w:jc w:val="right"/>
            </w:pPr>
            <w:r>
              <w:rPr>
                <w:sz w:val="19"/>
              </w:rPr>
              <w:t>100%</w:t>
            </w:r>
          </w:p>
        </w:tc>
      </w:tr>
    </w:tbl>
    <w:p w:rsidR="007F373F" w:rsidRDefault="00000000">
      <w:pPr>
        <w:spacing w:before="40" w:after="80"/>
      </w:pPr>
      <w:r>
        <w:rPr>
          <w:i/>
          <w:sz w:val="18"/>
        </w:rPr>
        <w:t>Source: Fedfina Annual Report 2025-26, note 48 (₹ lakh converted to ₹ crore; cumulative shares derived). Borrowings here are market and bank borrowings per the ALM table (₹13,484 crore).</w:t>
      </w:r>
    </w:p>
    <w:p w:rsidR="007F373F" w:rsidRDefault="00000000">
      <w:r>
        <w:t>Interpretation. The profile is strongly positive: 63% of advances mature within one year (the gold book) against 39% of borrowings, so inflows exceed outflows in every cumulative bucket up to one year by a wide margin (₹3,749 crore cumulative surplus at 12 months, derived). The mismatch reverses in the 1–3 year bucket, where ₹6,409 crore of borrowings mature against ₹1,984 crore of advances – this is where the long-tenor mortgage book is funded by medium-term bank loans and ECBs, and it is the bucket to watch for refinancing. Compared with 31 March 2025, the share of advances maturing within a year rose (as gold loans doubled) while borrowings lengthened (ECB and 2033 sub-debt), improving the structure.</w:t>
      </w:r>
    </w:p>
    <w:p w:rsidR="007F373F" w:rsidRDefault="00000000">
      <w:r>
        <w:t>Buffers and governance. Cash and cash equivalents of ₹1,340 crore plus bank balances of ₹51 crore equal 7.9% of total assets (derived), with investments of ₹402 crore largely liquid; 41 lenders and a shareholder-approved borrowing limit of ₹18,000 crore (about 75% utilised) provide headroom; CP outstanding of ₹1,164 crore is the main short-term rollover exposure. ALCO oversees the position under the SBR liquidity framework; the specific liquidity coverage ratio is not disclosed in the extracted text and is not estimated here.</w:t>
      </w:r>
    </w:p>
    <w:p w:rsidR="007F373F" w:rsidRDefault="00000000">
      <w:pPr>
        <w:pStyle w:val="Heading1"/>
        <w:pageBreakBefore/>
      </w:pPr>
      <w:r>
        <w:lastRenderedPageBreak/>
        <w:t>Market Risk: Interest Rates, Gold Price and Currency</w:t>
      </w:r>
    </w:p>
    <w:p w:rsidR="007F373F" w:rsidRDefault="00000000">
      <w:pPr>
        <w:pStyle w:val="Heading2"/>
      </w:pPr>
      <w:r>
        <w:t>Interest-rate risk</w:t>
      </w:r>
    </w:p>
    <w:p w:rsidR="007F373F" w:rsidRDefault="00000000">
      <w:r>
        <w:t>Fedfina’s assets are largely fixed-rate for their (short) tenor in gold and floating or periodically reset in mortgages; its liabilities were about 60% floating at 31 March 2026 after the fixed-rate share was deliberately raised from roughly 10% to 40% during FY26. In a falling-rate year this mix produced a 90 bp drop in cost of borrowings and an 8.6% spread; in a rising-rate year it would compress the spread until gold loans repriced (within a year) and mortgage rates were reset. The company does not publish an earnings-at-risk sensitivity in the extracted text, so this report illustrates the exposure: a 100 bp rise in cost on the floating 60% of ₹13,484 crore of borrowings would add about ₹81 crore to annual finance costs before any asset repricing – roughly 18% of FY26 PBT (derived, illustrative). The 2033 subordinated issues at 8.85–8.90% and the 7.29% January 2026 NCD show the company locking in term funding near cycle lows.</w:t>
      </w:r>
    </w:p>
    <w:p w:rsidR="007F373F" w:rsidRDefault="00000000">
      <w:pPr>
        <w:pStyle w:val="Heading2"/>
      </w:pPr>
      <w:r>
        <w:t>Gold-price risk</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5798"/>
        <w:gridCol w:w="3934"/>
      </w:tblGrid>
      <w:tr w:rsidR="007F373F">
        <w:trPr>
          <w:jc w:val="center"/>
        </w:trPr>
        <w:tc>
          <w:tcPr>
            <w:tcW w:w="5798" w:type="dxa"/>
          </w:tcPr>
          <w:p w:rsidR="007F373F" w:rsidRDefault="00000000">
            <w:pPr>
              <w:spacing w:after="0"/>
              <w:jc w:val="left"/>
            </w:pPr>
            <w:r>
              <w:rPr>
                <w:b/>
                <w:sz w:val="20"/>
              </w:rPr>
              <w:t>Gold-price sensitivity (derived, illustrative)</w:t>
            </w:r>
          </w:p>
        </w:tc>
        <w:tc>
          <w:tcPr>
            <w:tcW w:w="3934" w:type="dxa"/>
          </w:tcPr>
          <w:p w:rsidR="007F373F" w:rsidRDefault="00000000">
            <w:pPr>
              <w:spacing w:after="0"/>
              <w:jc w:val="left"/>
            </w:pPr>
            <w:r>
              <w:rPr>
                <w:b/>
                <w:sz w:val="20"/>
              </w:rPr>
              <w:t>Value</w:t>
            </w:r>
          </w:p>
        </w:tc>
      </w:tr>
      <w:tr w:rsidR="007F373F">
        <w:trPr>
          <w:jc w:val="center"/>
        </w:trPr>
        <w:tc>
          <w:tcPr>
            <w:tcW w:w="5798" w:type="dxa"/>
          </w:tcPr>
          <w:p w:rsidR="007F373F" w:rsidRDefault="00000000">
            <w:pPr>
              <w:spacing w:after="0"/>
              <w:jc w:val="left"/>
            </w:pPr>
            <w:r>
              <w:rPr>
                <w:sz w:val="20"/>
              </w:rPr>
              <w:t>Gold AUM / gold loans on book (31 Mar 2026)</w:t>
            </w:r>
          </w:p>
        </w:tc>
        <w:tc>
          <w:tcPr>
            <w:tcW w:w="3934" w:type="dxa"/>
          </w:tcPr>
          <w:p w:rsidR="007F373F" w:rsidRDefault="00000000">
            <w:pPr>
              <w:spacing w:after="0"/>
              <w:jc w:val="left"/>
            </w:pPr>
            <w:r>
              <w:rPr>
                <w:sz w:val="20"/>
              </w:rPr>
              <w:t>₹10,352 crore / ₹7,919 crore</w:t>
            </w:r>
          </w:p>
        </w:tc>
      </w:tr>
      <w:tr w:rsidR="007F373F">
        <w:trPr>
          <w:jc w:val="center"/>
        </w:trPr>
        <w:tc>
          <w:tcPr>
            <w:tcW w:w="5798" w:type="dxa"/>
          </w:tcPr>
          <w:p w:rsidR="007F373F" w:rsidRDefault="00000000">
            <w:pPr>
              <w:spacing w:after="0"/>
              <w:jc w:val="left"/>
            </w:pPr>
            <w:r>
              <w:rPr>
                <w:sz w:val="20"/>
              </w:rPr>
              <w:t>Portfolio LTV / onboarding LTV</w:t>
            </w:r>
          </w:p>
        </w:tc>
        <w:tc>
          <w:tcPr>
            <w:tcW w:w="3934" w:type="dxa"/>
          </w:tcPr>
          <w:p w:rsidR="007F373F" w:rsidRDefault="00000000">
            <w:pPr>
              <w:spacing w:after="0"/>
              <w:jc w:val="left"/>
            </w:pPr>
            <w:r>
              <w:rPr>
                <w:sz w:val="20"/>
              </w:rPr>
              <w:t>60.9% / ≈70%</w:t>
            </w:r>
          </w:p>
        </w:tc>
      </w:tr>
      <w:tr w:rsidR="007F373F">
        <w:trPr>
          <w:jc w:val="center"/>
        </w:trPr>
        <w:tc>
          <w:tcPr>
            <w:tcW w:w="5798" w:type="dxa"/>
          </w:tcPr>
          <w:p w:rsidR="007F373F" w:rsidRDefault="00000000">
            <w:pPr>
              <w:spacing w:after="0"/>
              <w:jc w:val="left"/>
            </w:pPr>
            <w:r>
              <w:rPr>
                <w:sz w:val="20"/>
              </w:rPr>
              <w:t>Price fall at which average loan reaches 100% LTV</w:t>
            </w:r>
          </w:p>
        </w:tc>
        <w:tc>
          <w:tcPr>
            <w:tcW w:w="3934" w:type="dxa"/>
          </w:tcPr>
          <w:p w:rsidR="007F373F" w:rsidRDefault="00000000">
            <w:pPr>
              <w:spacing w:after="0"/>
              <w:jc w:val="left"/>
            </w:pPr>
            <w:r>
              <w:rPr>
                <w:sz w:val="20"/>
              </w:rPr>
              <w:t>≈ 39% (1 − 0.609)</w:t>
            </w:r>
          </w:p>
        </w:tc>
      </w:tr>
      <w:tr w:rsidR="007F373F">
        <w:trPr>
          <w:jc w:val="center"/>
        </w:trPr>
        <w:tc>
          <w:tcPr>
            <w:tcW w:w="5798" w:type="dxa"/>
          </w:tcPr>
          <w:p w:rsidR="007F373F" w:rsidRDefault="00000000">
            <w:pPr>
              <w:spacing w:after="0"/>
              <w:jc w:val="left"/>
            </w:pPr>
            <w:r>
              <w:rPr>
                <w:sz w:val="20"/>
              </w:rPr>
              <w:t>Price fall at which a fresh 70%-LTV loan is uncovered</w:t>
            </w:r>
          </w:p>
        </w:tc>
        <w:tc>
          <w:tcPr>
            <w:tcW w:w="3934" w:type="dxa"/>
          </w:tcPr>
          <w:p w:rsidR="007F373F" w:rsidRDefault="00000000">
            <w:pPr>
              <w:spacing w:after="0"/>
              <w:jc w:val="left"/>
            </w:pPr>
            <w:r>
              <w:rPr>
                <w:sz w:val="20"/>
              </w:rPr>
              <w:t>≈ 30%</w:t>
            </w:r>
          </w:p>
        </w:tc>
      </w:tr>
      <w:tr w:rsidR="007F373F">
        <w:trPr>
          <w:jc w:val="center"/>
        </w:trPr>
        <w:tc>
          <w:tcPr>
            <w:tcW w:w="5798" w:type="dxa"/>
          </w:tcPr>
          <w:p w:rsidR="007F373F" w:rsidRDefault="00000000">
            <w:pPr>
              <w:spacing w:after="0"/>
              <w:jc w:val="left"/>
            </w:pPr>
            <w:r>
              <w:rPr>
                <w:sz w:val="20"/>
              </w:rPr>
              <w:t>Price move in CY2025</w:t>
            </w:r>
          </w:p>
        </w:tc>
        <w:tc>
          <w:tcPr>
            <w:tcW w:w="3934" w:type="dxa"/>
          </w:tcPr>
          <w:p w:rsidR="007F373F" w:rsidRDefault="00000000">
            <w:pPr>
              <w:spacing w:after="0"/>
              <w:jc w:val="left"/>
            </w:pPr>
            <w:r>
              <w:rPr>
                <w:sz w:val="20"/>
              </w:rPr>
              <w:t>+65% (USD 2,607 → 4,315/oz)</w:t>
            </w:r>
          </w:p>
        </w:tc>
      </w:tr>
      <w:tr w:rsidR="007F373F">
        <w:trPr>
          <w:jc w:val="center"/>
        </w:trPr>
        <w:tc>
          <w:tcPr>
            <w:tcW w:w="5798" w:type="dxa"/>
          </w:tcPr>
          <w:p w:rsidR="007F373F" w:rsidRDefault="00000000">
            <w:pPr>
              <w:spacing w:after="0"/>
              <w:jc w:val="left"/>
            </w:pPr>
            <w:r>
              <w:rPr>
                <w:sz w:val="20"/>
              </w:rPr>
              <w:t>Auction realisation vs dues in FY26</w:t>
            </w:r>
          </w:p>
        </w:tc>
        <w:tc>
          <w:tcPr>
            <w:tcW w:w="3934" w:type="dxa"/>
          </w:tcPr>
          <w:p w:rsidR="007F373F" w:rsidRDefault="00000000">
            <w:pPr>
              <w:spacing w:after="0"/>
              <w:jc w:val="left"/>
            </w:pPr>
            <w:r>
              <w:rPr>
                <w:sz w:val="20"/>
              </w:rPr>
              <w:t>₹44.0 crore vs ₹48.0 crore (≈92%)</w:t>
            </w:r>
          </w:p>
        </w:tc>
      </w:tr>
      <w:tr w:rsidR="007F373F">
        <w:trPr>
          <w:jc w:val="center"/>
        </w:trPr>
        <w:tc>
          <w:tcPr>
            <w:tcW w:w="5798" w:type="dxa"/>
          </w:tcPr>
          <w:p w:rsidR="007F373F" w:rsidRDefault="00000000">
            <w:pPr>
              <w:spacing w:after="0"/>
              <w:jc w:val="left"/>
            </w:pPr>
            <w:r>
              <w:rPr>
                <w:sz w:val="20"/>
              </w:rPr>
              <w:t>Regulatory LTV from 1 April 2026</w:t>
            </w:r>
          </w:p>
        </w:tc>
        <w:tc>
          <w:tcPr>
            <w:tcW w:w="3934" w:type="dxa"/>
          </w:tcPr>
          <w:p w:rsidR="007F373F" w:rsidRDefault="00000000">
            <w:pPr>
              <w:spacing w:after="0"/>
              <w:jc w:val="left"/>
            </w:pPr>
            <w:r>
              <w:rPr>
                <w:sz w:val="20"/>
              </w:rPr>
              <w:t>85% (≤ ₹2.5 lakh), 80% (₹2.5–5 lakh), 75% (&gt; ₹5 lakh), maintained through tenor</w:t>
            </w:r>
          </w:p>
        </w:tc>
      </w:tr>
    </w:tbl>
    <w:p w:rsidR="007F373F" w:rsidRDefault="00000000">
      <w:pPr>
        <w:spacing w:before="40" w:after="80"/>
      </w:pPr>
      <w:r>
        <w:rPr>
          <w:i/>
          <w:sz w:val="18"/>
        </w:rPr>
        <w:t>Source: Fedfina Annual Report 2025-26; RBI Directions 2025 (EY summary). Sensitivities are arithmetic on disclosed LTVs, not company estimates.</w:t>
      </w:r>
    </w:p>
    <w:p w:rsidR="007F373F" w:rsidRDefault="00000000">
      <w:r>
        <w:t>A correction in gold prices affects the business through three channels: collateral cover (buffer shown above), demand (smaller eligible loans, lower disbursements) and conduct (more auctions, customer attrition). The short tenor is the main defence – the book turns over within a year, so LTVs reset quickly – together with daily price tracking and margin-call/top-up triggers. The decision to target tonnage growth of 10–12% rather than price-led growth is the strategic hedge. The last comparable episode, the 2013 gold-price fall of about 25%, caused losses at some gold NBFCs operating at 85%+ LTV; at 61% portfolio LTV Fedfina’s exposure is materially lower.</w:t>
      </w:r>
    </w:p>
    <w:p w:rsidR="007F373F" w:rsidRDefault="00000000">
      <w:pPr>
        <w:pStyle w:val="Heading2"/>
      </w:pPr>
      <w:r>
        <w:t>Currency risk</w:t>
      </w:r>
    </w:p>
    <w:p w:rsidR="007F373F" w:rsidRDefault="00000000">
      <w:r>
        <w:t>ECB borrowings of ₹2,382 crore (USD 250 million programme) and FCNR borrowings of ₹62.5 crore are the only foreign-currency liabilities. The company states that ECBs are fully hedged for the entire maturity by cross-currency swaps; derivative assets of ₹215 crore (notional ₹2,446 crore) at 31 March 2026 are the mark-to-market of these hedges and are offset through cash-flow-hedge accounting in OCI. The residual foreign-currency translation loss in finance costs was ₹1.7 crore. Currency risk is therefore economically neutralised, with counterparty and basis risk on the swaps the remaining exposure.</w:t>
      </w:r>
    </w:p>
    <w:p w:rsidR="007F373F" w:rsidRDefault="00000000">
      <w:pPr>
        <w:pStyle w:val="Heading1"/>
        <w:pageBreakBefore/>
      </w:pPr>
      <w:r>
        <w:lastRenderedPageBreak/>
        <w:t>Operational, Fraud and Cyber-Security Risk</w:t>
      </w:r>
    </w:p>
    <w:p w:rsidR="007F373F" w:rsidRDefault="00000000">
      <w:r>
        <w:t>Operational risk in a 757-branch, 5,303-employee lender handling 12.6 tonnes of gold and 3.4 lakh customer relationships is pervasive. The FY26 disclosures allow a reasonably granular view.</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794"/>
        <w:gridCol w:w="3451"/>
        <w:gridCol w:w="4486"/>
      </w:tblGrid>
      <w:tr w:rsidR="007F373F">
        <w:trPr>
          <w:jc w:val="center"/>
        </w:trPr>
        <w:tc>
          <w:tcPr>
            <w:tcW w:w="1794" w:type="dxa"/>
          </w:tcPr>
          <w:p w:rsidR="007F373F" w:rsidRDefault="00000000">
            <w:pPr>
              <w:spacing w:after="0"/>
              <w:jc w:val="left"/>
            </w:pPr>
            <w:r>
              <w:rPr>
                <w:b/>
                <w:sz w:val="18"/>
              </w:rPr>
              <w:t>Risk</w:t>
            </w:r>
          </w:p>
        </w:tc>
        <w:tc>
          <w:tcPr>
            <w:tcW w:w="3451" w:type="dxa"/>
          </w:tcPr>
          <w:p w:rsidR="007F373F" w:rsidRDefault="00000000">
            <w:pPr>
              <w:spacing w:after="0"/>
              <w:jc w:val="left"/>
            </w:pPr>
            <w:r>
              <w:rPr>
                <w:b/>
                <w:sz w:val="18"/>
              </w:rPr>
              <w:t>Exposure indicators (FY26)</w:t>
            </w:r>
          </w:p>
        </w:tc>
        <w:tc>
          <w:tcPr>
            <w:tcW w:w="4486" w:type="dxa"/>
          </w:tcPr>
          <w:p w:rsidR="007F373F" w:rsidRDefault="00000000">
            <w:pPr>
              <w:spacing w:after="0"/>
              <w:jc w:val="left"/>
            </w:pPr>
            <w:r>
              <w:rPr>
                <w:b/>
                <w:sz w:val="18"/>
              </w:rPr>
              <w:t>Controls and outcomes disclosed</w:t>
            </w:r>
          </w:p>
        </w:tc>
      </w:tr>
      <w:tr w:rsidR="007F373F">
        <w:trPr>
          <w:jc w:val="center"/>
        </w:trPr>
        <w:tc>
          <w:tcPr>
            <w:tcW w:w="1794" w:type="dxa"/>
          </w:tcPr>
          <w:p w:rsidR="007F373F" w:rsidRDefault="00000000">
            <w:pPr>
              <w:spacing w:after="0"/>
              <w:jc w:val="left"/>
            </w:pPr>
            <w:r>
              <w:rPr>
                <w:sz w:val="18"/>
              </w:rPr>
              <w:t>Gold custody and purity</w:t>
            </w:r>
          </w:p>
        </w:tc>
        <w:tc>
          <w:tcPr>
            <w:tcW w:w="3451" w:type="dxa"/>
          </w:tcPr>
          <w:p w:rsidR="007F373F" w:rsidRDefault="00000000">
            <w:pPr>
              <w:spacing w:after="0"/>
              <w:jc w:val="left"/>
            </w:pPr>
            <w:r>
              <w:rPr>
                <w:sz w:val="18"/>
              </w:rPr>
              <w:t>12.6 t of pledged gold across 558 branches; doorstep channel AUM ₹1,730 crore (+108%)</w:t>
            </w:r>
          </w:p>
        </w:tc>
        <w:tc>
          <w:tcPr>
            <w:tcW w:w="4486" w:type="dxa"/>
          </w:tcPr>
          <w:p w:rsidR="007F373F" w:rsidRDefault="00000000">
            <w:pPr>
              <w:spacing w:after="0"/>
              <w:jc w:val="left"/>
            </w:pPr>
            <w:r>
              <w:rPr>
                <w:sz w:val="18"/>
              </w:rPr>
              <w:t>Strong-rooms, insurance (premium ₹11 crore, +160%), dual control, surprise audits; prototype portable ‘security box’ with dual authentication, live tracking and remote unlocking; AI-based fraud analytics</w:t>
            </w:r>
          </w:p>
        </w:tc>
      </w:tr>
      <w:tr w:rsidR="007F373F">
        <w:trPr>
          <w:jc w:val="center"/>
        </w:trPr>
        <w:tc>
          <w:tcPr>
            <w:tcW w:w="1794" w:type="dxa"/>
          </w:tcPr>
          <w:p w:rsidR="007F373F" w:rsidRDefault="00000000">
            <w:pPr>
              <w:spacing w:after="0"/>
              <w:jc w:val="left"/>
            </w:pPr>
            <w:r>
              <w:rPr>
                <w:sz w:val="18"/>
              </w:rPr>
              <w:t>Fraud</w:t>
            </w:r>
          </w:p>
        </w:tc>
        <w:tc>
          <w:tcPr>
            <w:tcW w:w="3451" w:type="dxa"/>
          </w:tcPr>
          <w:p w:rsidR="007F373F" w:rsidRDefault="00000000">
            <w:pPr>
              <w:spacing w:after="0"/>
              <w:jc w:val="left"/>
            </w:pPr>
            <w:r>
              <w:rPr>
                <w:sz w:val="18"/>
              </w:rPr>
              <w:t>Frauds reported to RBI ₹110 lakh in FY26 (0.005% of AUM, derived); Special Committee of the Board for monitoring frauds</w:t>
            </w:r>
          </w:p>
        </w:tc>
        <w:tc>
          <w:tcPr>
            <w:tcW w:w="4486" w:type="dxa"/>
          </w:tcPr>
          <w:p w:rsidR="007F373F" w:rsidRDefault="00000000">
            <w:pPr>
              <w:spacing w:after="0"/>
              <w:jc w:val="left"/>
            </w:pPr>
            <w:r>
              <w:rPr>
                <w:sz w:val="18"/>
              </w:rPr>
              <w:t>Board-approved Fraud Risk Management and Investigation Policy; Master Direction on Fraud Risk Management (2024) compliance; whistle-blower channel (16 complaints)</w:t>
            </w:r>
          </w:p>
        </w:tc>
      </w:tr>
      <w:tr w:rsidR="007F373F">
        <w:trPr>
          <w:jc w:val="center"/>
        </w:trPr>
        <w:tc>
          <w:tcPr>
            <w:tcW w:w="1794" w:type="dxa"/>
          </w:tcPr>
          <w:p w:rsidR="007F373F" w:rsidRDefault="00000000">
            <w:pPr>
              <w:spacing w:after="0"/>
              <w:jc w:val="left"/>
            </w:pPr>
            <w:r>
              <w:rPr>
                <w:sz w:val="18"/>
              </w:rPr>
              <w:t>People and process</w:t>
            </w:r>
          </w:p>
        </w:tc>
        <w:tc>
          <w:tcPr>
            <w:tcW w:w="3451" w:type="dxa"/>
          </w:tcPr>
          <w:p w:rsidR="007F373F" w:rsidRDefault="00000000">
            <w:pPr>
              <w:spacing w:after="0"/>
              <w:jc w:val="left"/>
            </w:pPr>
            <w:r>
              <w:rPr>
                <w:sz w:val="18"/>
              </w:rPr>
              <w:t>735 employees added; 148 new branches; voluntary attrition 35.85%; 25% DSA sourcing</w:t>
            </w:r>
          </w:p>
        </w:tc>
        <w:tc>
          <w:tcPr>
            <w:tcW w:w="4486" w:type="dxa"/>
          </w:tcPr>
          <w:p w:rsidR="007F373F" w:rsidRDefault="00000000">
            <w:pPr>
              <w:spacing w:after="0"/>
              <w:jc w:val="left"/>
            </w:pPr>
            <w:r>
              <w:rPr>
                <w:sz w:val="18"/>
              </w:rPr>
              <w:t>Gurukul and Branch Gurukul Days; DREAM programme; 7.44 training hours per employee; standard operating procedures; maker-checker in LOS</w:t>
            </w:r>
          </w:p>
        </w:tc>
      </w:tr>
      <w:tr w:rsidR="007F373F">
        <w:trPr>
          <w:jc w:val="center"/>
        </w:trPr>
        <w:tc>
          <w:tcPr>
            <w:tcW w:w="1794" w:type="dxa"/>
          </w:tcPr>
          <w:p w:rsidR="007F373F" w:rsidRDefault="00000000">
            <w:pPr>
              <w:spacing w:after="0"/>
              <w:jc w:val="left"/>
            </w:pPr>
            <w:r>
              <w:rPr>
                <w:sz w:val="18"/>
              </w:rPr>
              <w:t>Technology and cyber</w:t>
            </w:r>
          </w:p>
        </w:tc>
        <w:tc>
          <w:tcPr>
            <w:tcW w:w="3451" w:type="dxa"/>
          </w:tcPr>
          <w:p w:rsidR="007F373F" w:rsidRDefault="00000000">
            <w:pPr>
              <w:spacing w:after="0"/>
              <w:jc w:val="left"/>
            </w:pPr>
            <w:r>
              <w:rPr>
                <w:sz w:val="18"/>
              </w:rPr>
              <w:t>Rising attacks on BFSI digital portals (MD&amp;A); cloud (AWS), mobile apps, API integrations with 20+ partners</w:t>
            </w:r>
          </w:p>
        </w:tc>
        <w:tc>
          <w:tcPr>
            <w:tcW w:w="4486" w:type="dxa"/>
          </w:tcPr>
          <w:p w:rsidR="007F373F" w:rsidRDefault="00000000">
            <w:pPr>
              <w:spacing w:after="0"/>
              <w:jc w:val="left"/>
            </w:pPr>
            <w:r>
              <w:rPr>
                <w:sz w:val="18"/>
              </w:rPr>
              <w:t>Zero Trust network access, MFA, EDR/XDR, VAPT, red-team exercises, vendor risk management; IT Strategy Committee met 4 times; ISO-aligned information-security practices; business-continuity planning</w:t>
            </w:r>
          </w:p>
        </w:tc>
      </w:tr>
      <w:tr w:rsidR="007F373F">
        <w:trPr>
          <w:jc w:val="center"/>
        </w:trPr>
        <w:tc>
          <w:tcPr>
            <w:tcW w:w="1794" w:type="dxa"/>
          </w:tcPr>
          <w:p w:rsidR="007F373F" w:rsidRDefault="00000000">
            <w:pPr>
              <w:spacing w:after="0"/>
              <w:jc w:val="left"/>
            </w:pPr>
            <w:r>
              <w:rPr>
                <w:sz w:val="18"/>
              </w:rPr>
              <w:t>Data privacy</w:t>
            </w:r>
          </w:p>
        </w:tc>
        <w:tc>
          <w:tcPr>
            <w:tcW w:w="3451" w:type="dxa"/>
          </w:tcPr>
          <w:p w:rsidR="007F373F" w:rsidRDefault="00000000">
            <w:pPr>
              <w:spacing w:after="0"/>
              <w:jc w:val="left"/>
            </w:pPr>
            <w:r>
              <w:rPr>
                <w:sz w:val="18"/>
              </w:rPr>
              <w:t>Customer KYC, bureau and Account Aggregator data; DPDP framework</w:t>
            </w:r>
          </w:p>
        </w:tc>
        <w:tc>
          <w:tcPr>
            <w:tcW w:w="4486" w:type="dxa"/>
          </w:tcPr>
          <w:p w:rsidR="007F373F" w:rsidRDefault="00000000">
            <w:pPr>
              <w:spacing w:after="0"/>
              <w:jc w:val="left"/>
            </w:pPr>
            <w:r>
              <w:rPr>
                <w:sz w:val="18"/>
              </w:rPr>
              <w:t>Consent-based data governance; data-classification tools (Klassify, Forcepoint, Netskope); privacy policy</w:t>
            </w:r>
          </w:p>
        </w:tc>
      </w:tr>
      <w:tr w:rsidR="007F373F">
        <w:trPr>
          <w:jc w:val="center"/>
        </w:trPr>
        <w:tc>
          <w:tcPr>
            <w:tcW w:w="1794" w:type="dxa"/>
          </w:tcPr>
          <w:p w:rsidR="007F373F" w:rsidRDefault="00000000">
            <w:pPr>
              <w:spacing w:after="0"/>
              <w:jc w:val="left"/>
            </w:pPr>
            <w:r>
              <w:rPr>
                <w:sz w:val="18"/>
              </w:rPr>
              <w:t>Outsourcing and third parties</w:t>
            </w:r>
          </w:p>
        </w:tc>
        <w:tc>
          <w:tcPr>
            <w:tcW w:w="3451" w:type="dxa"/>
          </w:tcPr>
          <w:p w:rsidR="007F373F" w:rsidRDefault="00000000">
            <w:pPr>
              <w:spacing w:after="0"/>
              <w:jc w:val="left"/>
            </w:pPr>
            <w:r>
              <w:rPr>
                <w:sz w:val="18"/>
              </w:rPr>
              <w:t>DSAs, collection agencies (commission ₹24 crore), technology vendors, ARCs</w:t>
            </w:r>
          </w:p>
        </w:tc>
        <w:tc>
          <w:tcPr>
            <w:tcW w:w="4486" w:type="dxa"/>
          </w:tcPr>
          <w:p w:rsidR="007F373F" w:rsidRDefault="00000000">
            <w:pPr>
              <w:spacing w:after="0"/>
              <w:jc w:val="left"/>
            </w:pPr>
            <w:r>
              <w:rPr>
                <w:sz w:val="18"/>
              </w:rPr>
              <w:t>Vendor risk management; agency reliance cut to 0.4x; RBI outsourcing directions</w:t>
            </w:r>
          </w:p>
        </w:tc>
      </w:tr>
      <w:tr w:rsidR="007F373F">
        <w:trPr>
          <w:jc w:val="center"/>
        </w:trPr>
        <w:tc>
          <w:tcPr>
            <w:tcW w:w="1794" w:type="dxa"/>
          </w:tcPr>
          <w:p w:rsidR="007F373F" w:rsidRDefault="00000000">
            <w:pPr>
              <w:spacing w:after="0"/>
              <w:jc w:val="left"/>
            </w:pPr>
            <w:r>
              <w:rPr>
                <w:sz w:val="18"/>
              </w:rPr>
              <w:t>Legal and conduct</w:t>
            </w:r>
          </w:p>
        </w:tc>
        <w:tc>
          <w:tcPr>
            <w:tcW w:w="3451" w:type="dxa"/>
          </w:tcPr>
          <w:p w:rsidR="007F373F" w:rsidRDefault="00000000">
            <w:pPr>
              <w:spacing w:after="0"/>
              <w:jc w:val="left"/>
            </w:pPr>
            <w:r>
              <w:rPr>
                <w:sz w:val="18"/>
              </w:rPr>
              <w:t>SARFAESI actions, auction notices, complaints; Internal Ombudsman Directions 2026</w:t>
            </w:r>
          </w:p>
        </w:tc>
        <w:tc>
          <w:tcPr>
            <w:tcW w:w="4486" w:type="dxa"/>
          </w:tcPr>
          <w:p w:rsidR="007F373F" w:rsidRDefault="00000000">
            <w:pPr>
              <w:spacing w:after="0"/>
              <w:jc w:val="left"/>
            </w:pPr>
            <w:r>
              <w:rPr>
                <w:sz w:val="18"/>
              </w:rPr>
              <w:t>100% complaint resolution within TAT; fair-practices code; CSAT 85%</w:t>
            </w:r>
          </w:p>
        </w:tc>
      </w:tr>
      <w:tr w:rsidR="007F373F">
        <w:trPr>
          <w:jc w:val="center"/>
        </w:trPr>
        <w:tc>
          <w:tcPr>
            <w:tcW w:w="1794" w:type="dxa"/>
          </w:tcPr>
          <w:p w:rsidR="007F373F" w:rsidRDefault="00000000">
            <w:pPr>
              <w:spacing w:after="0"/>
              <w:jc w:val="left"/>
            </w:pPr>
            <w:r>
              <w:rPr>
                <w:sz w:val="18"/>
              </w:rPr>
              <w:t>Business continuity</w:t>
            </w:r>
          </w:p>
        </w:tc>
        <w:tc>
          <w:tcPr>
            <w:tcW w:w="3451" w:type="dxa"/>
          </w:tcPr>
          <w:p w:rsidR="007F373F" w:rsidRDefault="00000000">
            <w:pPr>
              <w:spacing w:after="0"/>
              <w:jc w:val="left"/>
            </w:pPr>
            <w:r>
              <w:rPr>
                <w:sz w:val="18"/>
              </w:rPr>
              <w:t>Branch network exposed to floods, strikes, local disruptions</w:t>
            </w:r>
          </w:p>
        </w:tc>
        <w:tc>
          <w:tcPr>
            <w:tcW w:w="4486" w:type="dxa"/>
          </w:tcPr>
          <w:p w:rsidR="007F373F" w:rsidRDefault="00000000">
            <w:pPr>
              <w:spacing w:after="0"/>
              <w:jc w:val="left"/>
            </w:pPr>
            <w:r>
              <w:rPr>
                <w:sz w:val="18"/>
              </w:rPr>
              <w:t>BCP/DR framework; cloud infrastructure; climate-risk assessment conducted</w:t>
            </w:r>
          </w:p>
        </w:tc>
      </w:tr>
    </w:tbl>
    <w:p w:rsidR="007F373F" w:rsidRDefault="00000000">
      <w:pPr>
        <w:spacing w:before="40" w:after="80"/>
      </w:pPr>
      <w:r>
        <w:rPr>
          <w:i/>
          <w:sz w:val="18"/>
        </w:rPr>
        <w:t>Source: Fedfina Annual Report 2025-26, MD&amp;A, Corporate Overview (technology, cyber-security, people), Directors’ Report (frauds, whistle-blower), notes 34 and 48; BRSR.</w:t>
      </w:r>
    </w:p>
    <w:p w:rsidR="007F373F" w:rsidRDefault="00000000">
      <w:pPr>
        <w:pStyle w:val="Heading2"/>
      </w:pPr>
      <w:r>
        <w:t>Assessment</w:t>
      </w:r>
    </w:p>
    <w:p w:rsidR="007F373F" w:rsidRDefault="00000000">
      <w:r>
        <w:t>The most consequential operational exposure is gold custody in a rapidly growing doorstep channel: the company’s own investment in a tracked, dual-authenticated portable locker signals that it regards this as a live risk. Reported fraud of ₹1.1 crore is low in absolute and relative terms, but the number of frauds and their type are not disclosed in the extracted text, so trend analysis is not possible. Cyber-security disclosures are more detailed than those of many peers and name specific controls; the absence of any disclosed material incident is a positive but not a guarantee. The 35.85% attrition rate is the metric most likely to translate into operational error, and the training and career programmes described are the right response. Overall, operational risk appears actively managed, with the growth in young branches and doorstep volumes the main sources of incremental exposure in FY27.</w:t>
      </w:r>
    </w:p>
    <w:p w:rsidR="007F373F" w:rsidRDefault="00000000">
      <w:r>
        <w:t xml:space="preserve">Cost of control. The 160% rise in insurance premium to ₹11 crore is one visible price of the gold-custody build-out (12.6 tonnes, 558 branches, a doubling of doorstep AUM); together with agency commissions of ₹24 crore, security, audit and technology costs, these items form part of the operating-expense base that keeps the cost-to-income ratio near 57%. They are, however, the costs </w:t>
      </w:r>
      <w:r>
        <w:lastRenderedPageBreak/>
        <w:t>that make a 0.8% credit cost possible on a book that turns over within a year, and should be read as risk expenditure rather than inefficiency.</w:t>
      </w:r>
    </w:p>
    <w:p w:rsidR="007F373F" w:rsidRDefault="00000000">
      <w:pPr>
        <w:pStyle w:val="Heading1"/>
        <w:pageBreakBefore/>
      </w:pPr>
      <w:r>
        <w:lastRenderedPageBreak/>
        <w:t>Regulatory, Compliance and Reputational Risk</w:t>
      </w:r>
    </w:p>
    <w:p w:rsidR="007F373F" w:rsidRDefault="00000000">
      <w:r>
        <w:t>Fedfina’s compliance perimeter spans the RBI (NBFC-ML under SBR), SEBI (equity and debt listing), the Companies Act, FEMA (ECBs), PMLA and the DPDP framework. The secretarial audit report for FY26 lists ten RBI directions specifically applicable to the company and records no qualification. The table summarises the regulatory record and the forward-looking regulatory risks.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761"/>
        <w:gridCol w:w="4141"/>
        <w:gridCol w:w="2830"/>
      </w:tblGrid>
      <w:tr w:rsidR="007F373F">
        <w:trPr>
          <w:jc w:val="center"/>
        </w:trPr>
        <w:tc>
          <w:tcPr>
            <w:tcW w:w="2761" w:type="dxa"/>
          </w:tcPr>
          <w:p w:rsidR="007F373F" w:rsidRDefault="00000000">
            <w:pPr>
              <w:spacing w:after="0"/>
              <w:jc w:val="left"/>
            </w:pPr>
            <w:r>
              <w:rPr>
                <w:b/>
                <w:sz w:val="18"/>
              </w:rPr>
              <w:t>Item</w:t>
            </w:r>
          </w:p>
        </w:tc>
        <w:tc>
          <w:tcPr>
            <w:tcW w:w="4141" w:type="dxa"/>
          </w:tcPr>
          <w:p w:rsidR="007F373F" w:rsidRDefault="00000000">
            <w:pPr>
              <w:spacing w:after="0"/>
              <w:jc w:val="left"/>
            </w:pPr>
            <w:r>
              <w:rPr>
                <w:b/>
                <w:sz w:val="18"/>
              </w:rPr>
              <w:t>Disclosure</w:t>
            </w:r>
          </w:p>
        </w:tc>
        <w:tc>
          <w:tcPr>
            <w:tcW w:w="2830" w:type="dxa"/>
          </w:tcPr>
          <w:p w:rsidR="007F373F" w:rsidRDefault="00000000">
            <w:pPr>
              <w:spacing w:after="0"/>
              <w:jc w:val="left"/>
            </w:pPr>
            <w:r>
              <w:rPr>
                <w:b/>
                <w:sz w:val="18"/>
              </w:rPr>
              <w:t>Assessment</w:t>
            </w:r>
          </w:p>
        </w:tc>
      </w:tr>
      <w:tr w:rsidR="007F373F">
        <w:trPr>
          <w:jc w:val="center"/>
        </w:trPr>
        <w:tc>
          <w:tcPr>
            <w:tcW w:w="2761" w:type="dxa"/>
          </w:tcPr>
          <w:p w:rsidR="007F373F" w:rsidRDefault="00000000">
            <w:pPr>
              <w:spacing w:after="0"/>
              <w:jc w:val="left"/>
            </w:pPr>
            <w:r>
              <w:rPr>
                <w:sz w:val="18"/>
              </w:rPr>
              <w:t>RBI penalties / strictures in FY24–FY26</w:t>
            </w:r>
          </w:p>
        </w:tc>
        <w:tc>
          <w:tcPr>
            <w:tcW w:w="4141" w:type="dxa"/>
          </w:tcPr>
          <w:p w:rsidR="007F373F" w:rsidRDefault="00000000">
            <w:pPr>
              <w:spacing w:after="0"/>
              <w:jc w:val="left"/>
            </w:pPr>
            <w:r>
              <w:rPr>
                <w:sz w:val="18"/>
              </w:rPr>
              <w:t>None disclosed</w:t>
            </w:r>
          </w:p>
        </w:tc>
        <w:tc>
          <w:tcPr>
            <w:tcW w:w="2830" w:type="dxa"/>
          </w:tcPr>
          <w:p w:rsidR="007F373F" w:rsidRDefault="00000000">
            <w:pPr>
              <w:spacing w:after="0"/>
              <w:jc w:val="left"/>
            </w:pPr>
            <w:r>
              <w:rPr>
                <w:sz w:val="18"/>
              </w:rPr>
              <w:t>Clean prudential record</w:t>
            </w:r>
          </w:p>
        </w:tc>
      </w:tr>
      <w:tr w:rsidR="007F373F">
        <w:trPr>
          <w:jc w:val="center"/>
        </w:trPr>
        <w:tc>
          <w:tcPr>
            <w:tcW w:w="2761" w:type="dxa"/>
          </w:tcPr>
          <w:p w:rsidR="007F373F" w:rsidRDefault="00000000">
            <w:pPr>
              <w:spacing w:after="0"/>
              <w:jc w:val="left"/>
            </w:pPr>
            <w:r>
              <w:rPr>
                <w:sz w:val="18"/>
              </w:rPr>
              <w:t>SEBI / exchange actions</w:t>
            </w:r>
          </w:p>
        </w:tc>
        <w:tc>
          <w:tcPr>
            <w:tcW w:w="4141" w:type="dxa"/>
          </w:tcPr>
          <w:p w:rsidR="007F373F" w:rsidRDefault="00000000">
            <w:pPr>
              <w:spacing w:after="0"/>
              <w:jc w:val="left"/>
            </w:pPr>
            <w:r>
              <w:rPr>
                <w:sz w:val="18"/>
              </w:rPr>
              <w:t>BSE fines ₹10,000 and ₹1,53,400 (relating to 2023) and ₹10,000 (2024, later waived) for filing delays; paid March 2026</w:t>
            </w:r>
          </w:p>
        </w:tc>
        <w:tc>
          <w:tcPr>
            <w:tcW w:w="2830" w:type="dxa"/>
          </w:tcPr>
          <w:p w:rsidR="007F373F" w:rsidRDefault="00000000">
            <w:pPr>
              <w:spacing w:after="0"/>
              <w:jc w:val="left"/>
            </w:pPr>
            <w:r>
              <w:rPr>
                <w:sz w:val="18"/>
              </w:rPr>
              <w:t>Minor procedural lapses; immaterial</w:t>
            </w:r>
          </w:p>
        </w:tc>
      </w:tr>
      <w:tr w:rsidR="007F373F">
        <w:trPr>
          <w:jc w:val="center"/>
        </w:trPr>
        <w:tc>
          <w:tcPr>
            <w:tcW w:w="2761" w:type="dxa"/>
          </w:tcPr>
          <w:p w:rsidR="007F373F" w:rsidRDefault="00000000">
            <w:pPr>
              <w:spacing w:after="0"/>
              <w:jc w:val="left"/>
            </w:pPr>
            <w:r>
              <w:rPr>
                <w:sz w:val="18"/>
              </w:rPr>
              <w:t>Statutory / secretarial audit</w:t>
            </w:r>
          </w:p>
        </w:tc>
        <w:tc>
          <w:tcPr>
            <w:tcW w:w="4141" w:type="dxa"/>
          </w:tcPr>
          <w:p w:rsidR="007F373F" w:rsidRDefault="00000000">
            <w:pPr>
              <w:spacing w:after="0"/>
              <w:jc w:val="left"/>
            </w:pPr>
            <w:r>
              <w:rPr>
                <w:sz w:val="18"/>
              </w:rPr>
              <w:t>Unmodified opinion; no qualifications; auditors KKC &amp; Associates LLP and DKJ &amp; Associates</w:t>
            </w:r>
          </w:p>
        </w:tc>
        <w:tc>
          <w:tcPr>
            <w:tcW w:w="2830" w:type="dxa"/>
          </w:tcPr>
          <w:p w:rsidR="007F373F" w:rsidRDefault="00000000">
            <w:pPr>
              <w:spacing w:after="0"/>
              <w:jc w:val="left"/>
            </w:pPr>
            <w:r>
              <w:rPr>
                <w:sz w:val="18"/>
              </w:rPr>
              <w:t>Satisfactory</w:t>
            </w:r>
          </w:p>
        </w:tc>
      </w:tr>
      <w:tr w:rsidR="007F373F">
        <w:trPr>
          <w:jc w:val="center"/>
        </w:trPr>
        <w:tc>
          <w:tcPr>
            <w:tcW w:w="2761" w:type="dxa"/>
          </w:tcPr>
          <w:p w:rsidR="007F373F" w:rsidRDefault="00000000">
            <w:pPr>
              <w:spacing w:after="0"/>
              <w:jc w:val="left"/>
            </w:pPr>
            <w:r>
              <w:rPr>
                <w:sz w:val="18"/>
              </w:rPr>
              <w:t>Joint statutory audit</w:t>
            </w:r>
          </w:p>
        </w:tc>
        <w:tc>
          <w:tcPr>
            <w:tcW w:w="4141" w:type="dxa"/>
          </w:tcPr>
          <w:p w:rsidR="007F373F" w:rsidRDefault="00000000">
            <w:pPr>
              <w:spacing w:after="0"/>
              <w:jc w:val="left"/>
            </w:pPr>
            <w:r>
              <w:rPr>
                <w:sz w:val="18"/>
              </w:rPr>
              <w:t>V. Sankar Aiyar &amp; Co. proposed as joint auditor from 31st AGM (RBI Statutory Audit Directions 2026; assets ≥ ₹15,000 crore)</w:t>
            </w:r>
          </w:p>
        </w:tc>
        <w:tc>
          <w:tcPr>
            <w:tcW w:w="2830" w:type="dxa"/>
          </w:tcPr>
          <w:p w:rsidR="007F373F" w:rsidRDefault="00000000">
            <w:pPr>
              <w:spacing w:after="0"/>
              <w:jc w:val="left"/>
            </w:pPr>
            <w:r>
              <w:rPr>
                <w:sz w:val="18"/>
              </w:rPr>
              <w:t>Adds assurance; modest cost</w:t>
            </w:r>
          </w:p>
        </w:tc>
      </w:tr>
      <w:tr w:rsidR="007F373F">
        <w:trPr>
          <w:jc w:val="center"/>
        </w:trPr>
        <w:tc>
          <w:tcPr>
            <w:tcW w:w="2761" w:type="dxa"/>
          </w:tcPr>
          <w:p w:rsidR="007F373F" w:rsidRDefault="00000000">
            <w:pPr>
              <w:spacing w:after="0"/>
              <w:jc w:val="left"/>
            </w:pPr>
            <w:r>
              <w:rPr>
                <w:sz w:val="18"/>
              </w:rPr>
              <w:t>Gold-lending Directions 2025 (effective 1 Apr 2026)</w:t>
            </w:r>
          </w:p>
        </w:tc>
        <w:tc>
          <w:tcPr>
            <w:tcW w:w="4141" w:type="dxa"/>
          </w:tcPr>
          <w:p w:rsidR="007F373F" w:rsidRDefault="00000000">
            <w:pPr>
              <w:spacing w:after="0"/>
              <w:jc w:val="left"/>
            </w:pPr>
            <w:r>
              <w:rPr>
                <w:sz w:val="18"/>
              </w:rPr>
              <w:t>Tiered LTV, LTV maintenance, 12-month bullet cap, credit assessment above ₹2.5 lakh, standard auction and gold-return norms</w:t>
            </w:r>
          </w:p>
        </w:tc>
        <w:tc>
          <w:tcPr>
            <w:tcW w:w="2830" w:type="dxa"/>
          </w:tcPr>
          <w:p w:rsidR="007F373F" w:rsidRDefault="00000000">
            <w:pPr>
              <w:spacing w:after="0"/>
              <w:jc w:val="left"/>
            </w:pPr>
            <w:r>
              <w:rPr>
                <w:sz w:val="18"/>
              </w:rPr>
              <w:t>Main forward-looking regulatory risk for 51% of AUM; readiness indicated by conservative LTV and system capability</w:t>
            </w:r>
          </w:p>
        </w:tc>
      </w:tr>
      <w:tr w:rsidR="007F373F">
        <w:trPr>
          <w:jc w:val="center"/>
        </w:trPr>
        <w:tc>
          <w:tcPr>
            <w:tcW w:w="2761" w:type="dxa"/>
          </w:tcPr>
          <w:p w:rsidR="007F373F" w:rsidRDefault="00000000">
            <w:pPr>
              <w:spacing w:after="0"/>
              <w:jc w:val="left"/>
            </w:pPr>
            <w:r>
              <w:rPr>
                <w:sz w:val="18"/>
              </w:rPr>
              <w:t>Cash disbursal limit (₹20,000) and digital lending guidelines</w:t>
            </w:r>
          </w:p>
        </w:tc>
        <w:tc>
          <w:tcPr>
            <w:tcW w:w="4141" w:type="dxa"/>
          </w:tcPr>
          <w:p w:rsidR="007F373F" w:rsidRDefault="00000000">
            <w:pPr>
              <w:spacing w:after="0"/>
              <w:jc w:val="left"/>
            </w:pPr>
            <w:r>
              <w:rPr>
                <w:sz w:val="18"/>
              </w:rPr>
              <w:t>Implemented; &gt;86% digital e-NACH registration</w:t>
            </w:r>
          </w:p>
        </w:tc>
        <w:tc>
          <w:tcPr>
            <w:tcW w:w="2830" w:type="dxa"/>
          </w:tcPr>
          <w:p w:rsidR="007F373F" w:rsidRDefault="00000000">
            <w:pPr>
              <w:spacing w:after="0"/>
              <w:jc w:val="left"/>
            </w:pPr>
            <w:r>
              <w:rPr>
                <w:sz w:val="18"/>
              </w:rPr>
              <w:t>Operational, not financial, impact</w:t>
            </w:r>
          </w:p>
        </w:tc>
      </w:tr>
      <w:tr w:rsidR="007F373F">
        <w:trPr>
          <w:jc w:val="center"/>
        </w:trPr>
        <w:tc>
          <w:tcPr>
            <w:tcW w:w="2761" w:type="dxa"/>
          </w:tcPr>
          <w:p w:rsidR="007F373F" w:rsidRDefault="00000000">
            <w:pPr>
              <w:spacing w:after="0"/>
              <w:jc w:val="left"/>
            </w:pPr>
            <w:r>
              <w:rPr>
                <w:sz w:val="18"/>
              </w:rPr>
              <w:t>Internal Ombudsman Directions 2026</w:t>
            </w:r>
          </w:p>
        </w:tc>
        <w:tc>
          <w:tcPr>
            <w:tcW w:w="4141" w:type="dxa"/>
          </w:tcPr>
          <w:p w:rsidR="007F373F" w:rsidRDefault="00000000">
            <w:pPr>
              <w:spacing w:after="0"/>
              <w:jc w:val="left"/>
            </w:pPr>
            <w:r>
              <w:rPr>
                <w:sz w:val="18"/>
              </w:rPr>
              <w:t>Applicable; grievance framework in place</w:t>
            </w:r>
          </w:p>
        </w:tc>
        <w:tc>
          <w:tcPr>
            <w:tcW w:w="2830" w:type="dxa"/>
          </w:tcPr>
          <w:p w:rsidR="007F373F" w:rsidRDefault="00000000">
            <w:pPr>
              <w:spacing w:after="0"/>
              <w:jc w:val="left"/>
            </w:pPr>
            <w:r>
              <w:rPr>
                <w:sz w:val="18"/>
              </w:rPr>
              <w:t>Compliance cost; conduct benefit</w:t>
            </w:r>
          </w:p>
        </w:tc>
      </w:tr>
      <w:tr w:rsidR="007F373F">
        <w:trPr>
          <w:jc w:val="center"/>
        </w:trPr>
        <w:tc>
          <w:tcPr>
            <w:tcW w:w="2761" w:type="dxa"/>
          </w:tcPr>
          <w:p w:rsidR="007F373F" w:rsidRDefault="00000000">
            <w:pPr>
              <w:spacing w:after="0"/>
              <w:jc w:val="left"/>
            </w:pPr>
            <w:r>
              <w:rPr>
                <w:sz w:val="18"/>
              </w:rPr>
              <w:t>DPDP framework</w:t>
            </w:r>
          </w:p>
        </w:tc>
        <w:tc>
          <w:tcPr>
            <w:tcW w:w="4141" w:type="dxa"/>
          </w:tcPr>
          <w:p w:rsidR="007F373F" w:rsidRDefault="00000000">
            <w:pPr>
              <w:spacing w:after="0"/>
              <w:jc w:val="left"/>
            </w:pPr>
            <w:r>
              <w:rPr>
                <w:sz w:val="18"/>
              </w:rPr>
              <w:t>Consent-based governance and data-classification tools</w:t>
            </w:r>
          </w:p>
        </w:tc>
        <w:tc>
          <w:tcPr>
            <w:tcW w:w="2830" w:type="dxa"/>
          </w:tcPr>
          <w:p w:rsidR="007F373F" w:rsidRDefault="00000000">
            <w:pPr>
              <w:spacing w:after="0"/>
              <w:jc w:val="left"/>
            </w:pPr>
            <w:r>
              <w:rPr>
                <w:sz w:val="18"/>
              </w:rPr>
              <w:t>Rising obligation; breach risk</w:t>
            </w:r>
          </w:p>
        </w:tc>
      </w:tr>
      <w:tr w:rsidR="007F373F">
        <w:trPr>
          <w:jc w:val="center"/>
        </w:trPr>
        <w:tc>
          <w:tcPr>
            <w:tcW w:w="2761" w:type="dxa"/>
          </w:tcPr>
          <w:p w:rsidR="007F373F" w:rsidRDefault="00000000">
            <w:pPr>
              <w:spacing w:after="0"/>
              <w:jc w:val="left"/>
            </w:pPr>
            <w:r>
              <w:rPr>
                <w:sz w:val="18"/>
              </w:rPr>
              <w:t>Risk-weight changes on bank lending to NBFCs (Nov 2023)</w:t>
            </w:r>
          </w:p>
        </w:tc>
        <w:tc>
          <w:tcPr>
            <w:tcW w:w="4141" w:type="dxa"/>
          </w:tcPr>
          <w:p w:rsidR="007F373F" w:rsidRDefault="00000000">
            <w:pPr>
              <w:spacing w:after="0"/>
              <w:jc w:val="left"/>
            </w:pPr>
            <w:r>
              <w:rPr>
                <w:sz w:val="18"/>
              </w:rPr>
              <w:t>Raised cost of borrowings ≈40 bps in FY25</w:t>
            </w:r>
          </w:p>
        </w:tc>
        <w:tc>
          <w:tcPr>
            <w:tcW w:w="2830" w:type="dxa"/>
          </w:tcPr>
          <w:p w:rsidR="007F373F" w:rsidRDefault="00000000">
            <w:pPr>
              <w:spacing w:after="0"/>
              <w:jc w:val="left"/>
            </w:pPr>
            <w:r>
              <w:rPr>
                <w:sz w:val="18"/>
              </w:rPr>
              <w:t>Shows sensitivity to regulatory funding changes</w:t>
            </w:r>
          </w:p>
        </w:tc>
      </w:tr>
      <w:tr w:rsidR="007F373F">
        <w:trPr>
          <w:jc w:val="center"/>
        </w:trPr>
        <w:tc>
          <w:tcPr>
            <w:tcW w:w="2761" w:type="dxa"/>
          </w:tcPr>
          <w:p w:rsidR="007F373F" w:rsidRDefault="00000000">
            <w:pPr>
              <w:spacing w:after="0"/>
              <w:jc w:val="left"/>
            </w:pPr>
            <w:r>
              <w:rPr>
                <w:sz w:val="18"/>
              </w:rPr>
              <w:t>Related-party oversight</w:t>
            </w:r>
          </w:p>
        </w:tc>
        <w:tc>
          <w:tcPr>
            <w:tcW w:w="4141" w:type="dxa"/>
          </w:tcPr>
          <w:p w:rsidR="007F373F" w:rsidRDefault="00000000">
            <w:pPr>
              <w:spacing w:after="0"/>
              <w:jc w:val="left"/>
            </w:pPr>
            <w:r>
              <w:rPr>
                <w:sz w:val="18"/>
              </w:rPr>
              <w:t>Federal Bank funding ₹1,370 crore, interest ₹84.8 crore, distribution income ₹33 crore – arm’s length, Audit Committee approved</w:t>
            </w:r>
          </w:p>
        </w:tc>
        <w:tc>
          <w:tcPr>
            <w:tcW w:w="2830" w:type="dxa"/>
          </w:tcPr>
          <w:p w:rsidR="007F373F" w:rsidRDefault="00000000">
            <w:pPr>
              <w:spacing w:after="0"/>
              <w:jc w:val="left"/>
            </w:pPr>
            <w:r>
              <w:rPr>
                <w:sz w:val="18"/>
              </w:rPr>
              <w:t>Transparent; dependence moderate (10% of debt)</w:t>
            </w:r>
          </w:p>
        </w:tc>
      </w:tr>
    </w:tbl>
    <w:p w:rsidR="007F373F" w:rsidRDefault="00000000">
      <w:pPr>
        <w:spacing w:before="40" w:after="80"/>
      </w:pPr>
      <w:r>
        <w:rPr>
          <w:i/>
          <w:sz w:val="18"/>
        </w:rPr>
        <w:t>Source: Fedfina Annual Report 2025-26, Directors’ Report, Report on Corporate Governance, secretarial audit report, BRSR; RBI Directions 2025.</w:t>
      </w:r>
    </w:p>
    <w:p w:rsidR="007F373F" w:rsidRDefault="00000000">
      <w:pPr>
        <w:pStyle w:val="Heading2"/>
      </w:pPr>
      <w:r>
        <w:t>Reputational risk</w:t>
      </w:r>
    </w:p>
    <w:p w:rsidR="007F373F" w:rsidRDefault="00000000">
      <w:r>
        <w:t>Gold lending and small-ticket mortgage recovery are conduct-sensitive activities: auctioning a family’s jewellery or enforcing against a self-occupied home attracts scrutiny from regulators, courts, media and local communities. Fedfina’s disclosed mitigants are a fair-practices code, transparent auction procedures with surplus refunds, a grievance mechanism with 100% resolution within TAT, an 85% positive CSAT score, rising public ratings (4.58/5 on Google across 7,500+ reviews) and financial-literacy outreach. Its brand is also tied to Federal Bank’s, which raises both the standard expected and the cost of any lapse. No material customer-conduct action is disclosed for FY26.</w:t>
      </w:r>
    </w:p>
    <w:p w:rsidR="007F373F" w:rsidRDefault="00000000">
      <w:r>
        <w:t>Assessment. Regulatory risk at Fedfina is predominantly about change rather than non-compliance: the record is clean, but the rules governing its largest product changed materially on 1 April 2026 and the compliance load for a Middle-Layer listed NBFC keeps rising. The analytical implication is that compliance capacity – systems, people and Board attention – is a prerequisite for the growth plan, and the FY26 disclosures suggest it is being built.</w:t>
      </w:r>
    </w:p>
    <w:p w:rsidR="007F373F" w:rsidRDefault="00000000">
      <w:pPr>
        <w:pStyle w:val="Heading1"/>
        <w:pageBreakBefore/>
      </w:pPr>
      <w:r>
        <w:lastRenderedPageBreak/>
        <w:t>Collections Capability and Concentration Risk</w:t>
      </w:r>
    </w:p>
    <w:p w:rsidR="007F373F" w:rsidRDefault="00000000">
      <w:pPr>
        <w:pStyle w:val="Heading2"/>
      </w:pPr>
      <w:r>
        <w:t>Collections: the lesson of FY25</w:t>
      </w:r>
    </w:p>
    <w:p w:rsidR="007F373F" w:rsidRDefault="00000000">
      <w:r>
        <w:t>The FY25 annual report is unusually candid: small-mortgage delinquencies rose and realisation from deeper-bucket NPA pools fell because “our collection infrastructure had not kept pace with business growth”. The FY26 report describes the rebuild and its measured effects. The sequence is a textbook case of how lender profitability depends on an operational capability that does not appear on the balance sheet.</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794"/>
        <w:gridCol w:w="2484"/>
        <w:gridCol w:w="2761"/>
        <w:gridCol w:w="2691"/>
      </w:tblGrid>
      <w:tr w:rsidR="007F373F">
        <w:trPr>
          <w:jc w:val="center"/>
        </w:trPr>
        <w:tc>
          <w:tcPr>
            <w:tcW w:w="1794" w:type="dxa"/>
          </w:tcPr>
          <w:p w:rsidR="007F373F" w:rsidRDefault="00000000">
            <w:pPr>
              <w:spacing w:after="0"/>
              <w:jc w:val="left"/>
            </w:pPr>
            <w:r>
              <w:rPr>
                <w:b/>
                <w:sz w:val="19"/>
              </w:rPr>
              <w:t>Collections lever</w:t>
            </w:r>
          </w:p>
        </w:tc>
        <w:tc>
          <w:tcPr>
            <w:tcW w:w="2484" w:type="dxa"/>
          </w:tcPr>
          <w:p w:rsidR="007F373F" w:rsidRDefault="00000000">
            <w:pPr>
              <w:spacing w:after="0"/>
              <w:jc w:val="left"/>
            </w:pPr>
            <w:r>
              <w:rPr>
                <w:b/>
                <w:sz w:val="19"/>
              </w:rPr>
              <w:t>FY25 position</w:t>
            </w:r>
          </w:p>
        </w:tc>
        <w:tc>
          <w:tcPr>
            <w:tcW w:w="2761" w:type="dxa"/>
          </w:tcPr>
          <w:p w:rsidR="007F373F" w:rsidRDefault="00000000">
            <w:pPr>
              <w:spacing w:after="0"/>
              <w:jc w:val="left"/>
            </w:pPr>
            <w:r>
              <w:rPr>
                <w:b/>
                <w:sz w:val="19"/>
              </w:rPr>
              <w:t>FY26 action</w:t>
            </w:r>
          </w:p>
        </w:tc>
        <w:tc>
          <w:tcPr>
            <w:tcW w:w="2691" w:type="dxa"/>
          </w:tcPr>
          <w:p w:rsidR="007F373F" w:rsidRDefault="00000000">
            <w:pPr>
              <w:spacing w:after="0"/>
              <w:jc w:val="left"/>
            </w:pPr>
            <w:r>
              <w:rPr>
                <w:b/>
                <w:sz w:val="19"/>
              </w:rPr>
              <w:t>FY26 measured effect</w:t>
            </w:r>
          </w:p>
        </w:tc>
      </w:tr>
      <w:tr w:rsidR="007F373F">
        <w:trPr>
          <w:jc w:val="center"/>
        </w:trPr>
        <w:tc>
          <w:tcPr>
            <w:tcW w:w="1794" w:type="dxa"/>
          </w:tcPr>
          <w:p w:rsidR="007F373F" w:rsidRDefault="00000000">
            <w:pPr>
              <w:spacing w:after="0"/>
              <w:jc w:val="left"/>
            </w:pPr>
            <w:r>
              <w:rPr>
                <w:sz w:val="19"/>
              </w:rPr>
              <w:t>Structure</w:t>
            </w:r>
          </w:p>
        </w:tc>
        <w:tc>
          <w:tcPr>
            <w:tcW w:w="2484" w:type="dxa"/>
          </w:tcPr>
          <w:p w:rsidR="007F373F" w:rsidRDefault="00000000">
            <w:pPr>
              <w:spacing w:after="0"/>
              <w:jc w:val="left"/>
            </w:pPr>
            <w:r>
              <w:rPr>
                <w:sz w:val="19"/>
              </w:rPr>
              <w:t>Mixed in-house and agency; collections within business lines</w:t>
            </w:r>
          </w:p>
        </w:tc>
        <w:tc>
          <w:tcPr>
            <w:tcW w:w="2761" w:type="dxa"/>
          </w:tcPr>
          <w:p w:rsidR="007F373F" w:rsidRDefault="00000000">
            <w:pPr>
              <w:spacing w:after="0"/>
              <w:jc w:val="left"/>
            </w:pPr>
            <w:r>
              <w:rPr>
                <w:sz w:val="19"/>
              </w:rPr>
              <w:t>Verticalised collections; in-house team scaled to 1.8x FY25</w:t>
            </w:r>
          </w:p>
        </w:tc>
        <w:tc>
          <w:tcPr>
            <w:tcW w:w="2691" w:type="dxa"/>
          </w:tcPr>
          <w:p w:rsidR="007F373F" w:rsidRDefault="00000000">
            <w:pPr>
              <w:spacing w:after="0"/>
              <w:jc w:val="left"/>
            </w:pPr>
            <w:r>
              <w:rPr>
                <w:sz w:val="19"/>
              </w:rPr>
              <w:t>Agency reliance 0.4x; agency commission −7% (₹23.9 crore)</w:t>
            </w:r>
          </w:p>
        </w:tc>
      </w:tr>
      <w:tr w:rsidR="007F373F">
        <w:trPr>
          <w:jc w:val="center"/>
        </w:trPr>
        <w:tc>
          <w:tcPr>
            <w:tcW w:w="1794" w:type="dxa"/>
          </w:tcPr>
          <w:p w:rsidR="007F373F" w:rsidRDefault="00000000">
            <w:pPr>
              <w:spacing w:after="0"/>
              <w:jc w:val="left"/>
            </w:pPr>
            <w:r>
              <w:rPr>
                <w:sz w:val="19"/>
              </w:rPr>
              <w:t>Early buckets</w:t>
            </w:r>
          </w:p>
        </w:tc>
        <w:tc>
          <w:tcPr>
            <w:tcW w:w="2484" w:type="dxa"/>
          </w:tcPr>
          <w:p w:rsidR="007F373F" w:rsidRDefault="00000000">
            <w:pPr>
              <w:spacing w:after="0"/>
              <w:jc w:val="left"/>
            </w:pPr>
            <w:r>
              <w:rPr>
                <w:sz w:val="19"/>
              </w:rPr>
              <w:t>Rising 30+ day delinquency in ST LAP</w:t>
            </w:r>
          </w:p>
        </w:tc>
        <w:tc>
          <w:tcPr>
            <w:tcW w:w="2761" w:type="dxa"/>
          </w:tcPr>
          <w:p w:rsidR="007F373F" w:rsidRDefault="00000000">
            <w:pPr>
              <w:spacing w:after="0"/>
              <w:jc w:val="left"/>
            </w:pPr>
            <w:r>
              <w:rPr>
                <w:sz w:val="19"/>
              </w:rPr>
              <w:t>Early-warning signals; digital reminders; e-NACH push</w:t>
            </w:r>
          </w:p>
        </w:tc>
        <w:tc>
          <w:tcPr>
            <w:tcW w:w="2691" w:type="dxa"/>
          </w:tcPr>
          <w:p w:rsidR="007F373F" w:rsidRDefault="00000000">
            <w:pPr>
              <w:spacing w:after="0"/>
              <w:jc w:val="left"/>
            </w:pPr>
            <w:r>
              <w:rPr>
                <w:sz w:val="19"/>
              </w:rPr>
              <w:t>Early-bucket cure rates +≈2 pp; 90% accounts on e-NACH; 70%+ digital collections</w:t>
            </w:r>
          </w:p>
        </w:tc>
      </w:tr>
      <w:tr w:rsidR="007F373F">
        <w:trPr>
          <w:jc w:val="center"/>
        </w:trPr>
        <w:tc>
          <w:tcPr>
            <w:tcW w:w="1794" w:type="dxa"/>
          </w:tcPr>
          <w:p w:rsidR="007F373F" w:rsidRDefault="00000000">
            <w:pPr>
              <w:spacing w:after="0"/>
              <w:jc w:val="left"/>
            </w:pPr>
            <w:r>
              <w:rPr>
                <w:sz w:val="19"/>
              </w:rPr>
              <w:t>Stage 1–2 management</w:t>
            </w:r>
          </w:p>
        </w:tc>
        <w:tc>
          <w:tcPr>
            <w:tcW w:w="2484" w:type="dxa"/>
          </w:tcPr>
          <w:p w:rsidR="007F373F" w:rsidRDefault="00000000">
            <w:pPr>
              <w:spacing w:after="0"/>
              <w:jc w:val="left"/>
            </w:pPr>
            <w:r>
              <w:rPr>
                <w:sz w:val="19"/>
              </w:rPr>
              <w:t>Stage 2 at 5.1% of amortised book</w:t>
            </w:r>
          </w:p>
        </w:tc>
        <w:tc>
          <w:tcPr>
            <w:tcW w:w="2761" w:type="dxa"/>
          </w:tcPr>
          <w:p w:rsidR="007F373F" w:rsidRDefault="00000000">
            <w:pPr>
              <w:spacing w:after="0"/>
              <w:jc w:val="left"/>
            </w:pPr>
            <w:r>
              <w:rPr>
                <w:sz w:val="19"/>
              </w:rPr>
              <w:t>Cure-focused teams; restructured incentives</w:t>
            </w:r>
          </w:p>
        </w:tc>
        <w:tc>
          <w:tcPr>
            <w:tcW w:w="2691" w:type="dxa"/>
          </w:tcPr>
          <w:p w:rsidR="007F373F" w:rsidRDefault="00000000">
            <w:pPr>
              <w:spacing w:after="0"/>
              <w:jc w:val="left"/>
            </w:pPr>
            <w:r>
              <w:rPr>
                <w:sz w:val="19"/>
              </w:rPr>
              <w:t>Stage 1–2 cure rates +5–6 pp; Stage 2 down to 1.9%</w:t>
            </w:r>
          </w:p>
        </w:tc>
      </w:tr>
      <w:tr w:rsidR="007F373F">
        <w:trPr>
          <w:jc w:val="center"/>
        </w:trPr>
        <w:tc>
          <w:tcPr>
            <w:tcW w:w="1794" w:type="dxa"/>
          </w:tcPr>
          <w:p w:rsidR="007F373F" w:rsidRDefault="00000000">
            <w:pPr>
              <w:spacing w:after="0"/>
              <w:jc w:val="left"/>
            </w:pPr>
            <w:r>
              <w:rPr>
                <w:sz w:val="19"/>
              </w:rPr>
              <w:t>Stage 3 resolution</w:t>
            </w:r>
          </w:p>
        </w:tc>
        <w:tc>
          <w:tcPr>
            <w:tcW w:w="2484" w:type="dxa"/>
          </w:tcPr>
          <w:p w:rsidR="007F373F" w:rsidRDefault="00000000">
            <w:pPr>
              <w:spacing w:after="0"/>
              <w:jc w:val="left"/>
            </w:pPr>
            <w:r>
              <w:rPr>
                <w:sz w:val="19"/>
              </w:rPr>
              <w:t>Monthly Stage 3 recoveries ₹6.5 crore; one NPA account sold</w:t>
            </w:r>
          </w:p>
        </w:tc>
        <w:tc>
          <w:tcPr>
            <w:tcW w:w="2761" w:type="dxa"/>
          </w:tcPr>
          <w:p w:rsidR="007F373F" w:rsidRDefault="00000000">
            <w:pPr>
              <w:spacing w:after="0"/>
              <w:jc w:val="left"/>
            </w:pPr>
            <w:r>
              <w:rPr>
                <w:sz w:val="19"/>
              </w:rPr>
              <w:t>SARFAESI, settlements, ARC sales, write-offs</w:t>
            </w:r>
          </w:p>
        </w:tc>
        <w:tc>
          <w:tcPr>
            <w:tcW w:w="2691" w:type="dxa"/>
          </w:tcPr>
          <w:p w:rsidR="007F373F" w:rsidRDefault="00000000">
            <w:pPr>
              <w:spacing w:after="0"/>
              <w:jc w:val="left"/>
            </w:pPr>
            <w:r>
              <w:rPr>
                <w:sz w:val="19"/>
              </w:rPr>
              <w:t>Monthly Stage 3 recoveries ₹14.5 crore; 814 accounts (₹105 crore) sold; write-offs ₹88 crore</w:t>
            </w:r>
          </w:p>
        </w:tc>
      </w:tr>
      <w:tr w:rsidR="007F373F">
        <w:trPr>
          <w:jc w:val="center"/>
        </w:trPr>
        <w:tc>
          <w:tcPr>
            <w:tcW w:w="1794" w:type="dxa"/>
          </w:tcPr>
          <w:p w:rsidR="007F373F" w:rsidRDefault="00000000">
            <w:pPr>
              <w:spacing w:after="0"/>
              <w:jc w:val="left"/>
            </w:pPr>
            <w:r>
              <w:rPr>
                <w:sz w:val="19"/>
              </w:rPr>
              <w:t>Outcome</w:t>
            </w:r>
          </w:p>
        </w:tc>
        <w:tc>
          <w:tcPr>
            <w:tcW w:w="2484" w:type="dxa"/>
          </w:tcPr>
          <w:p w:rsidR="007F373F" w:rsidRDefault="00000000">
            <w:pPr>
              <w:spacing w:after="0"/>
              <w:jc w:val="left"/>
            </w:pPr>
            <w:r>
              <w:rPr>
                <w:sz w:val="19"/>
              </w:rPr>
              <w:t>Credit cost 1.8%; PCR built to 40%</w:t>
            </w:r>
          </w:p>
        </w:tc>
        <w:tc>
          <w:tcPr>
            <w:tcW w:w="2761" w:type="dxa"/>
          </w:tcPr>
          <w:p w:rsidR="007F373F" w:rsidRDefault="00000000">
            <w:pPr>
              <w:spacing w:after="0"/>
              <w:jc w:val="left"/>
            </w:pPr>
            <w:r>
              <w:rPr>
                <w:sz w:val="19"/>
              </w:rPr>
              <w:t>Credit cost commitment &lt; 1%</w:t>
            </w:r>
          </w:p>
        </w:tc>
        <w:tc>
          <w:tcPr>
            <w:tcW w:w="2691" w:type="dxa"/>
          </w:tcPr>
          <w:p w:rsidR="007F373F" w:rsidRDefault="00000000">
            <w:pPr>
              <w:spacing w:after="0"/>
              <w:jc w:val="left"/>
            </w:pPr>
            <w:r>
              <w:rPr>
                <w:sz w:val="19"/>
              </w:rPr>
              <w:t>Credit cost 0.8%; collection efficiency 99.7%</w:t>
            </w:r>
          </w:p>
        </w:tc>
      </w:tr>
    </w:tbl>
    <w:p w:rsidR="007F373F" w:rsidRDefault="00000000">
      <w:pPr>
        <w:spacing w:before="40" w:after="80"/>
      </w:pPr>
      <w:r>
        <w:rPr>
          <w:i/>
          <w:sz w:val="18"/>
        </w:rPr>
        <w:t>Source: Fedfina Annual Report 2024-25, MD&amp;CEO letter; Fedfina Annual Report 2025-26, MD&amp;CEO statement, notes 34 and 48.</w:t>
      </w:r>
    </w:p>
    <w:p w:rsidR="007F373F" w:rsidRDefault="00000000">
      <w:pPr>
        <w:pStyle w:val="Heading2"/>
      </w:pPr>
      <w:r>
        <w:t>Concentration risk</w:t>
      </w:r>
    </w:p>
    <w:p w:rsidR="007F373F" w:rsidRDefault="00000000">
      <w:pPr>
        <w:spacing w:after="0"/>
        <w:jc w:val="center"/>
      </w:pPr>
      <w:r>
        <w:rPr>
          <w:noProof/>
        </w:rPr>
        <w:drawing>
          <wp:inline distT="0" distB="0" distL="0" distR="0">
            <wp:extent cx="4754880" cy="1584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5.png"/>
                    <pic:cNvPicPr/>
                  </pic:nvPicPr>
                  <pic:blipFill>
                    <a:blip r:embed="rId25"/>
                    <a:stretch>
                      <a:fillRect/>
                    </a:stretch>
                  </pic:blipFill>
                  <pic:spPr>
                    <a:xfrm>
                      <a:off x="0" y="0"/>
                      <a:ext cx="4754880" cy="1584960"/>
                    </a:xfrm>
                    <a:prstGeom prst="rect">
                      <a:avLst/>
                    </a:prstGeom>
                  </pic:spPr>
                </pic:pic>
              </a:graphicData>
            </a:graphic>
          </wp:inline>
        </w:drawing>
      </w:r>
    </w:p>
    <w:p w:rsidR="007F373F" w:rsidRDefault="00000000">
      <w:pPr>
        <w:spacing w:after="80"/>
        <w:jc w:val="center"/>
      </w:pPr>
      <w:r>
        <w:rPr>
          <w:i/>
          <w:sz w:val="18"/>
        </w:rPr>
        <w:t>Figure 13 – Share of AUM in top five states, FY21–FY26. Source: annual reports FY24–FY26 (geographic concentration disclosures).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208"/>
        <w:gridCol w:w="4141"/>
        <w:gridCol w:w="3382"/>
      </w:tblGrid>
      <w:tr w:rsidR="007F373F">
        <w:trPr>
          <w:jc w:val="center"/>
        </w:trPr>
        <w:tc>
          <w:tcPr>
            <w:tcW w:w="2208" w:type="dxa"/>
          </w:tcPr>
          <w:p w:rsidR="007F373F" w:rsidRDefault="00000000">
            <w:pPr>
              <w:spacing w:after="0"/>
              <w:jc w:val="left"/>
            </w:pPr>
            <w:r>
              <w:rPr>
                <w:b/>
                <w:sz w:val="19"/>
              </w:rPr>
              <w:t>Concentration dimension</w:t>
            </w:r>
          </w:p>
        </w:tc>
        <w:tc>
          <w:tcPr>
            <w:tcW w:w="4141" w:type="dxa"/>
          </w:tcPr>
          <w:p w:rsidR="007F373F" w:rsidRDefault="00000000">
            <w:pPr>
              <w:spacing w:after="0"/>
              <w:jc w:val="left"/>
            </w:pPr>
            <w:r>
              <w:rPr>
                <w:b/>
                <w:sz w:val="19"/>
              </w:rPr>
              <w:t>FY26 disclosure</w:t>
            </w:r>
          </w:p>
        </w:tc>
        <w:tc>
          <w:tcPr>
            <w:tcW w:w="3382" w:type="dxa"/>
          </w:tcPr>
          <w:p w:rsidR="007F373F" w:rsidRDefault="00000000">
            <w:pPr>
              <w:spacing w:after="0"/>
              <w:jc w:val="left"/>
            </w:pPr>
            <w:r>
              <w:rPr>
                <w:b/>
                <w:sz w:val="19"/>
              </w:rPr>
              <w:t>Comment</w:t>
            </w:r>
          </w:p>
        </w:tc>
      </w:tr>
      <w:tr w:rsidR="007F373F">
        <w:trPr>
          <w:jc w:val="center"/>
        </w:trPr>
        <w:tc>
          <w:tcPr>
            <w:tcW w:w="2208" w:type="dxa"/>
          </w:tcPr>
          <w:p w:rsidR="007F373F" w:rsidRDefault="00000000">
            <w:pPr>
              <w:spacing w:after="0"/>
              <w:jc w:val="left"/>
            </w:pPr>
            <w:r>
              <w:rPr>
                <w:sz w:val="19"/>
              </w:rPr>
              <w:t>Product</w:t>
            </w:r>
          </w:p>
        </w:tc>
        <w:tc>
          <w:tcPr>
            <w:tcW w:w="4141" w:type="dxa"/>
          </w:tcPr>
          <w:p w:rsidR="007F373F" w:rsidRDefault="00000000">
            <w:pPr>
              <w:spacing w:after="0"/>
              <w:jc w:val="left"/>
            </w:pPr>
            <w:r>
              <w:rPr>
                <w:sz w:val="19"/>
              </w:rPr>
              <w:t>Gold 51.4%, mortgage 46.5%</w:t>
            </w:r>
          </w:p>
        </w:tc>
        <w:tc>
          <w:tcPr>
            <w:tcW w:w="3382" w:type="dxa"/>
          </w:tcPr>
          <w:p w:rsidR="007F373F" w:rsidRDefault="00000000">
            <w:pPr>
              <w:spacing w:after="0"/>
              <w:jc w:val="left"/>
            </w:pPr>
            <w:r>
              <w:rPr>
                <w:sz w:val="19"/>
              </w:rPr>
              <w:t>Two products – concentration by design, diversified by behaviour</w:t>
            </w:r>
          </w:p>
        </w:tc>
      </w:tr>
      <w:tr w:rsidR="007F373F">
        <w:trPr>
          <w:jc w:val="center"/>
        </w:trPr>
        <w:tc>
          <w:tcPr>
            <w:tcW w:w="2208" w:type="dxa"/>
          </w:tcPr>
          <w:p w:rsidR="007F373F" w:rsidRDefault="00000000">
            <w:pPr>
              <w:spacing w:after="0"/>
              <w:jc w:val="left"/>
            </w:pPr>
            <w:r>
              <w:rPr>
                <w:sz w:val="19"/>
              </w:rPr>
              <w:t>Geography</w:t>
            </w:r>
          </w:p>
        </w:tc>
        <w:tc>
          <w:tcPr>
            <w:tcW w:w="4141" w:type="dxa"/>
          </w:tcPr>
          <w:p w:rsidR="007F373F" w:rsidRDefault="00000000">
            <w:pPr>
              <w:spacing w:after="0"/>
              <w:jc w:val="left"/>
            </w:pPr>
            <w:r>
              <w:rPr>
                <w:sz w:val="19"/>
              </w:rPr>
              <w:t>Top-5 states 75.1% of AUM (FY21: 85.1%); 4 states host 61% of branches</w:t>
            </w:r>
          </w:p>
        </w:tc>
        <w:tc>
          <w:tcPr>
            <w:tcW w:w="3382" w:type="dxa"/>
          </w:tcPr>
          <w:p w:rsidR="007F373F" w:rsidRDefault="00000000">
            <w:pPr>
              <w:spacing w:after="0"/>
              <w:jc w:val="left"/>
            </w:pPr>
            <w:r>
              <w:rPr>
                <w:sz w:val="19"/>
              </w:rPr>
              <w:t>Improving; still western/southern India heavy</w:t>
            </w:r>
          </w:p>
        </w:tc>
      </w:tr>
      <w:tr w:rsidR="007F373F">
        <w:trPr>
          <w:jc w:val="center"/>
        </w:trPr>
        <w:tc>
          <w:tcPr>
            <w:tcW w:w="2208" w:type="dxa"/>
          </w:tcPr>
          <w:p w:rsidR="007F373F" w:rsidRDefault="00000000">
            <w:pPr>
              <w:spacing w:after="0"/>
              <w:jc w:val="left"/>
            </w:pPr>
            <w:r>
              <w:rPr>
                <w:sz w:val="19"/>
              </w:rPr>
              <w:t>Borrower</w:t>
            </w:r>
          </w:p>
        </w:tc>
        <w:tc>
          <w:tcPr>
            <w:tcW w:w="4141" w:type="dxa"/>
          </w:tcPr>
          <w:p w:rsidR="007F373F" w:rsidRDefault="00000000">
            <w:pPr>
              <w:spacing w:after="0"/>
              <w:jc w:val="left"/>
            </w:pPr>
            <w:r>
              <w:rPr>
                <w:sz w:val="19"/>
              </w:rPr>
              <w:t>Top-20 borrowers 0.47% of advances (FY25: 0.70%)</w:t>
            </w:r>
          </w:p>
        </w:tc>
        <w:tc>
          <w:tcPr>
            <w:tcW w:w="3382" w:type="dxa"/>
          </w:tcPr>
          <w:p w:rsidR="007F373F" w:rsidRDefault="00000000">
            <w:pPr>
              <w:spacing w:after="0"/>
              <w:jc w:val="left"/>
            </w:pPr>
            <w:r>
              <w:rPr>
                <w:sz w:val="19"/>
              </w:rPr>
              <w:t>Negligible single-name risk</w:t>
            </w:r>
          </w:p>
        </w:tc>
      </w:tr>
      <w:tr w:rsidR="007F373F">
        <w:trPr>
          <w:jc w:val="center"/>
        </w:trPr>
        <w:tc>
          <w:tcPr>
            <w:tcW w:w="2208" w:type="dxa"/>
          </w:tcPr>
          <w:p w:rsidR="007F373F" w:rsidRDefault="00000000">
            <w:pPr>
              <w:spacing w:after="0"/>
              <w:jc w:val="left"/>
            </w:pPr>
            <w:r>
              <w:rPr>
                <w:sz w:val="19"/>
              </w:rPr>
              <w:t>Collateral type</w:t>
            </w:r>
          </w:p>
        </w:tc>
        <w:tc>
          <w:tcPr>
            <w:tcW w:w="4141" w:type="dxa"/>
          </w:tcPr>
          <w:p w:rsidR="007F373F" w:rsidRDefault="00000000">
            <w:pPr>
              <w:spacing w:after="0"/>
              <w:jc w:val="left"/>
            </w:pPr>
            <w:r>
              <w:rPr>
                <w:sz w:val="19"/>
              </w:rPr>
              <w:t>Gold 47% of total assets; residential property ₹5,413 crore; commercial ₹852 crore</w:t>
            </w:r>
          </w:p>
        </w:tc>
        <w:tc>
          <w:tcPr>
            <w:tcW w:w="3382" w:type="dxa"/>
          </w:tcPr>
          <w:p w:rsidR="007F373F" w:rsidRDefault="00000000">
            <w:pPr>
              <w:spacing w:after="0"/>
              <w:jc w:val="left"/>
            </w:pPr>
            <w:r>
              <w:rPr>
                <w:sz w:val="19"/>
              </w:rPr>
              <w:t>Gold-price and property-market sensitivity</w:t>
            </w:r>
          </w:p>
        </w:tc>
      </w:tr>
      <w:tr w:rsidR="007F373F">
        <w:trPr>
          <w:jc w:val="center"/>
        </w:trPr>
        <w:tc>
          <w:tcPr>
            <w:tcW w:w="2208" w:type="dxa"/>
          </w:tcPr>
          <w:p w:rsidR="007F373F" w:rsidRDefault="00000000">
            <w:pPr>
              <w:spacing w:after="0"/>
              <w:jc w:val="left"/>
            </w:pPr>
            <w:r>
              <w:rPr>
                <w:sz w:val="19"/>
              </w:rPr>
              <w:t>Funding</w:t>
            </w:r>
          </w:p>
        </w:tc>
        <w:tc>
          <w:tcPr>
            <w:tcW w:w="4141" w:type="dxa"/>
          </w:tcPr>
          <w:p w:rsidR="007F373F" w:rsidRDefault="00000000">
            <w:pPr>
              <w:spacing w:after="0"/>
              <w:jc w:val="left"/>
            </w:pPr>
            <w:r>
              <w:rPr>
                <w:sz w:val="19"/>
              </w:rPr>
              <w:t>Bank term loans 50%; largest single lender Federal Bank ≈10% of debt</w:t>
            </w:r>
          </w:p>
        </w:tc>
        <w:tc>
          <w:tcPr>
            <w:tcW w:w="3382" w:type="dxa"/>
          </w:tcPr>
          <w:p w:rsidR="007F373F" w:rsidRDefault="00000000">
            <w:pPr>
              <w:spacing w:after="0"/>
              <w:jc w:val="left"/>
            </w:pPr>
            <w:r>
              <w:rPr>
                <w:sz w:val="19"/>
              </w:rPr>
              <w:t>Moderate; diversified across 41 lenders</w:t>
            </w:r>
          </w:p>
        </w:tc>
      </w:tr>
    </w:tbl>
    <w:p w:rsidR="007F373F" w:rsidRDefault="00000000">
      <w:pPr>
        <w:spacing w:before="40" w:after="80"/>
      </w:pPr>
      <w:r>
        <w:rPr>
          <w:i/>
          <w:sz w:val="18"/>
        </w:rPr>
        <w:t>Source: Fedfina Annual Report 2025-26, Key Highlights, MD&amp;A, note 48 (concentration, real-estate exposure, top borrowers).</w:t>
      </w:r>
    </w:p>
    <w:p w:rsidR="007F373F" w:rsidRDefault="00000000">
      <w:pPr>
        <w:pStyle w:val="Heading1"/>
        <w:pageBreakBefore/>
      </w:pPr>
      <w:r>
        <w:lastRenderedPageBreak/>
        <w:t>Consolidated Risk Matrix</w:t>
      </w:r>
    </w:p>
    <w:p w:rsidR="007F373F" w:rsidRDefault="00000000">
      <w:r>
        <w:t>The matrix below consolidates the analysis of this chapter. Likelihood and impact are the author’s qualitative judgements based on the disclosed evidence; they are not company assessments. ‘Trend’ compares FY26 with FY25.</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14"/>
        <w:gridCol w:w="2001"/>
        <w:gridCol w:w="1104"/>
        <w:gridCol w:w="966"/>
        <w:gridCol w:w="1173"/>
        <w:gridCol w:w="2208"/>
        <w:gridCol w:w="1863"/>
      </w:tblGrid>
      <w:tr w:rsidR="007F373F">
        <w:trPr>
          <w:jc w:val="center"/>
        </w:trPr>
        <w:tc>
          <w:tcPr>
            <w:tcW w:w="414" w:type="dxa"/>
          </w:tcPr>
          <w:p w:rsidR="007F373F" w:rsidRDefault="00000000">
            <w:pPr>
              <w:spacing w:after="0"/>
              <w:jc w:val="left"/>
            </w:pPr>
            <w:r>
              <w:rPr>
                <w:b/>
                <w:sz w:val="18"/>
              </w:rPr>
              <w:t>#</w:t>
            </w:r>
          </w:p>
        </w:tc>
        <w:tc>
          <w:tcPr>
            <w:tcW w:w="2001" w:type="dxa"/>
          </w:tcPr>
          <w:p w:rsidR="007F373F" w:rsidRDefault="00000000">
            <w:pPr>
              <w:spacing w:after="0"/>
              <w:jc w:val="left"/>
            </w:pPr>
            <w:r>
              <w:rPr>
                <w:b/>
                <w:sz w:val="18"/>
              </w:rPr>
              <w:t>Risk</w:t>
            </w:r>
          </w:p>
        </w:tc>
        <w:tc>
          <w:tcPr>
            <w:tcW w:w="1104" w:type="dxa"/>
          </w:tcPr>
          <w:p w:rsidR="007F373F" w:rsidRDefault="00000000">
            <w:pPr>
              <w:spacing w:after="0"/>
              <w:jc w:val="left"/>
            </w:pPr>
            <w:r>
              <w:rPr>
                <w:b/>
                <w:sz w:val="18"/>
              </w:rPr>
              <w:t>Likelihood</w:t>
            </w:r>
          </w:p>
        </w:tc>
        <w:tc>
          <w:tcPr>
            <w:tcW w:w="966" w:type="dxa"/>
          </w:tcPr>
          <w:p w:rsidR="007F373F" w:rsidRDefault="00000000">
            <w:pPr>
              <w:spacing w:after="0"/>
              <w:jc w:val="left"/>
            </w:pPr>
            <w:r>
              <w:rPr>
                <w:b/>
                <w:sz w:val="18"/>
              </w:rPr>
              <w:t>Impact</w:t>
            </w:r>
          </w:p>
        </w:tc>
        <w:tc>
          <w:tcPr>
            <w:tcW w:w="1173" w:type="dxa"/>
          </w:tcPr>
          <w:p w:rsidR="007F373F" w:rsidRDefault="00000000">
            <w:pPr>
              <w:spacing w:after="0"/>
              <w:jc w:val="left"/>
            </w:pPr>
            <w:r>
              <w:rPr>
                <w:b/>
                <w:sz w:val="18"/>
              </w:rPr>
              <w:t>Trend</w:t>
            </w:r>
          </w:p>
        </w:tc>
        <w:tc>
          <w:tcPr>
            <w:tcW w:w="2208" w:type="dxa"/>
          </w:tcPr>
          <w:p w:rsidR="007F373F" w:rsidRDefault="00000000">
            <w:pPr>
              <w:spacing w:after="0"/>
              <w:jc w:val="left"/>
            </w:pPr>
            <w:r>
              <w:rPr>
                <w:b/>
                <w:sz w:val="18"/>
              </w:rPr>
              <w:t>Key evidence</w:t>
            </w:r>
          </w:p>
        </w:tc>
        <w:tc>
          <w:tcPr>
            <w:tcW w:w="1863" w:type="dxa"/>
          </w:tcPr>
          <w:p w:rsidR="007F373F" w:rsidRDefault="00000000">
            <w:pPr>
              <w:spacing w:after="0"/>
              <w:jc w:val="left"/>
            </w:pPr>
            <w:r>
              <w:rPr>
                <w:b/>
                <w:sz w:val="18"/>
              </w:rPr>
              <w:t>Principal mitigants</w:t>
            </w:r>
          </w:p>
        </w:tc>
      </w:tr>
      <w:tr w:rsidR="007F373F">
        <w:trPr>
          <w:jc w:val="center"/>
        </w:trPr>
        <w:tc>
          <w:tcPr>
            <w:tcW w:w="414" w:type="dxa"/>
          </w:tcPr>
          <w:p w:rsidR="007F373F" w:rsidRDefault="00000000">
            <w:pPr>
              <w:spacing w:after="0"/>
              <w:jc w:val="left"/>
            </w:pPr>
            <w:r>
              <w:rPr>
                <w:sz w:val="18"/>
              </w:rPr>
              <w:t>1</w:t>
            </w:r>
          </w:p>
        </w:tc>
        <w:tc>
          <w:tcPr>
            <w:tcW w:w="2001" w:type="dxa"/>
          </w:tcPr>
          <w:p w:rsidR="007F373F" w:rsidRDefault="00000000">
            <w:pPr>
              <w:spacing w:after="0"/>
              <w:jc w:val="left"/>
            </w:pPr>
            <w:r>
              <w:rPr>
                <w:sz w:val="18"/>
              </w:rPr>
              <w:t>Gold-price correction</w:t>
            </w:r>
          </w:p>
        </w:tc>
        <w:tc>
          <w:tcPr>
            <w:tcW w:w="1104" w:type="dxa"/>
          </w:tcPr>
          <w:p w:rsidR="007F373F" w:rsidRDefault="00000000">
            <w:pPr>
              <w:spacing w:after="0"/>
              <w:jc w:val="left"/>
            </w:pPr>
            <w:r>
              <w:rPr>
                <w:sz w:val="18"/>
              </w:rPr>
              <w:t>Medium</w:t>
            </w:r>
          </w:p>
        </w:tc>
        <w:tc>
          <w:tcPr>
            <w:tcW w:w="966" w:type="dxa"/>
          </w:tcPr>
          <w:p w:rsidR="007F373F" w:rsidRDefault="00000000">
            <w:pPr>
              <w:spacing w:after="0"/>
              <w:jc w:val="left"/>
            </w:pPr>
            <w:r>
              <w:rPr>
                <w:sz w:val="18"/>
              </w:rPr>
              <w:t>High</w:t>
            </w:r>
          </w:p>
        </w:tc>
        <w:tc>
          <w:tcPr>
            <w:tcW w:w="1173" w:type="dxa"/>
          </w:tcPr>
          <w:p w:rsidR="007F373F" w:rsidRDefault="00000000">
            <w:pPr>
              <w:spacing w:after="0"/>
              <w:jc w:val="left"/>
            </w:pPr>
            <w:r>
              <w:rPr>
                <w:sz w:val="18"/>
              </w:rPr>
              <w:t>↑ (price +65%)</w:t>
            </w:r>
          </w:p>
        </w:tc>
        <w:tc>
          <w:tcPr>
            <w:tcW w:w="2208" w:type="dxa"/>
          </w:tcPr>
          <w:p w:rsidR="007F373F" w:rsidRDefault="00000000">
            <w:pPr>
              <w:spacing w:after="0"/>
              <w:jc w:val="left"/>
            </w:pPr>
            <w:r>
              <w:rPr>
                <w:sz w:val="18"/>
              </w:rPr>
              <w:t>Gold 51% of AUM; LTV 60.9%; tonnage +12%</w:t>
            </w:r>
          </w:p>
        </w:tc>
        <w:tc>
          <w:tcPr>
            <w:tcW w:w="1863" w:type="dxa"/>
          </w:tcPr>
          <w:p w:rsidR="007F373F" w:rsidRDefault="00000000">
            <w:pPr>
              <w:spacing w:after="0"/>
              <w:jc w:val="left"/>
            </w:pPr>
            <w:r>
              <w:rPr>
                <w:sz w:val="18"/>
              </w:rPr>
              <w:t>Short tenor; daily tracking; conservative LTV; tonnage-led targets</w:t>
            </w:r>
          </w:p>
        </w:tc>
      </w:tr>
      <w:tr w:rsidR="007F373F">
        <w:trPr>
          <w:jc w:val="center"/>
        </w:trPr>
        <w:tc>
          <w:tcPr>
            <w:tcW w:w="414" w:type="dxa"/>
          </w:tcPr>
          <w:p w:rsidR="007F373F" w:rsidRDefault="00000000">
            <w:pPr>
              <w:spacing w:after="0"/>
              <w:jc w:val="left"/>
            </w:pPr>
            <w:r>
              <w:rPr>
                <w:sz w:val="18"/>
              </w:rPr>
              <w:t>2</w:t>
            </w:r>
          </w:p>
        </w:tc>
        <w:tc>
          <w:tcPr>
            <w:tcW w:w="2001" w:type="dxa"/>
          </w:tcPr>
          <w:p w:rsidR="007F373F" w:rsidRDefault="00000000">
            <w:pPr>
              <w:spacing w:after="0"/>
              <w:jc w:val="left"/>
            </w:pPr>
            <w:r>
              <w:rPr>
                <w:sz w:val="18"/>
              </w:rPr>
              <w:t>ST LAP asset quality (new vintage)</w:t>
            </w:r>
          </w:p>
        </w:tc>
        <w:tc>
          <w:tcPr>
            <w:tcW w:w="1104" w:type="dxa"/>
          </w:tcPr>
          <w:p w:rsidR="007F373F" w:rsidRDefault="00000000">
            <w:pPr>
              <w:spacing w:after="0"/>
              <w:jc w:val="left"/>
            </w:pPr>
            <w:r>
              <w:rPr>
                <w:sz w:val="18"/>
              </w:rPr>
              <w:t>Medium</w:t>
            </w:r>
          </w:p>
        </w:tc>
        <w:tc>
          <w:tcPr>
            <w:tcW w:w="966" w:type="dxa"/>
          </w:tcPr>
          <w:p w:rsidR="007F373F" w:rsidRDefault="00000000">
            <w:pPr>
              <w:spacing w:after="0"/>
              <w:jc w:val="left"/>
            </w:pPr>
            <w:r>
              <w:rPr>
                <w:sz w:val="18"/>
              </w:rPr>
              <w:t>Medium</w:t>
            </w:r>
          </w:p>
        </w:tc>
        <w:tc>
          <w:tcPr>
            <w:tcW w:w="1173" w:type="dxa"/>
          </w:tcPr>
          <w:p w:rsidR="007F373F" w:rsidRDefault="00000000">
            <w:pPr>
              <w:spacing w:after="0"/>
              <w:jc w:val="left"/>
            </w:pPr>
            <w:r>
              <w:rPr>
                <w:sz w:val="18"/>
              </w:rPr>
              <w:t>↓</w:t>
            </w:r>
          </w:p>
        </w:tc>
        <w:tc>
          <w:tcPr>
            <w:tcW w:w="2208" w:type="dxa"/>
          </w:tcPr>
          <w:p w:rsidR="007F373F" w:rsidRDefault="00000000">
            <w:pPr>
              <w:spacing w:after="0"/>
              <w:jc w:val="left"/>
            </w:pPr>
            <w:r>
              <w:rPr>
                <w:sz w:val="18"/>
              </w:rPr>
              <w:t>Stage 2 1.9%; cure rates up; book unseasoned</w:t>
            </w:r>
          </w:p>
        </w:tc>
        <w:tc>
          <w:tcPr>
            <w:tcW w:w="1863" w:type="dxa"/>
          </w:tcPr>
          <w:p w:rsidR="007F373F" w:rsidRDefault="00000000">
            <w:pPr>
              <w:spacing w:after="0"/>
              <w:jc w:val="left"/>
            </w:pPr>
            <w:r>
              <w:rPr>
                <w:sz w:val="18"/>
              </w:rPr>
              <w:t>BRE underwriting; in-house collections; co-location</w:t>
            </w:r>
          </w:p>
        </w:tc>
      </w:tr>
      <w:tr w:rsidR="007F373F">
        <w:trPr>
          <w:jc w:val="center"/>
        </w:trPr>
        <w:tc>
          <w:tcPr>
            <w:tcW w:w="414" w:type="dxa"/>
          </w:tcPr>
          <w:p w:rsidR="007F373F" w:rsidRDefault="00000000">
            <w:pPr>
              <w:spacing w:after="0"/>
              <w:jc w:val="left"/>
            </w:pPr>
            <w:r>
              <w:rPr>
                <w:sz w:val="18"/>
              </w:rPr>
              <w:t>3</w:t>
            </w:r>
          </w:p>
        </w:tc>
        <w:tc>
          <w:tcPr>
            <w:tcW w:w="2001" w:type="dxa"/>
          </w:tcPr>
          <w:p w:rsidR="007F373F" w:rsidRDefault="00000000">
            <w:pPr>
              <w:spacing w:after="0"/>
              <w:jc w:val="left"/>
            </w:pPr>
            <w:r>
              <w:rPr>
                <w:sz w:val="18"/>
              </w:rPr>
              <w:t>Rising leverage / capital</w:t>
            </w:r>
          </w:p>
        </w:tc>
        <w:tc>
          <w:tcPr>
            <w:tcW w:w="1104" w:type="dxa"/>
          </w:tcPr>
          <w:p w:rsidR="007F373F" w:rsidRDefault="00000000">
            <w:pPr>
              <w:spacing w:after="0"/>
              <w:jc w:val="left"/>
            </w:pPr>
            <w:r>
              <w:rPr>
                <w:sz w:val="18"/>
              </w:rPr>
              <w:t>Medium</w:t>
            </w:r>
          </w:p>
        </w:tc>
        <w:tc>
          <w:tcPr>
            <w:tcW w:w="966" w:type="dxa"/>
          </w:tcPr>
          <w:p w:rsidR="007F373F" w:rsidRDefault="00000000">
            <w:pPr>
              <w:spacing w:after="0"/>
              <w:jc w:val="left"/>
            </w:pPr>
            <w:r>
              <w:rPr>
                <w:sz w:val="18"/>
              </w:rPr>
              <w:t>Medium</w:t>
            </w:r>
          </w:p>
        </w:tc>
        <w:tc>
          <w:tcPr>
            <w:tcW w:w="1173" w:type="dxa"/>
          </w:tcPr>
          <w:p w:rsidR="007F373F" w:rsidRDefault="00000000">
            <w:pPr>
              <w:spacing w:after="0"/>
              <w:jc w:val="left"/>
            </w:pPr>
            <w:r>
              <w:rPr>
                <w:sz w:val="18"/>
              </w:rPr>
              <w:t>↑</w:t>
            </w:r>
          </w:p>
        </w:tc>
        <w:tc>
          <w:tcPr>
            <w:tcW w:w="2208" w:type="dxa"/>
          </w:tcPr>
          <w:p w:rsidR="007F373F" w:rsidRDefault="00000000">
            <w:pPr>
              <w:spacing w:after="0"/>
              <w:jc w:val="left"/>
            </w:pPr>
            <w:r>
              <w:rPr>
                <w:sz w:val="18"/>
              </w:rPr>
              <w:t>D/E 4.6x; Tier I 17.5% (−1.4 pp)</w:t>
            </w:r>
          </w:p>
        </w:tc>
        <w:tc>
          <w:tcPr>
            <w:tcW w:w="1863" w:type="dxa"/>
          </w:tcPr>
          <w:p w:rsidR="007F373F" w:rsidRDefault="00000000">
            <w:pPr>
              <w:spacing w:after="0"/>
              <w:jc w:val="left"/>
            </w:pPr>
            <w:r>
              <w:rPr>
                <w:sz w:val="18"/>
              </w:rPr>
              <w:t>CRAR 22.4%; RoE 12.6% retained; Tier II headroom</w:t>
            </w:r>
          </w:p>
        </w:tc>
      </w:tr>
      <w:tr w:rsidR="007F373F">
        <w:trPr>
          <w:jc w:val="center"/>
        </w:trPr>
        <w:tc>
          <w:tcPr>
            <w:tcW w:w="414" w:type="dxa"/>
          </w:tcPr>
          <w:p w:rsidR="007F373F" w:rsidRDefault="00000000">
            <w:pPr>
              <w:spacing w:after="0"/>
              <w:jc w:val="left"/>
            </w:pPr>
            <w:r>
              <w:rPr>
                <w:sz w:val="18"/>
              </w:rPr>
              <w:t>4</w:t>
            </w:r>
          </w:p>
        </w:tc>
        <w:tc>
          <w:tcPr>
            <w:tcW w:w="2001" w:type="dxa"/>
          </w:tcPr>
          <w:p w:rsidR="007F373F" w:rsidRDefault="00000000">
            <w:pPr>
              <w:spacing w:after="0"/>
              <w:jc w:val="left"/>
            </w:pPr>
            <w:r>
              <w:rPr>
                <w:sz w:val="18"/>
              </w:rPr>
              <w:t>Interest-rate reversal</w:t>
            </w:r>
          </w:p>
        </w:tc>
        <w:tc>
          <w:tcPr>
            <w:tcW w:w="1104" w:type="dxa"/>
          </w:tcPr>
          <w:p w:rsidR="007F373F" w:rsidRDefault="00000000">
            <w:pPr>
              <w:spacing w:after="0"/>
              <w:jc w:val="left"/>
            </w:pPr>
            <w:r>
              <w:rPr>
                <w:sz w:val="18"/>
              </w:rPr>
              <w:t>Low–Medium</w:t>
            </w:r>
          </w:p>
        </w:tc>
        <w:tc>
          <w:tcPr>
            <w:tcW w:w="966" w:type="dxa"/>
          </w:tcPr>
          <w:p w:rsidR="007F373F" w:rsidRDefault="00000000">
            <w:pPr>
              <w:spacing w:after="0"/>
              <w:jc w:val="left"/>
            </w:pPr>
            <w:r>
              <w:rPr>
                <w:sz w:val="18"/>
              </w:rPr>
              <w:t>Medium</w:t>
            </w:r>
          </w:p>
        </w:tc>
        <w:tc>
          <w:tcPr>
            <w:tcW w:w="1173" w:type="dxa"/>
          </w:tcPr>
          <w:p w:rsidR="007F373F" w:rsidRDefault="00000000">
            <w:pPr>
              <w:spacing w:after="0"/>
              <w:jc w:val="left"/>
            </w:pPr>
            <w:r>
              <w:rPr>
                <w:sz w:val="18"/>
              </w:rPr>
              <w:t>↓</w:t>
            </w:r>
          </w:p>
        </w:tc>
        <w:tc>
          <w:tcPr>
            <w:tcW w:w="2208" w:type="dxa"/>
          </w:tcPr>
          <w:p w:rsidR="007F373F" w:rsidRDefault="00000000">
            <w:pPr>
              <w:spacing w:after="0"/>
              <w:jc w:val="left"/>
            </w:pPr>
            <w:r>
              <w:rPr>
                <w:sz w:val="18"/>
              </w:rPr>
              <w:t>60% floating; 39% of debt &lt; 1 year</w:t>
            </w:r>
          </w:p>
        </w:tc>
        <w:tc>
          <w:tcPr>
            <w:tcW w:w="1863" w:type="dxa"/>
          </w:tcPr>
          <w:p w:rsidR="007F373F" w:rsidRDefault="00000000">
            <w:pPr>
              <w:spacing w:after="0"/>
              <w:jc w:val="left"/>
            </w:pPr>
            <w:r>
              <w:rPr>
                <w:sz w:val="18"/>
              </w:rPr>
              <w:t>Fixed share 40%; short asset tenor; spread 8.6%</w:t>
            </w:r>
          </w:p>
        </w:tc>
      </w:tr>
      <w:tr w:rsidR="007F373F">
        <w:trPr>
          <w:jc w:val="center"/>
        </w:trPr>
        <w:tc>
          <w:tcPr>
            <w:tcW w:w="414" w:type="dxa"/>
          </w:tcPr>
          <w:p w:rsidR="007F373F" w:rsidRDefault="00000000">
            <w:pPr>
              <w:spacing w:after="0"/>
              <w:jc w:val="left"/>
            </w:pPr>
            <w:r>
              <w:rPr>
                <w:sz w:val="18"/>
              </w:rPr>
              <w:t>5</w:t>
            </w:r>
          </w:p>
        </w:tc>
        <w:tc>
          <w:tcPr>
            <w:tcW w:w="2001" w:type="dxa"/>
          </w:tcPr>
          <w:p w:rsidR="007F373F" w:rsidRDefault="00000000">
            <w:pPr>
              <w:spacing w:after="0"/>
              <w:jc w:val="left"/>
            </w:pPr>
            <w:r>
              <w:rPr>
                <w:sz w:val="18"/>
              </w:rPr>
              <w:t>Regulatory change (gold directions)</w:t>
            </w:r>
          </w:p>
        </w:tc>
        <w:tc>
          <w:tcPr>
            <w:tcW w:w="1104" w:type="dxa"/>
          </w:tcPr>
          <w:p w:rsidR="007F373F" w:rsidRDefault="00000000">
            <w:pPr>
              <w:spacing w:after="0"/>
              <w:jc w:val="left"/>
            </w:pPr>
            <w:r>
              <w:rPr>
                <w:sz w:val="18"/>
              </w:rPr>
              <w:t>High (certain)</w:t>
            </w:r>
          </w:p>
        </w:tc>
        <w:tc>
          <w:tcPr>
            <w:tcW w:w="966" w:type="dxa"/>
          </w:tcPr>
          <w:p w:rsidR="007F373F" w:rsidRDefault="00000000">
            <w:pPr>
              <w:spacing w:after="0"/>
              <w:jc w:val="left"/>
            </w:pPr>
            <w:r>
              <w:rPr>
                <w:sz w:val="18"/>
              </w:rPr>
              <w:t>Medium</w:t>
            </w:r>
          </w:p>
        </w:tc>
        <w:tc>
          <w:tcPr>
            <w:tcW w:w="1173" w:type="dxa"/>
          </w:tcPr>
          <w:p w:rsidR="007F373F" w:rsidRDefault="00000000">
            <w:pPr>
              <w:spacing w:after="0"/>
              <w:jc w:val="left"/>
            </w:pPr>
            <w:r>
              <w:rPr>
                <w:sz w:val="18"/>
              </w:rPr>
              <w:t>New</w:t>
            </w:r>
          </w:p>
        </w:tc>
        <w:tc>
          <w:tcPr>
            <w:tcW w:w="2208" w:type="dxa"/>
          </w:tcPr>
          <w:p w:rsidR="007F373F" w:rsidRDefault="00000000">
            <w:pPr>
              <w:spacing w:after="0"/>
              <w:jc w:val="left"/>
            </w:pPr>
            <w:r>
              <w:rPr>
                <w:sz w:val="18"/>
              </w:rPr>
              <w:t>Effective 1 Apr 2026; renewal/LTV rules</w:t>
            </w:r>
          </w:p>
        </w:tc>
        <w:tc>
          <w:tcPr>
            <w:tcW w:w="1863" w:type="dxa"/>
          </w:tcPr>
          <w:p w:rsidR="007F373F" w:rsidRDefault="00000000">
            <w:pPr>
              <w:spacing w:after="0"/>
              <w:jc w:val="left"/>
            </w:pPr>
            <w:r>
              <w:rPr>
                <w:sz w:val="18"/>
              </w:rPr>
              <w:t>Low LTV; systems; experience with 2024 changes</w:t>
            </w:r>
          </w:p>
        </w:tc>
      </w:tr>
      <w:tr w:rsidR="007F373F">
        <w:trPr>
          <w:jc w:val="center"/>
        </w:trPr>
        <w:tc>
          <w:tcPr>
            <w:tcW w:w="414" w:type="dxa"/>
          </w:tcPr>
          <w:p w:rsidR="007F373F" w:rsidRDefault="00000000">
            <w:pPr>
              <w:spacing w:after="0"/>
              <w:jc w:val="left"/>
            </w:pPr>
            <w:r>
              <w:rPr>
                <w:sz w:val="18"/>
              </w:rPr>
              <w:t>6</w:t>
            </w:r>
          </w:p>
        </w:tc>
        <w:tc>
          <w:tcPr>
            <w:tcW w:w="2001" w:type="dxa"/>
          </w:tcPr>
          <w:p w:rsidR="007F373F" w:rsidRDefault="00000000">
            <w:pPr>
              <w:spacing w:after="0"/>
              <w:jc w:val="left"/>
            </w:pPr>
            <w:r>
              <w:rPr>
                <w:sz w:val="18"/>
              </w:rPr>
              <w:t>Competition / yield pressure</w:t>
            </w:r>
          </w:p>
        </w:tc>
        <w:tc>
          <w:tcPr>
            <w:tcW w:w="1104" w:type="dxa"/>
          </w:tcPr>
          <w:p w:rsidR="007F373F" w:rsidRDefault="00000000">
            <w:pPr>
              <w:spacing w:after="0"/>
              <w:jc w:val="left"/>
            </w:pPr>
            <w:r>
              <w:rPr>
                <w:sz w:val="18"/>
              </w:rPr>
              <w:t>High</w:t>
            </w:r>
          </w:p>
        </w:tc>
        <w:tc>
          <w:tcPr>
            <w:tcW w:w="966" w:type="dxa"/>
          </w:tcPr>
          <w:p w:rsidR="007F373F" w:rsidRDefault="00000000">
            <w:pPr>
              <w:spacing w:after="0"/>
              <w:jc w:val="left"/>
            </w:pPr>
            <w:r>
              <w:rPr>
                <w:sz w:val="18"/>
              </w:rPr>
              <w:t>Medium</w:t>
            </w:r>
          </w:p>
        </w:tc>
        <w:tc>
          <w:tcPr>
            <w:tcW w:w="1173" w:type="dxa"/>
          </w:tcPr>
          <w:p w:rsidR="007F373F" w:rsidRDefault="00000000">
            <w:pPr>
              <w:spacing w:after="0"/>
              <w:jc w:val="left"/>
            </w:pPr>
            <w:r>
              <w:rPr>
                <w:sz w:val="18"/>
              </w:rPr>
              <w:t>→</w:t>
            </w:r>
          </w:p>
        </w:tc>
        <w:tc>
          <w:tcPr>
            <w:tcW w:w="2208" w:type="dxa"/>
          </w:tcPr>
          <w:p w:rsidR="007F373F" w:rsidRDefault="00000000">
            <w:pPr>
              <w:spacing w:after="0"/>
              <w:jc w:val="left"/>
            </w:pPr>
            <w:r>
              <w:rPr>
                <w:sz w:val="18"/>
              </w:rPr>
              <w:t>Banks 82% of gold market; MT LAP yield 12.0%</w:t>
            </w:r>
          </w:p>
        </w:tc>
        <w:tc>
          <w:tcPr>
            <w:tcW w:w="1863" w:type="dxa"/>
          </w:tcPr>
          <w:p w:rsidR="007F373F" w:rsidRDefault="00000000">
            <w:pPr>
              <w:spacing w:after="0"/>
              <w:jc w:val="left"/>
            </w:pPr>
            <w:r>
              <w:rPr>
                <w:sz w:val="18"/>
              </w:rPr>
              <w:t>Local presence; service; cross-sell; brand</w:t>
            </w:r>
          </w:p>
        </w:tc>
      </w:tr>
      <w:tr w:rsidR="007F373F">
        <w:trPr>
          <w:jc w:val="center"/>
        </w:trPr>
        <w:tc>
          <w:tcPr>
            <w:tcW w:w="414" w:type="dxa"/>
          </w:tcPr>
          <w:p w:rsidR="007F373F" w:rsidRDefault="00000000">
            <w:pPr>
              <w:spacing w:after="0"/>
              <w:jc w:val="left"/>
            </w:pPr>
            <w:r>
              <w:rPr>
                <w:sz w:val="18"/>
              </w:rPr>
              <w:t>7</w:t>
            </w:r>
          </w:p>
        </w:tc>
        <w:tc>
          <w:tcPr>
            <w:tcW w:w="2001" w:type="dxa"/>
          </w:tcPr>
          <w:p w:rsidR="007F373F" w:rsidRDefault="00000000">
            <w:pPr>
              <w:spacing w:after="0"/>
              <w:jc w:val="left"/>
            </w:pPr>
            <w:r>
              <w:rPr>
                <w:sz w:val="18"/>
              </w:rPr>
              <w:t>Branch-expansion execution</w:t>
            </w:r>
          </w:p>
        </w:tc>
        <w:tc>
          <w:tcPr>
            <w:tcW w:w="1104" w:type="dxa"/>
          </w:tcPr>
          <w:p w:rsidR="007F373F" w:rsidRDefault="00000000">
            <w:pPr>
              <w:spacing w:after="0"/>
              <w:jc w:val="left"/>
            </w:pPr>
            <w:r>
              <w:rPr>
                <w:sz w:val="18"/>
              </w:rPr>
              <w:t>Medium</w:t>
            </w:r>
          </w:p>
        </w:tc>
        <w:tc>
          <w:tcPr>
            <w:tcW w:w="966" w:type="dxa"/>
          </w:tcPr>
          <w:p w:rsidR="007F373F" w:rsidRDefault="00000000">
            <w:pPr>
              <w:spacing w:after="0"/>
              <w:jc w:val="left"/>
            </w:pPr>
            <w:r>
              <w:rPr>
                <w:sz w:val="18"/>
              </w:rPr>
              <w:t>Medium</w:t>
            </w:r>
          </w:p>
        </w:tc>
        <w:tc>
          <w:tcPr>
            <w:tcW w:w="1173" w:type="dxa"/>
          </w:tcPr>
          <w:p w:rsidR="007F373F" w:rsidRDefault="00000000">
            <w:pPr>
              <w:spacing w:after="0"/>
              <w:jc w:val="left"/>
            </w:pPr>
            <w:r>
              <w:rPr>
                <w:sz w:val="18"/>
              </w:rPr>
              <w:t>↑</w:t>
            </w:r>
          </w:p>
        </w:tc>
        <w:tc>
          <w:tcPr>
            <w:tcW w:w="2208" w:type="dxa"/>
          </w:tcPr>
          <w:p w:rsidR="007F373F" w:rsidRDefault="00000000">
            <w:pPr>
              <w:spacing w:after="0"/>
              <w:jc w:val="left"/>
            </w:pPr>
            <w:r>
              <w:rPr>
                <w:sz w:val="18"/>
              </w:rPr>
              <w:t>148 young branches; C/I 57.2%</w:t>
            </w:r>
          </w:p>
        </w:tc>
        <w:tc>
          <w:tcPr>
            <w:tcW w:w="1863" w:type="dxa"/>
          </w:tcPr>
          <w:p w:rsidR="007F373F" w:rsidRDefault="00000000">
            <w:pPr>
              <w:spacing w:after="0"/>
              <w:jc w:val="left"/>
            </w:pPr>
            <w:r>
              <w:rPr>
                <w:sz w:val="18"/>
              </w:rPr>
              <w:t>Vintage economics; hub-and-spoke; productivity tracking</w:t>
            </w:r>
          </w:p>
        </w:tc>
      </w:tr>
      <w:tr w:rsidR="007F373F">
        <w:trPr>
          <w:jc w:val="center"/>
        </w:trPr>
        <w:tc>
          <w:tcPr>
            <w:tcW w:w="414" w:type="dxa"/>
          </w:tcPr>
          <w:p w:rsidR="007F373F" w:rsidRDefault="00000000">
            <w:pPr>
              <w:spacing w:after="0"/>
              <w:jc w:val="left"/>
            </w:pPr>
            <w:r>
              <w:rPr>
                <w:sz w:val="18"/>
              </w:rPr>
              <w:t>8</w:t>
            </w:r>
          </w:p>
        </w:tc>
        <w:tc>
          <w:tcPr>
            <w:tcW w:w="2001" w:type="dxa"/>
          </w:tcPr>
          <w:p w:rsidR="007F373F" w:rsidRDefault="00000000">
            <w:pPr>
              <w:spacing w:after="0"/>
              <w:jc w:val="left"/>
            </w:pPr>
            <w:r>
              <w:rPr>
                <w:sz w:val="18"/>
              </w:rPr>
              <w:t>Operational / custody / fraud</w:t>
            </w:r>
          </w:p>
        </w:tc>
        <w:tc>
          <w:tcPr>
            <w:tcW w:w="1104" w:type="dxa"/>
          </w:tcPr>
          <w:p w:rsidR="007F373F" w:rsidRDefault="00000000">
            <w:pPr>
              <w:spacing w:after="0"/>
              <w:jc w:val="left"/>
            </w:pPr>
            <w:r>
              <w:rPr>
                <w:sz w:val="18"/>
              </w:rPr>
              <w:t>Medium</w:t>
            </w:r>
          </w:p>
        </w:tc>
        <w:tc>
          <w:tcPr>
            <w:tcW w:w="966" w:type="dxa"/>
          </w:tcPr>
          <w:p w:rsidR="007F373F" w:rsidRDefault="00000000">
            <w:pPr>
              <w:spacing w:after="0"/>
              <w:jc w:val="left"/>
            </w:pPr>
            <w:r>
              <w:rPr>
                <w:sz w:val="18"/>
              </w:rPr>
              <w:t>Medium</w:t>
            </w:r>
          </w:p>
        </w:tc>
        <w:tc>
          <w:tcPr>
            <w:tcW w:w="1173" w:type="dxa"/>
          </w:tcPr>
          <w:p w:rsidR="007F373F" w:rsidRDefault="00000000">
            <w:pPr>
              <w:spacing w:after="0"/>
              <w:jc w:val="left"/>
            </w:pPr>
            <w:r>
              <w:rPr>
                <w:sz w:val="18"/>
              </w:rPr>
              <w:t>↑ (DSGL +108%)</w:t>
            </w:r>
          </w:p>
        </w:tc>
        <w:tc>
          <w:tcPr>
            <w:tcW w:w="2208" w:type="dxa"/>
          </w:tcPr>
          <w:p w:rsidR="007F373F" w:rsidRDefault="00000000">
            <w:pPr>
              <w:spacing w:after="0"/>
              <w:jc w:val="left"/>
            </w:pPr>
            <w:r>
              <w:rPr>
                <w:sz w:val="18"/>
              </w:rPr>
              <w:t>Frauds ₹110 lakh; doorstep growth</w:t>
            </w:r>
          </w:p>
        </w:tc>
        <w:tc>
          <w:tcPr>
            <w:tcW w:w="1863" w:type="dxa"/>
          </w:tcPr>
          <w:p w:rsidR="007F373F" w:rsidRDefault="00000000">
            <w:pPr>
              <w:spacing w:after="0"/>
              <w:jc w:val="left"/>
            </w:pPr>
            <w:r>
              <w:rPr>
                <w:sz w:val="18"/>
              </w:rPr>
              <w:t>Security box; insurance; audits; AI analytics</w:t>
            </w:r>
          </w:p>
        </w:tc>
      </w:tr>
      <w:tr w:rsidR="007F373F">
        <w:trPr>
          <w:jc w:val="center"/>
        </w:trPr>
        <w:tc>
          <w:tcPr>
            <w:tcW w:w="414" w:type="dxa"/>
          </w:tcPr>
          <w:p w:rsidR="007F373F" w:rsidRDefault="00000000">
            <w:pPr>
              <w:spacing w:after="0"/>
              <w:jc w:val="left"/>
            </w:pPr>
            <w:r>
              <w:rPr>
                <w:sz w:val="18"/>
              </w:rPr>
              <w:t>9</w:t>
            </w:r>
          </w:p>
        </w:tc>
        <w:tc>
          <w:tcPr>
            <w:tcW w:w="2001" w:type="dxa"/>
          </w:tcPr>
          <w:p w:rsidR="007F373F" w:rsidRDefault="00000000">
            <w:pPr>
              <w:spacing w:after="0"/>
              <w:jc w:val="left"/>
            </w:pPr>
            <w:r>
              <w:rPr>
                <w:sz w:val="18"/>
              </w:rPr>
              <w:t>Cyber / data privacy</w:t>
            </w:r>
          </w:p>
        </w:tc>
        <w:tc>
          <w:tcPr>
            <w:tcW w:w="1104" w:type="dxa"/>
          </w:tcPr>
          <w:p w:rsidR="007F373F" w:rsidRDefault="00000000">
            <w:pPr>
              <w:spacing w:after="0"/>
              <w:jc w:val="left"/>
            </w:pPr>
            <w:r>
              <w:rPr>
                <w:sz w:val="18"/>
              </w:rPr>
              <w:t>Medium</w:t>
            </w:r>
          </w:p>
        </w:tc>
        <w:tc>
          <w:tcPr>
            <w:tcW w:w="966" w:type="dxa"/>
          </w:tcPr>
          <w:p w:rsidR="007F373F" w:rsidRDefault="00000000">
            <w:pPr>
              <w:spacing w:after="0"/>
              <w:jc w:val="left"/>
            </w:pPr>
            <w:r>
              <w:rPr>
                <w:sz w:val="18"/>
              </w:rPr>
              <w:t>High</w:t>
            </w:r>
          </w:p>
        </w:tc>
        <w:tc>
          <w:tcPr>
            <w:tcW w:w="1173" w:type="dxa"/>
          </w:tcPr>
          <w:p w:rsidR="007F373F" w:rsidRDefault="00000000">
            <w:pPr>
              <w:spacing w:after="0"/>
              <w:jc w:val="left"/>
            </w:pPr>
            <w:r>
              <w:rPr>
                <w:sz w:val="18"/>
              </w:rPr>
              <w:t>↑ (sector)</w:t>
            </w:r>
          </w:p>
        </w:tc>
        <w:tc>
          <w:tcPr>
            <w:tcW w:w="2208" w:type="dxa"/>
          </w:tcPr>
          <w:p w:rsidR="007F373F" w:rsidRDefault="00000000">
            <w:pPr>
              <w:spacing w:after="0"/>
              <w:jc w:val="left"/>
            </w:pPr>
            <w:r>
              <w:rPr>
                <w:sz w:val="18"/>
              </w:rPr>
              <w:t>Rising BFSI attacks; DPDP</w:t>
            </w:r>
          </w:p>
        </w:tc>
        <w:tc>
          <w:tcPr>
            <w:tcW w:w="1863" w:type="dxa"/>
          </w:tcPr>
          <w:p w:rsidR="007F373F" w:rsidRDefault="00000000">
            <w:pPr>
              <w:spacing w:after="0"/>
              <w:jc w:val="left"/>
            </w:pPr>
            <w:r>
              <w:rPr>
                <w:sz w:val="18"/>
              </w:rPr>
              <w:t>Zero Trust, MFA, EDR/XDR, VAPT, red-teaming</w:t>
            </w:r>
          </w:p>
        </w:tc>
      </w:tr>
      <w:tr w:rsidR="007F373F">
        <w:trPr>
          <w:jc w:val="center"/>
        </w:trPr>
        <w:tc>
          <w:tcPr>
            <w:tcW w:w="414" w:type="dxa"/>
          </w:tcPr>
          <w:p w:rsidR="007F373F" w:rsidRDefault="00000000">
            <w:pPr>
              <w:spacing w:after="0"/>
              <w:jc w:val="left"/>
            </w:pPr>
            <w:r>
              <w:rPr>
                <w:sz w:val="18"/>
              </w:rPr>
              <w:t>10</w:t>
            </w:r>
          </w:p>
        </w:tc>
        <w:tc>
          <w:tcPr>
            <w:tcW w:w="2001" w:type="dxa"/>
          </w:tcPr>
          <w:p w:rsidR="007F373F" w:rsidRDefault="00000000">
            <w:pPr>
              <w:spacing w:after="0"/>
              <w:jc w:val="left"/>
            </w:pPr>
            <w:r>
              <w:rPr>
                <w:sz w:val="18"/>
              </w:rPr>
              <w:t>Liquidity / refinancing</w:t>
            </w:r>
          </w:p>
        </w:tc>
        <w:tc>
          <w:tcPr>
            <w:tcW w:w="1104" w:type="dxa"/>
          </w:tcPr>
          <w:p w:rsidR="007F373F" w:rsidRDefault="00000000">
            <w:pPr>
              <w:spacing w:after="0"/>
              <w:jc w:val="left"/>
            </w:pPr>
            <w:r>
              <w:rPr>
                <w:sz w:val="18"/>
              </w:rPr>
              <w:t>Low</w:t>
            </w:r>
          </w:p>
        </w:tc>
        <w:tc>
          <w:tcPr>
            <w:tcW w:w="966" w:type="dxa"/>
          </w:tcPr>
          <w:p w:rsidR="007F373F" w:rsidRDefault="00000000">
            <w:pPr>
              <w:spacing w:after="0"/>
              <w:jc w:val="left"/>
            </w:pPr>
            <w:r>
              <w:rPr>
                <w:sz w:val="18"/>
              </w:rPr>
              <w:t>High</w:t>
            </w:r>
          </w:p>
        </w:tc>
        <w:tc>
          <w:tcPr>
            <w:tcW w:w="1173" w:type="dxa"/>
          </w:tcPr>
          <w:p w:rsidR="007F373F" w:rsidRDefault="00000000">
            <w:pPr>
              <w:spacing w:after="0"/>
              <w:jc w:val="left"/>
            </w:pPr>
            <w:r>
              <w:rPr>
                <w:sz w:val="18"/>
              </w:rPr>
              <w:t>↓</w:t>
            </w:r>
          </w:p>
        </w:tc>
        <w:tc>
          <w:tcPr>
            <w:tcW w:w="2208" w:type="dxa"/>
          </w:tcPr>
          <w:p w:rsidR="007F373F" w:rsidRDefault="00000000">
            <w:pPr>
              <w:spacing w:after="0"/>
              <w:jc w:val="left"/>
            </w:pPr>
            <w:r>
              <w:rPr>
                <w:sz w:val="18"/>
              </w:rPr>
              <w:t>1–3 yr bucket gap ₹4,425 crore; CP ₹1,164 crore</w:t>
            </w:r>
          </w:p>
        </w:tc>
        <w:tc>
          <w:tcPr>
            <w:tcW w:w="1863" w:type="dxa"/>
          </w:tcPr>
          <w:p w:rsidR="007F373F" w:rsidRDefault="00000000">
            <w:pPr>
              <w:spacing w:after="0"/>
              <w:jc w:val="left"/>
            </w:pPr>
            <w:r>
              <w:rPr>
                <w:sz w:val="18"/>
              </w:rPr>
              <w:t>Positive &lt;1-yr gap; cash ₹1,340 crore; 41 lenders; AA+</w:t>
            </w:r>
          </w:p>
        </w:tc>
      </w:tr>
      <w:tr w:rsidR="007F373F">
        <w:trPr>
          <w:jc w:val="center"/>
        </w:trPr>
        <w:tc>
          <w:tcPr>
            <w:tcW w:w="414" w:type="dxa"/>
          </w:tcPr>
          <w:p w:rsidR="007F373F" w:rsidRDefault="00000000">
            <w:pPr>
              <w:spacing w:after="0"/>
              <w:jc w:val="left"/>
            </w:pPr>
            <w:r>
              <w:rPr>
                <w:sz w:val="18"/>
              </w:rPr>
              <w:t>11</w:t>
            </w:r>
          </w:p>
        </w:tc>
        <w:tc>
          <w:tcPr>
            <w:tcW w:w="2001" w:type="dxa"/>
          </w:tcPr>
          <w:p w:rsidR="007F373F" w:rsidRDefault="00000000">
            <w:pPr>
              <w:spacing w:after="0"/>
              <w:jc w:val="left"/>
            </w:pPr>
            <w:r>
              <w:rPr>
                <w:sz w:val="18"/>
              </w:rPr>
              <w:t>Attrition / people</w:t>
            </w:r>
          </w:p>
        </w:tc>
        <w:tc>
          <w:tcPr>
            <w:tcW w:w="1104" w:type="dxa"/>
          </w:tcPr>
          <w:p w:rsidR="007F373F" w:rsidRDefault="00000000">
            <w:pPr>
              <w:spacing w:after="0"/>
              <w:jc w:val="left"/>
            </w:pPr>
            <w:r>
              <w:rPr>
                <w:sz w:val="18"/>
              </w:rPr>
              <w:t>High</w:t>
            </w:r>
          </w:p>
        </w:tc>
        <w:tc>
          <w:tcPr>
            <w:tcW w:w="966" w:type="dxa"/>
          </w:tcPr>
          <w:p w:rsidR="007F373F" w:rsidRDefault="00000000">
            <w:pPr>
              <w:spacing w:after="0"/>
              <w:jc w:val="left"/>
            </w:pPr>
            <w:r>
              <w:rPr>
                <w:sz w:val="18"/>
              </w:rPr>
              <w:t>Low–Medium</w:t>
            </w:r>
          </w:p>
        </w:tc>
        <w:tc>
          <w:tcPr>
            <w:tcW w:w="1173" w:type="dxa"/>
          </w:tcPr>
          <w:p w:rsidR="007F373F" w:rsidRDefault="00000000">
            <w:pPr>
              <w:spacing w:after="0"/>
              <w:jc w:val="left"/>
            </w:pPr>
            <w:r>
              <w:rPr>
                <w:sz w:val="18"/>
              </w:rPr>
              <w:t>→</w:t>
            </w:r>
          </w:p>
        </w:tc>
        <w:tc>
          <w:tcPr>
            <w:tcW w:w="2208" w:type="dxa"/>
          </w:tcPr>
          <w:p w:rsidR="007F373F" w:rsidRDefault="00000000">
            <w:pPr>
              <w:spacing w:after="0"/>
              <w:jc w:val="left"/>
            </w:pPr>
            <w:r>
              <w:rPr>
                <w:sz w:val="18"/>
              </w:rPr>
              <w:t>Voluntary attrition 35.85%</w:t>
            </w:r>
          </w:p>
        </w:tc>
        <w:tc>
          <w:tcPr>
            <w:tcW w:w="1863" w:type="dxa"/>
          </w:tcPr>
          <w:p w:rsidR="007F373F" w:rsidRDefault="00000000">
            <w:pPr>
              <w:spacing w:after="0"/>
              <w:jc w:val="left"/>
            </w:pPr>
            <w:r>
              <w:rPr>
                <w:sz w:val="18"/>
              </w:rPr>
              <w:t>Training, ESOPs, career programmes</w:t>
            </w:r>
          </w:p>
        </w:tc>
      </w:tr>
      <w:tr w:rsidR="007F373F">
        <w:trPr>
          <w:jc w:val="center"/>
        </w:trPr>
        <w:tc>
          <w:tcPr>
            <w:tcW w:w="414" w:type="dxa"/>
          </w:tcPr>
          <w:p w:rsidR="007F373F" w:rsidRDefault="00000000">
            <w:pPr>
              <w:spacing w:after="0"/>
              <w:jc w:val="left"/>
            </w:pPr>
            <w:r>
              <w:rPr>
                <w:sz w:val="18"/>
              </w:rPr>
              <w:t>12</w:t>
            </w:r>
          </w:p>
        </w:tc>
        <w:tc>
          <w:tcPr>
            <w:tcW w:w="2001" w:type="dxa"/>
          </w:tcPr>
          <w:p w:rsidR="007F373F" w:rsidRDefault="00000000">
            <w:pPr>
              <w:spacing w:after="0"/>
              <w:jc w:val="left"/>
            </w:pPr>
            <w:r>
              <w:rPr>
                <w:sz w:val="18"/>
              </w:rPr>
              <w:t>Reputational / conduct</w:t>
            </w:r>
          </w:p>
        </w:tc>
        <w:tc>
          <w:tcPr>
            <w:tcW w:w="1104" w:type="dxa"/>
          </w:tcPr>
          <w:p w:rsidR="007F373F" w:rsidRDefault="00000000">
            <w:pPr>
              <w:spacing w:after="0"/>
              <w:jc w:val="left"/>
            </w:pPr>
            <w:r>
              <w:rPr>
                <w:sz w:val="18"/>
              </w:rPr>
              <w:t>Low</w:t>
            </w:r>
          </w:p>
        </w:tc>
        <w:tc>
          <w:tcPr>
            <w:tcW w:w="966" w:type="dxa"/>
          </w:tcPr>
          <w:p w:rsidR="007F373F" w:rsidRDefault="00000000">
            <w:pPr>
              <w:spacing w:after="0"/>
              <w:jc w:val="left"/>
            </w:pPr>
            <w:r>
              <w:rPr>
                <w:sz w:val="18"/>
              </w:rPr>
              <w:t>High</w:t>
            </w:r>
          </w:p>
        </w:tc>
        <w:tc>
          <w:tcPr>
            <w:tcW w:w="1173" w:type="dxa"/>
          </w:tcPr>
          <w:p w:rsidR="007F373F" w:rsidRDefault="00000000">
            <w:pPr>
              <w:spacing w:after="0"/>
              <w:jc w:val="left"/>
            </w:pPr>
            <w:r>
              <w:rPr>
                <w:sz w:val="18"/>
              </w:rPr>
              <w:t>→</w:t>
            </w:r>
          </w:p>
        </w:tc>
        <w:tc>
          <w:tcPr>
            <w:tcW w:w="2208" w:type="dxa"/>
          </w:tcPr>
          <w:p w:rsidR="007F373F" w:rsidRDefault="00000000">
            <w:pPr>
              <w:spacing w:after="0"/>
              <w:jc w:val="left"/>
            </w:pPr>
            <w:r>
              <w:rPr>
                <w:sz w:val="18"/>
              </w:rPr>
              <w:t>Auctions 4,633; SARFAESI; CSAT 85%</w:t>
            </w:r>
          </w:p>
        </w:tc>
        <w:tc>
          <w:tcPr>
            <w:tcW w:w="1863" w:type="dxa"/>
          </w:tcPr>
          <w:p w:rsidR="007F373F" w:rsidRDefault="00000000">
            <w:pPr>
              <w:spacing w:after="0"/>
              <w:jc w:val="left"/>
            </w:pPr>
            <w:r>
              <w:rPr>
                <w:sz w:val="18"/>
              </w:rPr>
              <w:t>Fair practices; ombudsman; transparency</w:t>
            </w:r>
          </w:p>
        </w:tc>
      </w:tr>
      <w:tr w:rsidR="007F373F">
        <w:trPr>
          <w:jc w:val="center"/>
        </w:trPr>
        <w:tc>
          <w:tcPr>
            <w:tcW w:w="414" w:type="dxa"/>
          </w:tcPr>
          <w:p w:rsidR="007F373F" w:rsidRDefault="00000000">
            <w:pPr>
              <w:spacing w:after="0"/>
              <w:jc w:val="left"/>
            </w:pPr>
            <w:r>
              <w:rPr>
                <w:sz w:val="18"/>
              </w:rPr>
              <w:t>13</w:t>
            </w:r>
          </w:p>
        </w:tc>
        <w:tc>
          <w:tcPr>
            <w:tcW w:w="2001" w:type="dxa"/>
          </w:tcPr>
          <w:p w:rsidR="007F373F" w:rsidRDefault="00000000">
            <w:pPr>
              <w:spacing w:after="0"/>
              <w:jc w:val="left"/>
            </w:pPr>
            <w:r>
              <w:rPr>
                <w:sz w:val="18"/>
              </w:rPr>
              <w:t>Parent / shareholder changes</w:t>
            </w:r>
          </w:p>
        </w:tc>
        <w:tc>
          <w:tcPr>
            <w:tcW w:w="1104" w:type="dxa"/>
          </w:tcPr>
          <w:p w:rsidR="007F373F" w:rsidRDefault="00000000">
            <w:pPr>
              <w:spacing w:after="0"/>
              <w:jc w:val="left"/>
            </w:pPr>
            <w:r>
              <w:rPr>
                <w:sz w:val="18"/>
              </w:rPr>
              <w:t>Low</w:t>
            </w:r>
          </w:p>
        </w:tc>
        <w:tc>
          <w:tcPr>
            <w:tcW w:w="966" w:type="dxa"/>
          </w:tcPr>
          <w:p w:rsidR="007F373F" w:rsidRDefault="00000000">
            <w:pPr>
              <w:spacing w:after="0"/>
              <w:jc w:val="left"/>
            </w:pPr>
            <w:r>
              <w:rPr>
                <w:sz w:val="18"/>
              </w:rPr>
              <w:t>Medium</w:t>
            </w:r>
          </w:p>
        </w:tc>
        <w:tc>
          <w:tcPr>
            <w:tcW w:w="1173" w:type="dxa"/>
          </w:tcPr>
          <w:p w:rsidR="007F373F" w:rsidRDefault="00000000">
            <w:pPr>
              <w:spacing w:after="0"/>
              <w:jc w:val="left"/>
            </w:pPr>
            <w:r>
              <w:rPr>
                <w:sz w:val="18"/>
              </w:rPr>
              <w:t>New (True North exit)</w:t>
            </w:r>
          </w:p>
        </w:tc>
        <w:tc>
          <w:tcPr>
            <w:tcW w:w="2208" w:type="dxa"/>
          </w:tcPr>
          <w:p w:rsidR="007F373F" w:rsidRDefault="00000000">
            <w:pPr>
              <w:spacing w:after="0"/>
              <w:jc w:val="left"/>
            </w:pPr>
            <w:r>
              <w:rPr>
                <w:sz w:val="18"/>
              </w:rPr>
              <w:t>AIF holding 14.4% → 13.0%; promoter 60.8%</w:t>
            </w:r>
          </w:p>
        </w:tc>
        <w:tc>
          <w:tcPr>
            <w:tcW w:w="1863" w:type="dxa"/>
          </w:tcPr>
          <w:p w:rsidR="007F373F" w:rsidRDefault="00000000">
            <w:pPr>
              <w:spacing w:after="0"/>
              <w:jc w:val="left"/>
            </w:pPr>
            <w:r>
              <w:rPr>
                <w:sz w:val="18"/>
              </w:rPr>
              <w:t>Stable promoter; broadened public float</w:t>
            </w:r>
          </w:p>
        </w:tc>
      </w:tr>
      <w:tr w:rsidR="007F373F">
        <w:trPr>
          <w:jc w:val="center"/>
        </w:trPr>
        <w:tc>
          <w:tcPr>
            <w:tcW w:w="414" w:type="dxa"/>
          </w:tcPr>
          <w:p w:rsidR="007F373F" w:rsidRDefault="00000000">
            <w:pPr>
              <w:spacing w:after="0"/>
              <w:jc w:val="left"/>
            </w:pPr>
            <w:r>
              <w:rPr>
                <w:sz w:val="18"/>
              </w:rPr>
              <w:t>14</w:t>
            </w:r>
          </w:p>
        </w:tc>
        <w:tc>
          <w:tcPr>
            <w:tcW w:w="2001" w:type="dxa"/>
          </w:tcPr>
          <w:p w:rsidR="007F373F" w:rsidRDefault="00000000">
            <w:pPr>
              <w:spacing w:after="0"/>
              <w:jc w:val="left"/>
            </w:pPr>
            <w:r>
              <w:rPr>
                <w:sz w:val="18"/>
              </w:rPr>
              <w:t>Macro slowdown / rural stress</w:t>
            </w:r>
          </w:p>
        </w:tc>
        <w:tc>
          <w:tcPr>
            <w:tcW w:w="1104" w:type="dxa"/>
          </w:tcPr>
          <w:p w:rsidR="007F373F" w:rsidRDefault="00000000">
            <w:pPr>
              <w:spacing w:after="0"/>
              <w:jc w:val="left"/>
            </w:pPr>
            <w:r>
              <w:rPr>
                <w:sz w:val="18"/>
              </w:rPr>
              <w:t>Low–Medium</w:t>
            </w:r>
          </w:p>
        </w:tc>
        <w:tc>
          <w:tcPr>
            <w:tcW w:w="966" w:type="dxa"/>
          </w:tcPr>
          <w:p w:rsidR="007F373F" w:rsidRDefault="00000000">
            <w:pPr>
              <w:spacing w:after="0"/>
              <w:jc w:val="left"/>
            </w:pPr>
            <w:r>
              <w:rPr>
                <w:sz w:val="18"/>
              </w:rPr>
              <w:t>Medium</w:t>
            </w:r>
          </w:p>
        </w:tc>
        <w:tc>
          <w:tcPr>
            <w:tcW w:w="1173" w:type="dxa"/>
          </w:tcPr>
          <w:p w:rsidR="007F373F" w:rsidRDefault="00000000">
            <w:pPr>
              <w:spacing w:after="0"/>
              <w:jc w:val="left"/>
            </w:pPr>
            <w:r>
              <w:rPr>
                <w:sz w:val="18"/>
              </w:rPr>
              <w:t>↓</w:t>
            </w:r>
          </w:p>
        </w:tc>
        <w:tc>
          <w:tcPr>
            <w:tcW w:w="2208" w:type="dxa"/>
          </w:tcPr>
          <w:p w:rsidR="007F373F" w:rsidRDefault="00000000">
            <w:pPr>
              <w:spacing w:after="0"/>
              <w:jc w:val="left"/>
            </w:pPr>
            <w:r>
              <w:rPr>
                <w:sz w:val="18"/>
              </w:rPr>
              <w:t>GDP 7.7%; CPI ≈2%; rural recovery</w:t>
            </w:r>
          </w:p>
        </w:tc>
        <w:tc>
          <w:tcPr>
            <w:tcW w:w="1863" w:type="dxa"/>
          </w:tcPr>
          <w:p w:rsidR="007F373F" w:rsidRDefault="00000000">
            <w:pPr>
              <w:spacing w:after="0"/>
              <w:jc w:val="left"/>
            </w:pPr>
            <w:r>
              <w:rPr>
                <w:sz w:val="18"/>
              </w:rPr>
              <w:t>Secured book; granular tickets; geographic spread</w:t>
            </w:r>
          </w:p>
        </w:tc>
      </w:tr>
    </w:tbl>
    <w:p w:rsidR="007F373F" w:rsidRDefault="007F373F">
      <w:pPr>
        <w:spacing w:after="40"/>
      </w:pPr>
    </w:p>
    <w:p w:rsidR="007F373F" w:rsidRDefault="00000000">
      <w:r>
        <w:t xml:space="preserve">Reading the matrix. The highest-impact risks (gold price, cyber, liquidity, reputation) are those with the strongest mitigants and, except for gold price, low-to-medium likelihood. The risks most likely to materialise (regulatory change, competition, attrition) have medium or lower impact. The risks </w:t>
      </w:r>
      <w:r>
        <w:lastRenderedPageBreak/>
        <w:t>whose trend is rising – gold price, leverage, branch execution, custody – are all consequences of FY26’s success, which is the natural pattern after a strong growth year and the reason this report treats FY27 asset quality and capital as the key monitoring variables.</w:t>
      </w:r>
    </w:p>
    <w:p w:rsidR="007F373F" w:rsidRDefault="00000000">
      <w:pPr>
        <w:pStyle w:val="Heading1"/>
        <w:pageBreakBefore/>
      </w:pPr>
      <w:r>
        <w:lastRenderedPageBreak/>
        <w:t>Environmental, Social and Governance (ESG) Profile</w:t>
      </w:r>
    </w:p>
    <w:p w:rsidR="007F373F" w:rsidRDefault="00000000">
      <w:r>
        <w:t>Fedfina publishes a Business Responsibility and Sustainability Report (BRSR) within its annual report, and the FY26 Corporate Overview devotes several pages to ESG. The disclosures that can be quantified are collected here.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242"/>
        <w:gridCol w:w="3451"/>
        <w:gridCol w:w="966"/>
        <w:gridCol w:w="1932"/>
        <w:gridCol w:w="2139"/>
      </w:tblGrid>
      <w:tr w:rsidR="007F373F">
        <w:trPr>
          <w:jc w:val="center"/>
        </w:trPr>
        <w:tc>
          <w:tcPr>
            <w:tcW w:w="1242" w:type="dxa"/>
          </w:tcPr>
          <w:p w:rsidR="007F373F" w:rsidRDefault="00000000">
            <w:pPr>
              <w:spacing w:after="0"/>
              <w:jc w:val="left"/>
            </w:pPr>
            <w:r>
              <w:rPr>
                <w:b/>
                <w:sz w:val="18"/>
              </w:rPr>
              <w:t>Pillar</w:t>
            </w:r>
          </w:p>
        </w:tc>
        <w:tc>
          <w:tcPr>
            <w:tcW w:w="3451" w:type="dxa"/>
          </w:tcPr>
          <w:p w:rsidR="007F373F" w:rsidRDefault="00000000">
            <w:pPr>
              <w:spacing w:after="0"/>
              <w:jc w:val="left"/>
            </w:pPr>
            <w:r>
              <w:rPr>
                <w:b/>
                <w:sz w:val="18"/>
              </w:rPr>
              <w:t>Indicator</w:t>
            </w:r>
          </w:p>
        </w:tc>
        <w:tc>
          <w:tcPr>
            <w:tcW w:w="966" w:type="dxa"/>
          </w:tcPr>
          <w:p w:rsidR="007F373F" w:rsidRDefault="00000000">
            <w:pPr>
              <w:spacing w:after="0"/>
              <w:jc w:val="left"/>
            </w:pPr>
            <w:r>
              <w:rPr>
                <w:b/>
                <w:sz w:val="18"/>
              </w:rPr>
              <w:t>FY25</w:t>
            </w:r>
          </w:p>
        </w:tc>
        <w:tc>
          <w:tcPr>
            <w:tcW w:w="1932" w:type="dxa"/>
          </w:tcPr>
          <w:p w:rsidR="007F373F" w:rsidRDefault="00000000">
            <w:pPr>
              <w:spacing w:after="0"/>
              <w:jc w:val="left"/>
            </w:pPr>
            <w:r>
              <w:rPr>
                <w:b/>
                <w:sz w:val="18"/>
              </w:rPr>
              <w:t>FY26</w:t>
            </w:r>
          </w:p>
        </w:tc>
        <w:tc>
          <w:tcPr>
            <w:tcW w:w="2139" w:type="dxa"/>
          </w:tcPr>
          <w:p w:rsidR="007F373F" w:rsidRDefault="00000000">
            <w:pPr>
              <w:spacing w:after="0"/>
              <w:jc w:val="left"/>
            </w:pPr>
            <w:r>
              <w:rPr>
                <w:b/>
                <w:sz w:val="18"/>
              </w:rPr>
              <w:t>Target / comment</w:t>
            </w:r>
          </w:p>
        </w:tc>
      </w:tr>
      <w:tr w:rsidR="007F373F">
        <w:trPr>
          <w:jc w:val="center"/>
        </w:trPr>
        <w:tc>
          <w:tcPr>
            <w:tcW w:w="1242" w:type="dxa"/>
          </w:tcPr>
          <w:p w:rsidR="007F373F" w:rsidRDefault="00000000">
            <w:pPr>
              <w:spacing w:after="0"/>
              <w:jc w:val="left"/>
            </w:pPr>
            <w:r>
              <w:rPr>
                <w:sz w:val="18"/>
              </w:rPr>
              <w:t>Environment</w:t>
            </w:r>
          </w:p>
        </w:tc>
        <w:tc>
          <w:tcPr>
            <w:tcW w:w="3451" w:type="dxa"/>
          </w:tcPr>
          <w:p w:rsidR="007F373F" w:rsidRDefault="00000000">
            <w:pPr>
              <w:spacing w:after="0"/>
              <w:jc w:val="left"/>
            </w:pPr>
            <w:r>
              <w:rPr>
                <w:sz w:val="18"/>
              </w:rPr>
              <w:t>Scope 1 + 2 emission intensity (tCO2e per ₹ crore turnover)</w:t>
            </w:r>
          </w:p>
        </w:tc>
        <w:tc>
          <w:tcPr>
            <w:tcW w:w="966" w:type="dxa"/>
          </w:tcPr>
          <w:p w:rsidR="007F373F" w:rsidRDefault="00000000">
            <w:pPr>
              <w:spacing w:after="0"/>
              <w:jc w:val="right"/>
            </w:pPr>
            <w:r>
              <w:rPr>
                <w:sz w:val="18"/>
              </w:rPr>
              <w:t>3.93</w:t>
            </w:r>
          </w:p>
        </w:tc>
        <w:tc>
          <w:tcPr>
            <w:tcW w:w="1932" w:type="dxa"/>
          </w:tcPr>
          <w:p w:rsidR="007F373F" w:rsidRDefault="00000000">
            <w:pPr>
              <w:spacing w:after="0"/>
              <w:jc w:val="right"/>
            </w:pPr>
            <w:r>
              <w:rPr>
                <w:sz w:val="18"/>
              </w:rPr>
              <w:t>2.96</w:t>
            </w:r>
          </w:p>
        </w:tc>
        <w:tc>
          <w:tcPr>
            <w:tcW w:w="2139" w:type="dxa"/>
          </w:tcPr>
          <w:p w:rsidR="007F373F" w:rsidRDefault="00000000">
            <w:pPr>
              <w:spacing w:after="0"/>
              <w:jc w:val="left"/>
            </w:pPr>
            <w:r>
              <w:rPr>
                <w:sz w:val="18"/>
              </w:rPr>
              <w:t>≈25% reduction; Scope 3 monitoring from FY27</w:t>
            </w:r>
          </w:p>
        </w:tc>
      </w:tr>
      <w:tr w:rsidR="007F373F">
        <w:trPr>
          <w:jc w:val="center"/>
        </w:trPr>
        <w:tc>
          <w:tcPr>
            <w:tcW w:w="1242" w:type="dxa"/>
          </w:tcPr>
          <w:p w:rsidR="007F373F" w:rsidRDefault="00000000">
            <w:pPr>
              <w:spacing w:after="0"/>
              <w:jc w:val="left"/>
            </w:pPr>
            <w:r>
              <w:rPr>
                <w:sz w:val="18"/>
              </w:rPr>
              <w:t>Environment</w:t>
            </w:r>
          </w:p>
        </w:tc>
        <w:tc>
          <w:tcPr>
            <w:tcW w:w="3451" w:type="dxa"/>
          </w:tcPr>
          <w:p w:rsidR="007F373F" w:rsidRDefault="00000000">
            <w:pPr>
              <w:spacing w:after="0"/>
              <w:jc w:val="left"/>
            </w:pPr>
            <w:r>
              <w:rPr>
                <w:sz w:val="18"/>
              </w:rPr>
              <w:t>Water withdrawal (third-party, kilolitres)</w:t>
            </w:r>
          </w:p>
        </w:tc>
        <w:tc>
          <w:tcPr>
            <w:tcW w:w="966" w:type="dxa"/>
          </w:tcPr>
          <w:p w:rsidR="007F373F" w:rsidRDefault="00000000">
            <w:pPr>
              <w:spacing w:after="0"/>
              <w:jc w:val="right"/>
            </w:pPr>
            <w:r>
              <w:rPr>
                <w:sz w:val="18"/>
              </w:rPr>
              <w:t>77,509</w:t>
            </w:r>
          </w:p>
        </w:tc>
        <w:tc>
          <w:tcPr>
            <w:tcW w:w="1932" w:type="dxa"/>
          </w:tcPr>
          <w:p w:rsidR="007F373F" w:rsidRDefault="00000000">
            <w:pPr>
              <w:spacing w:after="0"/>
              <w:jc w:val="right"/>
            </w:pPr>
            <w:r>
              <w:rPr>
                <w:sz w:val="18"/>
              </w:rPr>
              <w:t>89,432</w:t>
            </w:r>
          </w:p>
        </w:tc>
        <w:tc>
          <w:tcPr>
            <w:tcW w:w="2139" w:type="dxa"/>
          </w:tcPr>
          <w:p w:rsidR="007F373F" w:rsidRDefault="00000000">
            <w:pPr>
              <w:spacing w:after="0"/>
              <w:jc w:val="left"/>
            </w:pPr>
            <w:r>
              <w:rPr>
                <w:sz w:val="18"/>
              </w:rPr>
              <w:t>All operational; intensity tracked</w:t>
            </w:r>
          </w:p>
        </w:tc>
      </w:tr>
      <w:tr w:rsidR="007F373F">
        <w:trPr>
          <w:jc w:val="center"/>
        </w:trPr>
        <w:tc>
          <w:tcPr>
            <w:tcW w:w="1242" w:type="dxa"/>
          </w:tcPr>
          <w:p w:rsidR="007F373F" w:rsidRDefault="00000000">
            <w:pPr>
              <w:spacing w:after="0"/>
              <w:jc w:val="left"/>
            </w:pPr>
            <w:r>
              <w:rPr>
                <w:sz w:val="18"/>
              </w:rPr>
              <w:t>Environment</w:t>
            </w:r>
          </w:p>
        </w:tc>
        <w:tc>
          <w:tcPr>
            <w:tcW w:w="3451" w:type="dxa"/>
          </w:tcPr>
          <w:p w:rsidR="007F373F" w:rsidRDefault="00000000">
            <w:pPr>
              <w:spacing w:after="0"/>
              <w:jc w:val="left"/>
            </w:pPr>
            <w:r>
              <w:rPr>
                <w:sz w:val="18"/>
              </w:rPr>
              <w:t>E-waste recycled through certified handlers</w:t>
            </w:r>
          </w:p>
        </w:tc>
        <w:tc>
          <w:tcPr>
            <w:tcW w:w="966" w:type="dxa"/>
          </w:tcPr>
          <w:p w:rsidR="007F373F" w:rsidRDefault="00000000">
            <w:pPr>
              <w:spacing w:after="0"/>
              <w:jc w:val="right"/>
            </w:pPr>
            <w:r>
              <w:rPr>
                <w:sz w:val="18"/>
              </w:rPr>
              <w:t>–</w:t>
            </w:r>
          </w:p>
        </w:tc>
        <w:tc>
          <w:tcPr>
            <w:tcW w:w="1932" w:type="dxa"/>
          </w:tcPr>
          <w:p w:rsidR="007F373F" w:rsidRDefault="00000000">
            <w:pPr>
              <w:spacing w:after="0"/>
              <w:jc w:val="left"/>
            </w:pPr>
            <w:r>
              <w:rPr>
                <w:sz w:val="18"/>
              </w:rPr>
              <w:t>1.9 t</w:t>
            </w:r>
          </w:p>
        </w:tc>
        <w:tc>
          <w:tcPr>
            <w:tcW w:w="2139" w:type="dxa"/>
          </w:tcPr>
          <w:p w:rsidR="007F373F" w:rsidRDefault="00000000">
            <w:pPr>
              <w:spacing w:after="0"/>
              <w:jc w:val="left"/>
            </w:pPr>
            <w:r>
              <w:rPr>
                <w:sz w:val="18"/>
              </w:rPr>
              <w:t>Paper reduced through digitisation</w:t>
            </w:r>
          </w:p>
        </w:tc>
      </w:tr>
      <w:tr w:rsidR="007F373F">
        <w:trPr>
          <w:jc w:val="center"/>
        </w:trPr>
        <w:tc>
          <w:tcPr>
            <w:tcW w:w="1242" w:type="dxa"/>
          </w:tcPr>
          <w:p w:rsidR="007F373F" w:rsidRDefault="00000000">
            <w:pPr>
              <w:spacing w:after="0"/>
              <w:jc w:val="left"/>
            </w:pPr>
            <w:r>
              <w:rPr>
                <w:sz w:val="18"/>
              </w:rPr>
              <w:t>Environment</w:t>
            </w:r>
          </w:p>
        </w:tc>
        <w:tc>
          <w:tcPr>
            <w:tcW w:w="3451" w:type="dxa"/>
          </w:tcPr>
          <w:p w:rsidR="007F373F" w:rsidRDefault="00000000">
            <w:pPr>
              <w:spacing w:after="0"/>
              <w:jc w:val="left"/>
            </w:pPr>
            <w:r>
              <w:rPr>
                <w:sz w:val="18"/>
              </w:rPr>
              <w:t>Energy efficiency</w:t>
            </w:r>
          </w:p>
        </w:tc>
        <w:tc>
          <w:tcPr>
            <w:tcW w:w="966" w:type="dxa"/>
          </w:tcPr>
          <w:p w:rsidR="007F373F" w:rsidRDefault="00000000">
            <w:pPr>
              <w:spacing w:after="0"/>
              <w:jc w:val="right"/>
            </w:pPr>
            <w:r>
              <w:rPr>
                <w:sz w:val="18"/>
              </w:rPr>
              <w:t>–</w:t>
            </w:r>
          </w:p>
        </w:tc>
        <w:tc>
          <w:tcPr>
            <w:tcW w:w="1932" w:type="dxa"/>
          </w:tcPr>
          <w:p w:rsidR="007F373F" w:rsidRDefault="00000000">
            <w:pPr>
              <w:spacing w:after="0"/>
              <w:jc w:val="left"/>
            </w:pPr>
            <w:r>
              <w:rPr>
                <w:sz w:val="18"/>
              </w:rPr>
              <w:t>LED lighting (20–40% lower power); certified green main office</w:t>
            </w:r>
          </w:p>
        </w:tc>
        <w:tc>
          <w:tcPr>
            <w:tcW w:w="2139" w:type="dxa"/>
          </w:tcPr>
          <w:p w:rsidR="007F373F" w:rsidRDefault="00000000">
            <w:pPr>
              <w:spacing w:after="0"/>
              <w:jc w:val="left"/>
            </w:pPr>
            <w:r>
              <w:rPr>
                <w:sz w:val="18"/>
              </w:rPr>
              <w:t>Climate-risk assessment conducted</w:t>
            </w:r>
          </w:p>
        </w:tc>
      </w:tr>
      <w:tr w:rsidR="007F373F">
        <w:trPr>
          <w:jc w:val="center"/>
        </w:trPr>
        <w:tc>
          <w:tcPr>
            <w:tcW w:w="1242" w:type="dxa"/>
          </w:tcPr>
          <w:p w:rsidR="007F373F" w:rsidRDefault="00000000">
            <w:pPr>
              <w:spacing w:after="0"/>
              <w:jc w:val="left"/>
            </w:pPr>
            <w:r>
              <w:rPr>
                <w:sz w:val="18"/>
              </w:rPr>
              <w:t>Environment</w:t>
            </w:r>
          </w:p>
        </w:tc>
        <w:tc>
          <w:tcPr>
            <w:tcW w:w="3451" w:type="dxa"/>
          </w:tcPr>
          <w:p w:rsidR="007F373F" w:rsidRDefault="00000000">
            <w:pPr>
              <w:spacing w:after="0"/>
              <w:jc w:val="left"/>
            </w:pPr>
            <w:r>
              <w:rPr>
                <w:sz w:val="18"/>
              </w:rPr>
              <w:t>Green products</w:t>
            </w:r>
          </w:p>
        </w:tc>
        <w:tc>
          <w:tcPr>
            <w:tcW w:w="966" w:type="dxa"/>
          </w:tcPr>
          <w:p w:rsidR="007F373F" w:rsidRDefault="00000000">
            <w:pPr>
              <w:spacing w:after="0"/>
              <w:jc w:val="right"/>
            </w:pPr>
            <w:r>
              <w:rPr>
                <w:sz w:val="18"/>
              </w:rPr>
              <w:t>–</w:t>
            </w:r>
          </w:p>
        </w:tc>
        <w:tc>
          <w:tcPr>
            <w:tcW w:w="1932" w:type="dxa"/>
          </w:tcPr>
          <w:p w:rsidR="007F373F" w:rsidRDefault="00000000">
            <w:pPr>
              <w:spacing w:after="0"/>
              <w:jc w:val="left"/>
            </w:pPr>
            <w:r>
              <w:rPr>
                <w:sz w:val="18"/>
              </w:rPr>
              <w:t>Solar and energy-efficient appliance loans under exploration</w:t>
            </w:r>
          </w:p>
        </w:tc>
        <w:tc>
          <w:tcPr>
            <w:tcW w:w="2139" w:type="dxa"/>
          </w:tcPr>
          <w:p w:rsidR="007F373F" w:rsidRDefault="00000000">
            <w:pPr>
              <w:spacing w:after="0"/>
              <w:jc w:val="left"/>
            </w:pPr>
            <w:r>
              <w:rPr>
                <w:sz w:val="18"/>
              </w:rPr>
              <w:t>Business-led sustainability</w:t>
            </w:r>
          </w:p>
        </w:tc>
      </w:tr>
      <w:tr w:rsidR="007F373F">
        <w:trPr>
          <w:jc w:val="center"/>
        </w:trPr>
        <w:tc>
          <w:tcPr>
            <w:tcW w:w="1242" w:type="dxa"/>
          </w:tcPr>
          <w:p w:rsidR="007F373F" w:rsidRDefault="00000000">
            <w:pPr>
              <w:spacing w:after="0"/>
              <w:jc w:val="left"/>
            </w:pPr>
            <w:r>
              <w:rPr>
                <w:sz w:val="18"/>
              </w:rPr>
              <w:t>Social</w:t>
            </w:r>
          </w:p>
        </w:tc>
        <w:tc>
          <w:tcPr>
            <w:tcW w:w="3451" w:type="dxa"/>
          </w:tcPr>
          <w:p w:rsidR="007F373F" w:rsidRDefault="00000000">
            <w:pPr>
              <w:spacing w:after="0"/>
              <w:jc w:val="left"/>
            </w:pPr>
            <w:r>
              <w:rPr>
                <w:sz w:val="18"/>
              </w:rPr>
              <w:t>Women in workforce</w:t>
            </w:r>
          </w:p>
        </w:tc>
        <w:tc>
          <w:tcPr>
            <w:tcW w:w="966" w:type="dxa"/>
          </w:tcPr>
          <w:p w:rsidR="007F373F" w:rsidRDefault="00000000">
            <w:pPr>
              <w:spacing w:after="0"/>
              <w:jc w:val="right"/>
            </w:pPr>
            <w:r>
              <w:rPr>
                <w:sz w:val="18"/>
              </w:rPr>
              <w:t>15.7%</w:t>
            </w:r>
          </w:p>
        </w:tc>
        <w:tc>
          <w:tcPr>
            <w:tcW w:w="1932" w:type="dxa"/>
          </w:tcPr>
          <w:p w:rsidR="007F373F" w:rsidRDefault="00000000">
            <w:pPr>
              <w:spacing w:after="0"/>
              <w:jc w:val="right"/>
            </w:pPr>
            <w:r>
              <w:rPr>
                <w:sz w:val="18"/>
              </w:rPr>
              <w:t>16.4%</w:t>
            </w:r>
          </w:p>
        </w:tc>
        <w:tc>
          <w:tcPr>
            <w:tcW w:w="2139" w:type="dxa"/>
          </w:tcPr>
          <w:p w:rsidR="007F373F" w:rsidRDefault="00000000">
            <w:pPr>
              <w:spacing w:after="0"/>
              <w:jc w:val="left"/>
            </w:pPr>
            <w:r>
              <w:rPr>
                <w:sz w:val="18"/>
              </w:rPr>
              <w:t>≥22% women in senior management by FY28</w:t>
            </w:r>
          </w:p>
        </w:tc>
      </w:tr>
      <w:tr w:rsidR="007F373F">
        <w:trPr>
          <w:jc w:val="center"/>
        </w:trPr>
        <w:tc>
          <w:tcPr>
            <w:tcW w:w="1242" w:type="dxa"/>
          </w:tcPr>
          <w:p w:rsidR="007F373F" w:rsidRDefault="00000000">
            <w:pPr>
              <w:spacing w:after="0"/>
              <w:jc w:val="left"/>
            </w:pPr>
            <w:r>
              <w:rPr>
                <w:sz w:val="18"/>
              </w:rPr>
              <w:t>Social</w:t>
            </w:r>
          </w:p>
        </w:tc>
        <w:tc>
          <w:tcPr>
            <w:tcW w:w="3451" w:type="dxa"/>
          </w:tcPr>
          <w:p w:rsidR="007F373F" w:rsidRDefault="00000000">
            <w:pPr>
              <w:spacing w:after="0"/>
              <w:jc w:val="left"/>
            </w:pPr>
            <w:r>
              <w:rPr>
                <w:sz w:val="18"/>
              </w:rPr>
              <w:t>Training hours per employee / participation</w:t>
            </w:r>
          </w:p>
        </w:tc>
        <w:tc>
          <w:tcPr>
            <w:tcW w:w="966" w:type="dxa"/>
          </w:tcPr>
          <w:p w:rsidR="007F373F" w:rsidRDefault="00000000">
            <w:pPr>
              <w:spacing w:after="0"/>
              <w:jc w:val="right"/>
            </w:pPr>
            <w:r>
              <w:rPr>
                <w:sz w:val="18"/>
              </w:rPr>
              <w:t>–</w:t>
            </w:r>
          </w:p>
        </w:tc>
        <w:tc>
          <w:tcPr>
            <w:tcW w:w="1932" w:type="dxa"/>
          </w:tcPr>
          <w:p w:rsidR="007F373F" w:rsidRDefault="00000000">
            <w:pPr>
              <w:spacing w:after="0"/>
              <w:jc w:val="left"/>
            </w:pPr>
            <w:r>
              <w:rPr>
                <w:sz w:val="18"/>
              </w:rPr>
              <w:t>7.44 / 70.3%</w:t>
            </w:r>
          </w:p>
        </w:tc>
        <w:tc>
          <w:tcPr>
            <w:tcW w:w="2139" w:type="dxa"/>
          </w:tcPr>
          <w:p w:rsidR="007F373F" w:rsidRDefault="00000000">
            <w:pPr>
              <w:spacing w:after="0"/>
              <w:jc w:val="left"/>
            </w:pPr>
            <w:r>
              <w:rPr>
                <w:sz w:val="18"/>
              </w:rPr>
              <w:t>57 online modules; ₹0.27 crore invested</w:t>
            </w:r>
          </w:p>
        </w:tc>
      </w:tr>
      <w:tr w:rsidR="007F373F">
        <w:trPr>
          <w:jc w:val="center"/>
        </w:trPr>
        <w:tc>
          <w:tcPr>
            <w:tcW w:w="1242" w:type="dxa"/>
          </w:tcPr>
          <w:p w:rsidR="007F373F" w:rsidRDefault="00000000">
            <w:pPr>
              <w:spacing w:after="0"/>
              <w:jc w:val="left"/>
            </w:pPr>
            <w:r>
              <w:rPr>
                <w:sz w:val="18"/>
              </w:rPr>
              <w:t>Social</w:t>
            </w:r>
          </w:p>
        </w:tc>
        <w:tc>
          <w:tcPr>
            <w:tcW w:w="3451" w:type="dxa"/>
          </w:tcPr>
          <w:p w:rsidR="007F373F" w:rsidRDefault="00000000">
            <w:pPr>
              <w:spacing w:after="0"/>
              <w:jc w:val="left"/>
            </w:pPr>
            <w:r>
              <w:rPr>
                <w:sz w:val="18"/>
              </w:rPr>
              <w:t>Voluntary attrition</w:t>
            </w:r>
          </w:p>
        </w:tc>
        <w:tc>
          <w:tcPr>
            <w:tcW w:w="966" w:type="dxa"/>
          </w:tcPr>
          <w:p w:rsidR="007F373F" w:rsidRDefault="00000000">
            <w:pPr>
              <w:spacing w:after="0"/>
              <w:jc w:val="right"/>
            </w:pPr>
            <w:r>
              <w:rPr>
                <w:sz w:val="18"/>
              </w:rPr>
              <w:t>–</w:t>
            </w:r>
          </w:p>
        </w:tc>
        <w:tc>
          <w:tcPr>
            <w:tcW w:w="1932" w:type="dxa"/>
          </w:tcPr>
          <w:p w:rsidR="007F373F" w:rsidRDefault="00000000">
            <w:pPr>
              <w:spacing w:after="0"/>
              <w:jc w:val="right"/>
            </w:pPr>
            <w:r>
              <w:rPr>
                <w:sz w:val="18"/>
              </w:rPr>
              <w:t>35.85%</w:t>
            </w:r>
          </w:p>
        </w:tc>
        <w:tc>
          <w:tcPr>
            <w:tcW w:w="2139" w:type="dxa"/>
          </w:tcPr>
          <w:p w:rsidR="007F373F" w:rsidRDefault="00000000">
            <w:pPr>
              <w:spacing w:after="0"/>
              <w:jc w:val="left"/>
            </w:pPr>
            <w:r>
              <w:rPr>
                <w:sz w:val="18"/>
              </w:rPr>
              <w:t>Field-heavy workforce</w:t>
            </w:r>
          </w:p>
        </w:tc>
      </w:tr>
      <w:tr w:rsidR="007F373F">
        <w:trPr>
          <w:jc w:val="center"/>
        </w:trPr>
        <w:tc>
          <w:tcPr>
            <w:tcW w:w="1242" w:type="dxa"/>
          </w:tcPr>
          <w:p w:rsidR="007F373F" w:rsidRDefault="00000000">
            <w:pPr>
              <w:spacing w:after="0"/>
              <w:jc w:val="left"/>
            </w:pPr>
            <w:r>
              <w:rPr>
                <w:sz w:val="18"/>
              </w:rPr>
              <w:t>Social</w:t>
            </w:r>
          </w:p>
        </w:tc>
        <w:tc>
          <w:tcPr>
            <w:tcW w:w="3451" w:type="dxa"/>
          </w:tcPr>
          <w:p w:rsidR="007F373F" w:rsidRDefault="00000000">
            <w:pPr>
              <w:spacing w:after="0"/>
              <w:jc w:val="left"/>
            </w:pPr>
            <w:r>
              <w:rPr>
                <w:sz w:val="18"/>
              </w:rPr>
              <w:t>CSR expenditure (₹ crore)</w:t>
            </w:r>
          </w:p>
        </w:tc>
        <w:tc>
          <w:tcPr>
            <w:tcW w:w="966" w:type="dxa"/>
          </w:tcPr>
          <w:p w:rsidR="007F373F" w:rsidRDefault="00000000">
            <w:pPr>
              <w:spacing w:after="0"/>
              <w:jc w:val="right"/>
            </w:pPr>
            <w:r>
              <w:rPr>
                <w:sz w:val="18"/>
              </w:rPr>
              <w:t>4.73</w:t>
            </w:r>
          </w:p>
        </w:tc>
        <w:tc>
          <w:tcPr>
            <w:tcW w:w="1932" w:type="dxa"/>
          </w:tcPr>
          <w:p w:rsidR="007F373F" w:rsidRDefault="00000000">
            <w:pPr>
              <w:spacing w:after="0"/>
              <w:jc w:val="right"/>
            </w:pPr>
            <w:r>
              <w:rPr>
                <w:sz w:val="18"/>
              </w:rPr>
              <w:t>5.84</w:t>
            </w:r>
          </w:p>
        </w:tc>
        <w:tc>
          <w:tcPr>
            <w:tcW w:w="2139" w:type="dxa"/>
          </w:tcPr>
          <w:p w:rsidR="007F373F" w:rsidRDefault="00000000">
            <w:pPr>
              <w:spacing w:after="0"/>
              <w:jc w:val="left"/>
            </w:pPr>
            <w:r>
              <w:rPr>
                <w:sz w:val="18"/>
              </w:rPr>
              <w:t>2% of average profits; Cuddles Foundation (496 children), Samarthanam Trust (700 women)</w:t>
            </w:r>
          </w:p>
        </w:tc>
      </w:tr>
      <w:tr w:rsidR="007F373F">
        <w:trPr>
          <w:jc w:val="center"/>
        </w:trPr>
        <w:tc>
          <w:tcPr>
            <w:tcW w:w="1242" w:type="dxa"/>
          </w:tcPr>
          <w:p w:rsidR="007F373F" w:rsidRDefault="00000000">
            <w:pPr>
              <w:spacing w:after="0"/>
              <w:jc w:val="left"/>
            </w:pPr>
            <w:r>
              <w:rPr>
                <w:sz w:val="18"/>
              </w:rPr>
              <w:t>Social</w:t>
            </w:r>
          </w:p>
        </w:tc>
        <w:tc>
          <w:tcPr>
            <w:tcW w:w="3451" w:type="dxa"/>
          </w:tcPr>
          <w:p w:rsidR="007F373F" w:rsidRDefault="00000000">
            <w:pPr>
              <w:spacing w:after="0"/>
              <w:jc w:val="left"/>
            </w:pPr>
            <w:r>
              <w:rPr>
                <w:sz w:val="18"/>
              </w:rPr>
              <w:t>Customer satisfaction / complaint resolution</w:t>
            </w:r>
          </w:p>
        </w:tc>
        <w:tc>
          <w:tcPr>
            <w:tcW w:w="966" w:type="dxa"/>
          </w:tcPr>
          <w:p w:rsidR="007F373F" w:rsidRDefault="00000000">
            <w:pPr>
              <w:spacing w:after="0"/>
              <w:jc w:val="right"/>
            </w:pPr>
            <w:r>
              <w:rPr>
                <w:sz w:val="18"/>
              </w:rPr>
              <w:t>–</w:t>
            </w:r>
          </w:p>
        </w:tc>
        <w:tc>
          <w:tcPr>
            <w:tcW w:w="1932" w:type="dxa"/>
          </w:tcPr>
          <w:p w:rsidR="007F373F" w:rsidRDefault="00000000">
            <w:pPr>
              <w:spacing w:after="0"/>
              <w:jc w:val="left"/>
            </w:pPr>
            <w:r>
              <w:rPr>
                <w:sz w:val="18"/>
              </w:rPr>
              <w:t>85% positive / 100% within TAT</w:t>
            </w:r>
          </w:p>
        </w:tc>
        <w:tc>
          <w:tcPr>
            <w:tcW w:w="2139" w:type="dxa"/>
          </w:tcPr>
          <w:p w:rsidR="007F373F" w:rsidRDefault="00000000">
            <w:pPr>
              <w:spacing w:after="0"/>
              <w:jc w:val="left"/>
            </w:pPr>
            <w:r>
              <w:rPr>
                <w:sz w:val="18"/>
              </w:rPr>
              <w:t>Internal Ombudsman in place</w:t>
            </w:r>
          </w:p>
        </w:tc>
      </w:tr>
      <w:tr w:rsidR="007F373F">
        <w:trPr>
          <w:jc w:val="center"/>
        </w:trPr>
        <w:tc>
          <w:tcPr>
            <w:tcW w:w="1242" w:type="dxa"/>
          </w:tcPr>
          <w:p w:rsidR="007F373F" w:rsidRDefault="00000000">
            <w:pPr>
              <w:spacing w:after="0"/>
              <w:jc w:val="left"/>
            </w:pPr>
            <w:r>
              <w:rPr>
                <w:sz w:val="18"/>
              </w:rPr>
              <w:t>Social</w:t>
            </w:r>
          </w:p>
        </w:tc>
        <w:tc>
          <w:tcPr>
            <w:tcW w:w="3451" w:type="dxa"/>
          </w:tcPr>
          <w:p w:rsidR="007F373F" w:rsidRDefault="00000000">
            <w:pPr>
              <w:spacing w:after="0"/>
              <w:jc w:val="left"/>
            </w:pPr>
            <w:r>
              <w:rPr>
                <w:sz w:val="18"/>
              </w:rPr>
              <w:t>Financial inclusion</w:t>
            </w:r>
          </w:p>
        </w:tc>
        <w:tc>
          <w:tcPr>
            <w:tcW w:w="966" w:type="dxa"/>
          </w:tcPr>
          <w:p w:rsidR="007F373F" w:rsidRDefault="00000000">
            <w:pPr>
              <w:spacing w:after="0"/>
              <w:jc w:val="right"/>
            </w:pPr>
            <w:r>
              <w:rPr>
                <w:sz w:val="18"/>
              </w:rPr>
              <w:t>–</w:t>
            </w:r>
          </w:p>
        </w:tc>
        <w:tc>
          <w:tcPr>
            <w:tcW w:w="1932" w:type="dxa"/>
          </w:tcPr>
          <w:p w:rsidR="007F373F" w:rsidRDefault="00000000">
            <w:pPr>
              <w:spacing w:after="0"/>
              <w:jc w:val="left"/>
            </w:pPr>
            <w:r>
              <w:rPr>
                <w:sz w:val="18"/>
              </w:rPr>
              <w:t>3.44 lakh customers; 757 branches in Tier 2–4 markets</w:t>
            </w:r>
          </w:p>
        </w:tc>
        <w:tc>
          <w:tcPr>
            <w:tcW w:w="2139" w:type="dxa"/>
          </w:tcPr>
          <w:p w:rsidR="007F373F" w:rsidRDefault="00000000">
            <w:pPr>
              <w:spacing w:after="0"/>
              <w:jc w:val="left"/>
            </w:pPr>
            <w:r>
              <w:rPr>
                <w:sz w:val="18"/>
              </w:rPr>
              <w:t>First formal-credit access for many borrowers</w:t>
            </w:r>
          </w:p>
        </w:tc>
      </w:tr>
      <w:tr w:rsidR="007F373F">
        <w:trPr>
          <w:jc w:val="center"/>
        </w:trPr>
        <w:tc>
          <w:tcPr>
            <w:tcW w:w="1242" w:type="dxa"/>
          </w:tcPr>
          <w:p w:rsidR="007F373F" w:rsidRDefault="00000000">
            <w:pPr>
              <w:spacing w:after="0"/>
              <w:jc w:val="left"/>
            </w:pPr>
            <w:r>
              <w:rPr>
                <w:sz w:val="18"/>
              </w:rPr>
              <w:t>Governance</w:t>
            </w:r>
          </w:p>
        </w:tc>
        <w:tc>
          <w:tcPr>
            <w:tcW w:w="3451" w:type="dxa"/>
          </w:tcPr>
          <w:p w:rsidR="007F373F" w:rsidRDefault="00000000">
            <w:pPr>
              <w:spacing w:after="0"/>
              <w:jc w:val="left"/>
            </w:pPr>
            <w:r>
              <w:rPr>
                <w:sz w:val="18"/>
              </w:rPr>
              <w:t>Board independence / women directors</w:t>
            </w:r>
          </w:p>
        </w:tc>
        <w:tc>
          <w:tcPr>
            <w:tcW w:w="966" w:type="dxa"/>
          </w:tcPr>
          <w:p w:rsidR="007F373F" w:rsidRDefault="00000000">
            <w:pPr>
              <w:spacing w:after="0"/>
              <w:jc w:val="right"/>
            </w:pPr>
            <w:r>
              <w:rPr>
                <w:sz w:val="18"/>
              </w:rPr>
              <w:t>–</w:t>
            </w:r>
          </w:p>
        </w:tc>
        <w:tc>
          <w:tcPr>
            <w:tcW w:w="1932" w:type="dxa"/>
          </w:tcPr>
          <w:p w:rsidR="007F373F" w:rsidRDefault="00000000">
            <w:pPr>
              <w:spacing w:after="0"/>
              <w:jc w:val="left"/>
            </w:pPr>
            <w:r>
              <w:rPr>
                <w:sz w:val="18"/>
              </w:rPr>
              <w:t>5 of 9 independent; 2 women</w:t>
            </w:r>
          </w:p>
        </w:tc>
        <w:tc>
          <w:tcPr>
            <w:tcW w:w="2139" w:type="dxa"/>
          </w:tcPr>
          <w:p w:rsidR="007F373F" w:rsidRDefault="00000000">
            <w:pPr>
              <w:spacing w:after="0"/>
              <w:jc w:val="left"/>
            </w:pPr>
            <w:r>
              <w:rPr>
                <w:sz w:val="18"/>
              </w:rPr>
              <w:t>Chairman unrelated to CEO</w:t>
            </w:r>
          </w:p>
        </w:tc>
      </w:tr>
      <w:tr w:rsidR="007F373F">
        <w:trPr>
          <w:jc w:val="center"/>
        </w:trPr>
        <w:tc>
          <w:tcPr>
            <w:tcW w:w="1242" w:type="dxa"/>
          </w:tcPr>
          <w:p w:rsidR="007F373F" w:rsidRDefault="00000000">
            <w:pPr>
              <w:spacing w:after="0"/>
              <w:jc w:val="left"/>
            </w:pPr>
            <w:r>
              <w:rPr>
                <w:sz w:val="18"/>
              </w:rPr>
              <w:t>Governance</w:t>
            </w:r>
          </w:p>
        </w:tc>
        <w:tc>
          <w:tcPr>
            <w:tcW w:w="3451" w:type="dxa"/>
          </w:tcPr>
          <w:p w:rsidR="007F373F" w:rsidRDefault="00000000">
            <w:pPr>
              <w:spacing w:after="0"/>
              <w:jc w:val="left"/>
            </w:pPr>
            <w:r>
              <w:rPr>
                <w:sz w:val="18"/>
              </w:rPr>
              <w:t>Board meetings / IT Strategy Committee</w:t>
            </w:r>
          </w:p>
        </w:tc>
        <w:tc>
          <w:tcPr>
            <w:tcW w:w="966" w:type="dxa"/>
          </w:tcPr>
          <w:p w:rsidR="007F373F" w:rsidRDefault="00000000">
            <w:pPr>
              <w:spacing w:after="0"/>
              <w:jc w:val="right"/>
            </w:pPr>
            <w:r>
              <w:rPr>
                <w:sz w:val="18"/>
              </w:rPr>
              <w:t>–</w:t>
            </w:r>
          </w:p>
        </w:tc>
        <w:tc>
          <w:tcPr>
            <w:tcW w:w="1932" w:type="dxa"/>
          </w:tcPr>
          <w:p w:rsidR="007F373F" w:rsidRDefault="00000000">
            <w:pPr>
              <w:spacing w:after="0"/>
              <w:jc w:val="left"/>
            </w:pPr>
            <w:r>
              <w:rPr>
                <w:sz w:val="18"/>
              </w:rPr>
              <w:t>11 / 4</w:t>
            </w:r>
          </w:p>
        </w:tc>
        <w:tc>
          <w:tcPr>
            <w:tcW w:w="2139" w:type="dxa"/>
          </w:tcPr>
          <w:p w:rsidR="007F373F" w:rsidRDefault="00000000">
            <w:pPr>
              <w:spacing w:after="0"/>
              <w:jc w:val="left"/>
            </w:pPr>
            <w:r>
              <w:rPr>
                <w:sz w:val="18"/>
              </w:rPr>
              <w:t>No gap &gt; 120 days</w:t>
            </w:r>
          </w:p>
        </w:tc>
      </w:tr>
      <w:tr w:rsidR="007F373F">
        <w:trPr>
          <w:jc w:val="center"/>
        </w:trPr>
        <w:tc>
          <w:tcPr>
            <w:tcW w:w="1242" w:type="dxa"/>
          </w:tcPr>
          <w:p w:rsidR="007F373F" w:rsidRDefault="00000000">
            <w:pPr>
              <w:spacing w:after="0"/>
              <w:jc w:val="left"/>
            </w:pPr>
            <w:r>
              <w:rPr>
                <w:sz w:val="18"/>
              </w:rPr>
              <w:t>Governance</w:t>
            </w:r>
          </w:p>
        </w:tc>
        <w:tc>
          <w:tcPr>
            <w:tcW w:w="3451" w:type="dxa"/>
          </w:tcPr>
          <w:p w:rsidR="007F373F" w:rsidRDefault="00000000">
            <w:pPr>
              <w:spacing w:after="0"/>
              <w:jc w:val="left"/>
            </w:pPr>
            <w:r>
              <w:rPr>
                <w:sz w:val="18"/>
              </w:rPr>
              <w:t>Whistle-blower / POSH cases</w:t>
            </w:r>
          </w:p>
        </w:tc>
        <w:tc>
          <w:tcPr>
            <w:tcW w:w="966" w:type="dxa"/>
          </w:tcPr>
          <w:p w:rsidR="007F373F" w:rsidRDefault="00000000">
            <w:pPr>
              <w:spacing w:after="0"/>
              <w:jc w:val="right"/>
            </w:pPr>
            <w:r>
              <w:rPr>
                <w:sz w:val="18"/>
              </w:rPr>
              <w:t>–</w:t>
            </w:r>
          </w:p>
        </w:tc>
        <w:tc>
          <w:tcPr>
            <w:tcW w:w="1932" w:type="dxa"/>
          </w:tcPr>
          <w:p w:rsidR="007F373F" w:rsidRDefault="00000000">
            <w:pPr>
              <w:spacing w:after="0"/>
              <w:jc w:val="left"/>
            </w:pPr>
            <w:r>
              <w:rPr>
                <w:sz w:val="18"/>
              </w:rPr>
              <w:t>16 (3 vigil) / 3 resolved</w:t>
            </w:r>
          </w:p>
        </w:tc>
        <w:tc>
          <w:tcPr>
            <w:tcW w:w="2139" w:type="dxa"/>
          </w:tcPr>
          <w:p w:rsidR="007F373F" w:rsidRDefault="00000000">
            <w:pPr>
              <w:spacing w:after="0"/>
              <w:jc w:val="left"/>
            </w:pPr>
            <w:r>
              <w:rPr>
                <w:sz w:val="18"/>
              </w:rPr>
              <w:t>Policies in place</w:t>
            </w:r>
          </w:p>
        </w:tc>
      </w:tr>
      <w:tr w:rsidR="007F373F">
        <w:trPr>
          <w:jc w:val="center"/>
        </w:trPr>
        <w:tc>
          <w:tcPr>
            <w:tcW w:w="1242" w:type="dxa"/>
          </w:tcPr>
          <w:p w:rsidR="007F373F" w:rsidRDefault="00000000">
            <w:pPr>
              <w:spacing w:after="0"/>
              <w:jc w:val="left"/>
            </w:pPr>
            <w:r>
              <w:rPr>
                <w:sz w:val="18"/>
              </w:rPr>
              <w:t>Governance</w:t>
            </w:r>
          </w:p>
        </w:tc>
        <w:tc>
          <w:tcPr>
            <w:tcW w:w="3451" w:type="dxa"/>
          </w:tcPr>
          <w:p w:rsidR="007F373F" w:rsidRDefault="00000000">
            <w:pPr>
              <w:spacing w:after="0"/>
              <w:jc w:val="left"/>
            </w:pPr>
            <w:r>
              <w:rPr>
                <w:sz w:val="18"/>
              </w:rPr>
              <w:t>Audit qualifications / RBI penalties</w:t>
            </w:r>
          </w:p>
        </w:tc>
        <w:tc>
          <w:tcPr>
            <w:tcW w:w="966" w:type="dxa"/>
          </w:tcPr>
          <w:p w:rsidR="007F373F" w:rsidRDefault="00000000">
            <w:pPr>
              <w:spacing w:after="0"/>
              <w:jc w:val="right"/>
            </w:pPr>
            <w:r>
              <w:rPr>
                <w:sz w:val="18"/>
              </w:rPr>
              <w:t>Nil</w:t>
            </w:r>
          </w:p>
        </w:tc>
        <w:tc>
          <w:tcPr>
            <w:tcW w:w="1932" w:type="dxa"/>
          </w:tcPr>
          <w:p w:rsidR="007F373F" w:rsidRDefault="00000000">
            <w:pPr>
              <w:spacing w:after="0"/>
              <w:jc w:val="right"/>
            </w:pPr>
            <w:r>
              <w:rPr>
                <w:sz w:val="18"/>
              </w:rPr>
              <w:t>Nil</w:t>
            </w:r>
          </w:p>
        </w:tc>
        <w:tc>
          <w:tcPr>
            <w:tcW w:w="2139" w:type="dxa"/>
          </w:tcPr>
          <w:p w:rsidR="007F373F" w:rsidRDefault="00000000">
            <w:pPr>
              <w:spacing w:after="0"/>
              <w:jc w:val="left"/>
            </w:pPr>
            <w:r>
              <w:rPr>
                <w:sz w:val="18"/>
              </w:rPr>
              <w:t>Three minor BSE fines</w:t>
            </w:r>
          </w:p>
        </w:tc>
      </w:tr>
    </w:tbl>
    <w:p w:rsidR="007F373F" w:rsidRDefault="00000000">
      <w:pPr>
        <w:spacing w:before="40" w:after="80"/>
      </w:pPr>
      <w:r>
        <w:rPr>
          <w:i/>
          <w:sz w:val="18"/>
        </w:rPr>
        <w:t>Source: Fedfina Annual Report 2025-26, ESG section of Corporate Overview, BRSR, Directors’ Report (CSR, POSH, whistle-blower), Report on Corporate Governance; Fedfina Annual Report 2024-25 for prior-year comparatives where disclosed.</w:t>
      </w:r>
    </w:p>
    <w:p w:rsidR="007F373F" w:rsidRDefault="00000000">
      <w:pPr>
        <w:pStyle w:val="Heading2"/>
      </w:pPr>
      <w:r>
        <w:t>Assessment</w:t>
      </w:r>
    </w:p>
    <w:p w:rsidR="007F373F" w:rsidRDefault="00000000">
      <w:r>
        <w:t xml:space="preserve">As a service business Fedfina’s direct environmental footprint is small, and the 25% cut in emission intensity is mostly an artefact of revenue growth outpacing branch energy use; the more meaningful commitments are Scope 3 monitoring from FY27 and the green-loan products under exploration. The social pillar is where the business model and ESG coincide: secured, regulated credit to underserved households is the company’s purpose, and conduct metrics (CSAT, complaint resolution, transparent auctions) are the right measures. Governance is institutional-grade for a company of this size – bank-promoted, majority-independent board, four rating agencies, joint auditors from FY27 – with the </w:t>
      </w:r>
      <w:r>
        <w:lastRenderedPageBreak/>
        <w:t>True North exit reducing the private-equity influence that had shaped the company since 2018. ESG risks that could affect value are concentrated in the ‘S’ (collections conduct) and ‘G’ (compliance with rapidly changing regulation) rather than the ‘E’.</w:t>
      </w:r>
    </w:p>
    <w:p w:rsidR="007F373F" w:rsidRDefault="00000000">
      <w:pPr>
        <w:pStyle w:val="Heading1"/>
        <w:pageBreakBefore/>
      </w:pPr>
      <w:r>
        <w:lastRenderedPageBreak/>
        <w:t>Chapter 7 — SWOT Analysis</w:t>
      </w:r>
    </w:p>
    <w:p w:rsidR="007F373F" w:rsidRDefault="00000000">
      <w:r>
        <w:t>The SWOT below synthesises Chapters 2–6. Each entry is tied to a disclosed figure so that it can be defended with evidence.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866"/>
        <w:gridCol w:w="4866"/>
      </w:tblGrid>
      <w:tr w:rsidR="007F373F">
        <w:trPr>
          <w:jc w:val="center"/>
        </w:trPr>
        <w:tc>
          <w:tcPr>
            <w:tcW w:w="4866" w:type="dxa"/>
          </w:tcPr>
          <w:p w:rsidR="007F373F" w:rsidRDefault="00000000">
            <w:pPr>
              <w:spacing w:after="0"/>
              <w:jc w:val="left"/>
            </w:pPr>
            <w:r>
              <w:rPr>
                <w:b/>
                <w:sz w:val="19"/>
              </w:rPr>
              <w:t>Strengths (internal)</w:t>
            </w:r>
          </w:p>
        </w:tc>
        <w:tc>
          <w:tcPr>
            <w:tcW w:w="4866" w:type="dxa"/>
          </w:tcPr>
          <w:p w:rsidR="007F373F" w:rsidRDefault="00000000">
            <w:pPr>
              <w:spacing w:after="0"/>
              <w:jc w:val="left"/>
            </w:pPr>
            <w:r>
              <w:rPr>
                <w:b/>
                <w:sz w:val="19"/>
              </w:rPr>
              <w:t>Weaknesses (internal)</w:t>
            </w:r>
          </w:p>
        </w:tc>
      </w:tr>
      <w:tr w:rsidR="007F373F">
        <w:trPr>
          <w:jc w:val="center"/>
        </w:trPr>
        <w:tc>
          <w:tcPr>
            <w:tcW w:w="4866" w:type="dxa"/>
          </w:tcPr>
          <w:p w:rsidR="007F373F" w:rsidRDefault="00000000">
            <w:pPr>
              <w:spacing w:after="0"/>
              <w:jc w:val="left"/>
            </w:pPr>
            <w:r>
              <w:rPr>
                <w:sz w:val="19"/>
              </w:rPr>
              <w:t>• 60.79% Federal Bank parentage: governance, funding access (₹1,370 crore), brand</w:t>
            </w:r>
            <w:r>
              <w:rPr>
                <w:sz w:val="19"/>
              </w:rPr>
              <w:br/>
              <w:t>• AA+/Stable from four agencies; 41 lenders; USD 250 mn ECB; CP programme</w:t>
            </w:r>
            <w:r>
              <w:rPr>
                <w:sz w:val="19"/>
              </w:rPr>
              <w:br/>
              <w:t>• Fully secured book (98.9%); gold LTV 60.9%; top-20 borrowers 0.47%</w:t>
            </w:r>
            <w:r>
              <w:rPr>
                <w:sz w:val="19"/>
              </w:rPr>
              <w:br/>
              <w:t>• Twin-engine model: gold velocity + mortgage duration; 20–25% customer overlap</w:t>
            </w:r>
            <w:r>
              <w:rPr>
                <w:sz w:val="19"/>
              </w:rPr>
              <w:br/>
              <w:t>• 757 branches in 17 states; gold AUM/branch ₹16.5 crore and rising</w:t>
            </w:r>
            <w:r>
              <w:rPr>
                <w:sz w:val="19"/>
              </w:rPr>
              <w:br/>
              <w:t>• Eight-year record: AUM 10x, PAT 9.5x, GNPA always ≤ 2.3%</w:t>
            </w:r>
            <w:r>
              <w:rPr>
                <w:sz w:val="19"/>
              </w:rPr>
              <w:br/>
              <w:t>• FY26 execution: 8 of 9 Fedfina 2.0 commitments delivered</w:t>
            </w:r>
            <w:r>
              <w:rPr>
                <w:sz w:val="19"/>
              </w:rPr>
              <w:br/>
              <w:t>• Technology as control: BRE, digital collections 70%, e-NACH 90%, Zero-Trust security</w:t>
            </w:r>
          </w:p>
        </w:tc>
        <w:tc>
          <w:tcPr>
            <w:tcW w:w="4866" w:type="dxa"/>
          </w:tcPr>
          <w:p w:rsidR="007F373F" w:rsidRDefault="00000000">
            <w:pPr>
              <w:spacing w:after="0"/>
              <w:jc w:val="left"/>
            </w:pPr>
            <w:r>
              <w:rPr>
                <w:sz w:val="19"/>
              </w:rPr>
              <w:t>• Cost-to-income stuck at 57–59% for five years; branch-heavy fixed costs</w:t>
            </w:r>
            <w:r>
              <w:rPr>
                <w:sz w:val="19"/>
              </w:rPr>
              <w:br/>
              <w:t>• RoE 12.6% below mid-teens peers; valuation ≈1.6x book</w:t>
            </w:r>
            <w:r>
              <w:rPr>
                <w:sz w:val="19"/>
              </w:rPr>
              <w:br/>
              <w:t>• Leverage up to 4.6x; Tier I down to 17.5%; no equity raised since IPO</w:t>
            </w:r>
            <w:r>
              <w:rPr>
                <w:sz w:val="19"/>
              </w:rPr>
              <w:br/>
              <w:t>• Scale gap: AUM one-eighth of Muthoot, one-third of Manappuram</w:t>
            </w:r>
            <w:r>
              <w:rPr>
                <w:sz w:val="19"/>
              </w:rPr>
              <w:br/>
              <w:t>• Voluntary attrition 35.85%; 148 unseasoned branches</w:t>
            </w:r>
            <w:r>
              <w:rPr>
                <w:sz w:val="19"/>
              </w:rPr>
              <w:br/>
              <w:t>• FY25 showed collections lagged growth; ST LAP vintage unproven</w:t>
            </w:r>
            <w:r>
              <w:rPr>
                <w:sz w:val="19"/>
              </w:rPr>
              <w:br/>
              <w:t>• Geographic concentration: top-5 states 75% of AUM</w:t>
            </w:r>
            <w:r>
              <w:rPr>
                <w:sz w:val="19"/>
              </w:rPr>
              <w:br/>
              <w:t>• Disclosure inconsistencies (GNPA 1.9% vs 2.2%; DA income definitions; headcount growth)</w:t>
            </w:r>
          </w:p>
        </w:tc>
      </w:tr>
    </w:tbl>
    <w:p w:rsidR="007F373F" w:rsidRDefault="007F373F">
      <w:pPr>
        <w:spacing w:after="40"/>
      </w:pP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866"/>
        <w:gridCol w:w="4866"/>
      </w:tblGrid>
      <w:tr w:rsidR="007F373F">
        <w:trPr>
          <w:jc w:val="center"/>
        </w:trPr>
        <w:tc>
          <w:tcPr>
            <w:tcW w:w="4866" w:type="dxa"/>
          </w:tcPr>
          <w:p w:rsidR="007F373F" w:rsidRDefault="00000000">
            <w:pPr>
              <w:spacing w:after="0"/>
              <w:jc w:val="left"/>
            </w:pPr>
            <w:r>
              <w:rPr>
                <w:b/>
                <w:sz w:val="19"/>
              </w:rPr>
              <w:t>Opportunities (external)</w:t>
            </w:r>
          </w:p>
        </w:tc>
        <w:tc>
          <w:tcPr>
            <w:tcW w:w="4866" w:type="dxa"/>
          </w:tcPr>
          <w:p w:rsidR="007F373F" w:rsidRDefault="00000000">
            <w:pPr>
              <w:spacing w:after="0"/>
              <w:jc w:val="left"/>
            </w:pPr>
            <w:r>
              <w:rPr>
                <w:b/>
                <w:sz w:val="19"/>
              </w:rPr>
              <w:t>Threats (external)</w:t>
            </w:r>
          </w:p>
        </w:tc>
      </w:tr>
      <w:tr w:rsidR="007F373F">
        <w:trPr>
          <w:jc w:val="center"/>
        </w:trPr>
        <w:tc>
          <w:tcPr>
            <w:tcW w:w="4866" w:type="dxa"/>
          </w:tcPr>
          <w:p w:rsidR="007F373F" w:rsidRDefault="00000000">
            <w:pPr>
              <w:spacing w:after="0"/>
              <w:jc w:val="left"/>
            </w:pPr>
            <w:r>
              <w:rPr>
                <w:sz w:val="19"/>
              </w:rPr>
              <w:t>• Organised gold-loan market &gt; ₹15 lakh crore → ≈ ₹18 lakh crore FY27 (ICRA); NBFC concentration easing</w:t>
            </w:r>
            <w:r>
              <w:rPr>
                <w:sz w:val="19"/>
              </w:rPr>
              <w:br/>
              <w:t>• Secured MSME-LAP growth 16–18% p.a. to FY28; ₹92 trillion MSME credit gap</w:t>
            </w:r>
            <w:r>
              <w:rPr>
                <w:sz w:val="19"/>
              </w:rPr>
              <w:br/>
              <w:t>• Household credit/GDP 42% vs 60–76% in peers – structural under-penetration</w:t>
            </w:r>
            <w:r>
              <w:rPr>
                <w:sz w:val="19"/>
              </w:rPr>
              <w:br/>
              <w:t>• Falling rate cycle (repo 5.25%); CoB 7.83% in Q4 FY26</w:t>
            </w:r>
            <w:r>
              <w:rPr>
                <w:sz w:val="19"/>
              </w:rPr>
              <w:br/>
              <w:t>• Co-lending demand from banks for PSL gold/MSME assets</w:t>
            </w:r>
            <w:r>
              <w:rPr>
                <w:sz w:val="19"/>
              </w:rPr>
              <w:br/>
              <w:t>• Higher permitted LTV (85%) on loans ≤ ₹2.5 lakh from April 2026</w:t>
            </w:r>
            <w:r>
              <w:rPr>
                <w:sz w:val="19"/>
              </w:rPr>
              <w:br/>
              <w:t>• Digital public infrastructure lowering acquisition and underwriting cost</w:t>
            </w:r>
            <w:r>
              <w:rPr>
                <w:sz w:val="19"/>
              </w:rPr>
              <w:br/>
              <w:t>• Green finance (solar, efficient appliances) and cross-sell to 3.44 lakh customers</w:t>
            </w:r>
          </w:p>
        </w:tc>
        <w:tc>
          <w:tcPr>
            <w:tcW w:w="4866" w:type="dxa"/>
          </w:tcPr>
          <w:p w:rsidR="007F373F" w:rsidRDefault="00000000">
            <w:pPr>
              <w:spacing w:after="0"/>
              <w:jc w:val="left"/>
            </w:pPr>
            <w:r>
              <w:rPr>
                <w:sz w:val="19"/>
              </w:rPr>
              <w:t>• Gold-price correction after +65% in CY2025</w:t>
            </w:r>
            <w:r>
              <w:rPr>
                <w:sz w:val="19"/>
              </w:rPr>
              <w:br/>
              <w:t>• Banks (82% of gold market) and large NBFCs competing on price; MT LAP yield pressure</w:t>
            </w:r>
            <w:r>
              <w:rPr>
                <w:sz w:val="19"/>
              </w:rPr>
              <w:br/>
              <w:t>• Gold-lending Directions 2025: LTV maintenance, renewal and credit-assessment rules</w:t>
            </w:r>
            <w:r>
              <w:rPr>
                <w:sz w:val="19"/>
              </w:rPr>
              <w:br/>
              <w:t>• Interest-rate reversal with 60% floating liabilities</w:t>
            </w:r>
            <w:r>
              <w:rPr>
                <w:sz w:val="19"/>
              </w:rPr>
              <w:br/>
              <w:t>• Unsecured-credit stress in households spilling into secured products</w:t>
            </w:r>
            <w:r>
              <w:rPr>
                <w:sz w:val="19"/>
              </w:rPr>
              <w:br/>
              <w:t>• Cyber-attacks on BFSI; DPDP penalties</w:t>
            </w:r>
            <w:r>
              <w:rPr>
                <w:sz w:val="19"/>
              </w:rPr>
              <w:br/>
              <w:t>• Further regulatory funding shocks (e.g., risk-weight changes) raising CoB</w:t>
            </w:r>
            <w:r>
              <w:rPr>
                <w:sz w:val="19"/>
              </w:rPr>
              <w:br/>
              <w:t>• Macro or rural slowdown; property-market softness in key states</w:t>
            </w:r>
          </w:p>
        </w:tc>
      </w:tr>
    </w:tbl>
    <w:p w:rsidR="007F373F" w:rsidRDefault="007F373F">
      <w:pPr>
        <w:spacing w:after="40"/>
      </w:pPr>
    </w:p>
    <w:p w:rsidR="007F373F" w:rsidRDefault="00000000">
      <w:r>
        <w:t>Using the SWOT. The matrix supports four strategy pairings. Strength–Opportunity: deploy the AA+ funding franchise and 757-branch base into the growing organised gold and secured-MSME markets, including through co-lending. Strength–Threat: use the 60.9% LTV, short tenor and in-house collections to absorb a gold-price correction better than higher-LTV competitors. Weakness–Opportunity: let falling funding costs and maturing branches lift RoE from 12.6% towards the Q4 FY26 run-rate of 14% without further leverage. Weakness–Threat: the combination of rising leverage and a possible rate or gold reversal is the scenario the Board’s capital planning must address first.</w:t>
      </w:r>
    </w:p>
    <w:p w:rsidR="007F373F" w:rsidRDefault="00000000">
      <w:r>
        <w:t xml:space="preserve">Strategic reading. The strengths and opportunities align closely (secured products in growing, under-penetrated markets with a strong funding franchise), while the weaknesses and threats cluster around the same two variables – operating leverage and gold-price/credit cyclicality. The strategic task is therefore to convert branch capacity into productivity (addressing the cost ratio and RoE) while </w:t>
      </w:r>
      <w:r>
        <w:lastRenderedPageBreak/>
        <w:t>keeping credit cost and leverage within the limits that preserve the AA+ rating; the recommendations in this chapter follow from that reading.</w:t>
      </w:r>
    </w:p>
    <w:p w:rsidR="007F373F" w:rsidRDefault="00000000">
      <w:pPr>
        <w:pStyle w:val="Heading1"/>
        <w:pageBreakBefore/>
      </w:pPr>
      <w:r>
        <w:lastRenderedPageBreak/>
        <w:t>Investment Case: Key Positives</w:t>
      </w:r>
    </w:p>
    <w:p w:rsidR="007F373F" w:rsidRDefault="00000000">
      <w:r>
        <w:t>Drawing the analysis together, the following are the strongest evidence-based arguments in favour of Fedfina’s fundamental quality. Each is stated with the number that supports it and the page where it is analysed.</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14"/>
        <w:gridCol w:w="2208"/>
        <w:gridCol w:w="4141"/>
        <w:gridCol w:w="2968"/>
      </w:tblGrid>
      <w:tr w:rsidR="007F373F">
        <w:trPr>
          <w:jc w:val="center"/>
        </w:trPr>
        <w:tc>
          <w:tcPr>
            <w:tcW w:w="414" w:type="dxa"/>
          </w:tcPr>
          <w:p w:rsidR="007F373F" w:rsidRDefault="00000000">
            <w:pPr>
              <w:spacing w:after="0"/>
              <w:jc w:val="left"/>
            </w:pPr>
            <w:r>
              <w:rPr>
                <w:b/>
                <w:sz w:val="19"/>
              </w:rPr>
              <w:t>#</w:t>
            </w:r>
          </w:p>
        </w:tc>
        <w:tc>
          <w:tcPr>
            <w:tcW w:w="2208" w:type="dxa"/>
          </w:tcPr>
          <w:p w:rsidR="007F373F" w:rsidRDefault="00000000">
            <w:pPr>
              <w:spacing w:after="0"/>
              <w:jc w:val="left"/>
            </w:pPr>
            <w:r>
              <w:rPr>
                <w:b/>
                <w:sz w:val="19"/>
              </w:rPr>
              <w:t>Positive</w:t>
            </w:r>
          </w:p>
        </w:tc>
        <w:tc>
          <w:tcPr>
            <w:tcW w:w="4141" w:type="dxa"/>
          </w:tcPr>
          <w:p w:rsidR="007F373F" w:rsidRDefault="00000000">
            <w:pPr>
              <w:spacing w:after="0"/>
              <w:jc w:val="left"/>
            </w:pPr>
            <w:r>
              <w:rPr>
                <w:b/>
                <w:sz w:val="19"/>
              </w:rPr>
              <w:t>Evidence</w:t>
            </w:r>
          </w:p>
        </w:tc>
        <w:tc>
          <w:tcPr>
            <w:tcW w:w="2968" w:type="dxa"/>
          </w:tcPr>
          <w:p w:rsidR="007F373F" w:rsidRDefault="00000000">
            <w:pPr>
              <w:spacing w:after="0"/>
              <w:jc w:val="left"/>
            </w:pPr>
            <w:r>
              <w:rPr>
                <w:b/>
                <w:sz w:val="19"/>
              </w:rPr>
              <w:t>Why it matters</w:t>
            </w:r>
          </w:p>
        </w:tc>
      </w:tr>
      <w:tr w:rsidR="007F373F">
        <w:trPr>
          <w:jc w:val="center"/>
        </w:trPr>
        <w:tc>
          <w:tcPr>
            <w:tcW w:w="414" w:type="dxa"/>
          </w:tcPr>
          <w:p w:rsidR="007F373F" w:rsidRDefault="00000000">
            <w:pPr>
              <w:spacing w:after="0"/>
              <w:jc w:val="left"/>
            </w:pPr>
            <w:r>
              <w:rPr>
                <w:sz w:val="19"/>
              </w:rPr>
              <w:t>1</w:t>
            </w:r>
          </w:p>
        </w:tc>
        <w:tc>
          <w:tcPr>
            <w:tcW w:w="2208" w:type="dxa"/>
          </w:tcPr>
          <w:p w:rsidR="007F373F" w:rsidRDefault="00000000">
            <w:pPr>
              <w:spacing w:after="0"/>
              <w:jc w:val="left"/>
            </w:pPr>
            <w:r>
              <w:rPr>
                <w:sz w:val="19"/>
              </w:rPr>
              <w:t>Consistent long-term compounding</w:t>
            </w:r>
          </w:p>
        </w:tc>
        <w:tc>
          <w:tcPr>
            <w:tcW w:w="4141" w:type="dxa"/>
          </w:tcPr>
          <w:p w:rsidR="007F373F" w:rsidRDefault="00000000">
            <w:pPr>
              <w:spacing w:after="0"/>
              <w:jc w:val="left"/>
            </w:pPr>
            <w:r>
              <w:rPr>
                <w:sz w:val="19"/>
              </w:rPr>
              <w:t>AUM ₹2,019 cr → ₹20,153 cr and PAT ₹36 cr → ₹344 cr over FY19–FY26; BVPS 21.6% CAGR; no dividend, all profit reinvested</w:t>
            </w:r>
          </w:p>
        </w:tc>
        <w:tc>
          <w:tcPr>
            <w:tcW w:w="2968" w:type="dxa"/>
          </w:tcPr>
          <w:p w:rsidR="007F373F" w:rsidRDefault="00000000">
            <w:pPr>
              <w:spacing w:after="0"/>
              <w:jc w:val="left"/>
            </w:pPr>
            <w:r>
              <w:rPr>
                <w:sz w:val="19"/>
              </w:rPr>
              <w:t>Demonstrates a repeatable growth engine across rate, pandemic and credit cycles</w:t>
            </w:r>
          </w:p>
        </w:tc>
      </w:tr>
      <w:tr w:rsidR="007F373F">
        <w:trPr>
          <w:jc w:val="center"/>
        </w:trPr>
        <w:tc>
          <w:tcPr>
            <w:tcW w:w="414" w:type="dxa"/>
          </w:tcPr>
          <w:p w:rsidR="007F373F" w:rsidRDefault="00000000">
            <w:pPr>
              <w:spacing w:after="0"/>
              <w:jc w:val="left"/>
            </w:pPr>
            <w:r>
              <w:rPr>
                <w:sz w:val="19"/>
              </w:rPr>
              <w:t>2</w:t>
            </w:r>
          </w:p>
        </w:tc>
        <w:tc>
          <w:tcPr>
            <w:tcW w:w="2208" w:type="dxa"/>
          </w:tcPr>
          <w:p w:rsidR="007F373F" w:rsidRDefault="00000000">
            <w:pPr>
              <w:spacing w:after="0"/>
              <w:jc w:val="left"/>
            </w:pPr>
            <w:r>
              <w:rPr>
                <w:sz w:val="19"/>
              </w:rPr>
              <w:t>Fully secured, granular book</w:t>
            </w:r>
          </w:p>
        </w:tc>
        <w:tc>
          <w:tcPr>
            <w:tcW w:w="4141" w:type="dxa"/>
          </w:tcPr>
          <w:p w:rsidR="007F373F" w:rsidRDefault="00000000">
            <w:pPr>
              <w:spacing w:after="0"/>
              <w:jc w:val="left"/>
            </w:pPr>
            <w:r>
              <w:rPr>
                <w:sz w:val="19"/>
              </w:rPr>
              <w:t>98.9% secured; gold LTV 60.9%; average tickets ₹2.7 lakh (gold) and ₹16.1 lakh (ST LAP); top-20 borrowers 0.47%</w:t>
            </w:r>
          </w:p>
        </w:tc>
        <w:tc>
          <w:tcPr>
            <w:tcW w:w="2968" w:type="dxa"/>
          </w:tcPr>
          <w:p w:rsidR="007F373F" w:rsidRDefault="00000000">
            <w:pPr>
              <w:spacing w:after="0"/>
              <w:jc w:val="left"/>
            </w:pPr>
            <w:r>
              <w:rPr>
                <w:sz w:val="19"/>
              </w:rPr>
              <w:t>Low loss-given-default; no single-name risk; resilient to unsecured-credit stress</w:t>
            </w:r>
          </w:p>
        </w:tc>
      </w:tr>
      <w:tr w:rsidR="007F373F">
        <w:trPr>
          <w:jc w:val="center"/>
        </w:trPr>
        <w:tc>
          <w:tcPr>
            <w:tcW w:w="414" w:type="dxa"/>
          </w:tcPr>
          <w:p w:rsidR="007F373F" w:rsidRDefault="00000000">
            <w:pPr>
              <w:spacing w:after="0"/>
              <w:jc w:val="left"/>
            </w:pPr>
            <w:r>
              <w:rPr>
                <w:sz w:val="19"/>
              </w:rPr>
              <w:t>3</w:t>
            </w:r>
          </w:p>
        </w:tc>
        <w:tc>
          <w:tcPr>
            <w:tcW w:w="2208" w:type="dxa"/>
          </w:tcPr>
          <w:p w:rsidR="007F373F" w:rsidRDefault="00000000">
            <w:pPr>
              <w:spacing w:after="0"/>
              <w:jc w:val="left"/>
            </w:pPr>
            <w:r>
              <w:rPr>
                <w:sz w:val="19"/>
              </w:rPr>
              <w:t>Credible turnaround executed within one year</w:t>
            </w:r>
          </w:p>
        </w:tc>
        <w:tc>
          <w:tcPr>
            <w:tcW w:w="4141" w:type="dxa"/>
          </w:tcPr>
          <w:p w:rsidR="007F373F" w:rsidRDefault="00000000">
            <w:pPr>
              <w:spacing w:after="0"/>
              <w:jc w:val="left"/>
            </w:pPr>
            <w:r>
              <w:rPr>
                <w:sz w:val="19"/>
              </w:rPr>
              <w:t>Credit cost 1.8% → 0.8%; Stage 2+3 7.4% → 3.5%; PAT +53%; 8 of 9 FY25 commitments delivered</w:t>
            </w:r>
          </w:p>
        </w:tc>
        <w:tc>
          <w:tcPr>
            <w:tcW w:w="2968" w:type="dxa"/>
          </w:tcPr>
          <w:p w:rsidR="007F373F" w:rsidRDefault="00000000">
            <w:pPr>
              <w:spacing w:after="0"/>
              <w:jc w:val="left"/>
            </w:pPr>
            <w:r>
              <w:rPr>
                <w:sz w:val="19"/>
              </w:rPr>
              <w:t>Management does what it says; problems are disclosed and fixed</w:t>
            </w:r>
          </w:p>
        </w:tc>
      </w:tr>
      <w:tr w:rsidR="007F373F">
        <w:trPr>
          <w:jc w:val="center"/>
        </w:trPr>
        <w:tc>
          <w:tcPr>
            <w:tcW w:w="414" w:type="dxa"/>
          </w:tcPr>
          <w:p w:rsidR="007F373F" w:rsidRDefault="00000000">
            <w:pPr>
              <w:spacing w:after="0"/>
              <w:jc w:val="left"/>
            </w:pPr>
            <w:r>
              <w:rPr>
                <w:sz w:val="19"/>
              </w:rPr>
              <w:t>4</w:t>
            </w:r>
          </w:p>
        </w:tc>
        <w:tc>
          <w:tcPr>
            <w:tcW w:w="2208" w:type="dxa"/>
          </w:tcPr>
          <w:p w:rsidR="007F373F" w:rsidRDefault="00000000">
            <w:pPr>
              <w:spacing w:after="0"/>
              <w:jc w:val="left"/>
            </w:pPr>
            <w:r>
              <w:rPr>
                <w:sz w:val="19"/>
              </w:rPr>
              <w:t>Improving earnings quality</w:t>
            </w:r>
          </w:p>
        </w:tc>
        <w:tc>
          <w:tcPr>
            <w:tcW w:w="4141" w:type="dxa"/>
          </w:tcPr>
          <w:p w:rsidR="007F373F" w:rsidRDefault="00000000">
            <w:pPr>
              <w:spacing w:after="0"/>
              <w:jc w:val="left"/>
            </w:pPr>
            <w:r>
              <w:rPr>
                <w:sz w:val="19"/>
              </w:rPr>
              <w:t>Interest on loans 93% of interest income; DA income share of PBT down sharply; off-book AUM 25% → 12%</w:t>
            </w:r>
          </w:p>
        </w:tc>
        <w:tc>
          <w:tcPr>
            <w:tcW w:w="2968" w:type="dxa"/>
          </w:tcPr>
          <w:p w:rsidR="007F373F" w:rsidRDefault="00000000">
            <w:pPr>
              <w:spacing w:after="0"/>
              <w:jc w:val="left"/>
            </w:pPr>
            <w:r>
              <w:rPr>
                <w:sz w:val="19"/>
              </w:rPr>
              <w:t>Profits are recurring, not front-loaded</w:t>
            </w:r>
          </w:p>
        </w:tc>
      </w:tr>
      <w:tr w:rsidR="007F373F">
        <w:trPr>
          <w:jc w:val="center"/>
        </w:trPr>
        <w:tc>
          <w:tcPr>
            <w:tcW w:w="414" w:type="dxa"/>
          </w:tcPr>
          <w:p w:rsidR="007F373F" w:rsidRDefault="00000000">
            <w:pPr>
              <w:spacing w:after="0"/>
              <w:jc w:val="left"/>
            </w:pPr>
            <w:r>
              <w:rPr>
                <w:sz w:val="19"/>
              </w:rPr>
              <w:t>5</w:t>
            </w:r>
          </w:p>
        </w:tc>
        <w:tc>
          <w:tcPr>
            <w:tcW w:w="2208" w:type="dxa"/>
          </w:tcPr>
          <w:p w:rsidR="007F373F" w:rsidRDefault="00000000">
            <w:pPr>
              <w:spacing w:after="0"/>
              <w:jc w:val="left"/>
            </w:pPr>
            <w:r>
              <w:rPr>
                <w:sz w:val="19"/>
              </w:rPr>
              <w:t>Widening spread in a competitive market</w:t>
            </w:r>
          </w:p>
        </w:tc>
        <w:tc>
          <w:tcPr>
            <w:tcW w:w="4141" w:type="dxa"/>
          </w:tcPr>
          <w:p w:rsidR="007F373F" w:rsidRDefault="00000000">
            <w:pPr>
              <w:spacing w:after="0"/>
              <w:jc w:val="left"/>
            </w:pPr>
            <w:r>
              <w:rPr>
                <w:sz w:val="19"/>
              </w:rPr>
              <w:t>Spread 8.6% (best in five years); NIM 8.8%; Q4 CoB 7.83%</w:t>
            </w:r>
          </w:p>
        </w:tc>
        <w:tc>
          <w:tcPr>
            <w:tcW w:w="2968" w:type="dxa"/>
          </w:tcPr>
          <w:p w:rsidR="007F373F" w:rsidRDefault="00000000">
            <w:pPr>
              <w:spacing w:after="0"/>
              <w:jc w:val="left"/>
            </w:pPr>
            <w:r>
              <w:rPr>
                <w:sz w:val="19"/>
              </w:rPr>
              <w:t>Pricing power in gold plus funding-cost advantage from parentage and ratings</w:t>
            </w:r>
          </w:p>
        </w:tc>
      </w:tr>
      <w:tr w:rsidR="007F373F">
        <w:trPr>
          <w:jc w:val="center"/>
        </w:trPr>
        <w:tc>
          <w:tcPr>
            <w:tcW w:w="414" w:type="dxa"/>
          </w:tcPr>
          <w:p w:rsidR="007F373F" w:rsidRDefault="00000000">
            <w:pPr>
              <w:spacing w:after="0"/>
              <w:jc w:val="left"/>
            </w:pPr>
            <w:r>
              <w:rPr>
                <w:sz w:val="19"/>
              </w:rPr>
              <w:t>6</w:t>
            </w:r>
          </w:p>
        </w:tc>
        <w:tc>
          <w:tcPr>
            <w:tcW w:w="2208" w:type="dxa"/>
          </w:tcPr>
          <w:p w:rsidR="007F373F" w:rsidRDefault="00000000">
            <w:pPr>
              <w:spacing w:after="0"/>
              <w:jc w:val="left"/>
            </w:pPr>
            <w:r>
              <w:rPr>
                <w:sz w:val="19"/>
              </w:rPr>
              <w:t>Strong funding franchise</w:t>
            </w:r>
          </w:p>
        </w:tc>
        <w:tc>
          <w:tcPr>
            <w:tcW w:w="4141" w:type="dxa"/>
          </w:tcPr>
          <w:p w:rsidR="007F373F" w:rsidRDefault="00000000">
            <w:pPr>
              <w:spacing w:after="0"/>
              <w:jc w:val="left"/>
            </w:pPr>
            <w:r>
              <w:rPr>
                <w:sz w:val="19"/>
              </w:rPr>
              <w:t>AA+/Stable × 4; 41 lenders; ECB 17%; CP 9%; fixed-rate 40%; positive ALM gap in every bucket to one year</w:t>
            </w:r>
          </w:p>
        </w:tc>
        <w:tc>
          <w:tcPr>
            <w:tcW w:w="2968" w:type="dxa"/>
          </w:tcPr>
          <w:p w:rsidR="007F373F" w:rsidRDefault="00000000">
            <w:pPr>
              <w:spacing w:after="0"/>
              <w:jc w:val="left"/>
            </w:pPr>
            <w:r>
              <w:rPr>
                <w:sz w:val="19"/>
              </w:rPr>
              <w:t>Liquidity is the existential risk for NBFCs; Fedfina’s profile is conservative</w:t>
            </w:r>
          </w:p>
        </w:tc>
      </w:tr>
      <w:tr w:rsidR="007F373F">
        <w:trPr>
          <w:jc w:val="center"/>
        </w:trPr>
        <w:tc>
          <w:tcPr>
            <w:tcW w:w="414" w:type="dxa"/>
          </w:tcPr>
          <w:p w:rsidR="007F373F" w:rsidRDefault="00000000">
            <w:pPr>
              <w:spacing w:after="0"/>
              <w:jc w:val="left"/>
            </w:pPr>
            <w:r>
              <w:rPr>
                <w:sz w:val="19"/>
              </w:rPr>
              <w:t>7</w:t>
            </w:r>
          </w:p>
        </w:tc>
        <w:tc>
          <w:tcPr>
            <w:tcW w:w="2208" w:type="dxa"/>
          </w:tcPr>
          <w:p w:rsidR="007F373F" w:rsidRDefault="00000000">
            <w:pPr>
              <w:spacing w:after="0"/>
              <w:jc w:val="left"/>
            </w:pPr>
            <w:r>
              <w:rPr>
                <w:sz w:val="19"/>
              </w:rPr>
              <w:t>Adequate capital with headroom</w:t>
            </w:r>
          </w:p>
        </w:tc>
        <w:tc>
          <w:tcPr>
            <w:tcW w:w="4141" w:type="dxa"/>
          </w:tcPr>
          <w:p w:rsidR="007F373F" w:rsidRDefault="00000000">
            <w:pPr>
              <w:spacing w:after="0"/>
              <w:jc w:val="left"/>
            </w:pPr>
            <w:r>
              <w:rPr>
                <w:sz w:val="19"/>
              </w:rPr>
              <w:t>CRAR 22.4% vs 15% floor; Tier I 17.5%; ICAAP; ₹18,000 crore borrowing limit 75% used</w:t>
            </w:r>
          </w:p>
        </w:tc>
        <w:tc>
          <w:tcPr>
            <w:tcW w:w="2968" w:type="dxa"/>
          </w:tcPr>
          <w:p w:rsidR="007F373F" w:rsidRDefault="00000000">
            <w:pPr>
              <w:spacing w:after="0"/>
              <w:jc w:val="left"/>
            </w:pPr>
            <w:r>
              <w:rPr>
                <w:sz w:val="19"/>
              </w:rPr>
              <w:t>Supports 20–25% growth for several years without dilution if RoE holds</w:t>
            </w:r>
          </w:p>
        </w:tc>
      </w:tr>
      <w:tr w:rsidR="007F373F">
        <w:trPr>
          <w:jc w:val="center"/>
        </w:trPr>
        <w:tc>
          <w:tcPr>
            <w:tcW w:w="414" w:type="dxa"/>
          </w:tcPr>
          <w:p w:rsidR="007F373F" w:rsidRDefault="00000000">
            <w:pPr>
              <w:spacing w:after="0"/>
              <w:jc w:val="left"/>
            </w:pPr>
            <w:r>
              <w:rPr>
                <w:sz w:val="19"/>
              </w:rPr>
              <w:t>8</w:t>
            </w:r>
          </w:p>
        </w:tc>
        <w:tc>
          <w:tcPr>
            <w:tcW w:w="2208" w:type="dxa"/>
          </w:tcPr>
          <w:p w:rsidR="007F373F" w:rsidRDefault="00000000">
            <w:pPr>
              <w:spacing w:after="0"/>
              <w:jc w:val="left"/>
            </w:pPr>
            <w:r>
              <w:rPr>
                <w:sz w:val="19"/>
              </w:rPr>
              <w:t>Operating leverage ahead</w:t>
            </w:r>
          </w:p>
        </w:tc>
        <w:tc>
          <w:tcPr>
            <w:tcW w:w="4141" w:type="dxa"/>
          </w:tcPr>
          <w:p w:rsidR="007F373F" w:rsidRDefault="00000000">
            <w:pPr>
              <w:spacing w:after="0"/>
              <w:jc w:val="left"/>
            </w:pPr>
            <w:r>
              <w:rPr>
                <w:sz w:val="19"/>
              </w:rPr>
              <w:t>148 young branches; gold AUM/branch +₹4.4 crore in a year; C/I 57.2% with growth costs expensed</w:t>
            </w:r>
          </w:p>
        </w:tc>
        <w:tc>
          <w:tcPr>
            <w:tcW w:w="2968" w:type="dxa"/>
          </w:tcPr>
          <w:p w:rsidR="007F373F" w:rsidRDefault="00000000">
            <w:pPr>
              <w:spacing w:after="0"/>
              <w:jc w:val="left"/>
            </w:pPr>
            <w:r>
              <w:rPr>
                <w:sz w:val="19"/>
              </w:rPr>
              <w:t>Cost ratio should fall as cohorts mature, lifting RoA and RoE</w:t>
            </w:r>
          </w:p>
        </w:tc>
      </w:tr>
      <w:tr w:rsidR="007F373F">
        <w:trPr>
          <w:jc w:val="center"/>
        </w:trPr>
        <w:tc>
          <w:tcPr>
            <w:tcW w:w="414" w:type="dxa"/>
          </w:tcPr>
          <w:p w:rsidR="007F373F" w:rsidRDefault="00000000">
            <w:pPr>
              <w:spacing w:after="0"/>
              <w:jc w:val="left"/>
            </w:pPr>
            <w:r>
              <w:rPr>
                <w:sz w:val="19"/>
              </w:rPr>
              <w:t>9</w:t>
            </w:r>
          </w:p>
        </w:tc>
        <w:tc>
          <w:tcPr>
            <w:tcW w:w="2208" w:type="dxa"/>
          </w:tcPr>
          <w:p w:rsidR="007F373F" w:rsidRDefault="00000000">
            <w:pPr>
              <w:spacing w:after="0"/>
              <w:jc w:val="left"/>
            </w:pPr>
            <w:r>
              <w:rPr>
                <w:sz w:val="19"/>
              </w:rPr>
              <w:t>Institutional governance</w:t>
            </w:r>
          </w:p>
        </w:tc>
        <w:tc>
          <w:tcPr>
            <w:tcW w:w="4141" w:type="dxa"/>
          </w:tcPr>
          <w:p w:rsidR="007F373F" w:rsidRDefault="00000000">
            <w:pPr>
              <w:spacing w:after="0"/>
              <w:jc w:val="left"/>
            </w:pPr>
            <w:r>
              <w:rPr>
                <w:sz w:val="19"/>
              </w:rPr>
              <w:t>Bank promoter 60.8%; 5 independent directors; four rating agencies; joint auditors from FY27; clean regulatory record</w:t>
            </w:r>
          </w:p>
        </w:tc>
        <w:tc>
          <w:tcPr>
            <w:tcW w:w="2968" w:type="dxa"/>
          </w:tcPr>
          <w:p w:rsidR="007F373F" w:rsidRDefault="00000000">
            <w:pPr>
              <w:spacing w:after="0"/>
              <w:jc w:val="left"/>
            </w:pPr>
            <w:r>
              <w:rPr>
                <w:sz w:val="19"/>
              </w:rPr>
              <w:t>Reduces governance discount typical of mid-sized NBFCs</w:t>
            </w:r>
          </w:p>
        </w:tc>
      </w:tr>
      <w:tr w:rsidR="007F373F">
        <w:trPr>
          <w:jc w:val="center"/>
        </w:trPr>
        <w:tc>
          <w:tcPr>
            <w:tcW w:w="414" w:type="dxa"/>
          </w:tcPr>
          <w:p w:rsidR="007F373F" w:rsidRDefault="00000000">
            <w:pPr>
              <w:spacing w:after="0"/>
              <w:jc w:val="left"/>
            </w:pPr>
            <w:r>
              <w:rPr>
                <w:sz w:val="19"/>
              </w:rPr>
              <w:t>10</w:t>
            </w:r>
          </w:p>
        </w:tc>
        <w:tc>
          <w:tcPr>
            <w:tcW w:w="2208" w:type="dxa"/>
          </w:tcPr>
          <w:p w:rsidR="007F373F" w:rsidRDefault="00000000">
            <w:pPr>
              <w:spacing w:after="0"/>
              <w:jc w:val="left"/>
            </w:pPr>
            <w:r>
              <w:rPr>
                <w:sz w:val="19"/>
              </w:rPr>
              <w:t>Valuation does not assume success</w:t>
            </w:r>
          </w:p>
        </w:tc>
        <w:tc>
          <w:tcPr>
            <w:tcW w:w="4141" w:type="dxa"/>
          </w:tcPr>
          <w:p w:rsidR="007F373F" w:rsidRDefault="00000000">
            <w:pPr>
              <w:spacing w:after="0"/>
              <w:jc w:val="left"/>
            </w:pPr>
            <w:r>
              <w:rPr>
                <w:sz w:val="19"/>
              </w:rPr>
              <w:t>≈1.6x book, ≈13.5x FY26 EPS at 31 March 2026; below IPO price</w:t>
            </w:r>
          </w:p>
        </w:tc>
        <w:tc>
          <w:tcPr>
            <w:tcW w:w="2968" w:type="dxa"/>
          </w:tcPr>
          <w:p w:rsidR="007F373F" w:rsidRDefault="00000000">
            <w:pPr>
              <w:spacing w:after="0"/>
              <w:jc w:val="left"/>
            </w:pPr>
            <w:r>
              <w:rPr>
                <w:sz w:val="19"/>
              </w:rPr>
              <w:t>Improvement in RoE towards 14% (Q4 run-rate) is not priced in</w:t>
            </w:r>
          </w:p>
        </w:tc>
      </w:tr>
    </w:tbl>
    <w:p w:rsidR="007F373F" w:rsidRDefault="007F373F">
      <w:pPr>
        <w:spacing w:after="40"/>
      </w:pPr>
    </w:p>
    <w:tbl>
      <w:tblPr>
        <w:tblW w:w="0" w:type="auto"/>
        <w:jc w:val="center"/>
        <w:tblCellMar>
          <w:top w:w="40" w:type="dxa"/>
          <w:left w:w="60" w:type="dxa"/>
          <w:bottom w:w="40" w:type="dxa"/>
          <w:right w:w="60" w:type="dxa"/>
        </w:tblCellMar>
        <w:tblLook w:val="04A0" w:firstRow="1" w:lastRow="0" w:firstColumn="1" w:lastColumn="0" w:noHBand="0" w:noVBand="1"/>
      </w:tblPr>
      <w:tblGrid>
        <w:gridCol w:w="1624"/>
        <w:gridCol w:w="1624"/>
        <w:gridCol w:w="1624"/>
        <w:gridCol w:w="1624"/>
        <w:gridCol w:w="1624"/>
        <w:gridCol w:w="1624"/>
      </w:tblGrid>
      <w:tr w:rsidR="007F373F">
        <w:trPr>
          <w:jc w:val="center"/>
        </w:trPr>
        <w:tc>
          <w:tcPr>
            <w:tcW w:w="1624" w:type="dxa"/>
          </w:tcPr>
          <w:p w:rsidR="007F373F" w:rsidRDefault="00000000">
            <w:pPr>
              <w:spacing w:after="0"/>
              <w:jc w:val="center"/>
            </w:pPr>
            <w:r>
              <w:rPr>
                <w:b/>
                <w:sz w:val="26"/>
              </w:rPr>
              <w:t>≈34%</w:t>
            </w:r>
          </w:p>
          <w:p w:rsidR="007F373F" w:rsidRDefault="00000000">
            <w:pPr>
              <w:spacing w:after="0"/>
              <w:jc w:val="center"/>
            </w:pPr>
            <w:r>
              <w:rPr>
                <w:sz w:val="18"/>
              </w:rPr>
              <w:t>AUM CAGR FY22–FY26</w:t>
            </w:r>
          </w:p>
        </w:tc>
        <w:tc>
          <w:tcPr>
            <w:tcW w:w="1624" w:type="dxa"/>
          </w:tcPr>
          <w:p w:rsidR="007F373F" w:rsidRDefault="00000000">
            <w:pPr>
              <w:spacing w:after="0"/>
              <w:jc w:val="center"/>
            </w:pPr>
            <w:r>
              <w:rPr>
                <w:b/>
                <w:sz w:val="26"/>
              </w:rPr>
              <w:t>98.9%</w:t>
            </w:r>
          </w:p>
          <w:p w:rsidR="007F373F" w:rsidRDefault="00000000">
            <w:pPr>
              <w:spacing w:after="0"/>
              <w:jc w:val="center"/>
            </w:pPr>
            <w:r>
              <w:rPr>
                <w:sz w:val="18"/>
              </w:rPr>
              <w:t>Secured share of AUM</w:t>
            </w:r>
          </w:p>
        </w:tc>
        <w:tc>
          <w:tcPr>
            <w:tcW w:w="1624" w:type="dxa"/>
          </w:tcPr>
          <w:p w:rsidR="007F373F" w:rsidRDefault="00000000">
            <w:pPr>
              <w:spacing w:after="0"/>
              <w:jc w:val="center"/>
            </w:pPr>
            <w:r>
              <w:rPr>
                <w:b/>
                <w:sz w:val="26"/>
              </w:rPr>
              <w:t>8.6%</w:t>
            </w:r>
          </w:p>
          <w:p w:rsidR="007F373F" w:rsidRDefault="00000000">
            <w:pPr>
              <w:spacing w:after="0"/>
              <w:jc w:val="center"/>
            </w:pPr>
            <w:r>
              <w:rPr>
                <w:sz w:val="18"/>
              </w:rPr>
              <w:t>Spread FY26 (5-yr high)</w:t>
            </w:r>
          </w:p>
        </w:tc>
        <w:tc>
          <w:tcPr>
            <w:tcW w:w="1624" w:type="dxa"/>
          </w:tcPr>
          <w:p w:rsidR="007F373F" w:rsidRDefault="00000000">
            <w:pPr>
              <w:spacing w:after="0"/>
              <w:jc w:val="center"/>
            </w:pPr>
            <w:r>
              <w:rPr>
                <w:b/>
                <w:sz w:val="26"/>
              </w:rPr>
              <w:t>22.4%</w:t>
            </w:r>
          </w:p>
          <w:p w:rsidR="007F373F" w:rsidRDefault="00000000">
            <w:pPr>
              <w:spacing w:after="0"/>
              <w:jc w:val="center"/>
            </w:pPr>
            <w:r>
              <w:rPr>
                <w:sz w:val="18"/>
              </w:rPr>
              <w:t>CRAR vs 15% floor</w:t>
            </w:r>
          </w:p>
        </w:tc>
        <w:tc>
          <w:tcPr>
            <w:tcW w:w="1624" w:type="dxa"/>
          </w:tcPr>
          <w:p w:rsidR="007F373F" w:rsidRDefault="00000000">
            <w:pPr>
              <w:spacing w:after="0"/>
              <w:jc w:val="center"/>
            </w:pPr>
            <w:r>
              <w:rPr>
                <w:b/>
                <w:sz w:val="26"/>
              </w:rPr>
              <w:t>+53%</w:t>
            </w:r>
          </w:p>
          <w:p w:rsidR="007F373F" w:rsidRDefault="00000000">
            <w:pPr>
              <w:spacing w:after="0"/>
              <w:jc w:val="center"/>
            </w:pPr>
            <w:r>
              <w:rPr>
                <w:sz w:val="18"/>
              </w:rPr>
              <w:t>PAT growth FY26</w:t>
            </w:r>
          </w:p>
        </w:tc>
        <w:tc>
          <w:tcPr>
            <w:tcW w:w="1624" w:type="dxa"/>
          </w:tcPr>
          <w:p w:rsidR="007F373F" w:rsidRDefault="00000000">
            <w:pPr>
              <w:spacing w:after="0"/>
              <w:jc w:val="center"/>
            </w:pPr>
            <w:r>
              <w:rPr>
                <w:b/>
                <w:sz w:val="26"/>
              </w:rPr>
              <w:t>≈1.6x</w:t>
            </w:r>
          </w:p>
          <w:p w:rsidR="007F373F" w:rsidRDefault="00000000">
            <w:pPr>
              <w:spacing w:after="0"/>
              <w:jc w:val="center"/>
            </w:pPr>
            <w:r>
              <w:rPr>
                <w:sz w:val="18"/>
              </w:rPr>
              <w:t>Price / book, 31 Mar 2026</w:t>
            </w:r>
          </w:p>
        </w:tc>
      </w:tr>
    </w:tbl>
    <w:p w:rsidR="007F373F" w:rsidRDefault="007F373F">
      <w:pPr>
        <w:spacing w:after="40"/>
      </w:pPr>
    </w:p>
    <w:p w:rsidR="007F373F" w:rsidRDefault="00000000">
      <w:r>
        <w:t>Context against the gold-loan leaders. Fedfina’s capital position (CRAR 22.4%) compares with 20.75% at Muthoot Finance and 21.3% at Manappuram Finance at 31 March 2026, and its FY26 PAT growth of 53% sits between Muthoot’s 98% consolidated increase and Manappuram’s 17.5% decline, which was caused by provisions on non-gold books – an illustration of the value of Fedfina’s decision to exit unsecured lending. The scale gap is large (Muthoot’s standalone AUM is about eight times Fedfina’s), but the quality indicators that matter for sustainability – secured mix, LTV, credit cost and funding diversity – are at or above the standards set by the larger peers.</w:t>
      </w:r>
    </w:p>
    <w:p w:rsidR="007F373F" w:rsidRDefault="00000000">
      <w:r>
        <w:lastRenderedPageBreak/>
        <w:t>Together these positives support the working hypothesis that a higher secured share combined with stronger operating discipline supports sustainable profitability. The next page presents the counter-case – the factors that must be watched – with equal rigour.</w:t>
      </w:r>
    </w:p>
    <w:p w:rsidR="007F373F" w:rsidRDefault="00000000">
      <w:pPr>
        <w:pStyle w:val="Heading1"/>
        <w:pageBreakBefore/>
      </w:pPr>
      <w:r>
        <w:lastRenderedPageBreak/>
        <w:t>Investment Case: Factors to Watch</w:t>
      </w:r>
    </w:p>
    <w:p w:rsidR="007F373F" w:rsidRDefault="00000000">
      <w:r>
        <w:t>A balanced fundamental analysis must give equal weight to the evidence against the thesis. The following factors could undermine the positives on the previous page; each is paired with the indicator that would reveal it first.</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14"/>
        <w:gridCol w:w="2070"/>
        <w:gridCol w:w="4279"/>
        <w:gridCol w:w="2968"/>
      </w:tblGrid>
      <w:tr w:rsidR="007F373F">
        <w:trPr>
          <w:jc w:val="center"/>
        </w:trPr>
        <w:tc>
          <w:tcPr>
            <w:tcW w:w="414" w:type="dxa"/>
          </w:tcPr>
          <w:p w:rsidR="007F373F" w:rsidRDefault="00000000">
            <w:pPr>
              <w:spacing w:after="0"/>
              <w:jc w:val="left"/>
            </w:pPr>
            <w:r>
              <w:rPr>
                <w:b/>
                <w:sz w:val="19"/>
              </w:rPr>
              <w:t>#</w:t>
            </w:r>
          </w:p>
        </w:tc>
        <w:tc>
          <w:tcPr>
            <w:tcW w:w="2070" w:type="dxa"/>
          </w:tcPr>
          <w:p w:rsidR="007F373F" w:rsidRDefault="00000000">
            <w:pPr>
              <w:spacing w:after="0"/>
              <w:jc w:val="left"/>
            </w:pPr>
            <w:r>
              <w:rPr>
                <w:b/>
                <w:sz w:val="19"/>
              </w:rPr>
              <w:t>Watch factor</w:t>
            </w:r>
          </w:p>
        </w:tc>
        <w:tc>
          <w:tcPr>
            <w:tcW w:w="4279" w:type="dxa"/>
          </w:tcPr>
          <w:p w:rsidR="007F373F" w:rsidRDefault="00000000">
            <w:pPr>
              <w:spacing w:after="0"/>
              <w:jc w:val="left"/>
            </w:pPr>
            <w:r>
              <w:rPr>
                <w:b/>
                <w:sz w:val="19"/>
              </w:rPr>
              <w:t>Evidence of concern</w:t>
            </w:r>
          </w:p>
        </w:tc>
        <w:tc>
          <w:tcPr>
            <w:tcW w:w="2968" w:type="dxa"/>
          </w:tcPr>
          <w:p w:rsidR="007F373F" w:rsidRDefault="00000000">
            <w:pPr>
              <w:spacing w:after="0"/>
              <w:jc w:val="left"/>
            </w:pPr>
            <w:r>
              <w:rPr>
                <w:b/>
                <w:sz w:val="19"/>
              </w:rPr>
              <w:t>Leading indicator to monitor</w:t>
            </w:r>
          </w:p>
        </w:tc>
      </w:tr>
      <w:tr w:rsidR="007F373F">
        <w:trPr>
          <w:jc w:val="center"/>
        </w:trPr>
        <w:tc>
          <w:tcPr>
            <w:tcW w:w="414" w:type="dxa"/>
          </w:tcPr>
          <w:p w:rsidR="007F373F" w:rsidRDefault="00000000">
            <w:pPr>
              <w:spacing w:after="0"/>
              <w:jc w:val="left"/>
            </w:pPr>
            <w:r>
              <w:rPr>
                <w:sz w:val="19"/>
              </w:rPr>
              <w:t>1</w:t>
            </w:r>
          </w:p>
        </w:tc>
        <w:tc>
          <w:tcPr>
            <w:tcW w:w="2070" w:type="dxa"/>
          </w:tcPr>
          <w:p w:rsidR="007F373F" w:rsidRDefault="00000000">
            <w:pPr>
              <w:spacing w:after="0"/>
              <w:jc w:val="left"/>
            </w:pPr>
            <w:r>
              <w:rPr>
                <w:sz w:val="19"/>
              </w:rPr>
              <w:t>Gold-price dependence</w:t>
            </w:r>
          </w:p>
        </w:tc>
        <w:tc>
          <w:tcPr>
            <w:tcW w:w="4279" w:type="dxa"/>
          </w:tcPr>
          <w:p w:rsidR="007F373F" w:rsidRDefault="00000000">
            <w:pPr>
              <w:spacing w:after="0"/>
              <w:jc w:val="left"/>
            </w:pPr>
            <w:r>
              <w:rPr>
                <w:sz w:val="19"/>
              </w:rPr>
              <w:t>Gold AUM +76% with tonnage +12%: roughly five-sixths of growth was price/LTV-driven; gold now 51% of AUM and 47% of assets</w:t>
            </w:r>
          </w:p>
        </w:tc>
        <w:tc>
          <w:tcPr>
            <w:tcW w:w="2968" w:type="dxa"/>
          </w:tcPr>
          <w:p w:rsidR="007F373F" w:rsidRDefault="00000000">
            <w:pPr>
              <w:spacing w:after="0"/>
              <w:jc w:val="left"/>
            </w:pPr>
            <w:r>
              <w:rPr>
                <w:sz w:val="19"/>
              </w:rPr>
              <w:t>Gold price; portfolio LTV; auction counts; tonnage growth vs 10–12% target</w:t>
            </w:r>
          </w:p>
        </w:tc>
      </w:tr>
      <w:tr w:rsidR="007F373F">
        <w:trPr>
          <w:jc w:val="center"/>
        </w:trPr>
        <w:tc>
          <w:tcPr>
            <w:tcW w:w="414" w:type="dxa"/>
          </w:tcPr>
          <w:p w:rsidR="007F373F" w:rsidRDefault="00000000">
            <w:pPr>
              <w:spacing w:after="0"/>
              <w:jc w:val="left"/>
            </w:pPr>
            <w:r>
              <w:rPr>
                <w:sz w:val="19"/>
              </w:rPr>
              <w:t>2</w:t>
            </w:r>
          </w:p>
        </w:tc>
        <w:tc>
          <w:tcPr>
            <w:tcW w:w="2070" w:type="dxa"/>
          </w:tcPr>
          <w:p w:rsidR="007F373F" w:rsidRDefault="00000000">
            <w:pPr>
              <w:spacing w:after="0"/>
              <w:jc w:val="left"/>
            </w:pPr>
            <w:r>
              <w:rPr>
                <w:sz w:val="19"/>
              </w:rPr>
              <w:t>Unseasoned ST LAP and branch cohorts</w:t>
            </w:r>
          </w:p>
        </w:tc>
        <w:tc>
          <w:tcPr>
            <w:tcW w:w="4279" w:type="dxa"/>
          </w:tcPr>
          <w:p w:rsidR="007F373F" w:rsidRDefault="00000000">
            <w:pPr>
              <w:spacing w:after="0"/>
              <w:jc w:val="left"/>
            </w:pPr>
            <w:r>
              <w:rPr>
                <w:sz w:val="19"/>
              </w:rPr>
              <w:t>₹904 crore of FY26 ST LAP disbursements and 148 branches less than a year old; small-mortgage delinquency peaks 18–36 months out</w:t>
            </w:r>
          </w:p>
        </w:tc>
        <w:tc>
          <w:tcPr>
            <w:tcW w:w="2968" w:type="dxa"/>
          </w:tcPr>
          <w:p w:rsidR="007F373F" w:rsidRDefault="00000000">
            <w:pPr>
              <w:spacing w:after="0"/>
              <w:jc w:val="left"/>
            </w:pPr>
            <w:r>
              <w:rPr>
                <w:sz w:val="19"/>
              </w:rPr>
              <w:t>30+/90+ dpd on FY26 vintage; Stage 2 ratio; branch break-even timelines</w:t>
            </w:r>
          </w:p>
        </w:tc>
      </w:tr>
      <w:tr w:rsidR="007F373F">
        <w:trPr>
          <w:jc w:val="center"/>
        </w:trPr>
        <w:tc>
          <w:tcPr>
            <w:tcW w:w="414" w:type="dxa"/>
          </w:tcPr>
          <w:p w:rsidR="007F373F" w:rsidRDefault="00000000">
            <w:pPr>
              <w:spacing w:after="0"/>
              <w:jc w:val="left"/>
            </w:pPr>
            <w:r>
              <w:rPr>
                <w:sz w:val="19"/>
              </w:rPr>
              <w:t>3</w:t>
            </w:r>
          </w:p>
        </w:tc>
        <w:tc>
          <w:tcPr>
            <w:tcW w:w="2070" w:type="dxa"/>
          </w:tcPr>
          <w:p w:rsidR="007F373F" w:rsidRDefault="00000000">
            <w:pPr>
              <w:spacing w:after="0"/>
              <w:jc w:val="left"/>
            </w:pPr>
            <w:r>
              <w:rPr>
                <w:sz w:val="19"/>
              </w:rPr>
              <w:t>Leverage creep</w:t>
            </w:r>
          </w:p>
        </w:tc>
        <w:tc>
          <w:tcPr>
            <w:tcW w:w="4279" w:type="dxa"/>
          </w:tcPr>
          <w:p w:rsidR="007F373F" w:rsidRDefault="00000000">
            <w:pPr>
              <w:spacing w:after="0"/>
              <w:jc w:val="left"/>
            </w:pPr>
            <w:r>
              <w:rPr>
                <w:sz w:val="19"/>
              </w:rPr>
              <w:t>D/E 3.6x → 4.0x → 4.6x; Tier I 18.9% → 17.5%; no equity since 2023</w:t>
            </w:r>
          </w:p>
        </w:tc>
        <w:tc>
          <w:tcPr>
            <w:tcW w:w="2968" w:type="dxa"/>
          </w:tcPr>
          <w:p w:rsidR="007F373F" w:rsidRDefault="00000000">
            <w:pPr>
              <w:spacing w:after="0"/>
              <w:jc w:val="left"/>
            </w:pPr>
            <w:r>
              <w:rPr>
                <w:sz w:val="19"/>
              </w:rPr>
              <w:t>D/E above 5x; Tier I below 15%; rating-agency commentary</w:t>
            </w:r>
          </w:p>
        </w:tc>
      </w:tr>
      <w:tr w:rsidR="007F373F">
        <w:trPr>
          <w:jc w:val="center"/>
        </w:trPr>
        <w:tc>
          <w:tcPr>
            <w:tcW w:w="414" w:type="dxa"/>
          </w:tcPr>
          <w:p w:rsidR="007F373F" w:rsidRDefault="00000000">
            <w:pPr>
              <w:spacing w:after="0"/>
              <w:jc w:val="left"/>
            </w:pPr>
            <w:r>
              <w:rPr>
                <w:sz w:val="19"/>
              </w:rPr>
              <w:t>4</w:t>
            </w:r>
          </w:p>
        </w:tc>
        <w:tc>
          <w:tcPr>
            <w:tcW w:w="2070" w:type="dxa"/>
          </w:tcPr>
          <w:p w:rsidR="007F373F" w:rsidRDefault="00000000">
            <w:pPr>
              <w:spacing w:after="0"/>
              <w:jc w:val="left"/>
            </w:pPr>
            <w:r>
              <w:rPr>
                <w:sz w:val="19"/>
              </w:rPr>
              <w:t>Credit cost normalisation incomplete</w:t>
            </w:r>
          </w:p>
        </w:tc>
        <w:tc>
          <w:tcPr>
            <w:tcW w:w="4279" w:type="dxa"/>
          </w:tcPr>
          <w:p w:rsidR="007F373F" w:rsidRDefault="00000000">
            <w:pPr>
              <w:spacing w:after="0"/>
              <w:jc w:val="left"/>
            </w:pPr>
            <w:r>
              <w:rPr>
                <w:sz w:val="19"/>
              </w:rPr>
              <w:t>Additions to impaired loans +16% (₹227 crore); improvement partly via ₹88 crore write-offs and ₹105 crore ARC sales; PCR down to 32%</w:t>
            </w:r>
          </w:p>
        </w:tc>
        <w:tc>
          <w:tcPr>
            <w:tcW w:w="2968" w:type="dxa"/>
          </w:tcPr>
          <w:p w:rsidR="007F373F" w:rsidRDefault="00000000">
            <w:pPr>
              <w:spacing w:after="0"/>
              <w:jc w:val="left"/>
            </w:pPr>
            <w:r>
              <w:rPr>
                <w:sz w:val="19"/>
              </w:rPr>
              <w:t>Gross slippage ratio; recoveries from ARC pools; PCR trend</w:t>
            </w:r>
          </w:p>
        </w:tc>
      </w:tr>
      <w:tr w:rsidR="007F373F">
        <w:trPr>
          <w:jc w:val="center"/>
        </w:trPr>
        <w:tc>
          <w:tcPr>
            <w:tcW w:w="414" w:type="dxa"/>
          </w:tcPr>
          <w:p w:rsidR="007F373F" w:rsidRDefault="00000000">
            <w:pPr>
              <w:spacing w:after="0"/>
              <w:jc w:val="left"/>
            </w:pPr>
            <w:r>
              <w:rPr>
                <w:sz w:val="19"/>
              </w:rPr>
              <w:t>5</w:t>
            </w:r>
          </w:p>
        </w:tc>
        <w:tc>
          <w:tcPr>
            <w:tcW w:w="2070" w:type="dxa"/>
          </w:tcPr>
          <w:p w:rsidR="007F373F" w:rsidRDefault="00000000">
            <w:pPr>
              <w:spacing w:after="0"/>
              <w:jc w:val="left"/>
            </w:pPr>
            <w:r>
              <w:rPr>
                <w:sz w:val="19"/>
              </w:rPr>
              <w:t>Cost ratio inertia</w:t>
            </w:r>
          </w:p>
        </w:tc>
        <w:tc>
          <w:tcPr>
            <w:tcW w:w="4279" w:type="dxa"/>
          </w:tcPr>
          <w:p w:rsidR="007F373F" w:rsidRDefault="00000000">
            <w:pPr>
              <w:spacing w:after="0"/>
              <w:jc w:val="left"/>
            </w:pPr>
            <w:r>
              <w:rPr>
                <w:sz w:val="19"/>
              </w:rPr>
              <w:t>C/I 58.6% → 57.2% over four years despite 2.5x AUM; employee cost +13.7%</w:t>
            </w:r>
          </w:p>
        </w:tc>
        <w:tc>
          <w:tcPr>
            <w:tcW w:w="2968" w:type="dxa"/>
          </w:tcPr>
          <w:p w:rsidR="007F373F" w:rsidRDefault="00000000">
            <w:pPr>
              <w:spacing w:after="0"/>
              <w:jc w:val="left"/>
            </w:pPr>
            <w:r>
              <w:rPr>
                <w:sz w:val="19"/>
              </w:rPr>
              <w:t>C/I below 55%; opex/average assets below 3.5%</w:t>
            </w:r>
          </w:p>
        </w:tc>
      </w:tr>
      <w:tr w:rsidR="007F373F">
        <w:trPr>
          <w:jc w:val="center"/>
        </w:trPr>
        <w:tc>
          <w:tcPr>
            <w:tcW w:w="414" w:type="dxa"/>
          </w:tcPr>
          <w:p w:rsidR="007F373F" w:rsidRDefault="00000000">
            <w:pPr>
              <w:spacing w:after="0"/>
              <w:jc w:val="left"/>
            </w:pPr>
            <w:r>
              <w:rPr>
                <w:sz w:val="19"/>
              </w:rPr>
              <w:t>6</w:t>
            </w:r>
          </w:p>
        </w:tc>
        <w:tc>
          <w:tcPr>
            <w:tcW w:w="2070" w:type="dxa"/>
          </w:tcPr>
          <w:p w:rsidR="007F373F" w:rsidRDefault="00000000">
            <w:pPr>
              <w:spacing w:after="0"/>
              <w:jc w:val="left"/>
            </w:pPr>
            <w:r>
              <w:rPr>
                <w:sz w:val="19"/>
              </w:rPr>
              <w:t>Regulatory change in gold lending</w:t>
            </w:r>
          </w:p>
        </w:tc>
        <w:tc>
          <w:tcPr>
            <w:tcW w:w="4279" w:type="dxa"/>
          </w:tcPr>
          <w:p w:rsidR="007F373F" w:rsidRDefault="00000000">
            <w:pPr>
              <w:spacing w:after="0"/>
              <w:jc w:val="left"/>
            </w:pPr>
            <w:r>
              <w:rPr>
                <w:sz w:val="19"/>
              </w:rPr>
              <w:t>Directions effective 1 Apr 2026 change LTV maintenance, renewals and credit assessment; FY25 already saw volume effects from earlier changes</w:t>
            </w:r>
          </w:p>
        </w:tc>
        <w:tc>
          <w:tcPr>
            <w:tcW w:w="2968" w:type="dxa"/>
          </w:tcPr>
          <w:p w:rsidR="007F373F" w:rsidRDefault="00000000">
            <w:pPr>
              <w:spacing w:after="0"/>
              <w:jc w:val="left"/>
            </w:pPr>
            <w:r>
              <w:rPr>
                <w:sz w:val="19"/>
              </w:rPr>
              <w:t>Gold disbursement run-rate in H1 FY27; renewal rates; compliance cost</w:t>
            </w:r>
          </w:p>
        </w:tc>
      </w:tr>
      <w:tr w:rsidR="007F373F">
        <w:trPr>
          <w:jc w:val="center"/>
        </w:trPr>
        <w:tc>
          <w:tcPr>
            <w:tcW w:w="414" w:type="dxa"/>
          </w:tcPr>
          <w:p w:rsidR="007F373F" w:rsidRDefault="00000000">
            <w:pPr>
              <w:spacing w:after="0"/>
              <w:jc w:val="left"/>
            </w:pPr>
            <w:r>
              <w:rPr>
                <w:sz w:val="19"/>
              </w:rPr>
              <w:t>7</w:t>
            </w:r>
          </w:p>
        </w:tc>
        <w:tc>
          <w:tcPr>
            <w:tcW w:w="2070" w:type="dxa"/>
          </w:tcPr>
          <w:p w:rsidR="007F373F" w:rsidRDefault="00000000">
            <w:pPr>
              <w:spacing w:after="0"/>
              <w:jc w:val="left"/>
            </w:pPr>
            <w:r>
              <w:rPr>
                <w:sz w:val="19"/>
              </w:rPr>
              <w:t>Non-interest income erosion</w:t>
            </w:r>
          </w:p>
        </w:tc>
        <w:tc>
          <w:tcPr>
            <w:tcW w:w="4279" w:type="dxa"/>
          </w:tcPr>
          <w:p w:rsidR="007F373F" w:rsidRDefault="00000000">
            <w:pPr>
              <w:spacing w:after="0"/>
              <w:jc w:val="left"/>
            </w:pPr>
            <w:r>
              <w:rPr>
                <w:sz w:val="19"/>
              </w:rPr>
              <w:t>Fee and other income −24%; distribution income from Federal Bank −31%; FVOCI gains −30%</w:t>
            </w:r>
          </w:p>
        </w:tc>
        <w:tc>
          <w:tcPr>
            <w:tcW w:w="2968" w:type="dxa"/>
          </w:tcPr>
          <w:p w:rsidR="007F373F" w:rsidRDefault="00000000">
            <w:pPr>
              <w:spacing w:after="0"/>
              <w:jc w:val="left"/>
            </w:pPr>
            <w:r>
              <w:rPr>
                <w:sz w:val="19"/>
              </w:rPr>
              <w:t>Fee income trend; co-lending servicing income</w:t>
            </w:r>
          </w:p>
        </w:tc>
      </w:tr>
      <w:tr w:rsidR="007F373F">
        <w:trPr>
          <w:jc w:val="center"/>
        </w:trPr>
        <w:tc>
          <w:tcPr>
            <w:tcW w:w="414" w:type="dxa"/>
          </w:tcPr>
          <w:p w:rsidR="007F373F" w:rsidRDefault="00000000">
            <w:pPr>
              <w:spacing w:after="0"/>
              <w:jc w:val="left"/>
            </w:pPr>
            <w:r>
              <w:rPr>
                <w:sz w:val="19"/>
              </w:rPr>
              <w:t>8</w:t>
            </w:r>
          </w:p>
        </w:tc>
        <w:tc>
          <w:tcPr>
            <w:tcW w:w="2070" w:type="dxa"/>
          </w:tcPr>
          <w:p w:rsidR="007F373F" w:rsidRDefault="00000000">
            <w:pPr>
              <w:spacing w:after="0"/>
              <w:jc w:val="left"/>
            </w:pPr>
            <w:r>
              <w:rPr>
                <w:sz w:val="19"/>
              </w:rPr>
              <w:t>Yield compression in MT LAP</w:t>
            </w:r>
          </w:p>
        </w:tc>
        <w:tc>
          <w:tcPr>
            <w:tcW w:w="4279" w:type="dxa"/>
          </w:tcPr>
          <w:p w:rsidR="007F373F" w:rsidRDefault="00000000">
            <w:pPr>
              <w:spacing w:after="0"/>
              <w:jc w:val="left"/>
            </w:pPr>
            <w:r>
              <w:rPr>
                <w:sz w:val="19"/>
              </w:rPr>
              <w:t>Origination yield 12.0%; ‘broader industry yield pressures’ acknowledged; disbursements −5%</w:t>
            </w:r>
          </w:p>
        </w:tc>
        <w:tc>
          <w:tcPr>
            <w:tcW w:w="2968" w:type="dxa"/>
          </w:tcPr>
          <w:p w:rsidR="007F373F" w:rsidRDefault="00000000">
            <w:pPr>
              <w:spacing w:after="0"/>
              <w:jc w:val="left"/>
            </w:pPr>
            <w:r>
              <w:rPr>
                <w:sz w:val="19"/>
              </w:rPr>
              <w:t>Blended yield; balance-transfer attrition; MT LAP growth vs AUM</w:t>
            </w:r>
          </w:p>
        </w:tc>
      </w:tr>
      <w:tr w:rsidR="007F373F">
        <w:trPr>
          <w:jc w:val="center"/>
        </w:trPr>
        <w:tc>
          <w:tcPr>
            <w:tcW w:w="414" w:type="dxa"/>
          </w:tcPr>
          <w:p w:rsidR="007F373F" w:rsidRDefault="00000000">
            <w:pPr>
              <w:spacing w:after="0"/>
              <w:jc w:val="left"/>
            </w:pPr>
            <w:r>
              <w:rPr>
                <w:sz w:val="19"/>
              </w:rPr>
              <w:t>9</w:t>
            </w:r>
          </w:p>
        </w:tc>
        <w:tc>
          <w:tcPr>
            <w:tcW w:w="2070" w:type="dxa"/>
          </w:tcPr>
          <w:p w:rsidR="007F373F" w:rsidRDefault="00000000">
            <w:pPr>
              <w:spacing w:after="0"/>
              <w:jc w:val="left"/>
            </w:pPr>
            <w:r>
              <w:rPr>
                <w:sz w:val="19"/>
              </w:rPr>
              <w:t>Disclosure consistency</w:t>
            </w:r>
          </w:p>
        </w:tc>
        <w:tc>
          <w:tcPr>
            <w:tcW w:w="4279" w:type="dxa"/>
          </w:tcPr>
          <w:p w:rsidR="007F373F" w:rsidRDefault="00000000">
            <w:pPr>
              <w:spacing w:after="0"/>
              <w:jc w:val="left"/>
            </w:pPr>
            <w:r>
              <w:rPr>
                <w:sz w:val="19"/>
              </w:rPr>
              <w:t>GNPA 1.9% vs 2.2%; DA income ₹7.4 crore vs ₹102 crore; headcount +6.3% vs +16%; AUM–loan bridge not published</w:t>
            </w:r>
          </w:p>
        </w:tc>
        <w:tc>
          <w:tcPr>
            <w:tcW w:w="2968" w:type="dxa"/>
          </w:tcPr>
          <w:p w:rsidR="007F373F" w:rsidRDefault="00000000">
            <w:pPr>
              <w:spacing w:after="0"/>
              <w:jc w:val="left"/>
            </w:pPr>
            <w:r>
              <w:rPr>
                <w:sz w:val="19"/>
              </w:rPr>
              <w:t>Reconciliations in FY27 report; investor-presentation detail</w:t>
            </w:r>
          </w:p>
        </w:tc>
      </w:tr>
      <w:tr w:rsidR="007F373F">
        <w:trPr>
          <w:jc w:val="center"/>
        </w:trPr>
        <w:tc>
          <w:tcPr>
            <w:tcW w:w="414" w:type="dxa"/>
          </w:tcPr>
          <w:p w:rsidR="007F373F" w:rsidRDefault="00000000">
            <w:pPr>
              <w:spacing w:after="0"/>
              <w:jc w:val="left"/>
            </w:pPr>
            <w:r>
              <w:rPr>
                <w:sz w:val="19"/>
              </w:rPr>
              <w:t>10</w:t>
            </w:r>
          </w:p>
        </w:tc>
        <w:tc>
          <w:tcPr>
            <w:tcW w:w="2070" w:type="dxa"/>
          </w:tcPr>
          <w:p w:rsidR="007F373F" w:rsidRDefault="00000000">
            <w:pPr>
              <w:spacing w:after="0"/>
              <w:jc w:val="left"/>
            </w:pPr>
            <w:r>
              <w:rPr>
                <w:sz w:val="19"/>
              </w:rPr>
              <w:t>Shareholder and leadership transition</w:t>
            </w:r>
          </w:p>
        </w:tc>
        <w:tc>
          <w:tcPr>
            <w:tcW w:w="4279" w:type="dxa"/>
          </w:tcPr>
          <w:p w:rsidR="007F373F" w:rsidRDefault="00000000">
            <w:pPr>
              <w:spacing w:after="0"/>
              <w:jc w:val="left"/>
            </w:pPr>
            <w:r>
              <w:rPr>
                <w:sz w:val="19"/>
              </w:rPr>
              <w:t>True North exit; new CS; MD&amp;CEO in second full year; small free float</w:t>
            </w:r>
          </w:p>
        </w:tc>
        <w:tc>
          <w:tcPr>
            <w:tcW w:w="2968" w:type="dxa"/>
          </w:tcPr>
          <w:p w:rsidR="007F373F" w:rsidRDefault="00000000">
            <w:pPr>
              <w:spacing w:after="0"/>
              <w:jc w:val="left"/>
            </w:pPr>
            <w:r>
              <w:rPr>
                <w:sz w:val="19"/>
              </w:rPr>
              <w:t>Board stability; promoter intent; institutional holding trend</w:t>
            </w:r>
          </w:p>
        </w:tc>
      </w:tr>
    </w:tbl>
    <w:p w:rsidR="007F373F" w:rsidRDefault="007F373F">
      <w:pPr>
        <w:spacing w:after="40"/>
      </w:pPr>
    </w:p>
    <w:tbl>
      <w:tblPr>
        <w:tblW w:w="0" w:type="auto"/>
        <w:jc w:val="center"/>
        <w:tblCellMar>
          <w:top w:w="40" w:type="dxa"/>
          <w:left w:w="60" w:type="dxa"/>
          <w:bottom w:w="40" w:type="dxa"/>
          <w:right w:w="60" w:type="dxa"/>
        </w:tblCellMar>
        <w:tblLook w:val="04A0" w:firstRow="1" w:lastRow="0" w:firstColumn="1" w:lastColumn="0" w:noHBand="0" w:noVBand="1"/>
      </w:tblPr>
      <w:tblGrid>
        <w:gridCol w:w="1624"/>
        <w:gridCol w:w="1624"/>
        <w:gridCol w:w="1624"/>
        <w:gridCol w:w="1624"/>
        <w:gridCol w:w="1624"/>
        <w:gridCol w:w="1624"/>
      </w:tblGrid>
      <w:tr w:rsidR="007F373F">
        <w:trPr>
          <w:jc w:val="center"/>
        </w:trPr>
        <w:tc>
          <w:tcPr>
            <w:tcW w:w="1624" w:type="dxa"/>
          </w:tcPr>
          <w:p w:rsidR="007F373F" w:rsidRDefault="00000000">
            <w:pPr>
              <w:spacing w:after="0"/>
              <w:jc w:val="center"/>
            </w:pPr>
            <w:r>
              <w:rPr>
                <w:b/>
                <w:sz w:val="26"/>
              </w:rPr>
              <w:t>51.4%</w:t>
            </w:r>
          </w:p>
          <w:p w:rsidR="007F373F" w:rsidRDefault="00000000">
            <w:pPr>
              <w:spacing w:after="0"/>
              <w:jc w:val="center"/>
            </w:pPr>
            <w:r>
              <w:rPr>
                <w:sz w:val="18"/>
              </w:rPr>
              <w:t>Gold share of AUM</w:t>
            </w:r>
          </w:p>
        </w:tc>
        <w:tc>
          <w:tcPr>
            <w:tcW w:w="1624" w:type="dxa"/>
          </w:tcPr>
          <w:p w:rsidR="007F373F" w:rsidRDefault="00000000">
            <w:pPr>
              <w:spacing w:after="0"/>
              <w:jc w:val="center"/>
            </w:pPr>
            <w:r>
              <w:rPr>
                <w:b/>
                <w:sz w:val="26"/>
              </w:rPr>
              <w:t>4.6x</w:t>
            </w:r>
          </w:p>
          <w:p w:rsidR="007F373F" w:rsidRDefault="00000000">
            <w:pPr>
              <w:spacing w:after="0"/>
              <w:jc w:val="center"/>
            </w:pPr>
            <w:r>
              <w:rPr>
                <w:sz w:val="18"/>
              </w:rPr>
              <w:t>Debt / equity</w:t>
            </w:r>
          </w:p>
        </w:tc>
        <w:tc>
          <w:tcPr>
            <w:tcW w:w="1624" w:type="dxa"/>
          </w:tcPr>
          <w:p w:rsidR="007F373F" w:rsidRDefault="00000000">
            <w:pPr>
              <w:spacing w:after="0"/>
              <w:jc w:val="center"/>
            </w:pPr>
            <w:r>
              <w:rPr>
                <w:b/>
                <w:sz w:val="26"/>
              </w:rPr>
              <w:t>32.3%</w:t>
            </w:r>
          </w:p>
          <w:p w:rsidR="007F373F" w:rsidRDefault="00000000">
            <w:pPr>
              <w:spacing w:after="0"/>
              <w:jc w:val="center"/>
            </w:pPr>
            <w:r>
              <w:rPr>
                <w:sz w:val="18"/>
              </w:rPr>
              <w:t>Provision coverage</w:t>
            </w:r>
          </w:p>
        </w:tc>
        <w:tc>
          <w:tcPr>
            <w:tcW w:w="1624" w:type="dxa"/>
          </w:tcPr>
          <w:p w:rsidR="007F373F" w:rsidRDefault="00000000">
            <w:pPr>
              <w:spacing w:after="0"/>
              <w:jc w:val="center"/>
            </w:pPr>
            <w:r>
              <w:rPr>
                <w:b/>
                <w:sz w:val="26"/>
              </w:rPr>
              <w:t>35.85%</w:t>
            </w:r>
          </w:p>
          <w:p w:rsidR="007F373F" w:rsidRDefault="00000000">
            <w:pPr>
              <w:spacing w:after="0"/>
              <w:jc w:val="center"/>
            </w:pPr>
            <w:r>
              <w:rPr>
                <w:sz w:val="18"/>
              </w:rPr>
              <w:t>Voluntary attrition</w:t>
            </w:r>
          </w:p>
        </w:tc>
        <w:tc>
          <w:tcPr>
            <w:tcW w:w="1624" w:type="dxa"/>
          </w:tcPr>
          <w:p w:rsidR="007F373F" w:rsidRDefault="00000000">
            <w:pPr>
              <w:spacing w:after="0"/>
              <w:jc w:val="center"/>
            </w:pPr>
            <w:r>
              <w:rPr>
                <w:b/>
                <w:sz w:val="26"/>
              </w:rPr>
              <w:t>₹227 cr</w:t>
            </w:r>
          </w:p>
          <w:p w:rsidR="007F373F" w:rsidRDefault="00000000">
            <w:pPr>
              <w:spacing w:after="0"/>
              <w:jc w:val="center"/>
            </w:pPr>
            <w:r>
              <w:rPr>
                <w:sz w:val="18"/>
              </w:rPr>
              <w:t>Additions to impaired loans (+16%)</w:t>
            </w:r>
          </w:p>
        </w:tc>
        <w:tc>
          <w:tcPr>
            <w:tcW w:w="1624" w:type="dxa"/>
          </w:tcPr>
          <w:p w:rsidR="007F373F" w:rsidRDefault="00000000">
            <w:pPr>
              <w:spacing w:after="0"/>
              <w:jc w:val="center"/>
            </w:pPr>
            <w:r>
              <w:rPr>
                <w:b/>
                <w:sz w:val="26"/>
              </w:rPr>
              <w:t>57.2%</w:t>
            </w:r>
          </w:p>
          <w:p w:rsidR="007F373F" w:rsidRDefault="00000000">
            <w:pPr>
              <w:spacing w:after="0"/>
              <w:jc w:val="center"/>
            </w:pPr>
            <w:r>
              <w:rPr>
                <w:sz w:val="18"/>
              </w:rPr>
              <w:t>Cost-to-income</w:t>
            </w:r>
          </w:p>
        </w:tc>
      </w:tr>
    </w:tbl>
    <w:p w:rsidR="007F373F" w:rsidRDefault="007F373F">
      <w:pPr>
        <w:spacing w:after="40"/>
      </w:pPr>
    </w:p>
    <w:p w:rsidR="007F373F" w:rsidRDefault="00000000">
      <w:r>
        <w:t>Signals that would change the assessment. The view taken in this report would weaken if any of the following appeared in FY27 disclosures: credit cost back above 1.5% (the FY25 level was 1.8%); Stage 2 loans above 4% of the amortised-cost book (5.1% at the FY25 peak); gold tonnage growth below the 10–12% target with AUM still growing on price; D/E above 5x without a capital plan; or a cost-to-income ratio that rises rather than falls as the 148 FY26 branches complete their first full year. Conversely, a reported fall in C/I below 55% with credit cost under 1% would confirm that operating leverage has arrived and that the FY26 RoE of 12.6% understates normalised earning power.</w:t>
      </w:r>
    </w:p>
    <w:p w:rsidR="007F373F" w:rsidRDefault="00000000">
      <w:r>
        <w:lastRenderedPageBreak/>
        <w:t>Weighing the two pages. None of the watch factors is, on the FY26 evidence, a thesis-breaker; the first four are consequences of the strategy’s success and will be resolved by time and data rather than by further management action. The appropriate stance is conditional confidence: the fundamentals are sound and improving, and FY27 will show whether the improvement is durable.</w:t>
      </w:r>
    </w:p>
    <w:p w:rsidR="007F373F" w:rsidRDefault="00000000">
      <w:pPr>
        <w:pStyle w:val="Heading1"/>
        <w:pageBreakBefore/>
      </w:pPr>
      <w:r>
        <w:lastRenderedPageBreak/>
        <w:t>Scenario Analysis</w:t>
      </w:r>
    </w:p>
    <w:p w:rsidR="007F373F" w:rsidRDefault="00000000">
      <w:r>
        <w:t>Scenario analysis asks how the key profit drivers would behave under different external conditions. The scenarios below are illustrative and author-constructed; they use FY26 reported figures as the base and apply the sensitivities derived in Chapters 5 and 6. They are not forecasts and do not represent company guidance.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208"/>
        <w:gridCol w:w="2415"/>
        <w:gridCol w:w="2415"/>
        <w:gridCol w:w="2691"/>
      </w:tblGrid>
      <w:tr w:rsidR="007F373F">
        <w:trPr>
          <w:jc w:val="center"/>
        </w:trPr>
        <w:tc>
          <w:tcPr>
            <w:tcW w:w="2208" w:type="dxa"/>
          </w:tcPr>
          <w:p w:rsidR="007F373F" w:rsidRDefault="00000000">
            <w:pPr>
              <w:spacing w:after="0"/>
              <w:jc w:val="left"/>
            </w:pPr>
            <w:r>
              <w:rPr>
                <w:b/>
                <w:sz w:val="19"/>
              </w:rPr>
              <w:t>Driver (FY26 base)</w:t>
            </w:r>
          </w:p>
        </w:tc>
        <w:tc>
          <w:tcPr>
            <w:tcW w:w="2415" w:type="dxa"/>
          </w:tcPr>
          <w:p w:rsidR="007F373F" w:rsidRDefault="00000000">
            <w:pPr>
              <w:spacing w:after="0"/>
              <w:jc w:val="left"/>
            </w:pPr>
            <w:r>
              <w:rPr>
                <w:b/>
                <w:sz w:val="19"/>
              </w:rPr>
              <w:t>Base case: steady state</w:t>
            </w:r>
          </w:p>
        </w:tc>
        <w:tc>
          <w:tcPr>
            <w:tcW w:w="2415" w:type="dxa"/>
          </w:tcPr>
          <w:p w:rsidR="007F373F" w:rsidRDefault="00000000">
            <w:pPr>
              <w:spacing w:after="0"/>
              <w:jc w:val="left"/>
            </w:pPr>
            <w:r>
              <w:rPr>
                <w:b/>
                <w:sz w:val="19"/>
              </w:rPr>
              <w:t>Upside: tailwinds persist</w:t>
            </w:r>
          </w:p>
        </w:tc>
        <w:tc>
          <w:tcPr>
            <w:tcW w:w="2691" w:type="dxa"/>
          </w:tcPr>
          <w:p w:rsidR="007F373F" w:rsidRDefault="00000000">
            <w:pPr>
              <w:spacing w:after="0"/>
              <w:jc w:val="left"/>
            </w:pPr>
            <w:r>
              <w:rPr>
                <w:b/>
                <w:sz w:val="19"/>
              </w:rPr>
              <w:t>Downside: gold correction + credit stress</w:t>
            </w:r>
          </w:p>
        </w:tc>
      </w:tr>
      <w:tr w:rsidR="007F373F">
        <w:trPr>
          <w:jc w:val="center"/>
        </w:trPr>
        <w:tc>
          <w:tcPr>
            <w:tcW w:w="2208" w:type="dxa"/>
          </w:tcPr>
          <w:p w:rsidR="007F373F" w:rsidRDefault="00000000">
            <w:pPr>
              <w:spacing w:after="0"/>
              <w:jc w:val="left"/>
            </w:pPr>
            <w:r>
              <w:rPr>
                <w:sz w:val="19"/>
              </w:rPr>
              <w:t>Macro and rates</w:t>
            </w:r>
          </w:p>
        </w:tc>
        <w:tc>
          <w:tcPr>
            <w:tcW w:w="2415" w:type="dxa"/>
          </w:tcPr>
          <w:p w:rsidR="007F373F" w:rsidRDefault="00000000">
            <w:pPr>
              <w:spacing w:after="0"/>
              <w:jc w:val="left"/>
            </w:pPr>
            <w:r>
              <w:rPr>
                <w:sz w:val="19"/>
              </w:rPr>
              <w:t>GDP ≈ 6.6–7.2%; repo stable near 5.25%</w:t>
            </w:r>
          </w:p>
        </w:tc>
        <w:tc>
          <w:tcPr>
            <w:tcW w:w="2415" w:type="dxa"/>
          </w:tcPr>
          <w:p w:rsidR="007F373F" w:rsidRDefault="00000000">
            <w:pPr>
              <w:spacing w:after="0"/>
              <w:jc w:val="left"/>
            </w:pPr>
            <w:r>
              <w:rPr>
                <w:sz w:val="19"/>
              </w:rPr>
              <w:t>Further 25–50 bp easing; strong rural demand</w:t>
            </w:r>
          </w:p>
        </w:tc>
        <w:tc>
          <w:tcPr>
            <w:tcW w:w="2691" w:type="dxa"/>
          </w:tcPr>
          <w:p w:rsidR="007F373F" w:rsidRDefault="00000000">
            <w:pPr>
              <w:spacing w:after="0"/>
              <w:jc w:val="left"/>
            </w:pPr>
            <w:r>
              <w:rPr>
                <w:sz w:val="19"/>
              </w:rPr>
              <w:t>Rates rise 100 bp; rural stress returns</w:t>
            </w:r>
          </w:p>
        </w:tc>
      </w:tr>
      <w:tr w:rsidR="007F373F">
        <w:trPr>
          <w:jc w:val="center"/>
        </w:trPr>
        <w:tc>
          <w:tcPr>
            <w:tcW w:w="2208" w:type="dxa"/>
          </w:tcPr>
          <w:p w:rsidR="007F373F" w:rsidRDefault="00000000">
            <w:pPr>
              <w:spacing w:after="0"/>
              <w:jc w:val="left"/>
            </w:pPr>
            <w:r>
              <w:rPr>
                <w:sz w:val="19"/>
              </w:rPr>
              <w:t>Gold price</w:t>
            </w:r>
          </w:p>
        </w:tc>
        <w:tc>
          <w:tcPr>
            <w:tcW w:w="2415" w:type="dxa"/>
          </w:tcPr>
          <w:p w:rsidR="007F373F" w:rsidRDefault="00000000">
            <w:pPr>
              <w:spacing w:after="0"/>
              <w:jc w:val="left"/>
            </w:pPr>
            <w:r>
              <w:rPr>
                <w:sz w:val="19"/>
              </w:rPr>
              <w:t>Flat to modestly higher</w:t>
            </w:r>
          </w:p>
        </w:tc>
        <w:tc>
          <w:tcPr>
            <w:tcW w:w="2415" w:type="dxa"/>
          </w:tcPr>
          <w:p w:rsidR="007F373F" w:rsidRDefault="00000000">
            <w:pPr>
              <w:spacing w:after="0"/>
              <w:jc w:val="left"/>
            </w:pPr>
            <w:r>
              <w:rPr>
                <w:sz w:val="19"/>
              </w:rPr>
              <w:t>Continues to rise; tonnage +12%</w:t>
            </w:r>
          </w:p>
        </w:tc>
        <w:tc>
          <w:tcPr>
            <w:tcW w:w="2691" w:type="dxa"/>
          </w:tcPr>
          <w:p w:rsidR="007F373F" w:rsidRDefault="00000000">
            <w:pPr>
              <w:spacing w:after="0"/>
              <w:jc w:val="left"/>
            </w:pPr>
            <w:r>
              <w:rPr>
                <w:sz w:val="19"/>
              </w:rPr>
              <w:t>Falls 20–25% within a year</w:t>
            </w:r>
          </w:p>
        </w:tc>
      </w:tr>
      <w:tr w:rsidR="007F373F">
        <w:trPr>
          <w:jc w:val="center"/>
        </w:trPr>
        <w:tc>
          <w:tcPr>
            <w:tcW w:w="2208" w:type="dxa"/>
          </w:tcPr>
          <w:p w:rsidR="007F373F" w:rsidRDefault="00000000">
            <w:pPr>
              <w:spacing w:after="0"/>
              <w:jc w:val="left"/>
            </w:pPr>
            <w:r>
              <w:rPr>
                <w:sz w:val="19"/>
              </w:rPr>
              <w:t>AUM growth (27.5%)</w:t>
            </w:r>
          </w:p>
        </w:tc>
        <w:tc>
          <w:tcPr>
            <w:tcW w:w="2415" w:type="dxa"/>
          </w:tcPr>
          <w:p w:rsidR="007F373F" w:rsidRDefault="00000000">
            <w:pPr>
              <w:spacing w:after="0"/>
              <w:jc w:val="left"/>
            </w:pPr>
            <w:r>
              <w:rPr>
                <w:sz w:val="19"/>
              </w:rPr>
              <w:t>20–25% (Board target)</w:t>
            </w:r>
          </w:p>
        </w:tc>
        <w:tc>
          <w:tcPr>
            <w:tcW w:w="2415" w:type="dxa"/>
          </w:tcPr>
          <w:p w:rsidR="007F373F" w:rsidRDefault="00000000">
            <w:pPr>
              <w:spacing w:after="0"/>
              <w:jc w:val="left"/>
            </w:pPr>
            <w:r>
              <w:rPr>
                <w:sz w:val="19"/>
              </w:rPr>
              <w:t>25–30%</w:t>
            </w:r>
          </w:p>
        </w:tc>
        <w:tc>
          <w:tcPr>
            <w:tcW w:w="2691" w:type="dxa"/>
          </w:tcPr>
          <w:p w:rsidR="007F373F" w:rsidRDefault="00000000">
            <w:pPr>
              <w:spacing w:after="0"/>
              <w:jc w:val="left"/>
            </w:pPr>
            <w:r>
              <w:rPr>
                <w:sz w:val="19"/>
              </w:rPr>
              <w:t>10–15%; gold disbursements slow; mortgage steady</w:t>
            </w:r>
          </w:p>
        </w:tc>
      </w:tr>
      <w:tr w:rsidR="007F373F">
        <w:trPr>
          <w:jc w:val="center"/>
        </w:trPr>
        <w:tc>
          <w:tcPr>
            <w:tcW w:w="2208" w:type="dxa"/>
          </w:tcPr>
          <w:p w:rsidR="007F373F" w:rsidRDefault="00000000">
            <w:pPr>
              <w:spacing w:after="0"/>
              <w:jc w:val="left"/>
            </w:pPr>
            <w:r>
              <w:rPr>
                <w:sz w:val="19"/>
              </w:rPr>
              <w:t>Spread / NIM (8.6% / 8.8%)</w:t>
            </w:r>
          </w:p>
        </w:tc>
        <w:tc>
          <w:tcPr>
            <w:tcW w:w="2415" w:type="dxa"/>
          </w:tcPr>
          <w:p w:rsidR="007F373F" w:rsidRDefault="00000000">
            <w:pPr>
              <w:spacing w:after="0"/>
              <w:jc w:val="left"/>
            </w:pPr>
            <w:r>
              <w:rPr>
                <w:sz w:val="19"/>
              </w:rPr>
              <w:t>Stable 8.3–8.6%</w:t>
            </w:r>
          </w:p>
        </w:tc>
        <w:tc>
          <w:tcPr>
            <w:tcW w:w="2415" w:type="dxa"/>
          </w:tcPr>
          <w:p w:rsidR="007F373F" w:rsidRDefault="00000000">
            <w:pPr>
              <w:spacing w:after="0"/>
              <w:jc w:val="left"/>
            </w:pPr>
            <w:r>
              <w:rPr>
                <w:sz w:val="19"/>
              </w:rPr>
              <w:t>Widens 20–30 bp as CoB falls</w:t>
            </w:r>
          </w:p>
        </w:tc>
        <w:tc>
          <w:tcPr>
            <w:tcW w:w="2691" w:type="dxa"/>
          </w:tcPr>
          <w:p w:rsidR="007F373F" w:rsidRDefault="00000000">
            <w:pPr>
              <w:spacing w:after="0"/>
              <w:jc w:val="left"/>
            </w:pPr>
            <w:r>
              <w:rPr>
                <w:sz w:val="19"/>
              </w:rPr>
              <w:t>Compresses 50–80 bp on floating liabilities</w:t>
            </w:r>
          </w:p>
        </w:tc>
      </w:tr>
      <w:tr w:rsidR="007F373F">
        <w:trPr>
          <w:jc w:val="center"/>
        </w:trPr>
        <w:tc>
          <w:tcPr>
            <w:tcW w:w="2208" w:type="dxa"/>
          </w:tcPr>
          <w:p w:rsidR="007F373F" w:rsidRDefault="00000000">
            <w:pPr>
              <w:spacing w:after="0"/>
              <w:jc w:val="left"/>
            </w:pPr>
            <w:r>
              <w:rPr>
                <w:sz w:val="19"/>
              </w:rPr>
              <w:t>Cost-to-income (57.2%)</w:t>
            </w:r>
          </w:p>
        </w:tc>
        <w:tc>
          <w:tcPr>
            <w:tcW w:w="2415" w:type="dxa"/>
          </w:tcPr>
          <w:p w:rsidR="007F373F" w:rsidRDefault="00000000">
            <w:pPr>
              <w:spacing w:after="0"/>
              <w:jc w:val="left"/>
            </w:pPr>
            <w:r>
              <w:rPr>
                <w:sz w:val="19"/>
              </w:rPr>
              <w:t>Drifts to 54–55% as branches mature</w:t>
            </w:r>
          </w:p>
        </w:tc>
        <w:tc>
          <w:tcPr>
            <w:tcW w:w="2415" w:type="dxa"/>
          </w:tcPr>
          <w:p w:rsidR="007F373F" w:rsidRDefault="00000000">
            <w:pPr>
              <w:spacing w:after="0"/>
              <w:jc w:val="left"/>
            </w:pPr>
            <w:r>
              <w:rPr>
                <w:sz w:val="19"/>
              </w:rPr>
              <w:t>Below 53% with operating leverage</w:t>
            </w:r>
          </w:p>
        </w:tc>
        <w:tc>
          <w:tcPr>
            <w:tcW w:w="2691" w:type="dxa"/>
          </w:tcPr>
          <w:p w:rsidR="007F373F" w:rsidRDefault="00000000">
            <w:pPr>
              <w:spacing w:after="0"/>
              <w:jc w:val="left"/>
            </w:pPr>
            <w:r>
              <w:rPr>
                <w:sz w:val="19"/>
              </w:rPr>
              <w:t>Rises above 60% on lower income</w:t>
            </w:r>
          </w:p>
        </w:tc>
      </w:tr>
      <w:tr w:rsidR="007F373F">
        <w:trPr>
          <w:jc w:val="center"/>
        </w:trPr>
        <w:tc>
          <w:tcPr>
            <w:tcW w:w="2208" w:type="dxa"/>
          </w:tcPr>
          <w:p w:rsidR="007F373F" w:rsidRDefault="00000000">
            <w:pPr>
              <w:spacing w:after="0"/>
              <w:jc w:val="left"/>
            </w:pPr>
            <w:r>
              <w:rPr>
                <w:sz w:val="19"/>
              </w:rPr>
              <w:t>Credit cost (0.8%)</w:t>
            </w:r>
          </w:p>
        </w:tc>
        <w:tc>
          <w:tcPr>
            <w:tcW w:w="2415" w:type="dxa"/>
          </w:tcPr>
          <w:p w:rsidR="007F373F" w:rsidRDefault="00000000">
            <w:pPr>
              <w:spacing w:after="0"/>
              <w:jc w:val="left"/>
            </w:pPr>
            <w:r>
              <w:rPr>
                <w:sz w:val="19"/>
              </w:rPr>
              <w:t>0.8–1.0%</w:t>
            </w:r>
          </w:p>
        </w:tc>
        <w:tc>
          <w:tcPr>
            <w:tcW w:w="2415" w:type="dxa"/>
          </w:tcPr>
          <w:p w:rsidR="007F373F" w:rsidRDefault="00000000">
            <w:pPr>
              <w:spacing w:after="0"/>
              <w:jc w:val="left"/>
            </w:pPr>
            <w:r>
              <w:rPr>
                <w:sz w:val="19"/>
              </w:rPr>
              <w:t>0.6–0.8%</w:t>
            </w:r>
          </w:p>
        </w:tc>
        <w:tc>
          <w:tcPr>
            <w:tcW w:w="2691" w:type="dxa"/>
          </w:tcPr>
          <w:p w:rsidR="007F373F" w:rsidRDefault="00000000">
            <w:pPr>
              <w:spacing w:after="0"/>
              <w:jc w:val="left"/>
            </w:pPr>
            <w:r>
              <w:rPr>
                <w:sz w:val="19"/>
              </w:rPr>
              <w:t>1.5–2.0% (FY25-type ST LAP stress plus gold auction losses)</w:t>
            </w:r>
          </w:p>
        </w:tc>
      </w:tr>
      <w:tr w:rsidR="007F373F">
        <w:trPr>
          <w:jc w:val="center"/>
        </w:trPr>
        <w:tc>
          <w:tcPr>
            <w:tcW w:w="2208" w:type="dxa"/>
          </w:tcPr>
          <w:p w:rsidR="007F373F" w:rsidRDefault="00000000">
            <w:pPr>
              <w:spacing w:after="0"/>
              <w:jc w:val="left"/>
            </w:pPr>
            <w:r>
              <w:rPr>
                <w:sz w:val="19"/>
              </w:rPr>
              <w:t>RoA (2.4%)</w:t>
            </w:r>
          </w:p>
        </w:tc>
        <w:tc>
          <w:tcPr>
            <w:tcW w:w="2415" w:type="dxa"/>
          </w:tcPr>
          <w:p w:rsidR="007F373F" w:rsidRDefault="00000000">
            <w:pPr>
              <w:spacing w:after="0"/>
              <w:jc w:val="left"/>
            </w:pPr>
            <w:r>
              <w:rPr>
                <w:sz w:val="19"/>
              </w:rPr>
              <w:t>2.3–2.5%</w:t>
            </w:r>
          </w:p>
        </w:tc>
        <w:tc>
          <w:tcPr>
            <w:tcW w:w="2415" w:type="dxa"/>
          </w:tcPr>
          <w:p w:rsidR="007F373F" w:rsidRDefault="00000000">
            <w:pPr>
              <w:spacing w:after="0"/>
              <w:jc w:val="left"/>
            </w:pPr>
            <w:r>
              <w:rPr>
                <w:sz w:val="19"/>
              </w:rPr>
              <w:t>2.6–2.8% (Q4 FY26 run-rate 2.6%)</w:t>
            </w:r>
          </w:p>
        </w:tc>
        <w:tc>
          <w:tcPr>
            <w:tcW w:w="2691" w:type="dxa"/>
          </w:tcPr>
          <w:p w:rsidR="007F373F" w:rsidRDefault="00000000">
            <w:pPr>
              <w:spacing w:after="0"/>
              <w:jc w:val="left"/>
            </w:pPr>
            <w:r>
              <w:rPr>
                <w:sz w:val="19"/>
              </w:rPr>
              <w:t>1.3–1.6%</w:t>
            </w:r>
          </w:p>
        </w:tc>
      </w:tr>
      <w:tr w:rsidR="007F373F">
        <w:trPr>
          <w:jc w:val="center"/>
        </w:trPr>
        <w:tc>
          <w:tcPr>
            <w:tcW w:w="2208" w:type="dxa"/>
          </w:tcPr>
          <w:p w:rsidR="007F373F" w:rsidRDefault="00000000">
            <w:pPr>
              <w:spacing w:after="0"/>
              <w:jc w:val="left"/>
            </w:pPr>
            <w:r>
              <w:rPr>
                <w:sz w:val="19"/>
              </w:rPr>
              <w:t>RoE (12.6%)</w:t>
            </w:r>
          </w:p>
        </w:tc>
        <w:tc>
          <w:tcPr>
            <w:tcW w:w="2415" w:type="dxa"/>
          </w:tcPr>
          <w:p w:rsidR="007F373F" w:rsidRDefault="00000000">
            <w:pPr>
              <w:spacing w:after="0"/>
              <w:jc w:val="left"/>
            </w:pPr>
            <w:r>
              <w:rPr>
                <w:sz w:val="19"/>
              </w:rPr>
              <w:t>13–14%</w:t>
            </w:r>
          </w:p>
        </w:tc>
        <w:tc>
          <w:tcPr>
            <w:tcW w:w="2415" w:type="dxa"/>
          </w:tcPr>
          <w:p w:rsidR="007F373F" w:rsidRDefault="00000000">
            <w:pPr>
              <w:spacing w:after="0"/>
              <w:jc w:val="left"/>
            </w:pPr>
            <w:r>
              <w:rPr>
                <w:sz w:val="19"/>
              </w:rPr>
              <w:t>15–16%</w:t>
            </w:r>
          </w:p>
        </w:tc>
        <w:tc>
          <w:tcPr>
            <w:tcW w:w="2691" w:type="dxa"/>
          </w:tcPr>
          <w:p w:rsidR="007F373F" w:rsidRDefault="00000000">
            <w:pPr>
              <w:spacing w:after="0"/>
              <w:jc w:val="left"/>
            </w:pPr>
            <w:r>
              <w:rPr>
                <w:sz w:val="19"/>
              </w:rPr>
              <w:t>7–9%</w:t>
            </w:r>
          </w:p>
        </w:tc>
      </w:tr>
      <w:tr w:rsidR="007F373F">
        <w:trPr>
          <w:jc w:val="center"/>
        </w:trPr>
        <w:tc>
          <w:tcPr>
            <w:tcW w:w="2208" w:type="dxa"/>
          </w:tcPr>
          <w:p w:rsidR="007F373F" w:rsidRDefault="00000000">
            <w:pPr>
              <w:spacing w:after="0"/>
              <w:jc w:val="left"/>
            </w:pPr>
            <w:r>
              <w:rPr>
                <w:sz w:val="19"/>
              </w:rPr>
              <w:t>Capital (CRAR 22.4%)</w:t>
            </w:r>
          </w:p>
        </w:tc>
        <w:tc>
          <w:tcPr>
            <w:tcW w:w="2415" w:type="dxa"/>
          </w:tcPr>
          <w:p w:rsidR="007F373F" w:rsidRDefault="00000000">
            <w:pPr>
              <w:spacing w:after="0"/>
              <w:jc w:val="left"/>
            </w:pPr>
            <w:r>
              <w:rPr>
                <w:sz w:val="19"/>
              </w:rPr>
              <w:t>Stable; Tier I slowly declines with growth</w:t>
            </w:r>
          </w:p>
        </w:tc>
        <w:tc>
          <w:tcPr>
            <w:tcW w:w="2415" w:type="dxa"/>
          </w:tcPr>
          <w:p w:rsidR="007F373F" w:rsidRDefault="00000000">
            <w:pPr>
              <w:spacing w:after="0"/>
              <w:jc w:val="left"/>
            </w:pPr>
            <w:r>
              <w:rPr>
                <w:sz w:val="19"/>
              </w:rPr>
              <w:t>Comfortable; possible equity raise for growth</w:t>
            </w:r>
          </w:p>
        </w:tc>
        <w:tc>
          <w:tcPr>
            <w:tcW w:w="2691" w:type="dxa"/>
          </w:tcPr>
          <w:p w:rsidR="007F373F" w:rsidRDefault="00000000">
            <w:pPr>
              <w:spacing w:after="0"/>
              <w:jc w:val="left"/>
            </w:pPr>
            <w:r>
              <w:rPr>
                <w:sz w:val="19"/>
              </w:rPr>
              <w:t>Falls but stays &gt; 18%; growth slows to preserve capital</w:t>
            </w:r>
          </w:p>
        </w:tc>
      </w:tr>
      <w:tr w:rsidR="007F373F">
        <w:trPr>
          <w:jc w:val="center"/>
        </w:trPr>
        <w:tc>
          <w:tcPr>
            <w:tcW w:w="2208" w:type="dxa"/>
          </w:tcPr>
          <w:p w:rsidR="007F373F" w:rsidRDefault="00000000">
            <w:pPr>
              <w:spacing w:after="0"/>
              <w:jc w:val="left"/>
            </w:pPr>
            <w:r>
              <w:rPr>
                <w:sz w:val="19"/>
              </w:rPr>
              <w:t>Earnings signal</w:t>
            </w:r>
          </w:p>
        </w:tc>
        <w:tc>
          <w:tcPr>
            <w:tcW w:w="2415" w:type="dxa"/>
          </w:tcPr>
          <w:p w:rsidR="007F373F" w:rsidRDefault="00000000">
            <w:pPr>
              <w:spacing w:after="0"/>
              <w:jc w:val="left"/>
            </w:pPr>
            <w:r>
              <w:rPr>
                <w:sz w:val="19"/>
              </w:rPr>
              <w:t>PAT grows roughly in line with AUM</w:t>
            </w:r>
          </w:p>
        </w:tc>
        <w:tc>
          <w:tcPr>
            <w:tcW w:w="2415" w:type="dxa"/>
          </w:tcPr>
          <w:p w:rsidR="007F373F" w:rsidRDefault="00000000">
            <w:pPr>
              <w:spacing w:after="0"/>
              <w:jc w:val="left"/>
            </w:pPr>
            <w:r>
              <w:rPr>
                <w:sz w:val="19"/>
              </w:rPr>
              <w:t>PAT grows faster than AUM</w:t>
            </w:r>
          </w:p>
        </w:tc>
        <w:tc>
          <w:tcPr>
            <w:tcW w:w="2691" w:type="dxa"/>
          </w:tcPr>
          <w:p w:rsidR="007F373F" w:rsidRDefault="00000000">
            <w:pPr>
              <w:spacing w:after="0"/>
              <w:jc w:val="left"/>
            </w:pPr>
            <w:r>
              <w:rPr>
                <w:sz w:val="19"/>
              </w:rPr>
              <w:t>PAT falls 30–45% from FY26 (derived from RoA range on a flat balance sheet)</w:t>
            </w:r>
          </w:p>
        </w:tc>
      </w:tr>
    </w:tbl>
    <w:p w:rsidR="007F373F" w:rsidRDefault="007F373F">
      <w:pPr>
        <w:spacing w:after="40"/>
      </w:pPr>
    </w:p>
    <w:p w:rsidR="007F373F" w:rsidRDefault="00000000">
      <w:pPr>
        <w:pStyle w:val="Heading2"/>
      </w:pPr>
      <w:r>
        <w:t>Discussion</w:t>
      </w:r>
    </w:p>
    <w:p w:rsidR="007F373F" w:rsidRDefault="00000000">
      <w:r>
        <w:t>The base case corresponds to the Board’s 20–25% sustainable-growth target with the FY26 margin and credit-cost structure maintained, and yields an RoE in the 13–14% range – roughly the Q4 FY26 exit rate. The upside case requires the FY26 tailwinds (falling rates, rising gold, strong rural demand) to continue and operating leverage to show through; it would lift RoE into the mid-teens seen in FY23 and justify a re-rating of the shares. The downside case combines the two risks the matrix rates highest – a gold-price correction and renewed small-ticket mortgage stress – with a rate reversal. Even in that scenario the derived RoA stays positive and CRAR remains above the regulatory floor by a wide margin, because of the secured book, the short gold tenor and the 22.4% starting capital; the damage is to earnings and valuation rather than solvency.</w:t>
      </w:r>
    </w:p>
    <w:p w:rsidR="007F373F" w:rsidRDefault="00000000">
      <w:r>
        <w:t>The asymmetry matters for the hypothesis: the structural changes of FY25–FY26 (secured mix, in-house collections, BRE underwriting, funding diversification) lower the probability and severity of the downside without capping the upside. That is the essence of the argument that profitability has become more sustainable, and it is what distinguishes the FY26 recovery from a purely cyclical rebound.</w:t>
      </w:r>
    </w:p>
    <w:p w:rsidR="007F373F" w:rsidRDefault="00000000">
      <w:pPr>
        <w:pStyle w:val="Heading1"/>
        <w:pageBreakBefore/>
      </w:pPr>
      <w:r>
        <w:lastRenderedPageBreak/>
        <w:t>Balanced Scorecard Assessment</w:t>
      </w:r>
    </w:p>
    <w:p w:rsidR="007F373F" w:rsidRDefault="00000000">
      <w:r>
        <w:t>The balanced scorecard evaluates performance across four perspectives rather than financial results alone. Each perspective is scored on the disclosed FY26 evidence relative to the company’s own commitments and sector norms (author’s qualitative scores: Strong / Adequate / Needs improvement).</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518"/>
        <w:gridCol w:w="1794"/>
        <w:gridCol w:w="3175"/>
        <w:gridCol w:w="2208"/>
        <w:gridCol w:w="1100"/>
      </w:tblGrid>
      <w:tr w:rsidR="007F373F">
        <w:trPr>
          <w:jc w:val="center"/>
        </w:trPr>
        <w:tc>
          <w:tcPr>
            <w:tcW w:w="1518" w:type="dxa"/>
          </w:tcPr>
          <w:p w:rsidR="007F373F" w:rsidRDefault="00000000">
            <w:pPr>
              <w:spacing w:after="0"/>
              <w:jc w:val="left"/>
            </w:pPr>
            <w:r>
              <w:rPr>
                <w:b/>
                <w:sz w:val="18"/>
              </w:rPr>
              <w:t>Perspective</w:t>
            </w:r>
          </w:p>
        </w:tc>
        <w:tc>
          <w:tcPr>
            <w:tcW w:w="1794" w:type="dxa"/>
          </w:tcPr>
          <w:p w:rsidR="007F373F" w:rsidRDefault="00000000">
            <w:pPr>
              <w:spacing w:after="0"/>
              <w:jc w:val="left"/>
            </w:pPr>
            <w:r>
              <w:rPr>
                <w:b/>
                <w:sz w:val="18"/>
              </w:rPr>
              <w:t>Objective</w:t>
            </w:r>
          </w:p>
        </w:tc>
        <w:tc>
          <w:tcPr>
            <w:tcW w:w="3175" w:type="dxa"/>
          </w:tcPr>
          <w:p w:rsidR="007F373F" w:rsidRDefault="00000000">
            <w:pPr>
              <w:spacing w:after="0"/>
              <w:jc w:val="left"/>
            </w:pPr>
            <w:r>
              <w:rPr>
                <w:b/>
                <w:sz w:val="18"/>
              </w:rPr>
              <w:t>FY26 measure</w:t>
            </w:r>
          </w:p>
        </w:tc>
        <w:tc>
          <w:tcPr>
            <w:tcW w:w="2208" w:type="dxa"/>
          </w:tcPr>
          <w:p w:rsidR="007F373F" w:rsidRDefault="00000000">
            <w:pPr>
              <w:spacing w:after="0"/>
              <w:jc w:val="left"/>
            </w:pPr>
            <w:r>
              <w:rPr>
                <w:b/>
                <w:sz w:val="18"/>
              </w:rPr>
              <w:t>Result</w:t>
            </w:r>
          </w:p>
        </w:tc>
        <w:tc>
          <w:tcPr>
            <w:tcW w:w="1035" w:type="dxa"/>
          </w:tcPr>
          <w:p w:rsidR="007F373F" w:rsidRDefault="00000000">
            <w:pPr>
              <w:spacing w:after="0"/>
              <w:jc w:val="left"/>
            </w:pPr>
            <w:r>
              <w:rPr>
                <w:b/>
                <w:sz w:val="18"/>
              </w:rPr>
              <w:t>Score</w:t>
            </w:r>
          </w:p>
        </w:tc>
      </w:tr>
      <w:tr w:rsidR="007F373F">
        <w:trPr>
          <w:jc w:val="center"/>
        </w:trPr>
        <w:tc>
          <w:tcPr>
            <w:tcW w:w="1518" w:type="dxa"/>
          </w:tcPr>
          <w:p w:rsidR="007F373F" w:rsidRDefault="00000000">
            <w:pPr>
              <w:spacing w:after="0"/>
              <w:jc w:val="left"/>
            </w:pPr>
            <w:r>
              <w:rPr>
                <w:sz w:val="18"/>
              </w:rPr>
              <w:t>Financial</w:t>
            </w:r>
          </w:p>
        </w:tc>
        <w:tc>
          <w:tcPr>
            <w:tcW w:w="1794" w:type="dxa"/>
          </w:tcPr>
          <w:p w:rsidR="007F373F" w:rsidRDefault="00000000">
            <w:pPr>
              <w:spacing w:after="0"/>
              <w:jc w:val="left"/>
            </w:pPr>
            <w:r>
              <w:rPr>
                <w:sz w:val="18"/>
              </w:rPr>
              <w:t>Grow profitably</w:t>
            </w:r>
          </w:p>
        </w:tc>
        <w:tc>
          <w:tcPr>
            <w:tcW w:w="3175" w:type="dxa"/>
          </w:tcPr>
          <w:p w:rsidR="007F373F" w:rsidRDefault="00000000">
            <w:pPr>
              <w:spacing w:after="0"/>
              <w:jc w:val="left"/>
            </w:pPr>
            <w:r>
              <w:rPr>
                <w:sz w:val="18"/>
              </w:rPr>
              <w:t>AUM +27.5%; PAT +53%; RoA 2.44%; RoE 12.62%</w:t>
            </w:r>
          </w:p>
        </w:tc>
        <w:tc>
          <w:tcPr>
            <w:tcW w:w="2208" w:type="dxa"/>
          </w:tcPr>
          <w:p w:rsidR="007F373F" w:rsidRDefault="00000000">
            <w:pPr>
              <w:spacing w:after="0"/>
              <w:jc w:val="left"/>
            </w:pPr>
            <w:r>
              <w:rPr>
                <w:sz w:val="18"/>
              </w:rPr>
              <w:t>Above FY25 and FY24 in absolute terms; RoE below FY23 peak</w:t>
            </w:r>
          </w:p>
        </w:tc>
        <w:tc>
          <w:tcPr>
            <w:tcW w:w="1035" w:type="dxa"/>
          </w:tcPr>
          <w:p w:rsidR="007F373F" w:rsidRDefault="00000000">
            <w:pPr>
              <w:spacing w:after="0"/>
              <w:jc w:val="left"/>
            </w:pPr>
            <w:r>
              <w:rPr>
                <w:sz w:val="18"/>
              </w:rPr>
              <w:t>Strong</w:t>
            </w:r>
          </w:p>
        </w:tc>
      </w:tr>
      <w:tr w:rsidR="007F373F">
        <w:trPr>
          <w:jc w:val="center"/>
        </w:trPr>
        <w:tc>
          <w:tcPr>
            <w:tcW w:w="1518" w:type="dxa"/>
          </w:tcPr>
          <w:p w:rsidR="007F373F" w:rsidRDefault="00000000">
            <w:pPr>
              <w:spacing w:after="0"/>
              <w:jc w:val="left"/>
            </w:pPr>
            <w:r>
              <w:rPr>
                <w:sz w:val="18"/>
              </w:rPr>
              <w:t>Financial</w:t>
            </w:r>
          </w:p>
        </w:tc>
        <w:tc>
          <w:tcPr>
            <w:tcW w:w="1794" w:type="dxa"/>
          </w:tcPr>
          <w:p w:rsidR="007F373F" w:rsidRDefault="00000000">
            <w:pPr>
              <w:spacing w:after="0"/>
              <w:jc w:val="left"/>
            </w:pPr>
            <w:r>
              <w:rPr>
                <w:sz w:val="18"/>
              </w:rPr>
              <w:t>Control credit cost</w:t>
            </w:r>
          </w:p>
        </w:tc>
        <w:tc>
          <w:tcPr>
            <w:tcW w:w="3175" w:type="dxa"/>
          </w:tcPr>
          <w:p w:rsidR="007F373F" w:rsidRDefault="00000000">
            <w:pPr>
              <w:spacing w:after="0"/>
              <w:jc w:val="left"/>
            </w:pPr>
            <w:r>
              <w:rPr>
                <w:sz w:val="18"/>
              </w:rPr>
              <w:t>0.8% vs sub-1% commitment</w:t>
            </w:r>
          </w:p>
        </w:tc>
        <w:tc>
          <w:tcPr>
            <w:tcW w:w="2208" w:type="dxa"/>
          </w:tcPr>
          <w:p w:rsidR="007F373F" w:rsidRDefault="00000000">
            <w:pPr>
              <w:spacing w:after="0"/>
              <w:jc w:val="left"/>
            </w:pPr>
            <w:r>
              <w:rPr>
                <w:sz w:val="18"/>
              </w:rPr>
              <w:t>Delivered; sustainability to be proven on new vintage</w:t>
            </w:r>
          </w:p>
        </w:tc>
        <w:tc>
          <w:tcPr>
            <w:tcW w:w="1035" w:type="dxa"/>
          </w:tcPr>
          <w:p w:rsidR="007F373F" w:rsidRDefault="00000000">
            <w:pPr>
              <w:spacing w:after="0"/>
              <w:jc w:val="left"/>
            </w:pPr>
            <w:r>
              <w:rPr>
                <w:sz w:val="18"/>
              </w:rPr>
              <w:t>Strong</w:t>
            </w:r>
          </w:p>
        </w:tc>
      </w:tr>
      <w:tr w:rsidR="007F373F">
        <w:trPr>
          <w:jc w:val="center"/>
        </w:trPr>
        <w:tc>
          <w:tcPr>
            <w:tcW w:w="1518" w:type="dxa"/>
          </w:tcPr>
          <w:p w:rsidR="007F373F" w:rsidRDefault="00000000">
            <w:pPr>
              <w:spacing w:after="0"/>
              <w:jc w:val="left"/>
            </w:pPr>
            <w:r>
              <w:rPr>
                <w:sz w:val="18"/>
              </w:rPr>
              <w:t>Financial</w:t>
            </w:r>
          </w:p>
        </w:tc>
        <w:tc>
          <w:tcPr>
            <w:tcW w:w="1794" w:type="dxa"/>
          </w:tcPr>
          <w:p w:rsidR="007F373F" w:rsidRDefault="00000000">
            <w:pPr>
              <w:spacing w:after="0"/>
              <w:jc w:val="left"/>
            </w:pPr>
            <w:r>
              <w:rPr>
                <w:sz w:val="18"/>
              </w:rPr>
              <w:t>Improve efficiency</w:t>
            </w:r>
          </w:p>
        </w:tc>
        <w:tc>
          <w:tcPr>
            <w:tcW w:w="3175" w:type="dxa"/>
          </w:tcPr>
          <w:p w:rsidR="007F373F" w:rsidRDefault="00000000">
            <w:pPr>
              <w:spacing w:after="0"/>
              <w:jc w:val="left"/>
            </w:pPr>
            <w:r>
              <w:rPr>
                <w:sz w:val="18"/>
              </w:rPr>
              <w:t>C/I 57.2% (−0.35 pp); opex/assets 5.1%</w:t>
            </w:r>
          </w:p>
        </w:tc>
        <w:tc>
          <w:tcPr>
            <w:tcW w:w="2208" w:type="dxa"/>
          </w:tcPr>
          <w:p w:rsidR="007F373F" w:rsidRDefault="00000000">
            <w:pPr>
              <w:spacing w:after="0"/>
              <w:jc w:val="left"/>
            </w:pPr>
            <w:r>
              <w:rPr>
                <w:sz w:val="18"/>
              </w:rPr>
              <w:t>Marginal improvement; growth investment continues</w:t>
            </w:r>
          </w:p>
        </w:tc>
        <w:tc>
          <w:tcPr>
            <w:tcW w:w="1035" w:type="dxa"/>
          </w:tcPr>
          <w:p w:rsidR="007F373F" w:rsidRDefault="00000000">
            <w:pPr>
              <w:spacing w:after="0"/>
              <w:jc w:val="left"/>
            </w:pPr>
            <w:r>
              <w:rPr>
                <w:sz w:val="18"/>
              </w:rPr>
              <w:t>Needs improvement</w:t>
            </w:r>
          </w:p>
        </w:tc>
      </w:tr>
      <w:tr w:rsidR="007F373F">
        <w:trPr>
          <w:jc w:val="center"/>
        </w:trPr>
        <w:tc>
          <w:tcPr>
            <w:tcW w:w="1518" w:type="dxa"/>
          </w:tcPr>
          <w:p w:rsidR="007F373F" w:rsidRDefault="00000000">
            <w:pPr>
              <w:spacing w:after="0"/>
              <w:jc w:val="left"/>
            </w:pPr>
            <w:r>
              <w:rPr>
                <w:sz w:val="18"/>
              </w:rPr>
              <w:t>Financial</w:t>
            </w:r>
          </w:p>
        </w:tc>
        <w:tc>
          <w:tcPr>
            <w:tcW w:w="1794" w:type="dxa"/>
          </w:tcPr>
          <w:p w:rsidR="007F373F" w:rsidRDefault="00000000">
            <w:pPr>
              <w:spacing w:after="0"/>
              <w:jc w:val="left"/>
            </w:pPr>
            <w:r>
              <w:rPr>
                <w:sz w:val="18"/>
              </w:rPr>
              <w:t>Maintain capital and funding</w:t>
            </w:r>
          </w:p>
        </w:tc>
        <w:tc>
          <w:tcPr>
            <w:tcW w:w="3175" w:type="dxa"/>
          </w:tcPr>
          <w:p w:rsidR="007F373F" w:rsidRDefault="00000000">
            <w:pPr>
              <w:spacing w:after="0"/>
              <w:jc w:val="left"/>
            </w:pPr>
            <w:r>
              <w:rPr>
                <w:sz w:val="18"/>
              </w:rPr>
              <w:t>CRAR 22.4%; D/E 4.6x; 41 lenders; AA+ × 4</w:t>
            </w:r>
          </w:p>
        </w:tc>
        <w:tc>
          <w:tcPr>
            <w:tcW w:w="2208" w:type="dxa"/>
          </w:tcPr>
          <w:p w:rsidR="007F373F" w:rsidRDefault="00000000">
            <w:pPr>
              <w:spacing w:after="0"/>
              <w:jc w:val="left"/>
            </w:pPr>
            <w:r>
              <w:rPr>
                <w:sz w:val="18"/>
              </w:rPr>
              <w:t>Strong funding; leverage rising</w:t>
            </w:r>
          </w:p>
        </w:tc>
        <w:tc>
          <w:tcPr>
            <w:tcW w:w="1035" w:type="dxa"/>
          </w:tcPr>
          <w:p w:rsidR="007F373F" w:rsidRDefault="00000000">
            <w:pPr>
              <w:spacing w:after="0"/>
              <w:jc w:val="left"/>
            </w:pPr>
            <w:r>
              <w:rPr>
                <w:sz w:val="18"/>
              </w:rPr>
              <w:t>Adequate</w:t>
            </w:r>
          </w:p>
        </w:tc>
      </w:tr>
      <w:tr w:rsidR="007F373F">
        <w:trPr>
          <w:jc w:val="center"/>
        </w:trPr>
        <w:tc>
          <w:tcPr>
            <w:tcW w:w="1518" w:type="dxa"/>
          </w:tcPr>
          <w:p w:rsidR="007F373F" w:rsidRDefault="00000000">
            <w:pPr>
              <w:spacing w:after="0"/>
              <w:jc w:val="left"/>
            </w:pPr>
            <w:r>
              <w:rPr>
                <w:sz w:val="18"/>
              </w:rPr>
              <w:t>Customer</w:t>
            </w:r>
          </w:p>
        </w:tc>
        <w:tc>
          <w:tcPr>
            <w:tcW w:w="1794" w:type="dxa"/>
          </w:tcPr>
          <w:p w:rsidR="007F373F" w:rsidRDefault="00000000">
            <w:pPr>
              <w:spacing w:after="0"/>
              <w:jc w:val="left"/>
            </w:pPr>
            <w:r>
              <w:rPr>
                <w:sz w:val="18"/>
              </w:rPr>
              <w:t>Serve emerging Bharat</w:t>
            </w:r>
          </w:p>
        </w:tc>
        <w:tc>
          <w:tcPr>
            <w:tcW w:w="3175" w:type="dxa"/>
          </w:tcPr>
          <w:p w:rsidR="007F373F" w:rsidRDefault="00000000">
            <w:pPr>
              <w:spacing w:after="0"/>
              <w:jc w:val="left"/>
            </w:pPr>
            <w:r>
              <w:rPr>
                <w:sz w:val="18"/>
              </w:rPr>
              <w:t>3.44 lakh customers; 757 branches; 455 customers/branch</w:t>
            </w:r>
          </w:p>
        </w:tc>
        <w:tc>
          <w:tcPr>
            <w:tcW w:w="2208" w:type="dxa"/>
          </w:tcPr>
          <w:p w:rsidR="007F373F" w:rsidRDefault="00000000">
            <w:pPr>
              <w:spacing w:after="0"/>
              <w:jc w:val="left"/>
            </w:pPr>
            <w:r>
              <w:rPr>
                <w:sz w:val="18"/>
              </w:rPr>
              <w:t>Reach expanding; inclusion mandate met</w:t>
            </w:r>
          </w:p>
        </w:tc>
        <w:tc>
          <w:tcPr>
            <w:tcW w:w="1035" w:type="dxa"/>
          </w:tcPr>
          <w:p w:rsidR="007F373F" w:rsidRDefault="00000000">
            <w:pPr>
              <w:spacing w:after="0"/>
              <w:jc w:val="left"/>
            </w:pPr>
            <w:r>
              <w:rPr>
                <w:sz w:val="18"/>
              </w:rPr>
              <w:t>Strong</w:t>
            </w:r>
          </w:p>
        </w:tc>
      </w:tr>
      <w:tr w:rsidR="007F373F">
        <w:trPr>
          <w:jc w:val="center"/>
        </w:trPr>
        <w:tc>
          <w:tcPr>
            <w:tcW w:w="1518" w:type="dxa"/>
          </w:tcPr>
          <w:p w:rsidR="007F373F" w:rsidRDefault="00000000">
            <w:pPr>
              <w:spacing w:after="0"/>
              <w:jc w:val="left"/>
            </w:pPr>
            <w:r>
              <w:rPr>
                <w:sz w:val="18"/>
              </w:rPr>
              <w:t>Customer</w:t>
            </w:r>
          </w:p>
        </w:tc>
        <w:tc>
          <w:tcPr>
            <w:tcW w:w="1794" w:type="dxa"/>
          </w:tcPr>
          <w:p w:rsidR="007F373F" w:rsidRDefault="00000000">
            <w:pPr>
              <w:spacing w:after="0"/>
              <w:jc w:val="left"/>
            </w:pPr>
            <w:r>
              <w:rPr>
                <w:sz w:val="18"/>
              </w:rPr>
              <w:t>Service quality</w:t>
            </w:r>
          </w:p>
        </w:tc>
        <w:tc>
          <w:tcPr>
            <w:tcW w:w="3175" w:type="dxa"/>
          </w:tcPr>
          <w:p w:rsidR="007F373F" w:rsidRDefault="00000000">
            <w:pPr>
              <w:spacing w:after="0"/>
              <w:jc w:val="left"/>
            </w:pPr>
            <w:r>
              <w:rPr>
                <w:sz w:val="18"/>
              </w:rPr>
              <w:t>CSAT 85%; 100% TAT resolution; Google 4.58/5; TAT 10/15 days</w:t>
            </w:r>
          </w:p>
        </w:tc>
        <w:tc>
          <w:tcPr>
            <w:tcW w:w="2208" w:type="dxa"/>
          </w:tcPr>
          <w:p w:rsidR="007F373F" w:rsidRDefault="00000000">
            <w:pPr>
              <w:spacing w:after="0"/>
              <w:jc w:val="left"/>
            </w:pPr>
            <w:r>
              <w:rPr>
                <w:sz w:val="18"/>
              </w:rPr>
              <w:t>Good and improving</w:t>
            </w:r>
          </w:p>
        </w:tc>
        <w:tc>
          <w:tcPr>
            <w:tcW w:w="1035" w:type="dxa"/>
          </w:tcPr>
          <w:p w:rsidR="007F373F" w:rsidRDefault="00000000">
            <w:pPr>
              <w:spacing w:after="0"/>
              <w:jc w:val="left"/>
            </w:pPr>
            <w:r>
              <w:rPr>
                <w:sz w:val="18"/>
              </w:rPr>
              <w:t>Strong</w:t>
            </w:r>
          </w:p>
        </w:tc>
      </w:tr>
      <w:tr w:rsidR="007F373F">
        <w:trPr>
          <w:jc w:val="center"/>
        </w:trPr>
        <w:tc>
          <w:tcPr>
            <w:tcW w:w="1518" w:type="dxa"/>
          </w:tcPr>
          <w:p w:rsidR="007F373F" w:rsidRDefault="00000000">
            <w:pPr>
              <w:spacing w:after="0"/>
              <w:jc w:val="left"/>
            </w:pPr>
            <w:r>
              <w:rPr>
                <w:sz w:val="18"/>
              </w:rPr>
              <w:t>Customer</w:t>
            </w:r>
          </w:p>
        </w:tc>
        <w:tc>
          <w:tcPr>
            <w:tcW w:w="1794" w:type="dxa"/>
          </w:tcPr>
          <w:p w:rsidR="007F373F" w:rsidRDefault="00000000">
            <w:pPr>
              <w:spacing w:after="0"/>
              <w:jc w:val="left"/>
            </w:pPr>
            <w:r>
              <w:rPr>
                <w:sz w:val="18"/>
              </w:rPr>
              <w:t>Fair conduct</w:t>
            </w:r>
          </w:p>
        </w:tc>
        <w:tc>
          <w:tcPr>
            <w:tcW w:w="3175" w:type="dxa"/>
          </w:tcPr>
          <w:p w:rsidR="007F373F" w:rsidRDefault="00000000">
            <w:pPr>
              <w:spacing w:after="0"/>
              <w:jc w:val="left"/>
            </w:pPr>
            <w:r>
              <w:rPr>
                <w:sz w:val="18"/>
              </w:rPr>
              <w:t>Auctions 4,633 with 92% dues realised; ombudsman; fair-practices code</w:t>
            </w:r>
          </w:p>
        </w:tc>
        <w:tc>
          <w:tcPr>
            <w:tcW w:w="2208" w:type="dxa"/>
          </w:tcPr>
          <w:p w:rsidR="007F373F" w:rsidRDefault="00000000">
            <w:pPr>
              <w:spacing w:after="0"/>
              <w:jc w:val="left"/>
            </w:pPr>
            <w:r>
              <w:rPr>
                <w:sz w:val="18"/>
              </w:rPr>
              <w:t>No adverse action disclosed</w:t>
            </w:r>
          </w:p>
        </w:tc>
        <w:tc>
          <w:tcPr>
            <w:tcW w:w="1035" w:type="dxa"/>
          </w:tcPr>
          <w:p w:rsidR="007F373F" w:rsidRDefault="00000000">
            <w:pPr>
              <w:spacing w:after="0"/>
              <w:jc w:val="left"/>
            </w:pPr>
            <w:r>
              <w:rPr>
                <w:sz w:val="18"/>
              </w:rPr>
              <w:t>Adequate</w:t>
            </w:r>
          </w:p>
        </w:tc>
      </w:tr>
      <w:tr w:rsidR="007F373F">
        <w:trPr>
          <w:jc w:val="center"/>
        </w:trPr>
        <w:tc>
          <w:tcPr>
            <w:tcW w:w="1518" w:type="dxa"/>
          </w:tcPr>
          <w:p w:rsidR="007F373F" w:rsidRDefault="00000000">
            <w:pPr>
              <w:spacing w:after="0"/>
              <w:jc w:val="left"/>
            </w:pPr>
            <w:r>
              <w:rPr>
                <w:sz w:val="18"/>
              </w:rPr>
              <w:t>Internal process</w:t>
            </w:r>
          </w:p>
        </w:tc>
        <w:tc>
          <w:tcPr>
            <w:tcW w:w="1794" w:type="dxa"/>
          </w:tcPr>
          <w:p w:rsidR="007F373F" w:rsidRDefault="00000000">
            <w:pPr>
              <w:spacing w:after="0"/>
              <w:jc w:val="left"/>
            </w:pPr>
            <w:r>
              <w:rPr>
                <w:sz w:val="18"/>
              </w:rPr>
              <w:t>Underwriting discipline</w:t>
            </w:r>
          </w:p>
        </w:tc>
        <w:tc>
          <w:tcPr>
            <w:tcW w:w="3175" w:type="dxa"/>
          </w:tcPr>
          <w:p w:rsidR="007F373F" w:rsidRDefault="00000000">
            <w:pPr>
              <w:spacing w:after="0"/>
              <w:jc w:val="left"/>
            </w:pPr>
            <w:r>
              <w:rPr>
                <w:sz w:val="18"/>
              </w:rPr>
              <w:t>BRE live; 76% mortgage AUM CIBIL &gt;700; 75% in-house sourcing</w:t>
            </w:r>
          </w:p>
        </w:tc>
        <w:tc>
          <w:tcPr>
            <w:tcW w:w="2208" w:type="dxa"/>
          </w:tcPr>
          <w:p w:rsidR="007F373F" w:rsidRDefault="00000000">
            <w:pPr>
              <w:spacing w:after="0"/>
              <w:jc w:val="left"/>
            </w:pPr>
            <w:r>
              <w:rPr>
                <w:sz w:val="18"/>
              </w:rPr>
              <w:t>Structural upgrade</w:t>
            </w:r>
          </w:p>
        </w:tc>
        <w:tc>
          <w:tcPr>
            <w:tcW w:w="1035" w:type="dxa"/>
          </w:tcPr>
          <w:p w:rsidR="007F373F" w:rsidRDefault="00000000">
            <w:pPr>
              <w:spacing w:after="0"/>
              <w:jc w:val="left"/>
            </w:pPr>
            <w:r>
              <w:rPr>
                <w:sz w:val="18"/>
              </w:rPr>
              <w:t>Strong</w:t>
            </w:r>
          </w:p>
        </w:tc>
      </w:tr>
      <w:tr w:rsidR="007F373F">
        <w:trPr>
          <w:jc w:val="center"/>
        </w:trPr>
        <w:tc>
          <w:tcPr>
            <w:tcW w:w="1518" w:type="dxa"/>
          </w:tcPr>
          <w:p w:rsidR="007F373F" w:rsidRDefault="00000000">
            <w:pPr>
              <w:spacing w:after="0"/>
              <w:jc w:val="left"/>
            </w:pPr>
            <w:r>
              <w:rPr>
                <w:sz w:val="18"/>
              </w:rPr>
              <w:t>Internal process</w:t>
            </w:r>
          </w:p>
        </w:tc>
        <w:tc>
          <w:tcPr>
            <w:tcW w:w="1794" w:type="dxa"/>
          </w:tcPr>
          <w:p w:rsidR="007F373F" w:rsidRDefault="00000000">
            <w:pPr>
              <w:spacing w:after="0"/>
              <w:jc w:val="left"/>
            </w:pPr>
            <w:r>
              <w:rPr>
                <w:sz w:val="18"/>
              </w:rPr>
              <w:t>Collections</w:t>
            </w:r>
          </w:p>
        </w:tc>
        <w:tc>
          <w:tcPr>
            <w:tcW w:w="3175" w:type="dxa"/>
          </w:tcPr>
          <w:p w:rsidR="007F373F" w:rsidRDefault="00000000">
            <w:pPr>
              <w:spacing w:after="0"/>
              <w:jc w:val="left"/>
            </w:pPr>
            <w:r>
              <w:rPr>
                <w:sz w:val="18"/>
              </w:rPr>
              <w:t>In-house 1.8x; agency 0.4x; Stage 3 recoveries 2.2x; 70% digital</w:t>
            </w:r>
          </w:p>
        </w:tc>
        <w:tc>
          <w:tcPr>
            <w:tcW w:w="2208" w:type="dxa"/>
          </w:tcPr>
          <w:p w:rsidR="007F373F" w:rsidRDefault="00000000">
            <w:pPr>
              <w:spacing w:after="0"/>
              <w:jc w:val="left"/>
            </w:pPr>
            <w:r>
              <w:rPr>
                <w:sz w:val="18"/>
              </w:rPr>
              <w:t>Rebuilt after FY25 failure</w:t>
            </w:r>
          </w:p>
        </w:tc>
        <w:tc>
          <w:tcPr>
            <w:tcW w:w="1035" w:type="dxa"/>
          </w:tcPr>
          <w:p w:rsidR="007F373F" w:rsidRDefault="00000000">
            <w:pPr>
              <w:spacing w:after="0"/>
              <w:jc w:val="left"/>
            </w:pPr>
            <w:r>
              <w:rPr>
                <w:sz w:val="18"/>
              </w:rPr>
              <w:t>Strong</w:t>
            </w:r>
          </w:p>
        </w:tc>
      </w:tr>
      <w:tr w:rsidR="007F373F">
        <w:trPr>
          <w:jc w:val="center"/>
        </w:trPr>
        <w:tc>
          <w:tcPr>
            <w:tcW w:w="1518" w:type="dxa"/>
          </w:tcPr>
          <w:p w:rsidR="007F373F" w:rsidRDefault="00000000">
            <w:pPr>
              <w:spacing w:after="0"/>
              <w:jc w:val="left"/>
            </w:pPr>
            <w:r>
              <w:rPr>
                <w:sz w:val="18"/>
              </w:rPr>
              <w:t>Internal process</w:t>
            </w:r>
          </w:p>
        </w:tc>
        <w:tc>
          <w:tcPr>
            <w:tcW w:w="1794" w:type="dxa"/>
          </w:tcPr>
          <w:p w:rsidR="007F373F" w:rsidRDefault="00000000">
            <w:pPr>
              <w:spacing w:after="0"/>
              <w:jc w:val="left"/>
            </w:pPr>
            <w:r>
              <w:rPr>
                <w:sz w:val="18"/>
              </w:rPr>
              <w:t>Risk and compliance</w:t>
            </w:r>
          </w:p>
        </w:tc>
        <w:tc>
          <w:tcPr>
            <w:tcW w:w="3175" w:type="dxa"/>
          </w:tcPr>
          <w:p w:rsidR="007F373F" w:rsidRDefault="00000000">
            <w:pPr>
              <w:spacing w:after="0"/>
              <w:jc w:val="left"/>
            </w:pPr>
            <w:r>
              <w:rPr>
                <w:sz w:val="18"/>
              </w:rPr>
              <w:t>Nil audit qualifications; frauds ₹110 lakh; 3 minor BSE fines</w:t>
            </w:r>
          </w:p>
        </w:tc>
        <w:tc>
          <w:tcPr>
            <w:tcW w:w="2208" w:type="dxa"/>
          </w:tcPr>
          <w:p w:rsidR="007F373F" w:rsidRDefault="00000000">
            <w:pPr>
              <w:spacing w:after="0"/>
              <w:jc w:val="left"/>
            </w:pPr>
            <w:r>
              <w:rPr>
                <w:sz w:val="18"/>
              </w:rPr>
              <w:t>Clean, with procedural lapses</w:t>
            </w:r>
          </w:p>
        </w:tc>
        <w:tc>
          <w:tcPr>
            <w:tcW w:w="1035" w:type="dxa"/>
          </w:tcPr>
          <w:p w:rsidR="007F373F" w:rsidRDefault="00000000">
            <w:pPr>
              <w:spacing w:after="0"/>
              <w:jc w:val="left"/>
            </w:pPr>
            <w:r>
              <w:rPr>
                <w:sz w:val="18"/>
              </w:rPr>
              <w:t>Adequate</w:t>
            </w:r>
          </w:p>
        </w:tc>
      </w:tr>
      <w:tr w:rsidR="007F373F">
        <w:trPr>
          <w:jc w:val="center"/>
        </w:trPr>
        <w:tc>
          <w:tcPr>
            <w:tcW w:w="1518" w:type="dxa"/>
          </w:tcPr>
          <w:p w:rsidR="007F373F" w:rsidRDefault="00000000">
            <w:pPr>
              <w:spacing w:after="0"/>
              <w:jc w:val="left"/>
            </w:pPr>
            <w:r>
              <w:rPr>
                <w:sz w:val="18"/>
              </w:rPr>
              <w:t>Learning and growth</w:t>
            </w:r>
          </w:p>
        </w:tc>
        <w:tc>
          <w:tcPr>
            <w:tcW w:w="1794" w:type="dxa"/>
          </w:tcPr>
          <w:p w:rsidR="007F373F" w:rsidRDefault="00000000">
            <w:pPr>
              <w:spacing w:after="0"/>
              <w:jc w:val="left"/>
            </w:pPr>
            <w:r>
              <w:rPr>
                <w:sz w:val="18"/>
              </w:rPr>
              <w:t>People capability</w:t>
            </w:r>
          </w:p>
        </w:tc>
        <w:tc>
          <w:tcPr>
            <w:tcW w:w="3175" w:type="dxa"/>
          </w:tcPr>
          <w:p w:rsidR="007F373F" w:rsidRDefault="00000000">
            <w:pPr>
              <w:spacing w:after="0"/>
              <w:jc w:val="left"/>
            </w:pPr>
            <w:r>
              <w:rPr>
                <w:sz w:val="18"/>
              </w:rPr>
              <w:t>735 hires; 7.44 training hrs; Gurukul/DREAM; attrition 35.85%</w:t>
            </w:r>
          </w:p>
        </w:tc>
        <w:tc>
          <w:tcPr>
            <w:tcW w:w="2208" w:type="dxa"/>
          </w:tcPr>
          <w:p w:rsidR="007F373F" w:rsidRDefault="00000000">
            <w:pPr>
              <w:spacing w:after="0"/>
              <w:jc w:val="left"/>
            </w:pPr>
            <w:r>
              <w:rPr>
                <w:sz w:val="18"/>
              </w:rPr>
              <w:t>Investment visible; attrition high</w:t>
            </w:r>
          </w:p>
        </w:tc>
        <w:tc>
          <w:tcPr>
            <w:tcW w:w="1035" w:type="dxa"/>
          </w:tcPr>
          <w:p w:rsidR="007F373F" w:rsidRDefault="00000000">
            <w:pPr>
              <w:spacing w:after="0"/>
              <w:jc w:val="left"/>
            </w:pPr>
            <w:r>
              <w:rPr>
                <w:sz w:val="18"/>
              </w:rPr>
              <w:t>Needs improvement</w:t>
            </w:r>
          </w:p>
        </w:tc>
      </w:tr>
      <w:tr w:rsidR="007F373F">
        <w:trPr>
          <w:jc w:val="center"/>
        </w:trPr>
        <w:tc>
          <w:tcPr>
            <w:tcW w:w="1518" w:type="dxa"/>
          </w:tcPr>
          <w:p w:rsidR="007F373F" w:rsidRDefault="00000000">
            <w:pPr>
              <w:spacing w:after="0"/>
              <w:jc w:val="left"/>
            </w:pPr>
            <w:r>
              <w:rPr>
                <w:sz w:val="18"/>
              </w:rPr>
              <w:t>Learning and growth</w:t>
            </w:r>
          </w:p>
        </w:tc>
        <w:tc>
          <w:tcPr>
            <w:tcW w:w="1794" w:type="dxa"/>
          </w:tcPr>
          <w:p w:rsidR="007F373F" w:rsidRDefault="00000000">
            <w:pPr>
              <w:spacing w:after="0"/>
              <w:jc w:val="left"/>
            </w:pPr>
            <w:r>
              <w:rPr>
                <w:sz w:val="18"/>
              </w:rPr>
              <w:t>Technology and innovation</w:t>
            </w:r>
          </w:p>
        </w:tc>
        <w:tc>
          <w:tcPr>
            <w:tcW w:w="3175" w:type="dxa"/>
          </w:tcPr>
          <w:p w:rsidR="007F373F" w:rsidRDefault="00000000">
            <w:pPr>
              <w:spacing w:after="0"/>
              <w:jc w:val="left"/>
            </w:pPr>
            <w:r>
              <w:rPr>
                <w:sz w:val="18"/>
              </w:rPr>
              <w:t>LOS–LMS–CRM integration; Credit GPT; Fedfina Lite; 89 start-ups screened</w:t>
            </w:r>
          </w:p>
        </w:tc>
        <w:tc>
          <w:tcPr>
            <w:tcW w:w="2208" w:type="dxa"/>
          </w:tcPr>
          <w:p w:rsidR="007F373F" w:rsidRDefault="00000000">
            <w:pPr>
              <w:spacing w:after="0"/>
              <w:jc w:val="left"/>
            </w:pPr>
            <w:r>
              <w:rPr>
                <w:sz w:val="18"/>
              </w:rPr>
              <w:t>Ahead of mid-sized peers</w:t>
            </w:r>
          </w:p>
        </w:tc>
        <w:tc>
          <w:tcPr>
            <w:tcW w:w="1035" w:type="dxa"/>
          </w:tcPr>
          <w:p w:rsidR="007F373F" w:rsidRDefault="00000000">
            <w:pPr>
              <w:spacing w:after="0"/>
              <w:jc w:val="left"/>
            </w:pPr>
            <w:r>
              <w:rPr>
                <w:sz w:val="18"/>
              </w:rPr>
              <w:t>Strong</w:t>
            </w:r>
          </w:p>
        </w:tc>
      </w:tr>
      <w:tr w:rsidR="007F373F">
        <w:trPr>
          <w:jc w:val="center"/>
        </w:trPr>
        <w:tc>
          <w:tcPr>
            <w:tcW w:w="1518" w:type="dxa"/>
          </w:tcPr>
          <w:p w:rsidR="007F373F" w:rsidRDefault="00000000">
            <w:pPr>
              <w:spacing w:after="0"/>
              <w:jc w:val="left"/>
            </w:pPr>
            <w:r>
              <w:rPr>
                <w:sz w:val="18"/>
              </w:rPr>
              <w:t>Learning and growth</w:t>
            </w:r>
          </w:p>
        </w:tc>
        <w:tc>
          <w:tcPr>
            <w:tcW w:w="1794" w:type="dxa"/>
          </w:tcPr>
          <w:p w:rsidR="007F373F" w:rsidRDefault="00000000">
            <w:pPr>
              <w:spacing w:after="0"/>
              <w:jc w:val="left"/>
            </w:pPr>
            <w:r>
              <w:rPr>
                <w:sz w:val="18"/>
              </w:rPr>
              <w:t>Diversity and ESG</w:t>
            </w:r>
          </w:p>
        </w:tc>
        <w:tc>
          <w:tcPr>
            <w:tcW w:w="3175" w:type="dxa"/>
          </w:tcPr>
          <w:p w:rsidR="007F373F" w:rsidRDefault="00000000">
            <w:pPr>
              <w:spacing w:after="0"/>
              <w:jc w:val="left"/>
            </w:pPr>
            <w:r>
              <w:rPr>
                <w:sz w:val="18"/>
              </w:rPr>
              <w:t>Women 16.4% (+0.7 pp); emission intensity −25%; CSR ₹5.84 crore</w:t>
            </w:r>
          </w:p>
        </w:tc>
        <w:tc>
          <w:tcPr>
            <w:tcW w:w="2208" w:type="dxa"/>
          </w:tcPr>
          <w:p w:rsidR="007F373F" w:rsidRDefault="00000000">
            <w:pPr>
              <w:spacing w:after="0"/>
              <w:jc w:val="left"/>
            </w:pPr>
            <w:r>
              <w:rPr>
                <w:sz w:val="18"/>
              </w:rPr>
              <w:t>Progressing against targets</w:t>
            </w:r>
          </w:p>
        </w:tc>
        <w:tc>
          <w:tcPr>
            <w:tcW w:w="1035" w:type="dxa"/>
          </w:tcPr>
          <w:p w:rsidR="007F373F" w:rsidRDefault="00000000">
            <w:pPr>
              <w:spacing w:after="0"/>
              <w:jc w:val="left"/>
            </w:pPr>
            <w:r>
              <w:rPr>
                <w:sz w:val="18"/>
              </w:rPr>
              <w:t>Adequate</w:t>
            </w:r>
          </w:p>
        </w:tc>
      </w:tr>
    </w:tbl>
    <w:p w:rsidR="007F373F" w:rsidRDefault="007F373F">
      <w:pPr>
        <w:spacing w:after="40"/>
      </w:pPr>
    </w:p>
    <w:p w:rsidR="007F373F" w:rsidRDefault="00000000">
      <w:r>
        <w:t>Change versus FY25. On the same criteria the FY25 report would have scored ‘Needs improvement’ on credit cost (1.8%), collections (the stated root cause of the stress), efficiency (C/I 57.6%) and people (attrition and a leadership change), with growth (AUM +31%) and funding (AA+, 41 lenders) the main strengths. The movement of two internal-process objectives and one financial objective from ‘Needs improvement’ to ‘Strong’ within one year is the scorecard expression of the turnaround discussed in Chapters 3 and 5.</w:t>
      </w:r>
    </w:p>
    <w:p w:rsidR="007F373F" w:rsidRDefault="00000000">
      <w:r>
        <w:t>Overall. Nine of thirteen objectives score Strong or Adequate on the evidence; the two ‘Needs improvement’ items – cost efficiency and attrition – are related (a field-heavy, high-turnover workforce is expensive) and are the areas where the recommendations on the following pages concentrate. The scorecard supports the conclusion that FY26 performance was broad-based rather than driven by a single favourable line item.</w:t>
      </w:r>
    </w:p>
    <w:p w:rsidR="007F373F" w:rsidRDefault="00000000">
      <w:pPr>
        <w:pStyle w:val="Heading1"/>
        <w:pageBreakBefore/>
      </w:pPr>
      <w:r>
        <w:lastRenderedPageBreak/>
        <w:t>Recommendations: Growth and Operating Efficiency</w:t>
      </w:r>
    </w:p>
    <w:p w:rsidR="007F373F" w:rsidRDefault="00000000">
      <w:r>
        <w:t>The recommendations in this and the following two pages are addressed primarily to management and the Board, with implications for investors and lenders noted. They follow directly from the evidence in Chapters 2–7 and are framed so that progress can be measured from future annual reports.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552"/>
        <w:gridCol w:w="2761"/>
        <w:gridCol w:w="3658"/>
        <w:gridCol w:w="2761"/>
      </w:tblGrid>
      <w:tr w:rsidR="007F373F">
        <w:trPr>
          <w:jc w:val="center"/>
        </w:trPr>
        <w:tc>
          <w:tcPr>
            <w:tcW w:w="552" w:type="dxa"/>
          </w:tcPr>
          <w:p w:rsidR="007F373F" w:rsidRDefault="00000000">
            <w:pPr>
              <w:spacing w:after="0"/>
              <w:jc w:val="left"/>
            </w:pPr>
            <w:r>
              <w:rPr>
                <w:b/>
                <w:sz w:val="19"/>
              </w:rPr>
              <w:t>#</w:t>
            </w:r>
          </w:p>
        </w:tc>
        <w:tc>
          <w:tcPr>
            <w:tcW w:w="2761" w:type="dxa"/>
          </w:tcPr>
          <w:p w:rsidR="007F373F" w:rsidRDefault="00000000">
            <w:pPr>
              <w:spacing w:after="0"/>
              <w:jc w:val="left"/>
            </w:pPr>
            <w:r>
              <w:rPr>
                <w:b/>
                <w:sz w:val="19"/>
              </w:rPr>
              <w:t>Recommendation</w:t>
            </w:r>
          </w:p>
        </w:tc>
        <w:tc>
          <w:tcPr>
            <w:tcW w:w="3658" w:type="dxa"/>
          </w:tcPr>
          <w:p w:rsidR="007F373F" w:rsidRDefault="00000000">
            <w:pPr>
              <w:spacing w:after="0"/>
              <w:jc w:val="left"/>
            </w:pPr>
            <w:r>
              <w:rPr>
                <w:b/>
                <w:sz w:val="19"/>
              </w:rPr>
              <w:t>Rationale (evidence)</w:t>
            </w:r>
          </w:p>
        </w:tc>
        <w:tc>
          <w:tcPr>
            <w:tcW w:w="2761" w:type="dxa"/>
          </w:tcPr>
          <w:p w:rsidR="007F373F" w:rsidRDefault="00000000">
            <w:pPr>
              <w:spacing w:after="0"/>
              <w:jc w:val="left"/>
            </w:pPr>
            <w:r>
              <w:rPr>
                <w:b/>
                <w:sz w:val="19"/>
              </w:rPr>
              <w:t>Measurable indicator</w:t>
            </w:r>
          </w:p>
        </w:tc>
      </w:tr>
      <w:tr w:rsidR="007F373F">
        <w:trPr>
          <w:jc w:val="center"/>
        </w:trPr>
        <w:tc>
          <w:tcPr>
            <w:tcW w:w="552" w:type="dxa"/>
          </w:tcPr>
          <w:p w:rsidR="007F373F" w:rsidRDefault="00000000">
            <w:pPr>
              <w:spacing w:after="0"/>
              <w:jc w:val="left"/>
            </w:pPr>
            <w:r>
              <w:rPr>
                <w:sz w:val="19"/>
              </w:rPr>
              <w:t>G1</w:t>
            </w:r>
          </w:p>
        </w:tc>
        <w:tc>
          <w:tcPr>
            <w:tcW w:w="2761" w:type="dxa"/>
          </w:tcPr>
          <w:p w:rsidR="007F373F" w:rsidRDefault="00000000">
            <w:pPr>
              <w:spacing w:after="0"/>
              <w:jc w:val="left"/>
            </w:pPr>
            <w:r>
              <w:rPr>
                <w:sz w:val="19"/>
              </w:rPr>
              <w:t>Prioritise productivity of the FY25–FY26 branch cohorts over further network additions in FY27</w:t>
            </w:r>
          </w:p>
        </w:tc>
        <w:tc>
          <w:tcPr>
            <w:tcW w:w="3658" w:type="dxa"/>
          </w:tcPr>
          <w:p w:rsidR="007F373F" w:rsidRDefault="00000000">
            <w:pPr>
              <w:spacing w:after="0"/>
              <w:jc w:val="left"/>
            </w:pPr>
            <w:r>
              <w:rPr>
                <w:sz w:val="19"/>
              </w:rPr>
              <w:t>148 branches opened in FY26 and 73 in FY25; gold AUM/branch ₹16.5 crore vs mature-branch potential; C/I stuck at 57%</w:t>
            </w:r>
          </w:p>
        </w:tc>
        <w:tc>
          <w:tcPr>
            <w:tcW w:w="2761" w:type="dxa"/>
          </w:tcPr>
          <w:p w:rsidR="007F373F" w:rsidRDefault="00000000">
            <w:pPr>
              <w:spacing w:after="0"/>
              <w:jc w:val="left"/>
            </w:pPr>
            <w:r>
              <w:rPr>
                <w:sz w:val="19"/>
              </w:rPr>
              <w:t>Gold AUM per branch &gt; ₹20 crore; C/I &lt; 55% by FY28</w:t>
            </w:r>
          </w:p>
        </w:tc>
      </w:tr>
      <w:tr w:rsidR="007F373F">
        <w:trPr>
          <w:jc w:val="center"/>
        </w:trPr>
        <w:tc>
          <w:tcPr>
            <w:tcW w:w="552" w:type="dxa"/>
          </w:tcPr>
          <w:p w:rsidR="007F373F" w:rsidRDefault="00000000">
            <w:pPr>
              <w:spacing w:after="0"/>
              <w:jc w:val="left"/>
            </w:pPr>
            <w:r>
              <w:rPr>
                <w:sz w:val="19"/>
              </w:rPr>
              <w:t>G2</w:t>
            </w:r>
          </w:p>
        </w:tc>
        <w:tc>
          <w:tcPr>
            <w:tcW w:w="2761" w:type="dxa"/>
          </w:tcPr>
          <w:p w:rsidR="007F373F" w:rsidRDefault="00000000">
            <w:pPr>
              <w:spacing w:after="0"/>
              <w:jc w:val="left"/>
            </w:pPr>
            <w:r>
              <w:rPr>
                <w:sz w:val="19"/>
              </w:rPr>
              <w:t>Set an explicit tonnage-growth disclosure alongside gold AUM</w:t>
            </w:r>
          </w:p>
        </w:tc>
        <w:tc>
          <w:tcPr>
            <w:tcW w:w="3658" w:type="dxa"/>
          </w:tcPr>
          <w:p w:rsidR="007F373F" w:rsidRDefault="00000000">
            <w:pPr>
              <w:spacing w:after="0"/>
              <w:jc w:val="left"/>
            </w:pPr>
            <w:r>
              <w:rPr>
                <w:sz w:val="19"/>
              </w:rPr>
              <w:t>76% AUM growth vs 12% tonnage; management already targets 10–12% tonnage CAGR</w:t>
            </w:r>
          </w:p>
        </w:tc>
        <w:tc>
          <w:tcPr>
            <w:tcW w:w="2761" w:type="dxa"/>
          </w:tcPr>
          <w:p w:rsidR="007F373F" w:rsidRDefault="00000000">
            <w:pPr>
              <w:spacing w:after="0"/>
              <w:jc w:val="left"/>
            </w:pPr>
            <w:r>
              <w:rPr>
                <w:sz w:val="19"/>
              </w:rPr>
              <w:t>Tonnage, customers and AUM per gram reported quarterly</w:t>
            </w:r>
          </w:p>
        </w:tc>
      </w:tr>
      <w:tr w:rsidR="007F373F">
        <w:trPr>
          <w:jc w:val="center"/>
        </w:trPr>
        <w:tc>
          <w:tcPr>
            <w:tcW w:w="552" w:type="dxa"/>
          </w:tcPr>
          <w:p w:rsidR="007F373F" w:rsidRDefault="00000000">
            <w:pPr>
              <w:spacing w:after="0"/>
              <w:jc w:val="left"/>
            </w:pPr>
            <w:r>
              <w:rPr>
                <w:sz w:val="19"/>
              </w:rPr>
              <w:t>G3</w:t>
            </w:r>
          </w:p>
        </w:tc>
        <w:tc>
          <w:tcPr>
            <w:tcW w:w="2761" w:type="dxa"/>
          </w:tcPr>
          <w:p w:rsidR="007F373F" w:rsidRDefault="00000000">
            <w:pPr>
              <w:spacing w:after="0"/>
              <w:jc w:val="left"/>
            </w:pPr>
            <w:r>
              <w:rPr>
                <w:sz w:val="19"/>
              </w:rPr>
              <w:t>Rebuild ST LAP volumes gradually, gated by vintage performance</w:t>
            </w:r>
          </w:p>
        </w:tc>
        <w:tc>
          <w:tcPr>
            <w:tcW w:w="3658" w:type="dxa"/>
          </w:tcPr>
          <w:p w:rsidR="007F373F" w:rsidRDefault="00000000">
            <w:pPr>
              <w:spacing w:after="0"/>
              <w:jc w:val="left"/>
            </w:pPr>
            <w:r>
              <w:rPr>
                <w:sz w:val="19"/>
              </w:rPr>
              <w:t>Disbursements ₹904 crore vs ₹1,475 crore in FY24; new book better than old but unseasoned</w:t>
            </w:r>
          </w:p>
        </w:tc>
        <w:tc>
          <w:tcPr>
            <w:tcW w:w="2761" w:type="dxa"/>
          </w:tcPr>
          <w:p w:rsidR="007F373F" w:rsidRDefault="00000000">
            <w:pPr>
              <w:spacing w:after="0"/>
              <w:jc w:val="left"/>
            </w:pPr>
            <w:r>
              <w:rPr>
                <w:sz w:val="19"/>
              </w:rPr>
              <w:t>30+ dpd on each quarterly vintage below the FY24 cohort before scaling</w:t>
            </w:r>
          </w:p>
        </w:tc>
      </w:tr>
      <w:tr w:rsidR="007F373F">
        <w:trPr>
          <w:jc w:val="center"/>
        </w:trPr>
        <w:tc>
          <w:tcPr>
            <w:tcW w:w="552" w:type="dxa"/>
          </w:tcPr>
          <w:p w:rsidR="007F373F" w:rsidRDefault="00000000">
            <w:pPr>
              <w:spacing w:after="0"/>
              <w:jc w:val="left"/>
            </w:pPr>
            <w:r>
              <w:rPr>
                <w:sz w:val="19"/>
              </w:rPr>
              <w:t>G4</w:t>
            </w:r>
          </w:p>
        </w:tc>
        <w:tc>
          <w:tcPr>
            <w:tcW w:w="2761" w:type="dxa"/>
          </w:tcPr>
          <w:p w:rsidR="007F373F" w:rsidRDefault="00000000">
            <w:pPr>
              <w:spacing w:after="0"/>
              <w:jc w:val="left"/>
            </w:pPr>
            <w:r>
              <w:rPr>
                <w:sz w:val="19"/>
              </w:rPr>
              <w:t>Use the 70 co-located ‘Vyapaar’ branches as the template for mortgage expansion</w:t>
            </w:r>
          </w:p>
        </w:tc>
        <w:tc>
          <w:tcPr>
            <w:tcW w:w="3658" w:type="dxa"/>
          </w:tcPr>
          <w:p w:rsidR="007F373F" w:rsidRDefault="00000000">
            <w:pPr>
              <w:spacing w:after="0"/>
              <w:jc w:val="left"/>
            </w:pPr>
            <w:r>
              <w:rPr>
                <w:sz w:val="19"/>
              </w:rPr>
              <w:t>20–25% customer overlap; co-location reduces operating costs</w:t>
            </w:r>
          </w:p>
        </w:tc>
        <w:tc>
          <w:tcPr>
            <w:tcW w:w="2761" w:type="dxa"/>
          </w:tcPr>
          <w:p w:rsidR="007F373F" w:rsidRDefault="00000000">
            <w:pPr>
              <w:spacing w:after="0"/>
              <w:jc w:val="left"/>
            </w:pPr>
            <w:r>
              <w:rPr>
                <w:sz w:val="19"/>
              </w:rPr>
              <w:t>Share of ST LAP sourced from gold-customer base; cost per branch</w:t>
            </w:r>
          </w:p>
        </w:tc>
      </w:tr>
      <w:tr w:rsidR="007F373F">
        <w:trPr>
          <w:jc w:val="center"/>
        </w:trPr>
        <w:tc>
          <w:tcPr>
            <w:tcW w:w="552" w:type="dxa"/>
          </w:tcPr>
          <w:p w:rsidR="007F373F" w:rsidRDefault="00000000">
            <w:pPr>
              <w:spacing w:after="0"/>
              <w:jc w:val="left"/>
            </w:pPr>
            <w:r>
              <w:rPr>
                <w:sz w:val="19"/>
              </w:rPr>
              <w:t>G5</w:t>
            </w:r>
          </w:p>
        </w:tc>
        <w:tc>
          <w:tcPr>
            <w:tcW w:w="2761" w:type="dxa"/>
          </w:tcPr>
          <w:p w:rsidR="007F373F" w:rsidRDefault="00000000">
            <w:pPr>
              <w:spacing w:after="0"/>
              <w:jc w:val="left"/>
            </w:pPr>
            <w:r>
              <w:rPr>
                <w:sz w:val="19"/>
              </w:rPr>
              <w:t>Expand co-lending in gold and MSME LAP as the preferred capital-light channel</w:t>
            </w:r>
          </w:p>
        </w:tc>
        <w:tc>
          <w:tcPr>
            <w:tcW w:w="3658" w:type="dxa"/>
          </w:tcPr>
          <w:p w:rsidR="007F373F" w:rsidRDefault="00000000">
            <w:pPr>
              <w:spacing w:after="0"/>
              <w:jc w:val="left"/>
            </w:pPr>
            <w:r>
              <w:rPr>
                <w:sz w:val="19"/>
              </w:rPr>
              <w:t>Co-lending AUM ₹2,433 crore (2.2x); DA income front-loaded; D/E 4.6x</w:t>
            </w:r>
          </w:p>
        </w:tc>
        <w:tc>
          <w:tcPr>
            <w:tcW w:w="2761" w:type="dxa"/>
          </w:tcPr>
          <w:p w:rsidR="007F373F" w:rsidRDefault="00000000">
            <w:pPr>
              <w:spacing w:after="0"/>
              <w:jc w:val="left"/>
            </w:pPr>
            <w:r>
              <w:rPr>
                <w:sz w:val="19"/>
              </w:rPr>
              <w:t>Off-book AUM share stable at 12–15% with co-lending &gt; DA</w:t>
            </w:r>
          </w:p>
        </w:tc>
      </w:tr>
      <w:tr w:rsidR="007F373F">
        <w:trPr>
          <w:jc w:val="center"/>
        </w:trPr>
        <w:tc>
          <w:tcPr>
            <w:tcW w:w="552" w:type="dxa"/>
          </w:tcPr>
          <w:p w:rsidR="007F373F" w:rsidRDefault="00000000">
            <w:pPr>
              <w:spacing w:after="0"/>
              <w:jc w:val="left"/>
            </w:pPr>
            <w:r>
              <w:rPr>
                <w:sz w:val="19"/>
              </w:rPr>
              <w:t>G6</w:t>
            </w:r>
          </w:p>
        </w:tc>
        <w:tc>
          <w:tcPr>
            <w:tcW w:w="2761" w:type="dxa"/>
          </w:tcPr>
          <w:p w:rsidR="007F373F" w:rsidRDefault="00000000">
            <w:pPr>
              <w:spacing w:after="0"/>
              <w:jc w:val="left"/>
            </w:pPr>
            <w:r>
              <w:rPr>
                <w:sz w:val="19"/>
              </w:rPr>
              <w:t>Defend MT LAP economics through service rather than price</w:t>
            </w:r>
          </w:p>
        </w:tc>
        <w:tc>
          <w:tcPr>
            <w:tcW w:w="3658" w:type="dxa"/>
          </w:tcPr>
          <w:p w:rsidR="007F373F" w:rsidRDefault="00000000">
            <w:pPr>
              <w:spacing w:after="0"/>
              <w:jc w:val="left"/>
            </w:pPr>
            <w:r>
              <w:rPr>
                <w:sz w:val="19"/>
              </w:rPr>
              <w:t>Origination yield 12.0%; industry yield pressure; 81% CIBIL &gt;700</w:t>
            </w:r>
          </w:p>
        </w:tc>
        <w:tc>
          <w:tcPr>
            <w:tcW w:w="2761" w:type="dxa"/>
          </w:tcPr>
          <w:p w:rsidR="007F373F" w:rsidRDefault="00000000">
            <w:pPr>
              <w:spacing w:after="0"/>
              <w:jc w:val="left"/>
            </w:pPr>
            <w:r>
              <w:rPr>
                <w:sz w:val="19"/>
              </w:rPr>
              <w:t>MT LAP blended yield ≥ 12%; attrition from balance transfer tracked</w:t>
            </w:r>
          </w:p>
        </w:tc>
      </w:tr>
      <w:tr w:rsidR="007F373F">
        <w:trPr>
          <w:jc w:val="center"/>
        </w:trPr>
        <w:tc>
          <w:tcPr>
            <w:tcW w:w="552" w:type="dxa"/>
          </w:tcPr>
          <w:p w:rsidR="007F373F" w:rsidRDefault="00000000">
            <w:pPr>
              <w:spacing w:after="0"/>
              <w:jc w:val="left"/>
            </w:pPr>
            <w:r>
              <w:rPr>
                <w:sz w:val="19"/>
              </w:rPr>
              <w:t>G7</w:t>
            </w:r>
          </w:p>
        </w:tc>
        <w:tc>
          <w:tcPr>
            <w:tcW w:w="2761" w:type="dxa"/>
          </w:tcPr>
          <w:p w:rsidR="007F373F" w:rsidRDefault="00000000">
            <w:pPr>
              <w:spacing w:after="0"/>
              <w:jc w:val="left"/>
            </w:pPr>
            <w:r>
              <w:rPr>
                <w:sz w:val="19"/>
              </w:rPr>
              <w:t>Pilot the green-finance products already under exploration</w:t>
            </w:r>
          </w:p>
        </w:tc>
        <w:tc>
          <w:tcPr>
            <w:tcW w:w="3658" w:type="dxa"/>
          </w:tcPr>
          <w:p w:rsidR="007F373F" w:rsidRDefault="00000000">
            <w:pPr>
              <w:spacing w:after="0"/>
              <w:jc w:val="left"/>
            </w:pPr>
            <w:r>
              <w:rPr>
                <w:sz w:val="19"/>
              </w:rPr>
              <w:t>Solar and efficient-appliance loans mentioned in ESG section; secured by asset</w:t>
            </w:r>
          </w:p>
        </w:tc>
        <w:tc>
          <w:tcPr>
            <w:tcW w:w="2761" w:type="dxa"/>
          </w:tcPr>
          <w:p w:rsidR="007F373F" w:rsidRDefault="00000000">
            <w:pPr>
              <w:spacing w:after="0"/>
              <w:jc w:val="left"/>
            </w:pPr>
            <w:r>
              <w:rPr>
                <w:sz w:val="19"/>
              </w:rPr>
              <w:t>Pilot AUM and loss experience disclosed</w:t>
            </w:r>
          </w:p>
        </w:tc>
      </w:tr>
      <w:tr w:rsidR="007F373F">
        <w:trPr>
          <w:jc w:val="center"/>
        </w:trPr>
        <w:tc>
          <w:tcPr>
            <w:tcW w:w="552" w:type="dxa"/>
          </w:tcPr>
          <w:p w:rsidR="007F373F" w:rsidRDefault="00000000">
            <w:pPr>
              <w:spacing w:after="0"/>
              <w:jc w:val="left"/>
            </w:pPr>
            <w:r>
              <w:rPr>
                <w:sz w:val="19"/>
              </w:rPr>
              <w:t>G8</w:t>
            </w:r>
          </w:p>
        </w:tc>
        <w:tc>
          <w:tcPr>
            <w:tcW w:w="2761" w:type="dxa"/>
          </w:tcPr>
          <w:p w:rsidR="007F373F" w:rsidRDefault="00000000">
            <w:pPr>
              <w:spacing w:after="0"/>
              <w:jc w:val="left"/>
            </w:pPr>
            <w:r>
              <w:rPr>
                <w:sz w:val="19"/>
              </w:rPr>
              <w:t>Deepen cross-sell analytics across the 3.44 lakh customer base</w:t>
            </w:r>
          </w:p>
        </w:tc>
        <w:tc>
          <w:tcPr>
            <w:tcW w:w="3658" w:type="dxa"/>
          </w:tcPr>
          <w:p w:rsidR="007F373F" w:rsidRDefault="00000000">
            <w:pPr>
              <w:spacing w:after="0"/>
              <w:jc w:val="left"/>
            </w:pPr>
            <w:r>
              <w:rPr>
                <w:sz w:val="19"/>
              </w:rPr>
              <w:t>Twin-engine overlap; integrated LOS–LMS–CRM now in place</w:t>
            </w:r>
          </w:p>
        </w:tc>
        <w:tc>
          <w:tcPr>
            <w:tcW w:w="2761" w:type="dxa"/>
          </w:tcPr>
          <w:p w:rsidR="007F373F" w:rsidRDefault="00000000">
            <w:pPr>
              <w:spacing w:after="0"/>
              <w:jc w:val="left"/>
            </w:pPr>
            <w:r>
              <w:rPr>
                <w:sz w:val="19"/>
              </w:rPr>
              <w:t>Products per customer; cross-sell share of disbursements</w:t>
            </w:r>
          </w:p>
        </w:tc>
      </w:tr>
    </w:tbl>
    <w:p w:rsidR="007F373F" w:rsidRDefault="007F373F">
      <w:pPr>
        <w:spacing w:after="40"/>
      </w:pPr>
    </w:p>
    <w:p w:rsidR="007F373F" w:rsidRDefault="00000000">
      <w:pPr>
        <w:pStyle w:val="Heading2"/>
      </w:pPr>
      <w:r>
        <w:t>FY26 baselines against which the indicators can be tracked</w:t>
      </w:r>
    </w:p>
    <w:tbl>
      <w:tblPr>
        <w:tblW w:w="0" w:type="auto"/>
        <w:jc w:val="center"/>
        <w:tblCellMar>
          <w:top w:w="40" w:type="dxa"/>
          <w:left w:w="60" w:type="dxa"/>
          <w:bottom w:w="40" w:type="dxa"/>
          <w:right w:w="60" w:type="dxa"/>
        </w:tblCellMar>
        <w:tblLook w:val="04A0" w:firstRow="1" w:lastRow="0" w:firstColumn="1" w:lastColumn="0" w:noHBand="0" w:noVBand="1"/>
      </w:tblPr>
      <w:tblGrid>
        <w:gridCol w:w="1624"/>
        <w:gridCol w:w="1624"/>
        <w:gridCol w:w="1624"/>
        <w:gridCol w:w="1624"/>
        <w:gridCol w:w="1624"/>
        <w:gridCol w:w="1624"/>
      </w:tblGrid>
      <w:tr w:rsidR="007F373F">
        <w:trPr>
          <w:jc w:val="center"/>
        </w:trPr>
        <w:tc>
          <w:tcPr>
            <w:tcW w:w="1624" w:type="dxa"/>
          </w:tcPr>
          <w:p w:rsidR="007F373F" w:rsidRDefault="00000000">
            <w:pPr>
              <w:spacing w:after="0"/>
              <w:jc w:val="center"/>
            </w:pPr>
            <w:r>
              <w:rPr>
                <w:b/>
                <w:sz w:val="26"/>
              </w:rPr>
              <w:t>₹16.5 cr</w:t>
            </w:r>
          </w:p>
          <w:p w:rsidR="007F373F" w:rsidRDefault="00000000">
            <w:pPr>
              <w:spacing w:after="0"/>
              <w:jc w:val="center"/>
            </w:pPr>
            <w:r>
              <w:rPr>
                <w:sz w:val="18"/>
              </w:rPr>
              <w:t>Gold AUM per branch</w:t>
            </w:r>
          </w:p>
        </w:tc>
        <w:tc>
          <w:tcPr>
            <w:tcW w:w="1624" w:type="dxa"/>
          </w:tcPr>
          <w:p w:rsidR="007F373F" w:rsidRDefault="00000000">
            <w:pPr>
              <w:spacing w:after="0"/>
              <w:jc w:val="center"/>
            </w:pPr>
            <w:r>
              <w:rPr>
                <w:b/>
                <w:sz w:val="26"/>
              </w:rPr>
              <w:t>57.2%</w:t>
            </w:r>
          </w:p>
          <w:p w:rsidR="007F373F" w:rsidRDefault="00000000">
            <w:pPr>
              <w:spacing w:after="0"/>
              <w:jc w:val="center"/>
            </w:pPr>
            <w:r>
              <w:rPr>
                <w:sz w:val="18"/>
              </w:rPr>
              <w:t>Cost-to-income</w:t>
            </w:r>
          </w:p>
        </w:tc>
        <w:tc>
          <w:tcPr>
            <w:tcW w:w="1624" w:type="dxa"/>
          </w:tcPr>
          <w:p w:rsidR="007F373F" w:rsidRDefault="00000000">
            <w:pPr>
              <w:spacing w:after="0"/>
              <w:jc w:val="center"/>
            </w:pPr>
            <w:r>
              <w:rPr>
                <w:b/>
                <w:sz w:val="26"/>
              </w:rPr>
              <w:t>₹904 cr</w:t>
            </w:r>
          </w:p>
          <w:p w:rsidR="007F373F" w:rsidRDefault="00000000">
            <w:pPr>
              <w:spacing w:after="0"/>
              <w:jc w:val="center"/>
            </w:pPr>
            <w:r>
              <w:rPr>
                <w:sz w:val="18"/>
              </w:rPr>
              <w:t>ST LAP + HL disbursements</w:t>
            </w:r>
          </w:p>
        </w:tc>
        <w:tc>
          <w:tcPr>
            <w:tcW w:w="1624" w:type="dxa"/>
          </w:tcPr>
          <w:p w:rsidR="007F373F" w:rsidRDefault="00000000">
            <w:pPr>
              <w:spacing w:after="0"/>
              <w:jc w:val="center"/>
            </w:pPr>
            <w:r>
              <w:rPr>
                <w:b/>
                <w:sz w:val="26"/>
              </w:rPr>
              <w:t>₹2,433 cr</w:t>
            </w:r>
          </w:p>
          <w:p w:rsidR="007F373F" w:rsidRDefault="00000000">
            <w:pPr>
              <w:spacing w:after="0"/>
              <w:jc w:val="center"/>
            </w:pPr>
            <w:r>
              <w:rPr>
                <w:sz w:val="18"/>
              </w:rPr>
              <w:t>Co-lending AUM</w:t>
            </w:r>
          </w:p>
        </w:tc>
        <w:tc>
          <w:tcPr>
            <w:tcW w:w="1624" w:type="dxa"/>
          </w:tcPr>
          <w:p w:rsidR="007F373F" w:rsidRDefault="00000000">
            <w:pPr>
              <w:spacing w:after="0"/>
              <w:jc w:val="center"/>
            </w:pPr>
            <w:r>
              <w:rPr>
                <w:b/>
                <w:sz w:val="26"/>
              </w:rPr>
              <w:t>70</w:t>
            </w:r>
          </w:p>
          <w:p w:rsidR="007F373F" w:rsidRDefault="00000000">
            <w:pPr>
              <w:spacing w:after="0"/>
              <w:jc w:val="center"/>
            </w:pPr>
            <w:r>
              <w:rPr>
                <w:sz w:val="18"/>
              </w:rPr>
              <w:t>Co-located ‘Vyapaar’ branches</w:t>
            </w:r>
          </w:p>
        </w:tc>
        <w:tc>
          <w:tcPr>
            <w:tcW w:w="1624" w:type="dxa"/>
          </w:tcPr>
          <w:p w:rsidR="007F373F" w:rsidRDefault="00000000">
            <w:pPr>
              <w:spacing w:after="0"/>
              <w:jc w:val="center"/>
            </w:pPr>
            <w:r>
              <w:rPr>
                <w:b/>
                <w:sz w:val="26"/>
              </w:rPr>
              <w:t>3.44 lakh</w:t>
            </w:r>
          </w:p>
          <w:p w:rsidR="007F373F" w:rsidRDefault="00000000">
            <w:pPr>
              <w:spacing w:after="0"/>
              <w:jc w:val="center"/>
            </w:pPr>
            <w:r>
              <w:rPr>
                <w:sz w:val="18"/>
              </w:rPr>
              <w:t>Customers</w:t>
            </w:r>
          </w:p>
        </w:tc>
      </w:tr>
    </w:tbl>
    <w:p w:rsidR="007F373F" w:rsidRDefault="007F373F">
      <w:pPr>
        <w:spacing w:after="40"/>
      </w:pPr>
    </w:p>
    <w:p w:rsidR="007F373F" w:rsidRDefault="00000000">
      <w:r>
        <w:t>Sequencing. G1–G3 are FY27 priorities because they protect the credit-cost and efficiency gains on which the thesis depends; G4–G6 build on infrastructure already in place (co-located branches, co-lending partnerships, the integrated LOS–LMS–CRM stack) and can run in parallel; G7–G8 are option-value initiatives whose cost is low and whose benefit is strategic. All eight can be tracked from metrics the company already discloses in its annual report, so progress is verifiable by external readers without access to management.</w:t>
      </w:r>
    </w:p>
    <w:p w:rsidR="007F373F" w:rsidRDefault="00000000">
      <w:r>
        <w:t>For investors and lenders the growth recommendations translate into two monitoring questions: is growth coming from tonnage and new customers rather than gold price, and is the cost ratio finally bending as the branch base matures? Both can be answered from the KPIs the company already publishes.</w:t>
      </w:r>
    </w:p>
    <w:p w:rsidR="007F373F" w:rsidRDefault="00000000">
      <w:pPr>
        <w:pStyle w:val="Heading1"/>
        <w:pageBreakBefore/>
      </w:pPr>
      <w:r>
        <w:lastRenderedPageBreak/>
        <w:t>Recommendations: Risk, Capital and Governance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552"/>
        <w:gridCol w:w="2761"/>
        <w:gridCol w:w="3658"/>
        <w:gridCol w:w="2761"/>
      </w:tblGrid>
      <w:tr w:rsidR="007F373F">
        <w:trPr>
          <w:jc w:val="center"/>
        </w:trPr>
        <w:tc>
          <w:tcPr>
            <w:tcW w:w="552" w:type="dxa"/>
          </w:tcPr>
          <w:p w:rsidR="007F373F" w:rsidRDefault="00000000">
            <w:pPr>
              <w:spacing w:after="0"/>
              <w:jc w:val="left"/>
            </w:pPr>
            <w:r>
              <w:rPr>
                <w:b/>
                <w:sz w:val="19"/>
              </w:rPr>
              <w:t>#</w:t>
            </w:r>
          </w:p>
        </w:tc>
        <w:tc>
          <w:tcPr>
            <w:tcW w:w="2761" w:type="dxa"/>
          </w:tcPr>
          <w:p w:rsidR="007F373F" w:rsidRDefault="00000000">
            <w:pPr>
              <w:spacing w:after="0"/>
              <w:jc w:val="left"/>
            </w:pPr>
            <w:r>
              <w:rPr>
                <w:b/>
                <w:sz w:val="19"/>
              </w:rPr>
              <w:t>Recommendation</w:t>
            </w:r>
          </w:p>
        </w:tc>
        <w:tc>
          <w:tcPr>
            <w:tcW w:w="3658" w:type="dxa"/>
          </w:tcPr>
          <w:p w:rsidR="007F373F" w:rsidRDefault="00000000">
            <w:pPr>
              <w:spacing w:after="0"/>
              <w:jc w:val="left"/>
            </w:pPr>
            <w:r>
              <w:rPr>
                <w:b/>
                <w:sz w:val="19"/>
              </w:rPr>
              <w:t>Rationale (evidence)</w:t>
            </w:r>
          </w:p>
        </w:tc>
        <w:tc>
          <w:tcPr>
            <w:tcW w:w="2761" w:type="dxa"/>
          </w:tcPr>
          <w:p w:rsidR="007F373F" w:rsidRDefault="00000000">
            <w:pPr>
              <w:spacing w:after="0"/>
              <w:jc w:val="left"/>
            </w:pPr>
            <w:r>
              <w:rPr>
                <w:b/>
                <w:sz w:val="19"/>
              </w:rPr>
              <w:t>Measurable indicator</w:t>
            </w:r>
          </w:p>
        </w:tc>
      </w:tr>
      <w:tr w:rsidR="007F373F">
        <w:trPr>
          <w:jc w:val="center"/>
        </w:trPr>
        <w:tc>
          <w:tcPr>
            <w:tcW w:w="552" w:type="dxa"/>
          </w:tcPr>
          <w:p w:rsidR="007F373F" w:rsidRDefault="00000000">
            <w:pPr>
              <w:spacing w:after="0"/>
              <w:jc w:val="left"/>
            </w:pPr>
            <w:r>
              <w:rPr>
                <w:sz w:val="19"/>
              </w:rPr>
              <w:t>R1</w:t>
            </w:r>
          </w:p>
        </w:tc>
        <w:tc>
          <w:tcPr>
            <w:tcW w:w="2761" w:type="dxa"/>
          </w:tcPr>
          <w:p w:rsidR="007F373F" w:rsidRDefault="00000000">
            <w:pPr>
              <w:spacing w:after="0"/>
              <w:jc w:val="left"/>
            </w:pPr>
            <w:r>
              <w:rPr>
                <w:sz w:val="19"/>
              </w:rPr>
              <w:t>Publish vintage-wise delinquency curves for ST LAP and gold loans</w:t>
            </w:r>
          </w:p>
        </w:tc>
        <w:tc>
          <w:tcPr>
            <w:tcW w:w="3658" w:type="dxa"/>
          </w:tcPr>
          <w:p w:rsidR="007F373F" w:rsidRDefault="00000000">
            <w:pPr>
              <w:spacing w:after="0"/>
              <w:jc w:val="left"/>
            </w:pPr>
            <w:r>
              <w:rPr>
                <w:sz w:val="19"/>
              </w:rPr>
              <w:t>FY25 stress was detected late; FY26 new book is ‘better than old’ but data are qualitative</w:t>
            </w:r>
          </w:p>
        </w:tc>
        <w:tc>
          <w:tcPr>
            <w:tcW w:w="2761" w:type="dxa"/>
          </w:tcPr>
          <w:p w:rsidR="007F373F" w:rsidRDefault="00000000">
            <w:pPr>
              <w:spacing w:after="0"/>
              <w:jc w:val="left"/>
            </w:pPr>
            <w:r>
              <w:rPr>
                <w:sz w:val="19"/>
              </w:rPr>
              <w:t>30+/90+ dpd by origination quarter in investor materials</w:t>
            </w:r>
          </w:p>
        </w:tc>
      </w:tr>
      <w:tr w:rsidR="007F373F">
        <w:trPr>
          <w:jc w:val="center"/>
        </w:trPr>
        <w:tc>
          <w:tcPr>
            <w:tcW w:w="552" w:type="dxa"/>
          </w:tcPr>
          <w:p w:rsidR="007F373F" w:rsidRDefault="00000000">
            <w:pPr>
              <w:spacing w:after="0"/>
              <w:jc w:val="left"/>
            </w:pPr>
            <w:r>
              <w:rPr>
                <w:sz w:val="19"/>
              </w:rPr>
              <w:t>R2</w:t>
            </w:r>
          </w:p>
        </w:tc>
        <w:tc>
          <w:tcPr>
            <w:tcW w:w="2761" w:type="dxa"/>
          </w:tcPr>
          <w:p w:rsidR="007F373F" w:rsidRDefault="00000000">
            <w:pPr>
              <w:spacing w:after="0"/>
              <w:jc w:val="left"/>
            </w:pPr>
            <w:r>
              <w:rPr>
                <w:sz w:val="19"/>
              </w:rPr>
              <w:t>Set a leverage ceiling and a Tier I floor above regulatory minimums, and disclose them</w:t>
            </w:r>
          </w:p>
        </w:tc>
        <w:tc>
          <w:tcPr>
            <w:tcW w:w="3658" w:type="dxa"/>
          </w:tcPr>
          <w:p w:rsidR="007F373F" w:rsidRDefault="00000000">
            <w:pPr>
              <w:spacing w:after="0"/>
              <w:jc w:val="left"/>
            </w:pPr>
            <w:r>
              <w:rPr>
                <w:sz w:val="19"/>
              </w:rPr>
              <w:t>D/E 3.6x → 4.6x in two years; Tier I 17.5% (−1.4 pp); growth target 20–25%</w:t>
            </w:r>
          </w:p>
        </w:tc>
        <w:tc>
          <w:tcPr>
            <w:tcW w:w="2761" w:type="dxa"/>
          </w:tcPr>
          <w:p w:rsidR="007F373F" w:rsidRDefault="00000000">
            <w:pPr>
              <w:spacing w:after="0"/>
              <w:jc w:val="left"/>
            </w:pPr>
            <w:r>
              <w:rPr>
                <w:sz w:val="19"/>
              </w:rPr>
              <w:t>Board-approved D/E cap (e.g., ≤ 5.0x) and Tier I floor (e.g., ≥ 15%) disclosed</w:t>
            </w:r>
          </w:p>
        </w:tc>
      </w:tr>
      <w:tr w:rsidR="007F373F">
        <w:trPr>
          <w:jc w:val="center"/>
        </w:trPr>
        <w:tc>
          <w:tcPr>
            <w:tcW w:w="552" w:type="dxa"/>
          </w:tcPr>
          <w:p w:rsidR="007F373F" w:rsidRDefault="00000000">
            <w:pPr>
              <w:spacing w:after="0"/>
              <w:jc w:val="left"/>
            </w:pPr>
            <w:r>
              <w:rPr>
                <w:sz w:val="19"/>
              </w:rPr>
              <w:t>R3</w:t>
            </w:r>
          </w:p>
        </w:tc>
        <w:tc>
          <w:tcPr>
            <w:tcW w:w="2761" w:type="dxa"/>
          </w:tcPr>
          <w:p w:rsidR="007F373F" w:rsidRDefault="00000000">
            <w:pPr>
              <w:spacing w:after="0"/>
              <w:jc w:val="left"/>
            </w:pPr>
            <w:r>
              <w:rPr>
                <w:sz w:val="19"/>
              </w:rPr>
              <w:t>Plan the next equity raise before leverage forces it</w:t>
            </w:r>
          </w:p>
        </w:tc>
        <w:tc>
          <w:tcPr>
            <w:tcW w:w="3658" w:type="dxa"/>
          </w:tcPr>
          <w:p w:rsidR="007F373F" w:rsidRDefault="00000000">
            <w:pPr>
              <w:spacing w:after="0"/>
              <w:jc w:val="left"/>
            </w:pPr>
            <w:r>
              <w:rPr>
                <w:sz w:val="19"/>
              </w:rPr>
              <w:t>RoE 12.6% supports ≈12–13% equity growth vs 20–25% asset growth; shares at ≈1.6x book</w:t>
            </w:r>
          </w:p>
        </w:tc>
        <w:tc>
          <w:tcPr>
            <w:tcW w:w="2761" w:type="dxa"/>
          </w:tcPr>
          <w:p w:rsidR="007F373F" w:rsidRDefault="00000000">
            <w:pPr>
              <w:spacing w:after="0"/>
              <w:jc w:val="left"/>
            </w:pPr>
            <w:r>
              <w:rPr>
                <w:sz w:val="19"/>
              </w:rPr>
              <w:t>Capital plan in ICAAP; timing linked to RoE and valuation</w:t>
            </w:r>
          </w:p>
        </w:tc>
      </w:tr>
      <w:tr w:rsidR="007F373F">
        <w:trPr>
          <w:jc w:val="center"/>
        </w:trPr>
        <w:tc>
          <w:tcPr>
            <w:tcW w:w="552" w:type="dxa"/>
          </w:tcPr>
          <w:p w:rsidR="007F373F" w:rsidRDefault="00000000">
            <w:pPr>
              <w:spacing w:after="0"/>
              <w:jc w:val="left"/>
            </w:pPr>
            <w:r>
              <w:rPr>
                <w:sz w:val="19"/>
              </w:rPr>
              <w:t>R4</w:t>
            </w:r>
          </w:p>
        </w:tc>
        <w:tc>
          <w:tcPr>
            <w:tcW w:w="2761" w:type="dxa"/>
          </w:tcPr>
          <w:p w:rsidR="007F373F" w:rsidRDefault="00000000">
            <w:pPr>
              <w:spacing w:after="0"/>
              <w:jc w:val="left"/>
            </w:pPr>
            <w:r>
              <w:rPr>
                <w:sz w:val="19"/>
              </w:rPr>
              <w:t>Maintain the 40% fixed-rate share and lengthen tenor in the 1–3 year bucket</w:t>
            </w:r>
          </w:p>
        </w:tc>
        <w:tc>
          <w:tcPr>
            <w:tcW w:w="3658" w:type="dxa"/>
          </w:tcPr>
          <w:p w:rsidR="007F373F" w:rsidRDefault="00000000">
            <w:pPr>
              <w:spacing w:after="0"/>
              <w:jc w:val="left"/>
            </w:pPr>
            <w:r>
              <w:rPr>
                <w:sz w:val="19"/>
              </w:rPr>
              <w:t>1–3 year borrowings ₹6,409 crore vs advances ₹1,984 crore; 60% floating</w:t>
            </w:r>
          </w:p>
        </w:tc>
        <w:tc>
          <w:tcPr>
            <w:tcW w:w="2761" w:type="dxa"/>
          </w:tcPr>
          <w:p w:rsidR="007F373F" w:rsidRDefault="00000000">
            <w:pPr>
              <w:spacing w:after="0"/>
              <w:jc w:val="left"/>
            </w:pPr>
            <w:r>
              <w:rPr>
                <w:sz w:val="19"/>
              </w:rPr>
              <w:t>Fixed share ≥ 40%; 1–3 year cumulative gap narrowing</w:t>
            </w:r>
          </w:p>
        </w:tc>
      </w:tr>
      <w:tr w:rsidR="007F373F">
        <w:trPr>
          <w:jc w:val="center"/>
        </w:trPr>
        <w:tc>
          <w:tcPr>
            <w:tcW w:w="552" w:type="dxa"/>
          </w:tcPr>
          <w:p w:rsidR="007F373F" w:rsidRDefault="00000000">
            <w:pPr>
              <w:spacing w:after="0"/>
              <w:jc w:val="left"/>
            </w:pPr>
            <w:r>
              <w:rPr>
                <w:sz w:val="19"/>
              </w:rPr>
              <w:t>R5</w:t>
            </w:r>
          </w:p>
        </w:tc>
        <w:tc>
          <w:tcPr>
            <w:tcW w:w="2761" w:type="dxa"/>
          </w:tcPr>
          <w:p w:rsidR="007F373F" w:rsidRDefault="00000000">
            <w:pPr>
              <w:spacing w:after="0"/>
              <w:jc w:val="left"/>
            </w:pPr>
            <w:r>
              <w:rPr>
                <w:sz w:val="19"/>
              </w:rPr>
              <w:t>Disclose gold-price stress tests (e.g., 20% and 30% declines) and LTV distribution</w:t>
            </w:r>
          </w:p>
        </w:tc>
        <w:tc>
          <w:tcPr>
            <w:tcW w:w="3658" w:type="dxa"/>
          </w:tcPr>
          <w:p w:rsidR="007F373F" w:rsidRDefault="00000000">
            <w:pPr>
              <w:spacing w:after="0"/>
              <w:jc w:val="left"/>
            </w:pPr>
            <w:r>
              <w:rPr>
                <w:sz w:val="19"/>
              </w:rPr>
              <w:t>Gold 51% of AUM; price +65% in CY2025; LTV 60.9% average only</w:t>
            </w:r>
          </w:p>
        </w:tc>
        <w:tc>
          <w:tcPr>
            <w:tcW w:w="2761" w:type="dxa"/>
          </w:tcPr>
          <w:p w:rsidR="007F373F" w:rsidRDefault="00000000">
            <w:pPr>
              <w:spacing w:after="0"/>
              <w:jc w:val="left"/>
            </w:pPr>
            <w:r>
              <w:rPr>
                <w:sz w:val="19"/>
              </w:rPr>
              <w:t>Share of gold book above 75% LTV; auction-loss sensitivity</w:t>
            </w:r>
          </w:p>
        </w:tc>
      </w:tr>
      <w:tr w:rsidR="007F373F">
        <w:trPr>
          <w:jc w:val="center"/>
        </w:trPr>
        <w:tc>
          <w:tcPr>
            <w:tcW w:w="552" w:type="dxa"/>
          </w:tcPr>
          <w:p w:rsidR="007F373F" w:rsidRDefault="00000000">
            <w:pPr>
              <w:spacing w:after="0"/>
              <w:jc w:val="left"/>
            </w:pPr>
            <w:r>
              <w:rPr>
                <w:sz w:val="19"/>
              </w:rPr>
              <w:t>R6</w:t>
            </w:r>
          </w:p>
        </w:tc>
        <w:tc>
          <w:tcPr>
            <w:tcW w:w="2761" w:type="dxa"/>
          </w:tcPr>
          <w:p w:rsidR="007F373F" w:rsidRDefault="00000000">
            <w:pPr>
              <w:spacing w:after="0"/>
              <w:jc w:val="left"/>
            </w:pPr>
            <w:r>
              <w:rPr>
                <w:sz w:val="19"/>
              </w:rPr>
              <w:t>Complete the doorstep ‘security box’ roll-out with disclosed custody-loss metrics</w:t>
            </w:r>
          </w:p>
        </w:tc>
        <w:tc>
          <w:tcPr>
            <w:tcW w:w="3658" w:type="dxa"/>
          </w:tcPr>
          <w:p w:rsidR="007F373F" w:rsidRDefault="00000000">
            <w:pPr>
              <w:spacing w:after="0"/>
              <w:jc w:val="left"/>
            </w:pPr>
            <w:r>
              <w:rPr>
                <w:sz w:val="19"/>
              </w:rPr>
              <w:t>DSGL AUM +108% to ₹1,730 crore; prototype under development</w:t>
            </w:r>
          </w:p>
        </w:tc>
        <w:tc>
          <w:tcPr>
            <w:tcW w:w="2761" w:type="dxa"/>
          </w:tcPr>
          <w:p w:rsidR="007F373F" w:rsidRDefault="00000000">
            <w:pPr>
              <w:spacing w:after="0"/>
              <w:jc w:val="left"/>
            </w:pPr>
            <w:r>
              <w:rPr>
                <w:sz w:val="19"/>
              </w:rPr>
              <w:t>Custody incidents per 1,000 DSGL loans; insurance claims</w:t>
            </w:r>
          </w:p>
        </w:tc>
      </w:tr>
      <w:tr w:rsidR="007F373F">
        <w:trPr>
          <w:jc w:val="center"/>
        </w:trPr>
        <w:tc>
          <w:tcPr>
            <w:tcW w:w="552" w:type="dxa"/>
          </w:tcPr>
          <w:p w:rsidR="007F373F" w:rsidRDefault="00000000">
            <w:pPr>
              <w:spacing w:after="0"/>
              <w:jc w:val="left"/>
            </w:pPr>
            <w:r>
              <w:rPr>
                <w:sz w:val="19"/>
              </w:rPr>
              <w:t>R7</w:t>
            </w:r>
          </w:p>
        </w:tc>
        <w:tc>
          <w:tcPr>
            <w:tcW w:w="2761" w:type="dxa"/>
          </w:tcPr>
          <w:p w:rsidR="007F373F" w:rsidRDefault="00000000">
            <w:pPr>
              <w:spacing w:after="0"/>
              <w:jc w:val="left"/>
            </w:pPr>
            <w:r>
              <w:rPr>
                <w:sz w:val="19"/>
              </w:rPr>
              <w:t>Reconcile and standardise key metrics across report sections</w:t>
            </w:r>
          </w:p>
        </w:tc>
        <w:tc>
          <w:tcPr>
            <w:tcW w:w="3658" w:type="dxa"/>
          </w:tcPr>
          <w:p w:rsidR="007F373F" w:rsidRDefault="00000000">
            <w:pPr>
              <w:spacing w:after="0"/>
              <w:jc w:val="left"/>
            </w:pPr>
            <w:r>
              <w:rPr>
                <w:sz w:val="19"/>
              </w:rPr>
              <w:t>GNPA 1.9% vs 2.2%; DA income ₹7.4 crore vs ₹102 crore; headcount growth 6.3% vs 16%; no AUM–loan bridge</w:t>
            </w:r>
          </w:p>
        </w:tc>
        <w:tc>
          <w:tcPr>
            <w:tcW w:w="2761" w:type="dxa"/>
          </w:tcPr>
          <w:p w:rsidR="007F373F" w:rsidRDefault="00000000">
            <w:pPr>
              <w:spacing w:after="0"/>
              <w:jc w:val="left"/>
            </w:pPr>
            <w:r>
              <w:rPr>
                <w:sz w:val="19"/>
              </w:rPr>
              <w:t>Single definitions page and AUM reconciliation in the annual report</w:t>
            </w:r>
          </w:p>
        </w:tc>
      </w:tr>
      <w:tr w:rsidR="007F373F">
        <w:trPr>
          <w:jc w:val="center"/>
        </w:trPr>
        <w:tc>
          <w:tcPr>
            <w:tcW w:w="552" w:type="dxa"/>
          </w:tcPr>
          <w:p w:rsidR="007F373F" w:rsidRDefault="00000000">
            <w:pPr>
              <w:spacing w:after="0"/>
              <w:jc w:val="left"/>
            </w:pPr>
            <w:r>
              <w:rPr>
                <w:sz w:val="19"/>
              </w:rPr>
              <w:t>R8</w:t>
            </w:r>
          </w:p>
        </w:tc>
        <w:tc>
          <w:tcPr>
            <w:tcW w:w="2761" w:type="dxa"/>
          </w:tcPr>
          <w:p w:rsidR="007F373F" w:rsidRDefault="00000000">
            <w:pPr>
              <w:spacing w:after="0"/>
              <w:jc w:val="left"/>
            </w:pPr>
            <w:r>
              <w:rPr>
                <w:sz w:val="19"/>
              </w:rPr>
              <w:t>Strengthen Board renewal planning after True North’s exit</w:t>
            </w:r>
          </w:p>
        </w:tc>
        <w:tc>
          <w:tcPr>
            <w:tcW w:w="3658" w:type="dxa"/>
          </w:tcPr>
          <w:p w:rsidR="007F373F" w:rsidRDefault="00000000">
            <w:pPr>
              <w:spacing w:after="0"/>
              <w:jc w:val="left"/>
            </w:pPr>
            <w:r>
              <w:rPr>
                <w:sz w:val="19"/>
              </w:rPr>
              <w:t>One nominee seat vacated; CS changed; MD&amp;CEO in second year</w:t>
            </w:r>
          </w:p>
        </w:tc>
        <w:tc>
          <w:tcPr>
            <w:tcW w:w="2761" w:type="dxa"/>
          </w:tcPr>
          <w:p w:rsidR="007F373F" w:rsidRDefault="00000000">
            <w:pPr>
              <w:spacing w:after="0"/>
              <w:jc w:val="left"/>
            </w:pPr>
            <w:r>
              <w:rPr>
                <w:sz w:val="19"/>
              </w:rPr>
              <w:t>Board skills matrix; succession plan disclosed</w:t>
            </w:r>
          </w:p>
        </w:tc>
      </w:tr>
      <w:tr w:rsidR="007F373F">
        <w:trPr>
          <w:jc w:val="center"/>
        </w:trPr>
        <w:tc>
          <w:tcPr>
            <w:tcW w:w="552" w:type="dxa"/>
          </w:tcPr>
          <w:p w:rsidR="007F373F" w:rsidRDefault="00000000">
            <w:pPr>
              <w:spacing w:after="0"/>
              <w:jc w:val="left"/>
            </w:pPr>
            <w:r>
              <w:rPr>
                <w:sz w:val="19"/>
              </w:rPr>
              <w:t>R9</w:t>
            </w:r>
          </w:p>
        </w:tc>
        <w:tc>
          <w:tcPr>
            <w:tcW w:w="2761" w:type="dxa"/>
          </w:tcPr>
          <w:p w:rsidR="007F373F" w:rsidRDefault="00000000">
            <w:pPr>
              <w:spacing w:after="0"/>
              <w:jc w:val="left"/>
            </w:pPr>
            <w:r>
              <w:rPr>
                <w:sz w:val="19"/>
              </w:rPr>
              <w:t>Prepare an impact assessment of the gold-lending Directions and disclose it</w:t>
            </w:r>
          </w:p>
        </w:tc>
        <w:tc>
          <w:tcPr>
            <w:tcW w:w="3658" w:type="dxa"/>
          </w:tcPr>
          <w:p w:rsidR="007F373F" w:rsidRDefault="00000000">
            <w:pPr>
              <w:spacing w:after="0"/>
              <w:jc w:val="left"/>
            </w:pPr>
            <w:r>
              <w:rPr>
                <w:sz w:val="19"/>
              </w:rPr>
              <w:t>Rules effective 1 April 2026 affect LTV maintenance, renewals, credit assessment</w:t>
            </w:r>
          </w:p>
        </w:tc>
        <w:tc>
          <w:tcPr>
            <w:tcW w:w="2761" w:type="dxa"/>
          </w:tcPr>
          <w:p w:rsidR="007F373F" w:rsidRDefault="00000000">
            <w:pPr>
              <w:spacing w:after="0"/>
              <w:jc w:val="left"/>
            </w:pPr>
            <w:r>
              <w:rPr>
                <w:sz w:val="19"/>
              </w:rPr>
              <w:t>Management commentary on volume and process effects in H1 FY27</w:t>
            </w:r>
          </w:p>
        </w:tc>
      </w:tr>
      <w:tr w:rsidR="007F373F">
        <w:trPr>
          <w:jc w:val="center"/>
        </w:trPr>
        <w:tc>
          <w:tcPr>
            <w:tcW w:w="552" w:type="dxa"/>
          </w:tcPr>
          <w:p w:rsidR="007F373F" w:rsidRDefault="00000000">
            <w:pPr>
              <w:spacing w:after="0"/>
              <w:jc w:val="left"/>
            </w:pPr>
            <w:r>
              <w:rPr>
                <w:sz w:val="19"/>
              </w:rPr>
              <w:t>R10</w:t>
            </w:r>
          </w:p>
        </w:tc>
        <w:tc>
          <w:tcPr>
            <w:tcW w:w="2761" w:type="dxa"/>
          </w:tcPr>
          <w:p w:rsidR="007F373F" w:rsidRDefault="00000000">
            <w:pPr>
              <w:spacing w:after="0"/>
              <w:jc w:val="left"/>
            </w:pPr>
            <w:r>
              <w:rPr>
                <w:sz w:val="19"/>
              </w:rPr>
              <w:t>Keep credit-cost guidance explicit and report it quarterly</w:t>
            </w:r>
          </w:p>
        </w:tc>
        <w:tc>
          <w:tcPr>
            <w:tcW w:w="3658" w:type="dxa"/>
          </w:tcPr>
          <w:p w:rsidR="007F373F" w:rsidRDefault="00000000">
            <w:pPr>
              <w:spacing w:after="0"/>
              <w:jc w:val="left"/>
            </w:pPr>
            <w:r>
              <w:rPr>
                <w:sz w:val="19"/>
              </w:rPr>
              <w:t>Sub-1% commitment met at 0.8%; FY25 showed how quickly it can move</w:t>
            </w:r>
          </w:p>
        </w:tc>
        <w:tc>
          <w:tcPr>
            <w:tcW w:w="2761" w:type="dxa"/>
          </w:tcPr>
          <w:p w:rsidR="007F373F" w:rsidRDefault="00000000">
            <w:pPr>
              <w:spacing w:after="0"/>
              <w:jc w:val="left"/>
            </w:pPr>
            <w:r>
              <w:rPr>
                <w:sz w:val="19"/>
              </w:rPr>
              <w:t>Credit cost on average assets each quarter with stage-wise drivers</w:t>
            </w:r>
          </w:p>
        </w:tc>
      </w:tr>
    </w:tbl>
    <w:p w:rsidR="007F373F" w:rsidRDefault="007F373F">
      <w:pPr>
        <w:spacing w:after="40"/>
      </w:pPr>
    </w:p>
    <w:p w:rsidR="007F373F" w:rsidRDefault="00000000">
      <w:r>
        <w:t>Rationale for emphasis on capital. Of all the recommendations, R2 and R3 are the most consequential for shareholders. Fedfina has grown assets at 25–30% a year while equity has grown at 13–15%; arithmetic guarantees that leverage will keep rising until either growth slows, RoE rises or new equity is raised. A clearly communicated leverage policy would reassure rating agencies (whose AA+ ratings underpin the funding cost advantage) and allow the market to price the eventual equity raise rather than fear it.</w:t>
      </w:r>
    </w:p>
    <w:p w:rsidR="007F373F" w:rsidRDefault="00000000">
      <w:r>
        <w:t>Illustrative capital arithmetic (derived). At an RoE of 12.6% with no dividend, equity grows by about 12.6% a year; if assets grow 22.5% (the mid-point of the Board’s target), the debt-to-equity ratio would rise from 4.6x to roughly 5.6x in two years and 6.6x in three, and Tier I would fall towards the mid-teens – still above the regulatory floor but below the level that supports an AA+ rating comfortably. A rise in RoE to 15% would slow this trajectory but not reverse it. This is why a pre-emptive, moderately sized equity raise is the recommended route.</w:t>
      </w:r>
    </w:p>
    <w:p w:rsidR="007F373F" w:rsidRDefault="00000000">
      <w:r>
        <w:t xml:space="preserve">Rationale for emphasis on disclosure. The company’s disclosure is already better than that of most mid-sized NBFCs; the inconsistencies noted are small, but at a listed company they invite questions </w:t>
      </w:r>
      <w:r>
        <w:lastRenderedPageBreak/>
        <w:t>that cost management credibility. A definitions page and a quarterly vintage table would close the gap at negligible cost.</w:t>
      </w:r>
    </w:p>
    <w:p w:rsidR="007F373F" w:rsidRDefault="00000000">
      <w:pPr>
        <w:pStyle w:val="Heading1"/>
        <w:pageBreakBefore/>
      </w:pPr>
      <w:r>
        <w:lastRenderedPageBreak/>
        <w:t>Recommendations: Sustainability, People and Stakeholders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552"/>
        <w:gridCol w:w="2761"/>
        <w:gridCol w:w="3658"/>
        <w:gridCol w:w="2761"/>
      </w:tblGrid>
      <w:tr w:rsidR="007F373F">
        <w:trPr>
          <w:jc w:val="center"/>
        </w:trPr>
        <w:tc>
          <w:tcPr>
            <w:tcW w:w="552" w:type="dxa"/>
          </w:tcPr>
          <w:p w:rsidR="007F373F" w:rsidRDefault="00000000">
            <w:pPr>
              <w:spacing w:after="0"/>
              <w:jc w:val="left"/>
            </w:pPr>
            <w:r>
              <w:rPr>
                <w:b/>
                <w:sz w:val="19"/>
              </w:rPr>
              <w:t>#</w:t>
            </w:r>
          </w:p>
        </w:tc>
        <w:tc>
          <w:tcPr>
            <w:tcW w:w="2761" w:type="dxa"/>
          </w:tcPr>
          <w:p w:rsidR="007F373F" w:rsidRDefault="00000000">
            <w:pPr>
              <w:spacing w:after="0"/>
              <w:jc w:val="left"/>
            </w:pPr>
            <w:r>
              <w:rPr>
                <w:b/>
                <w:sz w:val="19"/>
              </w:rPr>
              <w:t>Recommendation</w:t>
            </w:r>
          </w:p>
        </w:tc>
        <w:tc>
          <w:tcPr>
            <w:tcW w:w="3658" w:type="dxa"/>
          </w:tcPr>
          <w:p w:rsidR="007F373F" w:rsidRDefault="00000000">
            <w:pPr>
              <w:spacing w:after="0"/>
              <w:jc w:val="left"/>
            </w:pPr>
            <w:r>
              <w:rPr>
                <w:b/>
                <w:sz w:val="19"/>
              </w:rPr>
              <w:t>Rationale (evidence)</w:t>
            </w:r>
          </w:p>
        </w:tc>
        <w:tc>
          <w:tcPr>
            <w:tcW w:w="2761" w:type="dxa"/>
          </w:tcPr>
          <w:p w:rsidR="007F373F" w:rsidRDefault="00000000">
            <w:pPr>
              <w:spacing w:after="0"/>
              <w:jc w:val="left"/>
            </w:pPr>
            <w:r>
              <w:rPr>
                <w:b/>
                <w:sz w:val="19"/>
              </w:rPr>
              <w:t>Measurable indicator</w:t>
            </w:r>
          </w:p>
        </w:tc>
      </w:tr>
      <w:tr w:rsidR="007F373F">
        <w:trPr>
          <w:jc w:val="center"/>
        </w:trPr>
        <w:tc>
          <w:tcPr>
            <w:tcW w:w="552" w:type="dxa"/>
          </w:tcPr>
          <w:p w:rsidR="007F373F" w:rsidRDefault="00000000">
            <w:pPr>
              <w:spacing w:after="0"/>
              <w:jc w:val="left"/>
            </w:pPr>
            <w:r>
              <w:rPr>
                <w:sz w:val="19"/>
              </w:rPr>
              <w:t>S1</w:t>
            </w:r>
          </w:p>
        </w:tc>
        <w:tc>
          <w:tcPr>
            <w:tcW w:w="2761" w:type="dxa"/>
          </w:tcPr>
          <w:p w:rsidR="007F373F" w:rsidRDefault="00000000">
            <w:pPr>
              <w:spacing w:after="0"/>
              <w:jc w:val="left"/>
            </w:pPr>
            <w:r>
              <w:rPr>
                <w:sz w:val="19"/>
              </w:rPr>
              <w:t>Target a reduction in voluntary attrition, especially in collections and credit roles</w:t>
            </w:r>
          </w:p>
        </w:tc>
        <w:tc>
          <w:tcPr>
            <w:tcW w:w="3658" w:type="dxa"/>
          </w:tcPr>
          <w:p w:rsidR="007F373F" w:rsidRDefault="00000000">
            <w:pPr>
              <w:spacing w:after="0"/>
              <w:jc w:val="left"/>
            </w:pPr>
            <w:r>
              <w:rPr>
                <w:sz w:val="19"/>
              </w:rPr>
              <w:t>35.85% voluntary turnover; collections capability was the root cause of FY25 stress</w:t>
            </w:r>
          </w:p>
        </w:tc>
        <w:tc>
          <w:tcPr>
            <w:tcW w:w="2761" w:type="dxa"/>
          </w:tcPr>
          <w:p w:rsidR="007F373F" w:rsidRDefault="00000000">
            <w:pPr>
              <w:spacing w:after="0"/>
              <w:jc w:val="left"/>
            </w:pPr>
            <w:r>
              <w:rPr>
                <w:sz w:val="19"/>
              </w:rPr>
              <w:t>Attrition by function; tenure of collections staff</w:t>
            </w:r>
          </w:p>
        </w:tc>
      </w:tr>
      <w:tr w:rsidR="007F373F">
        <w:trPr>
          <w:jc w:val="center"/>
        </w:trPr>
        <w:tc>
          <w:tcPr>
            <w:tcW w:w="552" w:type="dxa"/>
          </w:tcPr>
          <w:p w:rsidR="007F373F" w:rsidRDefault="00000000">
            <w:pPr>
              <w:spacing w:after="0"/>
              <w:jc w:val="left"/>
            </w:pPr>
            <w:r>
              <w:rPr>
                <w:sz w:val="19"/>
              </w:rPr>
              <w:t>S2</w:t>
            </w:r>
          </w:p>
        </w:tc>
        <w:tc>
          <w:tcPr>
            <w:tcW w:w="2761" w:type="dxa"/>
          </w:tcPr>
          <w:p w:rsidR="007F373F" w:rsidRDefault="00000000">
            <w:pPr>
              <w:spacing w:after="0"/>
              <w:jc w:val="left"/>
            </w:pPr>
            <w:r>
              <w:rPr>
                <w:sz w:val="19"/>
              </w:rPr>
              <w:t>Link variable pay for branch and sales staff to vintage asset quality, not only disbursement</w:t>
            </w:r>
          </w:p>
        </w:tc>
        <w:tc>
          <w:tcPr>
            <w:tcW w:w="3658" w:type="dxa"/>
          </w:tcPr>
          <w:p w:rsidR="007F373F" w:rsidRDefault="00000000">
            <w:pPr>
              <w:spacing w:after="0"/>
              <w:jc w:val="left"/>
            </w:pPr>
            <w:r>
              <w:rPr>
                <w:sz w:val="19"/>
              </w:rPr>
              <w:t>In-house sourcing 75%; BRE reduces discretion but incentives still shape behaviour</w:t>
            </w:r>
          </w:p>
        </w:tc>
        <w:tc>
          <w:tcPr>
            <w:tcW w:w="2761" w:type="dxa"/>
          </w:tcPr>
          <w:p w:rsidR="007F373F" w:rsidRDefault="00000000">
            <w:pPr>
              <w:spacing w:after="0"/>
              <w:jc w:val="left"/>
            </w:pPr>
            <w:r>
              <w:rPr>
                <w:sz w:val="19"/>
              </w:rPr>
              <w:t>Share of variable pay tied to 12-month portfolio quality</w:t>
            </w:r>
          </w:p>
        </w:tc>
      </w:tr>
      <w:tr w:rsidR="007F373F">
        <w:trPr>
          <w:jc w:val="center"/>
        </w:trPr>
        <w:tc>
          <w:tcPr>
            <w:tcW w:w="552" w:type="dxa"/>
          </w:tcPr>
          <w:p w:rsidR="007F373F" w:rsidRDefault="00000000">
            <w:pPr>
              <w:spacing w:after="0"/>
              <w:jc w:val="left"/>
            </w:pPr>
            <w:r>
              <w:rPr>
                <w:sz w:val="19"/>
              </w:rPr>
              <w:t>S3</w:t>
            </w:r>
          </w:p>
        </w:tc>
        <w:tc>
          <w:tcPr>
            <w:tcW w:w="2761" w:type="dxa"/>
          </w:tcPr>
          <w:p w:rsidR="007F373F" w:rsidRDefault="00000000">
            <w:pPr>
              <w:spacing w:after="0"/>
              <w:jc w:val="left"/>
            </w:pPr>
            <w:r>
              <w:rPr>
                <w:sz w:val="19"/>
              </w:rPr>
              <w:t>Accelerate the women-in-senior-management target and extend it to branch leadership</w:t>
            </w:r>
          </w:p>
        </w:tc>
        <w:tc>
          <w:tcPr>
            <w:tcW w:w="3658" w:type="dxa"/>
          </w:tcPr>
          <w:p w:rsidR="007F373F" w:rsidRDefault="00000000">
            <w:pPr>
              <w:spacing w:after="0"/>
              <w:jc w:val="left"/>
            </w:pPr>
            <w:r>
              <w:rPr>
                <w:sz w:val="19"/>
              </w:rPr>
              <w:t>Women 16.4% of workforce; ≥22% senior-management target by FY28</w:t>
            </w:r>
          </w:p>
        </w:tc>
        <w:tc>
          <w:tcPr>
            <w:tcW w:w="2761" w:type="dxa"/>
          </w:tcPr>
          <w:p w:rsidR="007F373F" w:rsidRDefault="00000000">
            <w:pPr>
              <w:spacing w:after="0"/>
              <w:jc w:val="left"/>
            </w:pPr>
            <w:r>
              <w:rPr>
                <w:sz w:val="19"/>
              </w:rPr>
              <w:t>Annual progress against target; women branch managers</w:t>
            </w:r>
          </w:p>
        </w:tc>
      </w:tr>
      <w:tr w:rsidR="007F373F">
        <w:trPr>
          <w:jc w:val="center"/>
        </w:trPr>
        <w:tc>
          <w:tcPr>
            <w:tcW w:w="552" w:type="dxa"/>
          </w:tcPr>
          <w:p w:rsidR="007F373F" w:rsidRDefault="00000000">
            <w:pPr>
              <w:spacing w:after="0"/>
              <w:jc w:val="left"/>
            </w:pPr>
            <w:r>
              <w:rPr>
                <w:sz w:val="19"/>
              </w:rPr>
              <w:t>S4</w:t>
            </w:r>
          </w:p>
        </w:tc>
        <w:tc>
          <w:tcPr>
            <w:tcW w:w="2761" w:type="dxa"/>
          </w:tcPr>
          <w:p w:rsidR="007F373F" w:rsidRDefault="00000000">
            <w:pPr>
              <w:spacing w:after="0"/>
              <w:jc w:val="left"/>
            </w:pPr>
            <w:r>
              <w:rPr>
                <w:sz w:val="19"/>
              </w:rPr>
              <w:t>Publish Scope 3 (financed emissions) methodology when monitoring begins in FY27</w:t>
            </w:r>
          </w:p>
        </w:tc>
        <w:tc>
          <w:tcPr>
            <w:tcW w:w="3658" w:type="dxa"/>
          </w:tcPr>
          <w:p w:rsidR="007F373F" w:rsidRDefault="00000000">
            <w:pPr>
              <w:spacing w:after="0"/>
              <w:jc w:val="left"/>
            </w:pPr>
            <w:r>
              <w:rPr>
                <w:sz w:val="19"/>
              </w:rPr>
              <w:t>Roadmap announced; lenders increasingly asked for financed-emission data</w:t>
            </w:r>
          </w:p>
        </w:tc>
        <w:tc>
          <w:tcPr>
            <w:tcW w:w="2761" w:type="dxa"/>
          </w:tcPr>
          <w:p w:rsidR="007F373F" w:rsidRDefault="00000000">
            <w:pPr>
              <w:spacing w:after="0"/>
              <w:jc w:val="left"/>
            </w:pPr>
            <w:r>
              <w:rPr>
                <w:sz w:val="19"/>
              </w:rPr>
              <w:t>Scope 3 baseline disclosed in FY27 BRSR</w:t>
            </w:r>
          </w:p>
        </w:tc>
      </w:tr>
      <w:tr w:rsidR="007F373F">
        <w:trPr>
          <w:jc w:val="center"/>
        </w:trPr>
        <w:tc>
          <w:tcPr>
            <w:tcW w:w="552" w:type="dxa"/>
          </w:tcPr>
          <w:p w:rsidR="007F373F" w:rsidRDefault="00000000">
            <w:pPr>
              <w:spacing w:after="0"/>
              <w:jc w:val="left"/>
            </w:pPr>
            <w:r>
              <w:rPr>
                <w:sz w:val="19"/>
              </w:rPr>
              <w:t>S5</w:t>
            </w:r>
          </w:p>
        </w:tc>
        <w:tc>
          <w:tcPr>
            <w:tcW w:w="2761" w:type="dxa"/>
          </w:tcPr>
          <w:p w:rsidR="007F373F" w:rsidRDefault="00000000">
            <w:pPr>
              <w:spacing w:after="0"/>
              <w:jc w:val="left"/>
            </w:pPr>
            <w:r>
              <w:rPr>
                <w:sz w:val="19"/>
              </w:rPr>
              <w:t>Scale financial-literacy programmes in catchments of new branches</w:t>
            </w:r>
          </w:p>
        </w:tc>
        <w:tc>
          <w:tcPr>
            <w:tcW w:w="3658" w:type="dxa"/>
          </w:tcPr>
          <w:p w:rsidR="007F373F" w:rsidRDefault="00000000">
            <w:pPr>
              <w:spacing w:after="0"/>
              <w:jc w:val="left"/>
            </w:pPr>
            <w:r>
              <w:rPr>
                <w:sz w:val="19"/>
              </w:rPr>
              <w:t>148 new branches in Tier 2–4 markets; many first-time formal borrowers</w:t>
            </w:r>
          </w:p>
        </w:tc>
        <w:tc>
          <w:tcPr>
            <w:tcW w:w="2761" w:type="dxa"/>
          </w:tcPr>
          <w:p w:rsidR="007F373F" w:rsidRDefault="00000000">
            <w:pPr>
              <w:spacing w:after="0"/>
              <w:jc w:val="left"/>
            </w:pPr>
            <w:r>
              <w:rPr>
                <w:sz w:val="19"/>
              </w:rPr>
              <w:t>Participants reached; linked account openings</w:t>
            </w:r>
          </w:p>
        </w:tc>
      </w:tr>
      <w:tr w:rsidR="007F373F">
        <w:trPr>
          <w:jc w:val="center"/>
        </w:trPr>
        <w:tc>
          <w:tcPr>
            <w:tcW w:w="552" w:type="dxa"/>
          </w:tcPr>
          <w:p w:rsidR="007F373F" w:rsidRDefault="00000000">
            <w:pPr>
              <w:spacing w:after="0"/>
              <w:jc w:val="left"/>
            </w:pPr>
            <w:r>
              <w:rPr>
                <w:sz w:val="19"/>
              </w:rPr>
              <w:t>S6</w:t>
            </w:r>
          </w:p>
        </w:tc>
        <w:tc>
          <w:tcPr>
            <w:tcW w:w="2761" w:type="dxa"/>
          </w:tcPr>
          <w:p w:rsidR="007F373F" w:rsidRDefault="00000000">
            <w:pPr>
              <w:spacing w:after="0"/>
              <w:jc w:val="left"/>
            </w:pPr>
            <w:r>
              <w:rPr>
                <w:sz w:val="19"/>
              </w:rPr>
              <w:t>Maintain CSR focus areas (child nutrition, women’s skills) with outcome reporting</w:t>
            </w:r>
          </w:p>
        </w:tc>
        <w:tc>
          <w:tcPr>
            <w:tcW w:w="3658" w:type="dxa"/>
          </w:tcPr>
          <w:p w:rsidR="007F373F" w:rsidRDefault="00000000">
            <w:pPr>
              <w:spacing w:after="0"/>
              <w:jc w:val="left"/>
            </w:pPr>
            <w:r>
              <w:rPr>
                <w:sz w:val="19"/>
              </w:rPr>
              <w:t>CSR ₹5.84 crore; 496 children (Cuddles), 700 women (Samarthanam)</w:t>
            </w:r>
          </w:p>
        </w:tc>
        <w:tc>
          <w:tcPr>
            <w:tcW w:w="2761" w:type="dxa"/>
          </w:tcPr>
          <w:p w:rsidR="007F373F" w:rsidRDefault="00000000">
            <w:pPr>
              <w:spacing w:after="0"/>
              <w:jc w:val="left"/>
            </w:pPr>
            <w:r>
              <w:rPr>
                <w:sz w:val="19"/>
              </w:rPr>
              <w:t>Outcome metrics per programme in Directors’ Report</w:t>
            </w:r>
          </w:p>
        </w:tc>
      </w:tr>
      <w:tr w:rsidR="007F373F">
        <w:trPr>
          <w:jc w:val="center"/>
        </w:trPr>
        <w:tc>
          <w:tcPr>
            <w:tcW w:w="552" w:type="dxa"/>
          </w:tcPr>
          <w:p w:rsidR="007F373F" w:rsidRDefault="00000000">
            <w:pPr>
              <w:spacing w:after="0"/>
              <w:jc w:val="left"/>
            </w:pPr>
            <w:r>
              <w:rPr>
                <w:sz w:val="19"/>
              </w:rPr>
              <w:t>S7</w:t>
            </w:r>
          </w:p>
        </w:tc>
        <w:tc>
          <w:tcPr>
            <w:tcW w:w="2761" w:type="dxa"/>
          </w:tcPr>
          <w:p w:rsidR="007F373F" w:rsidRDefault="00000000">
            <w:pPr>
              <w:spacing w:after="0"/>
              <w:jc w:val="left"/>
            </w:pPr>
            <w:r>
              <w:rPr>
                <w:sz w:val="19"/>
              </w:rPr>
              <w:t>Formalise a customer-conduct dashboard for gold auctions and SARFAESI actions</w:t>
            </w:r>
          </w:p>
        </w:tc>
        <w:tc>
          <w:tcPr>
            <w:tcW w:w="3658" w:type="dxa"/>
          </w:tcPr>
          <w:p w:rsidR="007F373F" w:rsidRDefault="00000000">
            <w:pPr>
              <w:spacing w:after="0"/>
              <w:jc w:val="left"/>
            </w:pPr>
            <w:r>
              <w:rPr>
                <w:sz w:val="19"/>
              </w:rPr>
              <w:t>4,633 auctions; 92% realisation; conduct-sensitive activities</w:t>
            </w:r>
          </w:p>
        </w:tc>
        <w:tc>
          <w:tcPr>
            <w:tcW w:w="2761" w:type="dxa"/>
          </w:tcPr>
          <w:p w:rsidR="007F373F" w:rsidRDefault="00000000">
            <w:pPr>
              <w:spacing w:after="0"/>
              <w:jc w:val="left"/>
            </w:pPr>
            <w:r>
              <w:rPr>
                <w:sz w:val="19"/>
              </w:rPr>
              <w:t>Auctions per 1,000 loans; complaints per 1,000 customers; surplus refund timeliness</w:t>
            </w:r>
          </w:p>
        </w:tc>
      </w:tr>
      <w:tr w:rsidR="007F373F">
        <w:trPr>
          <w:jc w:val="center"/>
        </w:trPr>
        <w:tc>
          <w:tcPr>
            <w:tcW w:w="552" w:type="dxa"/>
          </w:tcPr>
          <w:p w:rsidR="007F373F" w:rsidRDefault="00000000">
            <w:pPr>
              <w:spacing w:after="0"/>
              <w:jc w:val="left"/>
            </w:pPr>
            <w:r>
              <w:rPr>
                <w:sz w:val="19"/>
              </w:rPr>
              <w:t>S8</w:t>
            </w:r>
          </w:p>
        </w:tc>
        <w:tc>
          <w:tcPr>
            <w:tcW w:w="2761" w:type="dxa"/>
          </w:tcPr>
          <w:p w:rsidR="007F373F" w:rsidRDefault="00000000">
            <w:pPr>
              <w:spacing w:after="0"/>
              <w:jc w:val="left"/>
            </w:pPr>
            <w:r>
              <w:rPr>
                <w:sz w:val="19"/>
              </w:rPr>
              <w:t>Continue the ‘Startup Friday’ model with disclosed outcomes</w:t>
            </w:r>
          </w:p>
        </w:tc>
        <w:tc>
          <w:tcPr>
            <w:tcW w:w="3658" w:type="dxa"/>
          </w:tcPr>
          <w:p w:rsidR="007F373F" w:rsidRDefault="00000000">
            <w:pPr>
              <w:spacing w:after="0"/>
              <w:jc w:val="left"/>
            </w:pPr>
            <w:r>
              <w:rPr>
                <w:sz w:val="19"/>
              </w:rPr>
              <w:t>89 evaluated, 6 onboarded, 8 in proof-of-concept</w:t>
            </w:r>
          </w:p>
        </w:tc>
        <w:tc>
          <w:tcPr>
            <w:tcW w:w="2761" w:type="dxa"/>
          </w:tcPr>
          <w:p w:rsidR="007F373F" w:rsidRDefault="00000000">
            <w:pPr>
              <w:spacing w:after="0"/>
              <w:jc w:val="left"/>
            </w:pPr>
            <w:r>
              <w:rPr>
                <w:sz w:val="19"/>
              </w:rPr>
              <w:t>Solutions deployed; measured productivity or risk benefit</w:t>
            </w:r>
          </w:p>
        </w:tc>
      </w:tr>
    </w:tbl>
    <w:p w:rsidR="007F373F" w:rsidRDefault="007F373F">
      <w:pPr>
        <w:spacing w:after="40"/>
      </w:pPr>
    </w:p>
    <w:p w:rsidR="007F373F" w:rsidRDefault="00000000">
      <w:r>
        <w:t>Why people metrics belong in a fundamental analysis. Employee benefits are the largest operating expense (₹444 crore in FY26, 58% of total operating expenses) and the FY25 episode showed that the quality of field staff in collections determines credit cost directly. Attrition of 35.85% therefore has a measurable financial cost – recruitment, training (7.44 hours per employee), and the productivity lag of new staff in 148 new branches – and reducing it is as much a profitability lever as a social objective.</w:t>
      </w:r>
    </w:p>
    <w:p w:rsidR="007F373F" w:rsidRDefault="00000000">
      <w:pPr>
        <w:pStyle w:val="Heading2"/>
      </w:pPr>
      <w:r>
        <w:t>Recommendations for different readers</w:t>
      </w:r>
    </w:p>
    <w:p w:rsidR="007F373F" w:rsidRDefault="00000000">
      <w:pPr>
        <w:pStyle w:val="ListBullet"/>
      </w:pPr>
      <w:r>
        <w:rPr>
          <w:b/>
        </w:rPr>
        <w:t xml:space="preserve">Equity investors: </w:t>
      </w:r>
      <w:r>
        <w:t>treat FY27 as the confirmation year. The thesis is supported if credit cost stays below 1%, Stage 2 remains near 2%, C/I begins to fall and D/E stays below 5x; it weakens if gold-price support fades and tonnage growth is below 10%.</w:t>
      </w:r>
    </w:p>
    <w:p w:rsidR="007F373F" w:rsidRDefault="00000000">
      <w:pPr>
        <w:pStyle w:val="ListBullet"/>
      </w:pPr>
      <w:r>
        <w:rPr>
          <w:b/>
        </w:rPr>
        <w:t xml:space="preserve">Lenders and debenture holders: </w:t>
      </w:r>
      <w:r>
        <w:t>the structural-liquidity profile, 22.4% CRAR, fully hedged ECBs and bank parentage support the AA+ ratings; monitor the 1–3 year funding gap and Tier I trend.</w:t>
      </w:r>
    </w:p>
    <w:p w:rsidR="007F373F" w:rsidRDefault="00000000">
      <w:pPr>
        <w:pStyle w:val="ListBullet"/>
      </w:pPr>
      <w:r>
        <w:rPr>
          <w:b/>
        </w:rPr>
        <w:t xml:space="preserve">Management: </w:t>
      </w:r>
      <w:r>
        <w:t>the FY26 results earn the right to grow; the recommendations above are about making the growth durable – productivity before footprint, capital policy before necessity, disclosure before doubt.</w:t>
      </w:r>
    </w:p>
    <w:p w:rsidR="007F373F" w:rsidRDefault="00000000">
      <w:pPr>
        <w:pStyle w:val="ListBullet"/>
      </w:pPr>
      <w:r>
        <w:rPr>
          <w:b/>
        </w:rPr>
        <w:lastRenderedPageBreak/>
        <w:t xml:space="preserve">Students and researchers: </w:t>
      </w:r>
      <w:r>
        <w:t>Fedfina is a model case for studying how an NBFC’s profitability is determined by collections infrastructure, funding mix and product selection, and how a company communicates a reset and recovery across consecutive annual reports.</w:t>
      </w:r>
    </w:p>
    <w:p w:rsidR="007F373F" w:rsidRDefault="00000000">
      <w:pPr>
        <w:pStyle w:val="Heading1"/>
        <w:pageBreakBefore/>
      </w:pPr>
      <w:r>
        <w:lastRenderedPageBreak/>
        <w:t>Chapter 8 — Summary of Key Findings</w:t>
      </w:r>
    </w:p>
    <w:p w:rsidR="007F373F" w:rsidRDefault="00000000">
      <w:r>
        <w:t>The study set out to evaluate the fundamental strength and sustainability of Fedbank Financial Services Limited through an Economy–Industry–Company analysis of its FY24, FY25 and FY26 annual reports. The principal findings are: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656"/>
        <w:gridCol w:w="5660"/>
        <w:gridCol w:w="2415"/>
      </w:tblGrid>
      <w:tr w:rsidR="007F373F">
        <w:trPr>
          <w:jc w:val="center"/>
        </w:trPr>
        <w:tc>
          <w:tcPr>
            <w:tcW w:w="1656" w:type="dxa"/>
          </w:tcPr>
          <w:p w:rsidR="007F373F" w:rsidRDefault="00000000">
            <w:pPr>
              <w:spacing w:after="0"/>
              <w:jc w:val="left"/>
            </w:pPr>
            <w:r>
              <w:rPr>
                <w:b/>
                <w:sz w:val="19"/>
              </w:rPr>
              <w:t>Area</w:t>
            </w:r>
          </w:p>
        </w:tc>
        <w:tc>
          <w:tcPr>
            <w:tcW w:w="5660" w:type="dxa"/>
          </w:tcPr>
          <w:p w:rsidR="007F373F" w:rsidRDefault="00000000">
            <w:pPr>
              <w:spacing w:after="0"/>
              <w:jc w:val="left"/>
            </w:pPr>
            <w:r>
              <w:rPr>
                <w:b/>
                <w:sz w:val="19"/>
              </w:rPr>
              <w:t>Key finding</w:t>
            </w:r>
          </w:p>
        </w:tc>
        <w:tc>
          <w:tcPr>
            <w:tcW w:w="2415" w:type="dxa"/>
          </w:tcPr>
          <w:p w:rsidR="007F373F" w:rsidRDefault="00000000">
            <w:pPr>
              <w:spacing w:after="0"/>
              <w:jc w:val="left"/>
            </w:pPr>
            <w:r>
              <w:rPr>
                <w:b/>
                <w:sz w:val="19"/>
              </w:rPr>
              <w:t>Supporting figures</w:t>
            </w:r>
          </w:p>
        </w:tc>
      </w:tr>
      <w:tr w:rsidR="007F373F">
        <w:trPr>
          <w:jc w:val="center"/>
        </w:trPr>
        <w:tc>
          <w:tcPr>
            <w:tcW w:w="1656" w:type="dxa"/>
          </w:tcPr>
          <w:p w:rsidR="007F373F" w:rsidRDefault="00000000">
            <w:pPr>
              <w:spacing w:after="0"/>
              <w:jc w:val="left"/>
            </w:pPr>
            <w:r>
              <w:rPr>
                <w:sz w:val="19"/>
              </w:rPr>
              <w:t>Sector</w:t>
            </w:r>
          </w:p>
        </w:tc>
        <w:tc>
          <w:tcPr>
            <w:tcW w:w="5660" w:type="dxa"/>
          </w:tcPr>
          <w:p w:rsidR="007F373F" w:rsidRDefault="00000000">
            <w:pPr>
              <w:spacing w:after="0"/>
              <w:jc w:val="left"/>
            </w:pPr>
            <w:r>
              <w:rPr>
                <w:sz w:val="19"/>
              </w:rPr>
              <w:t>The NBFC sector (≈ ₹45 trillion assets, growing 15–17%) is shifting decisively to secured retail lending; the organised gold-loan market crossed ₹15 lakh crore and secured MSME LAP is projected to grow 16–18% a year; regulation (SBR, gold-lending Directions 2025) is tightening but clarifying</w:t>
            </w:r>
          </w:p>
        </w:tc>
        <w:tc>
          <w:tcPr>
            <w:tcW w:w="2415" w:type="dxa"/>
          </w:tcPr>
          <w:p w:rsidR="007F373F" w:rsidRDefault="00000000">
            <w:pPr>
              <w:spacing w:after="0"/>
              <w:jc w:val="left"/>
            </w:pPr>
            <w:r>
              <w:rPr>
                <w:sz w:val="19"/>
              </w:rPr>
              <w:t>Chapter 2 tables; ICRA, CRISIL, RBI data as cited in AR26</w:t>
            </w:r>
          </w:p>
        </w:tc>
      </w:tr>
      <w:tr w:rsidR="007F373F">
        <w:trPr>
          <w:jc w:val="center"/>
        </w:trPr>
        <w:tc>
          <w:tcPr>
            <w:tcW w:w="1656" w:type="dxa"/>
          </w:tcPr>
          <w:p w:rsidR="007F373F" w:rsidRDefault="00000000">
            <w:pPr>
              <w:spacing w:after="0"/>
              <w:jc w:val="left"/>
            </w:pPr>
            <w:r>
              <w:rPr>
                <w:sz w:val="19"/>
              </w:rPr>
              <w:t>Company</w:t>
            </w:r>
          </w:p>
        </w:tc>
        <w:tc>
          <w:tcPr>
            <w:tcW w:w="5660" w:type="dxa"/>
          </w:tcPr>
          <w:p w:rsidR="007F373F" w:rsidRDefault="00000000">
            <w:pPr>
              <w:spacing w:after="0"/>
              <w:jc w:val="left"/>
            </w:pPr>
            <w:r>
              <w:rPr>
                <w:sz w:val="19"/>
              </w:rPr>
              <w:t>Fedfina is a bank-promoted (60.79%), AA+-rated, 757-branch secured lender that completed a strategic reset (Fedfina 2.0) within one year, delivering eight of nine FY25 commitments</w:t>
            </w:r>
          </w:p>
        </w:tc>
        <w:tc>
          <w:tcPr>
            <w:tcW w:w="2415" w:type="dxa"/>
          </w:tcPr>
          <w:p w:rsidR="007F373F" w:rsidRDefault="00000000">
            <w:pPr>
              <w:spacing w:after="0"/>
              <w:jc w:val="left"/>
            </w:pPr>
            <w:r>
              <w:rPr>
                <w:sz w:val="19"/>
              </w:rPr>
              <w:t>Commitments vs delivery table; shareholding; ratings</w:t>
            </w:r>
          </w:p>
        </w:tc>
      </w:tr>
      <w:tr w:rsidR="007F373F">
        <w:trPr>
          <w:jc w:val="center"/>
        </w:trPr>
        <w:tc>
          <w:tcPr>
            <w:tcW w:w="1656" w:type="dxa"/>
          </w:tcPr>
          <w:p w:rsidR="007F373F" w:rsidRDefault="00000000">
            <w:pPr>
              <w:spacing w:after="0"/>
              <w:jc w:val="left"/>
            </w:pPr>
            <w:r>
              <w:rPr>
                <w:sz w:val="19"/>
              </w:rPr>
              <w:t>Products</w:t>
            </w:r>
          </w:p>
        </w:tc>
        <w:tc>
          <w:tcPr>
            <w:tcW w:w="5660" w:type="dxa"/>
          </w:tcPr>
          <w:p w:rsidR="007F373F" w:rsidRDefault="00000000">
            <w:pPr>
              <w:spacing w:after="0"/>
              <w:jc w:val="left"/>
            </w:pPr>
            <w:r>
              <w:rPr>
                <w:sz w:val="19"/>
              </w:rPr>
              <w:t>The mix moved from mortgage-led to gold-led (gold 32.6% → 51.4% of AUM) and the unsecured book was fully exited (secured AUM 98.9%); ST LAP was rebuilt on system-driven underwriting</w:t>
            </w:r>
          </w:p>
        </w:tc>
        <w:tc>
          <w:tcPr>
            <w:tcW w:w="2415" w:type="dxa"/>
          </w:tcPr>
          <w:p w:rsidR="007F373F" w:rsidRDefault="00000000">
            <w:pPr>
              <w:spacing w:after="0"/>
              <w:jc w:val="left"/>
            </w:pPr>
            <w:r>
              <w:rPr>
                <w:sz w:val="19"/>
              </w:rPr>
              <w:t>Product mix FY24–FY26; note 8 secured/unsecured split</w:t>
            </w:r>
          </w:p>
        </w:tc>
      </w:tr>
      <w:tr w:rsidR="007F373F">
        <w:trPr>
          <w:jc w:val="center"/>
        </w:trPr>
        <w:tc>
          <w:tcPr>
            <w:tcW w:w="1656" w:type="dxa"/>
          </w:tcPr>
          <w:p w:rsidR="007F373F" w:rsidRDefault="00000000">
            <w:pPr>
              <w:spacing w:after="0"/>
              <w:jc w:val="left"/>
            </w:pPr>
            <w:r>
              <w:rPr>
                <w:sz w:val="19"/>
              </w:rPr>
              <w:t>Growth</w:t>
            </w:r>
          </w:p>
        </w:tc>
        <w:tc>
          <w:tcPr>
            <w:tcW w:w="5660" w:type="dxa"/>
          </w:tcPr>
          <w:p w:rsidR="007F373F" w:rsidRDefault="00000000">
            <w:pPr>
              <w:spacing w:after="0"/>
              <w:jc w:val="left"/>
            </w:pPr>
            <w:r>
              <w:rPr>
                <w:sz w:val="19"/>
              </w:rPr>
              <w:t>AUM compounded at 39% (FY19–FY26) and 34% (FY22–FY26); FY26 AUM ₹20,153 crore (+27.5%); disbursements ₹31,410 crore (+67%)</w:t>
            </w:r>
          </w:p>
        </w:tc>
        <w:tc>
          <w:tcPr>
            <w:tcW w:w="2415" w:type="dxa"/>
          </w:tcPr>
          <w:p w:rsidR="007F373F" w:rsidRDefault="00000000">
            <w:pPr>
              <w:spacing w:after="0"/>
              <w:jc w:val="left"/>
            </w:pPr>
            <w:r>
              <w:rPr>
                <w:sz w:val="19"/>
              </w:rPr>
              <w:t>Eight-year series; Directors’ Reports</w:t>
            </w:r>
          </w:p>
        </w:tc>
      </w:tr>
      <w:tr w:rsidR="007F373F">
        <w:trPr>
          <w:jc w:val="center"/>
        </w:trPr>
        <w:tc>
          <w:tcPr>
            <w:tcW w:w="1656" w:type="dxa"/>
          </w:tcPr>
          <w:p w:rsidR="007F373F" w:rsidRDefault="00000000">
            <w:pPr>
              <w:spacing w:after="0"/>
              <w:jc w:val="left"/>
            </w:pPr>
            <w:r>
              <w:rPr>
                <w:sz w:val="19"/>
              </w:rPr>
              <w:t>Profitability</w:t>
            </w:r>
          </w:p>
        </w:tc>
        <w:tc>
          <w:tcPr>
            <w:tcW w:w="5660" w:type="dxa"/>
          </w:tcPr>
          <w:p w:rsidR="007F373F" w:rsidRDefault="00000000">
            <w:pPr>
              <w:spacing w:after="0"/>
              <w:jc w:val="left"/>
            </w:pPr>
            <w:r>
              <w:rPr>
                <w:sz w:val="19"/>
              </w:rPr>
              <w:t>PAT ₹343.6 crore (+53%); RoA 2.44%; RoE 12.62%; spread 8.6% (five-year high); roughly two-thirds of the FY26 profit improvement came from lower credit cost and one-third from NII growth net of costs</w:t>
            </w:r>
          </w:p>
        </w:tc>
        <w:tc>
          <w:tcPr>
            <w:tcW w:w="2415" w:type="dxa"/>
          </w:tcPr>
          <w:p w:rsidR="007F373F" w:rsidRDefault="00000000">
            <w:pPr>
              <w:spacing w:after="0"/>
              <w:jc w:val="left"/>
            </w:pPr>
            <w:r>
              <w:rPr>
                <w:sz w:val="19"/>
              </w:rPr>
              <w:t>Income statement; DuPont decomposition</w:t>
            </w:r>
          </w:p>
        </w:tc>
      </w:tr>
      <w:tr w:rsidR="007F373F">
        <w:trPr>
          <w:jc w:val="center"/>
        </w:trPr>
        <w:tc>
          <w:tcPr>
            <w:tcW w:w="1656" w:type="dxa"/>
          </w:tcPr>
          <w:p w:rsidR="007F373F" w:rsidRDefault="00000000">
            <w:pPr>
              <w:spacing w:after="0"/>
              <w:jc w:val="left"/>
            </w:pPr>
            <w:r>
              <w:rPr>
                <w:sz w:val="19"/>
              </w:rPr>
              <w:t>Efficiency</w:t>
            </w:r>
          </w:p>
        </w:tc>
        <w:tc>
          <w:tcPr>
            <w:tcW w:w="5660" w:type="dxa"/>
          </w:tcPr>
          <w:p w:rsidR="007F373F" w:rsidRDefault="00000000">
            <w:pPr>
              <w:spacing w:after="0"/>
              <w:jc w:val="left"/>
            </w:pPr>
            <w:r>
              <w:rPr>
                <w:sz w:val="19"/>
              </w:rPr>
              <w:t>Cost-to-income improved only marginally to 57.2% as 148 branches and 735 employees were added; operating leverage is deferred, not absent</w:t>
            </w:r>
          </w:p>
        </w:tc>
        <w:tc>
          <w:tcPr>
            <w:tcW w:w="2415" w:type="dxa"/>
          </w:tcPr>
          <w:p w:rsidR="007F373F" w:rsidRDefault="00000000">
            <w:pPr>
              <w:spacing w:after="0"/>
              <w:jc w:val="left"/>
            </w:pPr>
            <w:r>
              <w:rPr>
                <w:sz w:val="19"/>
              </w:rPr>
              <w:t>Directors’ Reports; note 34</w:t>
            </w:r>
          </w:p>
        </w:tc>
      </w:tr>
      <w:tr w:rsidR="007F373F">
        <w:trPr>
          <w:jc w:val="center"/>
        </w:trPr>
        <w:tc>
          <w:tcPr>
            <w:tcW w:w="1656" w:type="dxa"/>
          </w:tcPr>
          <w:p w:rsidR="007F373F" w:rsidRDefault="00000000">
            <w:pPr>
              <w:spacing w:after="0"/>
              <w:jc w:val="left"/>
            </w:pPr>
            <w:r>
              <w:rPr>
                <w:sz w:val="19"/>
              </w:rPr>
              <w:t>Asset quality</w:t>
            </w:r>
          </w:p>
        </w:tc>
        <w:tc>
          <w:tcPr>
            <w:tcW w:w="5660" w:type="dxa"/>
          </w:tcPr>
          <w:p w:rsidR="007F373F" w:rsidRDefault="00000000">
            <w:pPr>
              <w:spacing w:after="0"/>
              <w:jc w:val="left"/>
            </w:pPr>
            <w:r>
              <w:rPr>
                <w:sz w:val="19"/>
              </w:rPr>
              <w:t>GNPA 1.9% / NNPA 1.3%; Stage 2+3 share halved to 3.5%; credit cost 0.8% after ₹88 crore write-offs and ₹105 crore ARC sales; additions to impaired loans still rising</w:t>
            </w:r>
          </w:p>
        </w:tc>
        <w:tc>
          <w:tcPr>
            <w:tcW w:w="2415" w:type="dxa"/>
          </w:tcPr>
          <w:p w:rsidR="007F373F" w:rsidRDefault="00000000">
            <w:pPr>
              <w:spacing w:after="0"/>
              <w:jc w:val="left"/>
            </w:pPr>
            <w:r>
              <w:rPr>
                <w:sz w:val="19"/>
              </w:rPr>
              <w:t>Notes 8, 32, 48</w:t>
            </w:r>
          </w:p>
        </w:tc>
      </w:tr>
      <w:tr w:rsidR="007F373F">
        <w:trPr>
          <w:jc w:val="center"/>
        </w:trPr>
        <w:tc>
          <w:tcPr>
            <w:tcW w:w="1656" w:type="dxa"/>
          </w:tcPr>
          <w:p w:rsidR="007F373F" w:rsidRDefault="00000000">
            <w:pPr>
              <w:spacing w:after="0"/>
              <w:jc w:val="left"/>
            </w:pPr>
            <w:r>
              <w:rPr>
                <w:sz w:val="19"/>
              </w:rPr>
              <w:t>Capital and funding</w:t>
            </w:r>
          </w:p>
        </w:tc>
        <w:tc>
          <w:tcPr>
            <w:tcW w:w="5660" w:type="dxa"/>
          </w:tcPr>
          <w:p w:rsidR="007F373F" w:rsidRDefault="00000000">
            <w:pPr>
              <w:spacing w:after="0"/>
              <w:jc w:val="left"/>
            </w:pPr>
            <w:r>
              <w:rPr>
                <w:sz w:val="19"/>
              </w:rPr>
              <w:t>CRAR 22.4% (Tier I 17.5%); D/E up to 4.6x; 41 lenders; ECB 17%; fixed-rate 40%; positive ALM gap to one year; cash ₹1,340 crore</w:t>
            </w:r>
          </w:p>
        </w:tc>
        <w:tc>
          <w:tcPr>
            <w:tcW w:w="2415" w:type="dxa"/>
          </w:tcPr>
          <w:p w:rsidR="007F373F" w:rsidRDefault="00000000">
            <w:pPr>
              <w:spacing w:after="0"/>
              <w:jc w:val="left"/>
            </w:pPr>
            <w:r>
              <w:rPr>
                <w:sz w:val="19"/>
              </w:rPr>
              <w:t>Notes 16–18, 48</w:t>
            </w:r>
          </w:p>
        </w:tc>
      </w:tr>
      <w:tr w:rsidR="007F373F">
        <w:trPr>
          <w:jc w:val="center"/>
        </w:trPr>
        <w:tc>
          <w:tcPr>
            <w:tcW w:w="1656" w:type="dxa"/>
          </w:tcPr>
          <w:p w:rsidR="007F373F" w:rsidRDefault="00000000">
            <w:pPr>
              <w:spacing w:after="0"/>
              <w:jc w:val="left"/>
            </w:pPr>
            <w:r>
              <w:rPr>
                <w:sz w:val="19"/>
              </w:rPr>
              <w:t>Risk</w:t>
            </w:r>
          </w:p>
        </w:tc>
        <w:tc>
          <w:tcPr>
            <w:tcW w:w="5660" w:type="dxa"/>
          </w:tcPr>
          <w:p w:rsidR="007F373F" w:rsidRDefault="00000000">
            <w:pPr>
              <w:spacing w:after="0"/>
              <w:jc w:val="left"/>
            </w:pPr>
            <w:r>
              <w:rPr>
                <w:sz w:val="19"/>
              </w:rPr>
              <w:t>Highest-impact risks (gold price, cyber, liquidity) are well mitigated; rising-trend risks (gold dependence, leverage, young branches, custody) are consequences of success</w:t>
            </w:r>
          </w:p>
        </w:tc>
        <w:tc>
          <w:tcPr>
            <w:tcW w:w="2415" w:type="dxa"/>
          </w:tcPr>
          <w:p w:rsidR="007F373F" w:rsidRDefault="00000000">
            <w:pPr>
              <w:spacing w:after="0"/>
              <w:jc w:val="left"/>
            </w:pPr>
            <w:r>
              <w:rPr>
                <w:sz w:val="19"/>
              </w:rPr>
              <w:t>Risk matrix</w:t>
            </w:r>
          </w:p>
        </w:tc>
      </w:tr>
      <w:tr w:rsidR="007F373F">
        <w:trPr>
          <w:jc w:val="center"/>
        </w:trPr>
        <w:tc>
          <w:tcPr>
            <w:tcW w:w="1656" w:type="dxa"/>
          </w:tcPr>
          <w:p w:rsidR="007F373F" w:rsidRDefault="00000000">
            <w:pPr>
              <w:spacing w:after="0"/>
              <w:jc w:val="left"/>
            </w:pPr>
            <w:r>
              <w:rPr>
                <w:sz w:val="19"/>
              </w:rPr>
              <w:t>Governance and ESG</w:t>
            </w:r>
          </w:p>
        </w:tc>
        <w:tc>
          <w:tcPr>
            <w:tcW w:w="5660" w:type="dxa"/>
          </w:tcPr>
          <w:p w:rsidR="007F373F" w:rsidRDefault="00000000">
            <w:pPr>
              <w:spacing w:after="0"/>
              <w:jc w:val="left"/>
            </w:pPr>
            <w:r>
              <w:rPr>
                <w:sz w:val="19"/>
              </w:rPr>
              <w:t>Institutional-grade governance; clean regulatory record; True North exit; ESG focus on social conduct and emerging Scope 3 reporting</w:t>
            </w:r>
          </w:p>
        </w:tc>
        <w:tc>
          <w:tcPr>
            <w:tcW w:w="2415" w:type="dxa"/>
          </w:tcPr>
          <w:p w:rsidR="007F373F" w:rsidRDefault="00000000">
            <w:pPr>
              <w:spacing w:after="0"/>
              <w:jc w:val="left"/>
            </w:pPr>
            <w:r>
              <w:rPr>
                <w:sz w:val="19"/>
              </w:rPr>
              <w:t>CG report; BRSR</w:t>
            </w:r>
          </w:p>
        </w:tc>
      </w:tr>
      <w:tr w:rsidR="007F373F">
        <w:trPr>
          <w:jc w:val="center"/>
        </w:trPr>
        <w:tc>
          <w:tcPr>
            <w:tcW w:w="1656" w:type="dxa"/>
          </w:tcPr>
          <w:p w:rsidR="007F373F" w:rsidRDefault="00000000">
            <w:pPr>
              <w:spacing w:after="0"/>
              <w:jc w:val="left"/>
            </w:pPr>
            <w:r>
              <w:rPr>
                <w:sz w:val="19"/>
              </w:rPr>
              <w:t>Valuation</w:t>
            </w:r>
          </w:p>
        </w:tc>
        <w:tc>
          <w:tcPr>
            <w:tcW w:w="5660" w:type="dxa"/>
          </w:tcPr>
          <w:p w:rsidR="007F373F" w:rsidRDefault="00000000">
            <w:pPr>
              <w:spacing w:after="0"/>
              <w:jc w:val="left"/>
            </w:pPr>
            <w:r>
              <w:rPr>
                <w:sz w:val="19"/>
              </w:rPr>
              <w:t>≈1.6x book and ≈13.5x earnings at 31 March 2026 – a discount consistent with 12.6% RoE and the FY25 reset</w:t>
            </w:r>
          </w:p>
        </w:tc>
        <w:tc>
          <w:tcPr>
            <w:tcW w:w="2415" w:type="dxa"/>
          </w:tcPr>
          <w:p w:rsidR="007F373F" w:rsidRDefault="00000000">
            <w:pPr>
              <w:spacing w:after="0"/>
              <w:jc w:val="left"/>
            </w:pPr>
            <w:r>
              <w:rPr>
                <w:sz w:val="19"/>
              </w:rPr>
              <w:t>Market cap ₹4,642 crore</w:t>
            </w:r>
          </w:p>
        </w:tc>
      </w:tr>
    </w:tbl>
    <w:p w:rsidR="007F373F" w:rsidRDefault="007F373F">
      <w:pPr>
        <w:spacing w:after="40"/>
      </w:pPr>
    </w:p>
    <w:p w:rsidR="007F373F" w:rsidRDefault="00000000">
      <w:r>
        <w:t>Relative to the three objectives of the study – to analyse the sector, to evaluate the company’s financial performance and risk profile across five years, and to test whether FY26’s improvement is structural – the evidence is sufficient on the first two and conditional on the third: the structural changes are documented, but one year of post-reset data cannot by itself establish durability.</w:t>
      </w:r>
    </w:p>
    <w:p w:rsidR="007F373F" w:rsidRDefault="00000000">
      <w:r>
        <w:t>The overall conclusion of the findings is that Fedfina’s fundamentals are sound and improving, that the FY26 recovery rests on structural as well as cyclical factors, and that the key uncertainties – gold price, unseasoned vintages and leverage – are identifiable and measurable from the company’s own disclosures.</w:t>
      </w:r>
    </w:p>
    <w:p w:rsidR="007F373F" w:rsidRDefault="00000000">
      <w:pPr>
        <w:pStyle w:val="Heading1"/>
        <w:pageBreakBefore/>
      </w:pPr>
      <w:r>
        <w:lastRenderedPageBreak/>
        <w:t>Hypothesis Testing and Answers to Research Questions</w:t>
      </w:r>
    </w:p>
    <w:p w:rsidR="007F373F" w:rsidRDefault="00000000">
      <w:r>
        <w:t>Chapter 1 proposed a working hypothesis (H1) that a higher secured share of AUM combined with stronger operating discipline supports sustainable profitability, against the null (H0) that FY26’s improvement is primarily cyclical. Four tests were specified; the results follow.</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070"/>
        <w:gridCol w:w="2622"/>
        <w:gridCol w:w="3796"/>
        <w:gridCol w:w="1242"/>
      </w:tblGrid>
      <w:tr w:rsidR="007F373F">
        <w:trPr>
          <w:jc w:val="center"/>
        </w:trPr>
        <w:tc>
          <w:tcPr>
            <w:tcW w:w="2070" w:type="dxa"/>
          </w:tcPr>
          <w:p w:rsidR="007F373F" w:rsidRDefault="00000000">
            <w:pPr>
              <w:spacing w:after="0"/>
              <w:jc w:val="left"/>
            </w:pPr>
            <w:r>
              <w:rPr>
                <w:b/>
                <w:sz w:val="19"/>
              </w:rPr>
              <w:t>Test</w:t>
            </w:r>
          </w:p>
        </w:tc>
        <w:tc>
          <w:tcPr>
            <w:tcW w:w="2622" w:type="dxa"/>
          </w:tcPr>
          <w:p w:rsidR="007F373F" w:rsidRDefault="00000000">
            <w:pPr>
              <w:spacing w:after="0"/>
              <w:jc w:val="left"/>
            </w:pPr>
            <w:r>
              <w:rPr>
                <w:b/>
                <w:sz w:val="19"/>
              </w:rPr>
              <w:t>Criterion</w:t>
            </w:r>
          </w:p>
        </w:tc>
        <w:tc>
          <w:tcPr>
            <w:tcW w:w="3796" w:type="dxa"/>
          </w:tcPr>
          <w:p w:rsidR="007F373F" w:rsidRDefault="00000000">
            <w:pPr>
              <w:spacing w:after="0"/>
              <w:jc w:val="left"/>
            </w:pPr>
            <w:r>
              <w:rPr>
                <w:b/>
                <w:sz w:val="19"/>
              </w:rPr>
              <w:t>Evidence</w:t>
            </w:r>
          </w:p>
        </w:tc>
        <w:tc>
          <w:tcPr>
            <w:tcW w:w="1242" w:type="dxa"/>
          </w:tcPr>
          <w:p w:rsidR="007F373F" w:rsidRDefault="00000000">
            <w:pPr>
              <w:spacing w:after="0"/>
              <w:jc w:val="left"/>
            </w:pPr>
            <w:r>
              <w:rPr>
                <w:b/>
                <w:sz w:val="19"/>
              </w:rPr>
              <w:t>Result</w:t>
            </w:r>
          </w:p>
        </w:tc>
      </w:tr>
      <w:tr w:rsidR="007F373F">
        <w:trPr>
          <w:jc w:val="center"/>
        </w:trPr>
        <w:tc>
          <w:tcPr>
            <w:tcW w:w="2070" w:type="dxa"/>
          </w:tcPr>
          <w:p w:rsidR="007F373F" w:rsidRDefault="00000000">
            <w:pPr>
              <w:spacing w:after="0"/>
              <w:jc w:val="left"/>
            </w:pPr>
            <w:r>
              <w:rPr>
                <w:sz w:val="19"/>
              </w:rPr>
              <w:t>(a) Core income growth</w:t>
            </w:r>
          </w:p>
        </w:tc>
        <w:tc>
          <w:tcPr>
            <w:tcW w:w="2622" w:type="dxa"/>
          </w:tcPr>
          <w:p w:rsidR="007F373F" w:rsidRDefault="00000000">
            <w:pPr>
              <w:spacing w:after="0"/>
              <w:jc w:val="left"/>
            </w:pPr>
            <w:r>
              <w:rPr>
                <w:sz w:val="19"/>
              </w:rPr>
              <w:t>NII growth should exceed total revenue growth</w:t>
            </w:r>
          </w:p>
        </w:tc>
        <w:tc>
          <w:tcPr>
            <w:tcW w:w="3796" w:type="dxa"/>
          </w:tcPr>
          <w:p w:rsidR="007F373F" w:rsidRDefault="00000000">
            <w:pPr>
              <w:spacing w:after="0"/>
              <w:jc w:val="left"/>
            </w:pPr>
            <w:r>
              <w:rPr>
                <w:sz w:val="19"/>
              </w:rPr>
              <w:t>NII +15% vs revenue +7%; interest on loans +13% and 93% of interest income; DA income down</w:t>
            </w:r>
          </w:p>
        </w:tc>
        <w:tc>
          <w:tcPr>
            <w:tcW w:w="1242" w:type="dxa"/>
          </w:tcPr>
          <w:p w:rsidR="007F373F" w:rsidRDefault="00000000">
            <w:pPr>
              <w:spacing w:after="0"/>
              <w:jc w:val="left"/>
            </w:pPr>
            <w:r>
              <w:rPr>
                <w:sz w:val="19"/>
              </w:rPr>
              <w:t>Met</w:t>
            </w:r>
          </w:p>
        </w:tc>
      </w:tr>
      <w:tr w:rsidR="007F373F">
        <w:trPr>
          <w:jc w:val="center"/>
        </w:trPr>
        <w:tc>
          <w:tcPr>
            <w:tcW w:w="2070" w:type="dxa"/>
          </w:tcPr>
          <w:p w:rsidR="007F373F" w:rsidRDefault="00000000">
            <w:pPr>
              <w:spacing w:after="0"/>
              <w:jc w:val="left"/>
            </w:pPr>
            <w:r>
              <w:rPr>
                <w:sz w:val="19"/>
              </w:rPr>
              <w:t>(b) Credit cost</w:t>
            </w:r>
          </w:p>
        </w:tc>
        <w:tc>
          <w:tcPr>
            <w:tcW w:w="2622" w:type="dxa"/>
          </w:tcPr>
          <w:p w:rsidR="007F373F" w:rsidRDefault="00000000">
            <w:pPr>
              <w:spacing w:after="0"/>
              <w:jc w:val="left"/>
            </w:pPr>
            <w:r>
              <w:rPr>
                <w:sz w:val="19"/>
              </w:rPr>
              <w:t>Credit cost should fall on a like-for-like basis, not only via write-offs</w:t>
            </w:r>
          </w:p>
        </w:tc>
        <w:tc>
          <w:tcPr>
            <w:tcW w:w="3796" w:type="dxa"/>
          </w:tcPr>
          <w:p w:rsidR="007F373F" w:rsidRDefault="00000000">
            <w:pPr>
              <w:spacing w:after="0"/>
              <w:jc w:val="left"/>
            </w:pPr>
            <w:r>
              <w:rPr>
                <w:sz w:val="19"/>
              </w:rPr>
              <w:t>Credit cost 1.8% → 0.8%; Stage 2 5.1% → 1.9%; cure rates up; but additions to impaired loans +16% and improvement aided by ₹193 crore of write-offs/ARC sales</w:t>
            </w:r>
          </w:p>
        </w:tc>
        <w:tc>
          <w:tcPr>
            <w:tcW w:w="1242" w:type="dxa"/>
          </w:tcPr>
          <w:p w:rsidR="007F373F" w:rsidRDefault="00000000">
            <w:pPr>
              <w:spacing w:after="0"/>
              <w:jc w:val="left"/>
            </w:pPr>
            <w:r>
              <w:rPr>
                <w:sz w:val="19"/>
              </w:rPr>
              <w:t>Met with qualification</w:t>
            </w:r>
          </w:p>
        </w:tc>
      </w:tr>
      <w:tr w:rsidR="007F373F">
        <w:trPr>
          <w:jc w:val="center"/>
        </w:trPr>
        <w:tc>
          <w:tcPr>
            <w:tcW w:w="2070" w:type="dxa"/>
          </w:tcPr>
          <w:p w:rsidR="007F373F" w:rsidRDefault="00000000">
            <w:pPr>
              <w:spacing w:after="0"/>
              <w:jc w:val="left"/>
            </w:pPr>
            <w:r>
              <w:rPr>
                <w:sz w:val="19"/>
              </w:rPr>
              <w:t>(c) Stress share of book</w:t>
            </w:r>
          </w:p>
        </w:tc>
        <w:tc>
          <w:tcPr>
            <w:tcW w:w="2622" w:type="dxa"/>
          </w:tcPr>
          <w:p w:rsidR="007F373F" w:rsidRDefault="00000000">
            <w:pPr>
              <w:spacing w:after="0"/>
              <w:jc w:val="left"/>
            </w:pPr>
            <w:r>
              <w:rPr>
                <w:sz w:val="19"/>
              </w:rPr>
              <w:t>Stage 2 + Stage 3 share should decline</w:t>
            </w:r>
          </w:p>
        </w:tc>
        <w:tc>
          <w:tcPr>
            <w:tcW w:w="3796" w:type="dxa"/>
          </w:tcPr>
          <w:p w:rsidR="007F373F" w:rsidRDefault="00000000">
            <w:pPr>
              <w:spacing w:after="0"/>
              <w:jc w:val="left"/>
            </w:pPr>
            <w:r>
              <w:rPr>
                <w:sz w:val="19"/>
              </w:rPr>
              <w:t>7.4% → 3.5% of amortised-cost loans</w:t>
            </w:r>
          </w:p>
        </w:tc>
        <w:tc>
          <w:tcPr>
            <w:tcW w:w="1242" w:type="dxa"/>
          </w:tcPr>
          <w:p w:rsidR="007F373F" w:rsidRDefault="00000000">
            <w:pPr>
              <w:spacing w:after="0"/>
              <w:jc w:val="left"/>
            </w:pPr>
            <w:r>
              <w:rPr>
                <w:sz w:val="19"/>
              </w:rPr>
              <w:t>Met</w:t>
            </w:r>
          </w:p>
        </w:tc>
      </w:tr>
      <w:tr w:rsidR="007F373F">
        <w:trPr>
          <w:jc w:val="center"/>
        </w:trPr>
        <w:tc>
          <w:tcPr>
            <w:tcW w:w="2070" w:type="dxa"/>
          </w:tcPr>
          <w:p w:rsidR="007F373F" w:rsidRDefault="00000000">
            <w:pPr>
              <w:spacing w:after="0"/>
              <w:jc w:val="left"/>
            </w:pPr>
            <w:r>
              <w:rPr>
                <w:sz w:val="19"/>
              </w:rPr>
              <w:t>(d) Returns vs leverage</w:t>
            </w:r>
          </w:p>
        </w:tc>
        <w:tc>
          <w:tcPr>
            <w:tcW w:w="2622" w:type="dxa"/>
          </w:tcPr>
          <w:p w:rsidR="007F373F" w:rsidRDefault="00000000">
            <w:pPr>
              <w:spacing w:after="0"/>
              <w:jc w:val="left"/>
            </w:pPr>
            <w:r>
              <w:rPr>
                <w:sz w:val="19"/>
              </w:rPr>
              <w:t>RoA and RoE should rise without disproportionate leverage increase</w:t>
            </w:r>
          </w:p>
        </w:tc>
        <w:tc>
          <w:tcPr>
            <w:tcW w:w="3796" w:type="dxa"/>
          </w:tcPr>
          <w:p w:rsidR="007F373F" w:rsidRDefault="00000000">
            <w:pPr>
              <w:spacing w:after="0"/>
              <w:jc w:val="left"/>
            </w:pPr>
            <w:r>
              <w:rPr>
                <w:sz w:val="19"/>
              </w:rPr>
              <w:t>RoA +0.62 pp; RoE +3.2 pp; average leverage 5.26x → 5.51x (+5%) – RoE gain mostly from RoA</w:t>
            </w:r>
          </w:p>
        </w:tc>
        <w:tc>
          <w:tcPr>
            <w:tcW w:w="1242" w:type="dxa"/>
          </w:tcPr>
          <w:p w:rsidR="007F373F" w:rsidRDefault="00000000">
            <w:pPr>
              <w:spacing w:after="0"/>
              <w:jc w:val="left"/>
            </w:pPr>
            <w:r>
              <w:rPr>
                <w:sz w:val="19"/>
              </w:rPr>
              <w:t>Met</w:t>
            </w:r>
          </w:p>
        </w:tc>
      </w:tr>
      <w:tr w:rsidR="007F373F">
        <w:trPr>
          <w:jc w:val="center"/>
        </w:trPr>
        <w:tc>
          <w:tcPr>
            <w:tcW w:w="2070" w:type="dxa"/>
          </w:tcPr>
          <w:p w:rsidR="007F373F" w:rsidRDefault="00000000">
            <w:pPr>
              <w:spacing w:after="0"/>
              <w:jc w:val="left"/>
            </w:pPr>
            <w:r>
              <w:rPr>
                <w:sz w:val="19"/>
              </w:rPr>
              <w:t>Price vs tonnage (supplementary)</w:t>
            </w:r>
          </w:p>
        </w:tc>
        <w:tc>
          <w:tcPr>
            <w:tcW w:w="2622" w:type="dxa"/>
          </w:tcPr>
          <w:p w:rsidR="007F373F" w:rsidRDefault="00000000">
            <w:pPr>
              <w:spacing w:after="0"/>
              <w:jc w:val="left"/>
            </w:pPr>
            <w:r>
              <w:rPr>
                <w:sz w:val="19"/>
              </w:rPr>
              <w:t>Growth should not depend solely on gold price</w:t>
            </w:r>
          </w:p>
        </w:tc>
        <w:tc>
          <w:tcPr>
            <w:tcW w:w="3796" w:type="dxa"/>
          </w:tcPr>
          <w:p w:rsidR="007F373F" w:rsidRDefault="00000000">
            <w:pPr>
              <w:spacing w:after="0"/>
              <w:jc w:val="left"/>
            </w:pPr>
            <w:r>
              <w:rPr>
                <w:sz w:val="19"/>
              </w:rPr>
              <w:t>Tonnage +12% vs gold AUM +76%: majority of gold growth is price/LTV-driven</w:t>
            </w:r>
          </w:p>
        </w:tc>
        <w:tc>
          <w:tcPr>
            <w:tcW w:w="1242" w:type="dxa"/>
          </w:tcPr>
          <w:p w:rsidR="007F373F" w:rsidRDefault="00000000">
            <w:pPr>
              <w:spacing w:after="0"/>
              <w:jc w:val="left"/>
            </w:pPr>
            <w:r>
              <w:rPr>
                <w:sz w:val="19"/>
              </w:rPr>
              <w:t>Partly cyclical</w:t>
            </w:r>
          </w:p>
        </w:tc>
      </w:tr>
      <w:tr w:rsidR="007F373F">
        <w:trPr>
          <w:jc w:val="center"/>
        </w:trPr>
        <w:tc>
          <w:tcPr>
            <w:tcW w:w="2070" w:type="dxa"/>
          </w:tcPr>
          <w:p w:rsidR="007F373F" w:rsidRDefault="00000000">
            <w:pPr>
              <w:spacing w:after="0"/>
              <w:jc w:val="left"/>
            </w:pPr>
            <w:r>
              <w:rPr>
                <w:sz w:val="19"/>
              </w:rPr>
              <w:t>Rate cycle (supplementary)</w:t>
            </w:r>
          </w:p>
        </w:tc>
        <w:tc>
          <w:tcPr>
            <w:tcW w:w="2622" w:type="dxa"/>
          </w:tcPr>
          <w:p w:rsidR="007F373F" w:rsidRDefault="00000000">
            <w:pPr>
              <w:spacing w:after="0"/>
              <w:jc w:val="left"/>
            </w:pPr>
            <w:r>
              <w:rPr>
                <w:sz w:val="19"/>
              </w:rPr>
              <w:t>Spread gain should not depend solely on falling rates</w:t>
            </w:r>
          </w:p>
        </w:tc>
        <w:tc>
          <w:tcPr>
            <w:tcW w:w="3796" w:type="dxa"/>
          </w:tcPr>
          <w:p w:rsidR="007F373F" w:rsidRDefault="00000000">
            <w:pPr>
              <w:spacing w:after="0"/>
              <w:jc w:val="left"/>
            </w:pPr>
            <w:r>
              <w:rPr>
                <w:sz w:val="19"/>
              </w:rPr>
              <w:t>CoB −90 bp but yield −40 bp; spread +40 bp; fixed-rate share raised to 40%</w:t>
            </w:r>
          </w:p>
        </w:tc>
        <w:tc>
          <w:tcPr>
            <w:tcW w:w="1242" w:type="dxa"/>
          </w:tcPr>
          <w:p w:rsidR="007F373F" w:rsidRDefault="00000000">
            <w:pPr>
              <w:spacing w:after="0"/>
              <w:jc w:val="left"/>
            </w:pPr>
            <w:r>
              <w:rPr>
                <w:sz w:val="19"/>
              </w:rPr>
              <w:t>Partly cyclical, partly structural</w:t>
            </w:r>
          </w:p>
        </w:tc>
      </w:tr>
    </w:tbl>
    <w:p w:rsidR="007F373F" w:rsidRDefault="007F373F">
      <w:pPr>
        <w:spacing w:after="40"/>
      </w:pPr>
    </w:p>
    <w:p w:rsidR="007F373F" w:rsidRDefault="00000000">
      <w:r>
        <w:t>Verdict. H1 is accepted with qualifications. The structural components – a fully secured mix, system-driven underwriting, in-house collections, diversified and partly fixed-rate funding – are real and documented, and three of four primary tests are met cleanly. The qualifications are that gold-price appreciation and falling interest rates contributed materially to FY26 growth and margin, and that part of the asset-quality improvement came from crystallising old losses. H0 is rejected in its strong form (the improvement is not primarily cyclical) but retains partial force: a reversal of the gold price or rate cycle would reduce, though on the evidence not eliminate, the profitability gains.</w:t>
      </w:r>
    </w:p>
    <w:p w:rsidR="007F373F" w:rsidRDefault="00000000">
      <w:pPr>
        <w:pStyle w:val="Heading2"/>
      </w:pPr>
      <w:r>
        <w:t>Answers to the research questions</w:t>
      </w:r>
    </w:p>
    <w:p w:rsidR="007F373F" w:rsidRDefault="00000000">
      <w:pPr>
        <w:pStyle w:val="ListBullet"/>
      </w:pPr>
      <w:r>
        <w:rPr>
          <w:b/>
        </w:rPr>
        <w:t xml:space="preserve">RQ1 – Growth and profitability: </w:t>
      </w:r>
      <w:r>
        <w:t>Growth has been accompanied by improved profitability over the cycle (PAT CAGR ≈ AUM CAGR over FY22–FY26) with one reset year; FY26 RoA of 2.44% equals the FY24 peak and earnings quality is higher.</w:t>
      </w:r>
    </w:p>
    <w:p w:rsidR="007F373F" w:rsidRDefault="00000000">
      <w:pPr>
        <w:pStyle w:val="ListBullet"/>
      </w:pPr>
      <w:r>
        <w:rPr>
          <w:b/>
        </w:rPr>
        <w:t xml:space="preserve">RQ2 – Risk profile: </w:t>
      </w:r>
      <w:r>
        <w:t>Yes – the risk profile is stronger: secured share 98.9%, Stage 2+3 halved, gold LTV 60.9%, concentration negligible; the residual risks are market (gold) and vintage seasoning rather than unsecured default.</w:t>
      </w:r>
    </w:p>
    <w:p w:rsidR="007F373F" w:rsidRDefault="00000000">
      <w:pPr>
        <w:pStyle w:val="ListBullet"/>
      </w:pPr>
      <w:r>
        <w:rPr>
          <w:b/>
        </w:rPr>
        <w:t xml:space="preserve">RQ3 – Capital and funding: </w:t>
      </w:r>
      <w:r>
        <w:t>Adequate for the 20–25% target in the medium term (CRAR 22.4%, 41 lenders, positive short-term ALM gap), but leverage of 4.6x and Tier I of 17.5% imply that equity will be needed within the planning horizon if RoE stays near 13%.</w:t>
      </w:r>
    </w:p>
    <w:p w:rsidR="007F373F" w:rsidRDefault="00000000">
      <w:pPr>
        <w:pStyle w:val="ListBullet"/>
      </w:pPr>
      <w:r>
        <w:rPr>
          <w:b/>
        </w:rPr>
        <w:lastRenderedPageBreak/>
        <w:t xml:space="preserve">RQ4 – External risks: </w:t>
      </w:r>
      <w:r>
        <w:t>Gold-price correction, the April 2026 gold-lending Directions, bank competition, rate reversal and cyber risk are the principal external risks; mitigation is credible on each, strongest for liquidity and currency and least tested for gold price.</w:t>
      </w:r>
    </w:p>
    <w:p w:rsidR="007F373F" w:rsidRDefault="00000000">
      <w:pPr>
        <w:pStyle w:val="Heading1"/>
        <w:pageBreakBefore/>
      </w:pPr>
      <w:r>
        <w:lastRenderedPageBreak/>
        <w:t>Conclusion</w:t>
      </w:r>
    </w:p>
    <w:p w:rsidR="007F373F" w:rsidRDefault="00000000">
      <w:r>
        <w:t>Fedbank Financial Services Limited entered the study period as a fast-growing, recently listed, mortgage-led NBFC with a meaningful unsecured book; it ends it as a fully secured, gold-led, bank-promoted lender with a rebuilt mortgage franchise, a diversified liability profile and a profit base 40% higher than at the IPO. Between those two points lies FY25, a year in which the company discovered that its collections infrastructure had not kept pace with growth, absorbed the cost of that discovery through provisions and write-offs, changed its leadership, and redesigned its operating model. The FY26 annual report shows the results: AUM ₹20,153 crore, PAT ₹343.6 crore, RoA 2.44%, RoE 12.62%, GNPA 1.9%, credit cost 0.8%, CRAR 22.4%.</w:t>
      </w:r>
    </w:p>
    <w:p w:rsidR="007F373F" w:rsidRDefault="00000000">
      <w:r>
        <w:t>The fundamental analysis supports three conclusions. First, the business model is sound. Gold loans and loans against property are the two most natural forms of secured credit for India’s self-employed and MSME households; both markets are large, growing and under-penetrated; and the twin-engine combination provides diversification of tenor, yield and risk that single-product lenders lack. Second, management execution in FY26 was credible: commitments made in FY25 were delivered, costs of the transition were disclosed, and the operating changes – in-house sourcing and collections, rule-based underwriting, funding diversification, fixed-rate hedging – are structural rather than cosmetic. Third, the sustainability of the recovery is probable but not yet proven. FY26 benefited from a 65% rise in gold prices, a 125 bp fall in policy rates and the write-off or sale of old problem loans; the FY26 vintages of small-ticket LAP and the 148 new branches have yet to season; and leverage has risen to 4.6x. The hypothesis that secured mix plus operating discipline supports sustainable profitability is therefore accepted with qualifications.</w:t>
      </w:r>
    </w:p>
    <w:p w:rsidR="007F373F" w:rsidRDefault="00000000">
      <w:r>
        <w:t>For the sector, Fedfina’s experience illustrates a general lesson: in retail lending, the binding constraint on growth is not demand but the lender’s capacity to underwrite, collect and fund – and that capacity must be built ahead of volume, not after it. For the company, the task for FY27 is to convert capacity into productivity: to let young branches mature, to prove the new mortgage vintages, to grow gold tonnage rather than rely on price, and to set a capital policy before leverage sets it for them. For the analyst, the company’s disclosures are rich enough to track each of these variables, which is itself a mark of quality.</w:t>
      </w:r>
    </w:p>
    <w:p w:rsidR="007F373F" w:rsidRDefault="00000000">
      <w:r>
        <w:t>On the evidence of three annual reports and the broader sector data, Fedbank Financial Services Limited is a fundamentally sound, well-governed and improving secured lender whose principal risks are the mirror image of its recent success. Its investment merit depends less on whether the FY26 numbers are good – they are – than on whether they can be repeated through a less favourable gold-price and interest-rate environment. The structural changes documented in this report make that outcome more likely than it was two years ago.</w:t>
      </w:r>
    </w:p>
    <w:tbl>
      <w:tblPr>
        <w:tblW w:w="0" w:type="auto"/>
        <w:jc w:val="center"/>
        <w:tblCellMar>
          <w:top w:w="40" w:type="dxa"/>
          <w:left w:w="60" w:type="dxa"/>
          <w:bottom w:w="40" w:type="dxa"/>
          <w:right w:w="60" w:type="dxa"/>
        </w:tblCellMar>
        <w:tblLook w:val="04A0" w:firstRow="1" w:lastRow="0" w:firstColumn="1" w:lastColumn="0" w:noHBand="0" w:noVBand="1"/>
      </w:tblPr>
      <w:tblGrid>
        <w:gridCol w:w="1624"/>
        <w:gridCol w:w="1624"/>
        <w:gridCol w:w="1624"/>
        <w:gridCol w:w="1624"/>
        <w:gridCol w:w="1624"/>
        <w:gridCol w:w="1624"/>
      </w:tblGrid>
      <w:tr w:rsidR="007F373F">
        <w:trPr>
          <w:jc w:val="center"/>
        </w:trPr>
        <w:tc>
          <w:tcPr>
            <w:tcW w:w="1624" w:type="dxa"/>
          </w:tcPr>
          <w:p w:rsidR="007F373F" w:rsidRDefault="00000000">
            <w:pPr>
              <w:spacing w:after="0"/>
              <w:jc w:val="center"/>
            </w:pPr>
            <w:r>
              <w:rPr>
                <w:b/>
                <w:sz w:val="26"/>
              </w:rPr>
              <w:t>10x</w:t>
            </w:r>
          </w:p>
          <w:p w:rsidR="007F373F" w:rsidRDefault="00000000">
            <w:pPr>
              <w:spacing w:after="0"/>
              <w:jc w:val="center"/>
            </w:pPr>
            <w:r>
              <w:rPr>
                <w:sz w:val="18"/>
              </w:rPr>
              <w:t>AUM growth FY19–FY26</w:t>
            </w:r>
          </w:p>
        </w:tc>
        <w:tc>
          <w:tcPr>
            <w:tcW w:w="1624" w:type="dxa"/>
          </w:tcPr>
          <w:p w:rsidR="007F373F" w:rsidRDefault="00000000">
            <w:pPr>
              <w:spacing w:after="0"/>
              <w:jc w:val="center"/>
            </w:pPr>
            <w:r>
              <w:rPr>
                <w:b/>
                <w:sz w:val="26"/>
              </w:rPr>
              <w:t>98.9%</w:t>
            </w:r>
          </w:p>
          <w:p w:rsidR="007F373F" w:rsidRDefault="00000000">
            <w:pPr>
              <w:spacing w:after="0"/>
              <w:jc w:val="center"/>
            </w:pPr>
            <w:r>
              <w:rPr>
                <w:sz w:val="18"/>
              </w:rPr>
              <w:t>Secured AUM</w:t>
            </w:r>
          </w:p>
        </w:tc>
        <w:tc>
          <w:tcPr>
            <w:tcW w:w="1624" w:type="dxa"/>
          </w:tcPr>
          <w:p w:rsidR="007F373F" w:rsidRDefault="00000000">
            <w:pPr>
              <w:spacing w:after="0"/>
              <w:jc w:val="center"/>
            </w:pPr>
            <w:r>
              <w:rPr>
                <w:b/>
                <w:sz w:val="26"/>
              </w:rPr>
              <w:t>0.8%</w:t>
            </w:r>
          </w:p>
          <w:p w:rsidR="007F373F" w:rsidRDefault="00000000">
            <w:pPr>
              <w:spacing w:after="0"/>
              <w:jc w:val="center"/>
            </w:pPr>
            <w:r>
              <w:rPr>
                <w:sz w:val="18"/>
              </w:rPr>
              <w:t>Credit cost</w:t>
            </w:r>
          </w:p>
        </w:tc>
        <w:tc>
          <w:tcPr>
            <w:tcW w:w="1624" w:type="dxa"/>
          </w:tcPr>
          <w:p w:rsidR="007F373F" w:rsidRDefault="00000000">
            <w:pPr>
              <w:spacing w:after="0"/>
              <w:jc w:val="center"/>
            </w:pPr>
            <w:r>
              <w:rPr>
                <w:b/>
                <w:sz w:val="26"/>
              </w:rPr>
              <w:t>22.4%</w:t>
            </w:r>
          </w:p>
          <w:p w:rsidR="007F373F" w:rsidRDefault="00000000">
            <w:pPr>
              <w:spacing w:after="0"/>
              <w:jc w:val="center"/>
            </w:pPr>
            <w:r>
              <w:rPr>
                <w:sz w:val="18"/>
              </w:rPr>
              <w:t>CRAR</w:t>
            </w:r>
          </w:p>
        </w:tc>
        <w:tc>
          <w:tcPr>
            <w:tcW w:w="1624" w:type="dxa"/>
          </w:tcPr>
          <w:p w:rsidR="007F373F" w:rsidRDefault="00000000">
            <w:pPr>
              <w:spacing w:after="0"/>
              <w:jc w:val="center"/>
            </w:pPr>
            <w:r>
              <w:rPr>
                <w:b/>
                <w:sz w:val="26"/>
              </w:rPr>
              <w:t>AA+</w:t>
            </w:r>
          </w:p>
          <w:p w:rsidR="007F373F" w:rsidRDefault="00000000">
            <w:pPr>
              <w:spacing w:after="0"/>
              <w:jc w:val="center"/>
            </w:pPr>
            <w:r>
              <w:rPr>
                <w:sz w:val="18"/>
              </w:rPr>
              <w:t>Rating × 4 agencies</w:t>
            </w:r>
          </w:p>
        </w:tc>
        <w:tc>
          <w:tcPr>
            <w:tcW w:w="1624" w:type="dxa"/>
          </w:tcPr>
          <w:p w:rsidR="007F373F" w:rsidRDefault="00000000">
            <w:pPr>
              <w:spacing w:after="0"/>
              <w:jc w:val="center"/>
            </w:pPr>
            <w:r>
              <w:rPr>
                <w:b/>
                <w:sz w:val="26"/>
              </w:rPr>
              <w:t>4.6x</w:t>
            </w:r>
          </w:p>
          <w:p w:rsidR="007F373F" w:rsidRDefault="00000000">
            <w:pPr>
              <w:spacing w:after="0"/>
              <w:jc w:val="center"/>
            </w:pPr>
            <w:r>
              <w:rPr>
                <w:sz w:val="18"/>
              </w:rPr>
              <w:t>Leverage – the watch metric</w:t>
            </w:r>
          </w:p>
        </w:tc>
      </w:tr>
    </w:tbl>
    <w:p w:rsidR="007F373F" w:rsidRDefault="007F373F">
      <w:pPr>
        <w:spacing w:after="40"/>
      </w:pPr>
    </w:p>
    <w:p w:rsidR="007F373F" w:rsidRDefault="00000000">
      <w:pPr>
        <w:pStyle w:val="Heading1"/>
        <w:pageBreakBefore/>
      </w:pPr>
      <w:r>
        <w:lastRenderedPageBreak/>
        <w:t>Limitations of the Study</w:t>
      </w:r>
    </w:p>
    <w:p w:rsidR="007F373F" w:rsidRDefault="00000000">
      <w:r>
        <w:t>The findings should be read subject to the following limitations, which extend the methodological limitations noted in Chapter 1.</w:t>
      </w:r>
    </w:p>
    <w:p w:rsidR="007F373F" w:rsidRDefault="00000000">
      <w:pPr>
        <w:pStyle w:val="ListBullet"/>
      </w:pPr>
      <w:r>
        <w:rPr>
          <w:b/>
        </w:rPr>
        <w:t xml:space="preserve">Secondary data only: </w:t>
      </w:r>
      <w:r>
        <w:t>The study relies on published annual reports and publicly cited sector data. No access was available to management, branch operations, borrower files, bureau data or the company’s investor presentations and quarterly results, which would allow vintage and quarterly analysis.</w:t>
      </w:r>
    </w:p>
    <w:p w:rsidR="007F373F" w:rsidRDefault="00000000">
      <w:pPr>
        <w:pStyle w:val="ListBullet"/>
      </w:pPr>
      <w:r>
        <w:rPr>
          <w:b/>
        </w:rPr>
        <w:t xml:space="preserve">Reporting-basis changes: </w:t>
      </w:r>
      <w:r>
        <w:t>The FY26 report restates yield, cost of borrowings and spread for prior years; GNPA appears as both 1.9% and 2.2%; DA income appears as ₹7.4 crore and ₹102.0 crore under different definitions; headcount growth is described as 6.3% while disclosed numbers imply 16%. The report presents both figures where they differ and does not adjudicate beyond noting the likely cause.</w:t>
      </w:r>
    </w:p>
    <w:p w:rsidR="007F373F" w:rsidRDefault="00000000">
      <w:pPr>
        <w:pStyle w:val="ListBullet"/>
      </w:pPr>
      <w:r>
        <w:rPr>
          <w:b/>
        </w:rPr>
        <w:t xml:space="preserve">AUM reconciliation: </w:t>
      </w:r>
      <w:r>
        <w:t>AUM (₹20,153 crore) and on-book gross loans (₹14,505 crore) cannot be fully reconciled from public data because the composition of off-book AUM (co-lending partner share, assigned pools, other managed assets) is not published in full.</w:t>
      </w:r>
    </w:p>
    <w:p w:rsidR="007F373F" w:rsidRDefault="00000000">
      <w:pPr>
        <w:pStyle w:val="ListBullet"/>
      </w:pPr>
      <w:r>
        <w:rPr>
          <w:b/>
        </w:rPr>
        <w:t xml:space="preserve">Averages and derived ratios: </w:t>
      </w:r>
      <w:r>
        <w:t>Ratios derived in this report use simple opening/closing averages and may differ slightly from company methodology (e.g., RoA 2.28% derived vs 2.44% reported). Sensitivities in Chapters 5–7 are arithmetic illustrations, not models.</w:t>
      </w:r>
    </w:p>
    <w:p w:rsidR="007F373F" w:rsidRDefault="00000000">
      <w:pPr>
        <w:pStyle w:val="ListBullet"/>
      </w:pPr>
      <w:r>
        <w:rPr>
          <w:b/>
        </w:rPr>
        <w:t xml:space="preserve">Peer comparison: </w:t>
      </w:r>
      <w:r>
        <w:t>Peer data are drawn from results coverage of FY26 announcements, differ in basis (standalone vs consolidated) and were not analysed at statement level; the comparison indicates scale, not relative quality.</w:t>
      </w:r>
    </w:p>
    <w:p w:rsidR="007F373F" w:rsidRDefault="00000000">
      <w:pPr>
        <w:pStyle w:val="ListBullet"/>
      </w:pPr>
      <w:r>
        <w:rPr>
          <w:b/>
        </w:rPr>
        <w:t xml:space="preserve">Market data: </w:t>
      </w:r>
      <w:r>
        <w:t>Only the single market-capitalisation figure disclosed in the annual report (31 March 2026) is used; price history, trading volumes and multiples over time were outside scope, so valuation observations are dated and illustrative.</w:t>
      </w:r>
    </w:p>
    <w:p w:rsidR="007F373F" w:rsidRDefault="00000000">
      <w:pPr>
        <w:pStyle w:val="ListBullet"/>
      </w:pPr>
      <w:r>
        <w:rPr>
          <w:b/>
        </w:rPr>
        <w:t xml:space="preserve">Qualitative judgements: </w:t>
      </w:r>
      <w:r>
        <w:t>Likelihood/impact ratings in the risk matrix, scorecard scores and scenario parameters are the author’s judgements and would differ between analysts.</w:t>
      </w:r>
    </w:p>
    <w:p w:rsidR="007F373F" w:rsidRDefault="00000000">
      <w:pPr>
        <w:pStyle w:val="ListBullet"/>
      </w:pPr>
      <w:r>
        <w:rPr>
          <w:b/>
        </w:rPr>
        <w:t xml:space="preserve">Time boundary: </w:t>
      </w:r>
      <w:r>
        <w:t>The analysis stops at the FY26 annual report (financial statements approved 28 April 2026; Directors’ Report dated 25 August 2026). Events thereafter – including the first quarters under the gold-lending Directions and any capital-raising – are not reflected.</w:t>
      </w:r>
    </w:p>
    <w:p w:rsidR="007F373F" w:rsidRDefault="00000000">
      <w:pPr>
        <w:pStyle w:val="ListBullet"/>
      </w:pPr>
      <w:r>
        <w:rPr>
          <w:b/>
        </w:rPr>
        <w:t xml:space="preserve">Sector data provenance: </w:t>
      </w:r>
      <w:r>
        <w:t>Industry statistics are reproduced as cited by the company (ICRA, CRISIL, MoSPI, World Gold Council, Economic Survey) and from RBI directions; they were not independently re-sourced from the original publications except where noted.</w:t>
      </w:r>
    </w:p>
    <w:p w:rsidR="007F373F" w:rsidRDefault="00000000">
      <w:pPr>
        <w:pStyle w:val="ListBullet"/>
      </w:pPr>
      <w:r>
        <w:rPr>
          <w:b/>
        </w:rPr>
        <w:t xml:space="preserve">Scope exclusions: </w:t>
      </w:r>
      <w:r>
        <w:t>Federal Bank’s own financial condition, the detailed terms of individual borrowing facilities, tax positions and litigation (beyond disclosed penalties) were not analysed.</w:t>
      </w:r>
    </w:p>
    <w:p w:rsidR="007F373F" w:rsidRDefault="00000000">
      <w:r>
        <w:t>None of these limitations alters the direction of the findings, but several – especially the absence of vintage data and the AUM reconciliation – limit the precision with which the sustainability of FY26 asset quality can be judged. They also define the agenda for a follow-up study after the FY27 results.</w:t>
      </w:r>
    </w:p>
    <w:p w:rsidR="007F373F" w:rsidRDefault="00000000">
      <w:pPr>
        <w:pStyle w:val="Heading2"/>
      </w:pPr>
      <w:r>
        <w:lastRenderedPageBreak/>
        <w:t>Suggested extensions for future research</w:t>
      </w:r>
    </w:p>
    <w:p w:rsidR="007F373F" w:rsidRDefault="00000000">
      <w:r>
        <w:t>A follow-up study could (i) extend the series to FY27 to test whether credit cost stayed below 1% and cost-to-income fell as the FY25–FY26 branch cohorts matured; (ii) use quarterly investor presentations to construct vintage curves for the ST LAP and gold books; (iii) benchmark Fedfina at statement level against Muthoot Finance, Manappuram Finance and bank-promoted mortgage NBFCs on yield, cost of funds, opex ratio and credit cost; (iv) analyse the share-price history and multiples against RoE to test the valuation observations made here; and (v) examine the first year of operation under the RBI gold-lending Directions 2025 for its effect on LTV, renewals and disbursement velocity.</w:t>
      </w:r>
    </w:p>
    <w:p w:rsidR="007F373F" w:rsidRDefault="00000000">
      <w:pPr>
        <w:pStyle w:val="Heading1"/>
        <w:pageBreakBefore/>
      </w:pPr>
      <w:r>
        <w:lastRenderedPageBreak/>
        <w:t>Bibliography and References</w:t>
      </w:r>
    </w:p>
    <w:p w:rsidR="007F373F" w:rsidRDefault="00000000">
      <w:pPr>
        <w:pStyle w:val="Heading2"/>
      </w:pPr>
      <w:r>
        <w:t>Primary sources – company documents</w:t>
      </w:r>
    </w:p>
    <w:p w:rsidR="007F373F" w:rsidRDefault="00000000">
      <w:pPr>
        <w:pStyle w:val="ListBullet"/>
        <w:spacing w:after="40"/>
      </w:pPr>
      <w:r>
        <w:rPr>
          <w:sz w:val="20"/>
        </w:rPr>
        <w:t>Fedbank Financial Services Limited, Annual Report 2025-26 (31st year), including Corporate Overview, Management Discussion and Analysis, Directors’ Report and annexures, Report on Corporate Governance, Business Responsibility and Sustainability Report, Independent Auditor’s Report and audited Ind AS financial statements with notes (notes 8, 16, 17, 18, 26–34 and 48 cited). Mumbai, 2026.</w:t>
      </w:r>
    </w:p>
    <w:p w:rsidR="007F373F" w:rsidRDefault="00000000">
      <w:pPr>
        <w:pStyle w:val="ListBullet"/>
        <w:spacing w:after="40"/>
      </w:pPr>
      <w:r>
        <w:rPr>
          <w:sz w:val="20"/>
        </w:rPr>
        <w:t>Fedbank Financial Services Limited, Annual Report 2024-25 (30th year), including Chairman’s and MD&amp;CEO’s messages, ‘Measuring our progress’, branch-expansion data and Directors’ Report. Mumbai, 2025.</w:t>
      </w:r>
    </w:p>
    <w:p w:rsidR="007F373F" w:rsidRDefault="00000000">
      <w:pPr>
        <w:pStyle w:val="ListBullet"/>
        <w:spacing w:after="40"/>
      </w:pPr>
      <w:r>
        <w:rPr>
          <w:sz w:val="20"/>
        </w:rPr>
        <w:t>Fedbank Financial Services Limited, Annual Report 2023-24 (29th year), including ‘Reflecting on our journey’, key performance indicators FY19–FY24, product overview, MD&amp;A and Directors’ Report. Mumbai, 2024.</w:t>
      </w:r>
    </w:p>
    <w:p w:rsidR="007F373F" w:rsidRDefault="00000000">
      <w:pPr>
        <w:pStyle w:val="Heading2"/>
      </w:pPr>
      <w:r>
        <w:t>Regulatory and official sources</w:t>
      </w:r>
    </w:p>
    <w:p w:rsidR="007F373F" w:rsidRDefault="00000000">
      <w:pPr>
        <w:pStyle w:val="ListBullet"/>
        <w:spacing w:after="40"/>
      </w:pPr>
      <w:r>
        <w:rPr>
          <w:sz w:val="20"/>
        </w:rPr>
        <w:t>Reserve Bank of India, Reserve Bank of India (Lending Against Gold and Silver Collateral) Directions, 2025, issued June 2025, effective 1 April 2026.</w:t>
      </w:r>
    </w:p>
    <w:p w:rsidR="007F373F" w:rsidRDefault="00000000">
      <w:pPr>
        <w:pStyle w:val="ListBullet"/>
        <w:spacing w:after="40"/>
      </w:pPr>
      <w:r>
        <w:rPr>
          <w:sz w:val="20"/>
        </w:rPr>
        <w:t>Reserve Bank of India, Non-Banking Financial Companies – Registration, Exemptions and Framework for Scale Based Regulation Directions, 2025; NBFC Internal Ombudsman Directions, 2026; Master Direction on Fraud Risk Management in NBFCs, 2024; Statutory Audit Directions, 2026 (as listed in the company’s secretarial audit report).</w:t>
      </w:r>
    </w:p>
    <w:p w:rsidR="007F373F" w:rsidRDefault="00000000">
      <w:pPr>
        <w:pStyle w:val="ListBullet"/>
        <w:spacing w:after="40"/>
      </w:pPr>
      <w:r>
        <w:rPr>
          <w:sz w:val="20"/>
        </w:rPr>
        <w:t>Ministry of Statistics and Programme Implementation; Press Information Bureau; Ministry of MSME; Economic Survey 2025-26; IMF World Economic Outlook, April 2026; World Gold Council – statistics as cited in the FY26 Management Discussion and Analysis.</w:t>
      </w:r>
    </w:p>
    <w:p w:rsidR="007F373F" w:rsidRDefault="00000000">
      <w:pPr>
        <w:pStyle w:val="ListBullet"/>
        <w:spacing w:after="40"/>
      </w:pPr>
      <w:r>
        <w:rPr>
          <w:sz w:val="20"/>
        </w:rPr>
        <w:t>ICRA Limited and CRISIL Ratings – gold-loan market and NBFC AUM projections as cited in the FY26 Management Discussion and Analysis.</w:t>
      </w:r>
    </w:p>
    <w:p w:rsidR="007F373F" w:rsidRDefault="00000000">
      <w:pPr>
        <w:pStyle w:val="ListBullet"/>
        <w:spacing w:after="40"/>
      </w:pPr>
      <w:r>
        <w:rPr>
          <w:sz w:val="20"/>
        </w:rPr>
        <w:t>EY India, ‘RBI gold loan guidelines 2025: an impact assessment’, February 2026 (summary of the tiered LTV and conduct provisions of the Directions).</w:t>
      </w:r>
    </w:p>
    <w:p w:rsidR="007F373F" w:rsidRDefault="00000000">
      <w:pPr>
        <w:pStyle w:val="Heading2"/>
      </w:pPr>
      <w:r>
        <w:t>Peer and market sources (secondary coverage of exchange filings)</w:t>
      </w:r>
    </w:p>
    <w:p w:rsidR="007F373F" w:rsidRDefault="00000000">
      <w:pPr>
        <w:pStyle w:val="ListBullet"/>
        <w:spacing w:after="40"/>
      </w:pPr>
      <w:r>
        <w:rPr>
          <w:sz w:val="20"/>
        </w:rPr>
        <w:t>Muthoot Finance Limited – FY26 audited results and Directors’ Report extracts as reported by Investywise (14 May 2026) and IndiaInfoline (Directors’ Report extract, May 2026): consolidated AUM ₹1,81,916 crore, standalone AUM ₹1,62,826 crore, gold-loan AUM ₹1,65,030 crore, standalone PAT ₹10,134 crore, CRAR 20.75%, 7,568 branches.</w:t>
      </w:r>
    </w:p>
    <w:p w:rsidR="007F373F" w:rsidRDefault="00000000">
      <w:pPr>
        <w:pStyle w:val="ListBullet"/>
        <w:spacing w:after="40"/>
      </w:pPr>
      <w:r>
        <w:rPr>
          <w:sz w:val="20"/>
        </w:rPr>
        <w:t>Manappuram Finance Limited – Q4 FY26 earnings call transcript (Yahoo Finance, 4 May 2026) and results summary (Multibagg, 10 May 2026): consolidated AUM ₹63,798 crore, gold AUM ₹50,953 crore, consolidated PAT ₹993 crore, CRAR 21.3%, cost of borrowing 8.6%.</w:t>
      </w:r>
    </w:p>
    <w:p w:rsidR="007F373F" w:rsidRDefault="00000000">
      <w:pPr>
        <w:pStyle w:val="Heading2"/>
      </w:pPr>
      <w:r>
        <w:t>Academic and methodological references</w:t>
      </w:r>
    </w:p>
    <w:p w:rsidR="007F373F" w:rsidRDefault="00000000">
      <w:pPr>
        <w:pStyle w:val="ListBullet"/>
        <w:spacing w:after="40"/>
      </w:pPr>
      <w:r>
        <w:rPr>
          <w:sz w:val="20"/>
        </w:rPr>
        <w:t>Porter, M. E., Competitive Strategy: Techniques for Analyzing Industries and Competitors, Free Press, 1980 (Five Forces framework).</w:t>
      </w:r>
    </w:p>
    <w:p w:rsidR="007F373F" w:rsidRDefault="00000000">
      <w:pPr>
        <w:pStyle w:val="ListBullet"/>
        <w:spacing w:after="40"/>
      </w:pPr>
      <w:r>
        <w:rPr>
          <w:sz w:val="20"/>
        </w:rPr>
        <w:t>Kaplan, R. S. and Norton, D. P., ‘The Balanced Scorecard – Measures that Drive Performance’, Harvard Business Review, 1992.</w:t>
      </w:r>
    </w:p>
    <w:p w:rsidR="007F373F" w:rsidRDefault="00000000">
      <w:pPr>
        <w:pStyle w:val="ListBullet"/>
        <w:spacing w:after="40"/>
      </w:pPr>
      <w:r>
        <w:rPr>
          <w:sz w:val="20"/>
        </w:rPr>
        <w:t>Koller, T., Goedhart, M. and Wessels, D., Valuation: Measuring and Managing the Value of Companies, 7th edition, Wiley, 2020 (chapter on valuing banks and financial institutions; DuPont decomposition).</w:t>
      </w:r>
    </w:p>
    <w:p w:rsidR="007F373F" w:rsidRDefault="00000000">
      <w:pPr>
        <w:pStyle w:val="ListBullet"/>
        <w:spacing w:after="40"/>
      </w:pPr>
      <w:r>
        <w:rPr>
          <w:sz w:val="20"/>
        </w:rPr>
        <w:t>Reserve Bank of India, Report on Trend and Progress of Banking in India (annual) – structure and regulation of NBFCs.</w:t>
      </w:r>
    </w:p>
    <w:p w:rsidR="007F373F" w:rsidRDefault="00000000">
      <w:pPr>
        <w:pStyle w:val="ListBullet"/>
        <w:spacing w:after="40"/>
      </w:pPr>
      <w:r>
        <w:rPr>
          <w:sz w:val="20"/>
        </w:rPr>
        <w:t>Gupta, Rashmi, ‘Summer Internship Report on Fundamental Analysis of IT Sector Companies’, MMS (Finance) project report, DES’s NMITD, University of Mumbai, 2023–25 (structure and format reference).</w:t>
      </w:r>
    </w:p>
    <w:p w:rsidR="007F373F" w:rsidRDefault="00000000">
      <w:r>
        <w:rPr>
          <w:i/>
          <w:sz w:val="21"/>
        </w:rPr>
        <w:lastRenderedPageBreak/>
        <w:t>Citation convention. In-text references such as “Directors’ Report FY26” or “note 48” refer to the corresponding section of the annual report for that financial year. Where a figure is computed by the author it is marked ‘derived’; formulae are given in Appendix F.</w:t>
      </w:r>
    </w:p>
    <w:p w:rsidR="007F373F" w:rsidRDefault="00000000">
      <w:pPr>
        <w:pStyle w:val="Heading1"/>
        <w:pageBreakBefore/>
      </w:pPr>
      <w:r>
        <w:lastRenderedPageBreak/>
        <w:t>Appendix A — Summarised Balance Sheet (₹ lakh)</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555"/>
        <w:gridCol w:w="1518"/>
        <w:gridCol w:w="1518"/>
        <w:gridCol w:w="1035"/>
        <w:gridCol w:w="1104"/>
      </w:tblGrid>
      <w:tr w:rsidR="007F373F">
        <w:trPr>
          <w:jc w:val="center"/>
        </w:trPr>
        <w:tc>
          <w:tcPr>
            <w:tcW w:w="4555" w:type="dxa"/>
          </w:tcPr>
          <w:p w:rsidR="007F373F" w:rsidRDefault="00000000">
            <w:pPr>
              <w:spacing w:after="0"/>
              <w:jc w:val="left"/>
            </w:pPr>
            <w:r>
              <w:rPr>
                <w:b/>
                <w:sz w:val="19"/>
              </w:rPr>
              <w:t>ASSETS</w:t>
            </w:r>
          </w:p>
        </w:tc>
        <w:tc>
          <w:tcPr>
            <w:tcW w:w="1518" w:type="dxa"/>
          </w:tcPr>
          <w:p w:rsidR="007F373F" w:rsidRDefault="00000000">
            <w:pPr>
              <w:spacing w:after="0"/>
              <w:jc w:val="left"/>
            </w:pPr>
            <w:r>
              <w:rPr>
                <w:b/>
                <w:sz w:val="19"/>
              </w:rPr>
              <w:t>31 March 2026</w:t>
            </w:r>
          </w:p>
        </w:tc>
        <w:tc>
          <w:tcPr>
            <w:tcW w:w="1518" w:type="dxa"/>
          </w:tcPr>
          <w:p w:rsidR="007F373F" w:rsidRDefault="00000000">
            <w:pPr>
              <w:spacing w:after="0"/>
              <w:jc w:val="left"/>
            </w:pPr>
            <w:r>
              <w:rPr>
                <w:b/>
                <w:sz w:val="19"/>
              </w:rPr>
              <w:t>31 March 2025</w:t>
            </w:r>
          </w:p>
        </w:tc>
        <w:tc>
          <w:tcPr>
            <w:tcW w:w="1035" w:type="dxa"/>
          </w:tcPr>
          <w:p w:rsidR="007F373F" w:rsidRDefault="00000000">
            <w:pPr>
              <w:spacing w:after="0"/>
              <w:jc w:val="left"/>
            </w:pPr>
            <w:r>
              <w:rPr>
                <w:b/>
                <w:sz w:val="19"/>
              </w:rPr>
              <w:t>% FY26</w:t>
            </w:r>
          </w:p>
        </w:tc>
        <w:tc>
          <w:tcPr>
            <w:tcW w:w="1104" w:type="dxa"/>
          </w:tcPr>
          <w:p w:rsidR="007F373F" w:rsidRDefault="00000000">
            <w:pPr>
              <w:spacing w:after="0"/>
              <w:jc w:val="left"/>
            </w:pPr>
            <w:r>
              <w:rPr>
                <w:b/>
                <w:sz w:val="19"/>
              </w:rPr>
              <w:t>% FY25</w:t>
            </w:r>
          </w:p>
        </w:tc>
      </w:tr>
      <w:tr w:rsidR="007F373F">
        <w:trPr>
          <w:jc w:val="center"/>
        </w:trPr>
        <w:tc>
          <w:tcPr>
            <w:tcW w:w="4555" w:type="dxa"/>
          </w:tcPr>
          <w:p w:rsidR="007F373F" w:rsidRDefault="00000000">
            <w:pPr>
              <w:spacing w:after="0"/>
              <w:jc w:val="left"/>
            </w:pPr>
            <w:r>
              <w:rPr>
                <w:sz w:val="19"/>
              </w:rPr>
              <w:t>Cash and cash equivalents</w:t>
            </w:r>
          </w:p>
        </w:tc>
        <w:tc>
          <w:tcPr>
            <w:tcW w:w="1518" w:type="dxa"/>
          </w:tcPr>
          <w:p w:rsidR="007F373F" w:rsidRDefault="00000000">
            <w:pPr>
              <w:spacing w:after="0"/>
              <w:jc w:val="right"/>
            </w:pPr>
            <w:r>
              <w:rPr>
                <w:sz w:val="19"/>
              </w:rPr>
              <w:t>133,973</w:t>
            </w:r>
          </w:p>
        </w:tc>
        <w:tc>
          <w:tcPr>
            <w:tcW w:w="1518" w:type="dxa"/>
          </w:tcPr>
          <w:p w:rsidR="007F373F" w:rsidRDefault="00000000">
            <w:pPr>
              <w:spacing w:after="0"/>
              <w:jc w:val="right"/>
            </w:pPr>
            <w:r>
              <w:rPr>
                <w:sz w:val="19"/>
              </w:rPr>
              <w:t>72,460</w:t>
            </w:r>
          </w:p>
        </w:tc>
        <w:tc>
          <w:tcPr>
            <w:tcW w:w="1035" w:type="dxa"/>
          </w:tcPr>
          <w:p w:rsidR="007F373F" w:rsidRDefault="00000000">
            <w:pPr>
              <w:spacing w:after="0"/>
              <w:jc w:val="right"/>
            </w:pPr>
            <w:r>
              <w:rPr>
                <w:sz w:val="19"/>
              </w:rPr>
              <w:t>7.94%</w:t>
            </w:r>
          </w:p>
        </w:tc>
        <w:tc>
          <w:tcPr>
            <w:tcW w:w="1104" w:type="dxa"/>
          </w:tcPr>
          <w:p w:rsidR="007F373F" w:rsidRDefault="00000000">
            <w:pPr>
              <w:spacing w:after="0"/>
              <w:jc w:val="right"/>
            </w:pPr>
            <w:r>
              <w:rPr>
                <w:sz w:val="19"/>
              </w:rPr>
              <w:t>5.47%</w:t>
            </w:r>
          </w:p>
        </w:tc>
      </w:tr>
      <w:tr w:rsidR="007F373F">
        <w:trPr>
          <w:jc w:val="center"/>
        </w:trPr>
        <w:tc>
          <w:tcPr>
            <w:tcW w:w="4555" w:type="dxa"/>
          </w:tcPr>
          <w:p w:rsidR="007F373F" w:rsidRDefault="00000000">
            <w:pPr>
              <w:spacing w:after="0"/>
              <w:jc w:val="left"/>
            </w:pPr>
            <w:r>
              <w:rPr>
                <w:sz w:val="19"/>
              </w:rPr>
              <w:t>Bank balances other than cash and cash equivalents</w:t>
            </w:r>
          </w:p>
        </w:tc>
        <w:tc>
          <w:tcPr>
            <w:tcW w:w="1518" w:type="dxa"/>
          </w:tcPr>
          <w:p w:rsidR="007F373F" w:rsidRDefault="00000000">
            <w:pPr>
              <w:spacing w:after="0"/>
              <w:jc w:val="right"/>
            </w:pPr>
            <w:r>
              <w:rPr>
                <w:sz w:val="19"/>
              </w:rPr>
              <w:t>5,122</w:t>
            </w:r>
          </w:p>
        </w:tc>
        <w:tc>
          <w:tcPr>
            <w:tcW w:w="1518" w:type="dxa"/>
          </w:tcPr>
          <w:p w:rsidR="007F373F" w:rsidRDefault="00000000">
            <w:pPr>
              <w:spacing w:after="0"/>
              <w:jc w:val="right"/>
            </w:pPr>
            <w:r>
              <w:rPr>
                <w:sz w:val="19"/>
              </w:rPr>
              <w:t>11,009</w:t>
            </w:r>
          </w:p>
        </w:tc>
        <w:tc>
          <w:tcPr>
            <w:tcW w:w="1035" w:type="dxa"/>
          </w:tcPr>
          <w:p w:rsidR="007F373F" w:rsidRDefault="00000000">
            <w:pPr>
              <w:spacing w:after="0"/>
              <w:jc w:val="right"/>
            </w:pPr>
            <w:r>
              <w:rPr>
                <w:sz w:val="19"/>
              </w:rPr>
              <w:t>0.30%</w:t>
            </w:r>
          </w:p>
        </w:tc>
        <w:tc>
          <w:tcPr>
            <w:tcW w:w="1104" w:type="dxa"/>
          </w:tcPr>
          <w:p w:rsidR="007F373F" w:rsidRDefault="00000000">
            <w:pPr>
              <w:spacing w:after="0"/>
              <w:jc w:val="right"/>
            </w:pPr>
            <w:r>
              <w:rPr>
                <w:sz w:val="19"/>
              </w:rPr>
              <w:t>0.83%</w:t>
            </w:r>
          </w:p>
        </w:tc>
      </w:tr>
      <w:tr w:rsidR="007F373F">
        <w:trPr>
          <w:jc w:val="center"/>
        </w:trPr>
        <w:tc>
          <w:tcPr>
            <w:tcW w:w="4555" w:type="dxa"/>
          </w:tcPr>
          <w:p w:rsidR="007F373F" w:rsidRDefault="00000000">
            <w:pPr>
              <w:spacing w:after="0"/>
              <w:jc w:val="left"/>
            </w:pPr>
            <w:r>
              <w:rPr>
                <w:sz w:val="19"/>
              </w:rPr>
              <w:t>Derivative financial instruments</w:t>
            </w:r>
          </w:p>
        </w:tc>
        <w:tc>
          <w:tcPr>
            <w:tcW w:w="1518" w:type="dxa"/>
          </w:tcPr>
          <w:p w:rsidR="007F373F" w:rsidRDefault="00000000">
            <w:pPr>
              <w:spacing w:after="0"/>
              <w:jc w:val="right"/>
            </w:pPr>
            <w:r>
              <w:rPr>
                <w:sz w:val="19"/>
              </w:rPr>
              <w:t>21,502</w:t>
            </w:r>
          </w:p>
        </w:tc>
        <w:tc>
          <w:tcPr>
            <w:tcW w:w="1518" w:type="dxa"/>
          </w:tcPr>
          <w:p w:rsidR="007F373F" w:rsidRDefault="00000000">
            <w:pPr>
              <w:spacing w:after="0"/>
              <w:jc w:val="right"/>
            </w:pPr>
            <w:r>
              <w:rPr>
                <w:sz w:val="19"/>
              </w:rPr>
              <w:t>58</w:t>
            </w:r>
          </w:p>
        </w:tc>
        <w:tc>
          <w:tcPr>
            <w:tcW w:w="1035" w:type="dxa"/>
          </w:tcPr>
          <w:p w:rsidR="007F373F" w:rsidRDefault="00000000">
            <w:pPr>
              <w:spacing w:after="0"/>
              <w:jc w:val="right"/>
            </w:pPr>
            <w:r>
              <w:rPr>
                <w:sz w:val="19"/>
              </w:rPr>
              <w:t>1.27%</w:t>
            </w:r>
          </w:p>
        </w:tc>
        <w:tc>
          <w:tcPr>
            <w:tcW w:w="1104" w:type="dxa"/>
          </w:tcPr>
          <w:p w:rsidR="007F373F" w:rsidRDefault="00000000">
            <w:pPr>
              <w:spacing w:after="0"/>
              <w:jc w:val="right"/>
            </w:pPr>
            <w:r>
              <w:rPr>
                <w:sz w:val="19"/>
              </w:rPr>
              <w:t>0.00%</w:t>
            </w:r>
          </w:p>
        </w:tc>
      </w:tr>
      <w:tr w:rsidR="007F373F">
        <w:trPr>
          <w:jc w:val="center"/>
        </w:trPr>
        <w:tc>
          <w:tcPr>
            <w:tcW w:w="4555" w:type="dxa"/>
          </w:tcPr>
          <w:p w:rsidR="007F373F" w:rsidRDefault="00000000">
            <w:pPr>
              <w:spacing w:after="0"/>
              <w:jc w:val="left"/>
            </w:pPr>
            <w:r>
              <w:rPr>
                <w:sz w:val="19"/>
              </w:rPr>
              <w:t>Trade receivables</w:t>
            </w:r>
          </w:p>
        </w:tc>
        <w:tc>
          <w:tcPr>
            <w:tcW w:w="1518" w:type="dxa"/>
          </w:tcPr>
          <w:p w:rsidR="007F373F" w:rsidRDefault="00000000">
            <w:pPr>
              <w:spacing w:after="0"/>
              <w:jc w:val="right"/>
            </w:pPr>
            <w:r>
              <w:rPr>
                <w:sz w:val="19"/>
              </w:rPr>
              <w:t>727</w:t>
            </w:r>
          </w:p>
        </w:tc>
        <w:tc>
          <w:tcPr>
            <w:tcW w:w="1518" w:type="dxa"/>
          </w:tcPr>
          <w:p w:rsidR="007F373F" w:rsidRDefault="00000000">
            <w:pPr>
              <w:spacing w:after="0"/>
              <w:jc w:val="right"/>
            </w:pPr>
            <w:r>
              <w:rPr>
                <w:sz w:val="19"/>
              </w:rPr>
              <w:t>565</w:t>
            </w:r>
          </w:p>
        </w:tc>
        <w:tc>
          <w:tcPr>
            <w:tcW w:w="1035" w:type="dxa"/>
          </w:tcPr>
          <w:p w:rsidR="007F373F" w:rsidRDefault="00000000">
            <w:pPr>
              <w:spacing w:after="0"/>
              <w:jc w:val="right"/>
            </w:pPr>
            <w:r>
              <w:rPr>
                <w:sz w:val="19"/>
              </w:rPr>
              <w:t>0.04%</w:t>
            </w:r>
          </w:p>
        </w:tc>
        <w:tc>
          <w:tcPr>
            <w:tcW w:w="1104" w:type="dxa"/>
          </w:tcPr>
          <w:p w:rsidR="007F373F" w:rsidRDefault="00000000">
            <w:pPr>
              <w:spacing w:after="0"/>
              <w:jc w:val="right"/>
            </w:pPr>
            <w:r>
              <w:rPr>
                <w:sz w:val="19"/>
              </w:rPr>
              <w:t>0.04%</w:t>
            </w:r>
          </w:p>
        </w:tc>
      </w:tr>
      <w:tr w:rsidR="007F373F">
        <w:trPr>
          <w:jc w:val="center"/>
        </w:trPr>
        <w:tc>
          <w:tcPr>
            <w:tcW w:w="4555" w:type="dxa"/>
          </w:tcPr>
          <w:p w:rsidR="007F373F" w:rsidRDefault="00000000">
            <w:pPr>
              <w:spacing w:after="0"/>
              <w:jc w:val="left"/>
            </w:pPr>
            <w:r>
              <w:rPr>
                <w:sz w:val="19"/>
              </w:rPr>
              <w:t>Other receivables</w:t>
            </w:r>
          </w:p>
        </w:tc>
        <w:tc>
          <w:tcPr>
            <w:tcW w:w="1518" w:type="dxa"/>
          </w:tcPr>
          <w:p w:rsidR="007F373F" w:rsidRDefault="00000000">
            <w:pPr>
              <w:spacing w:after="0"/>
              <w:jc w:val="right"/>
            </w:pPr>
            <w:r>
              <w:rPr>
                <w:sz w:val="19"/>
              </w:rPr>
              <w:t>2,240</w:t>
            </w:r>
          </w:p>
        </w:tc>
        <w:tc>
          <w:tcPr>
            <w:tcW w:w="1518" w:type="dxa"/>
          </w:tcPr>
          <w:p w:rsidR="007F373F" w:rsidRDefault="00000000">
            <w:pPr>
              <w:spacing w:after="0"/>
              <w:jc w:val="right"/>
            </w:pPr>
            <w:r>
              <w:rPr>
                <w:sz w:val="19"/>
              </w:rPr>
              <w:t>1,366</w:t>
            </w:r>
          </w:p>
        </w:tc>
        <w:tc>
          <w:tcPr>
            <w:tcW w:w="1035" w:type="dxa"/>
          </w:tcPr>
          <w:p w:rsidR="007F373F" w:rsidRDefault="00000000">
            <w:pPr>
              <w:spacing w:after="0"/>
              <w:jc w:val="right"/>
            </w:pPr>
            <w:r>
              <w:rPr>
                <w:sz w:val="19"/>
              </w:rPr>
              <w:t>0.13%</w:t>
            </w:r>
          </w:p>
        </w:tc>
        <w:tc>
          <w:tcPr>
            <w:tcW w:w="1104" w:type="dxa"/>
          </w:tcPr>
          <w:p w:rsidR="007F373F" w:rsidRDefault="00000000">
            <w:pPr>
              <w:spacing w:after="0"/>
              <w:jc w:val="right"/>
            </w:pPr>
            <w:r>
              <w:rPr>
                <w:sz w:val="19"/>
              </w:rPr>
              <w:t>0.10%</w:t>
            </w:r>
          </w:p>
        </w:tc>
      </w:tr>
      <w:tr w:rsidR="007F373F">
        <w:trPr>
          <w:jc w:val="center"/>
        </w:trPr>
        <w:tc>
          <w:tcPr>
            <w:tcW w:w="4555" w:type="dxa"/>
          </w:tcPr>
          <w:p w:rsidR="007F373F" w:rsidRDefault="00000000">
            <w:pPr>
              <w:spacing w:after="0"/>
              <w:jc w:val="left"/>
            </w:pPr>
            <w:r>
              <w:rPr>
                <w:sz w:val="19"/>
              </w:rPr>
              <w:t>Loans</w:t>
            </w:r>
          </w:p>
        </w:tc>
        <w:tc>
          <w:tcPr>
            <w:tcW w:w="1518" w:type="dxa"/>
          </w:tcPr>
          <w:p w:rsidR="007F373F" w:rsidRDefault="00000000">
            <w:pPr>
              <w:spacing w:after="0"/>
              <w:jc w:val="right"/>
            </w:pPr>
            <w:r>
              <w:rPr>
                <w:sz w:val="19"/>
              </w:rPr>
              <w:t>1,431,885</w:t>
            </w:r>
          </w:p>
        </w:tc>
        <w:tc>
          <w:tcPr>
            <w:tcW w:w="1518" w:type="dxa"/>
          </w:tcPr>
          <w:p w:rsidR="007F373F" w:rsidRDefault="00000000">
            <w:pPr>
              <w:spacing w:after="0"/>
              <w:jc w:val="right"/>
            </w:pPr>
            <w:r>
              <w:rPr>
                <w:sz w:val="19"/>
              </w:rPr>
              <w:t>1,164,637</w:t>
            </w:r>
          </w:p>
        </w:tc>
        <w:tc>
          <w:tcPr>
            <w:tcW w:w="1035" w:type="dxa"/>
          </w:tcPr>
          <w:p w:rsidR="007F373F" w:rsidRDefault="00000000">
            <w:pPr>
              <w:spacing w:after="0"/>
              <w:jc w:val="right"/>
            </w:pPr>
            <w:r>
              <w:rPr>
                <w:sz w:val="19"/>
              </w:rPr>
              <w:t>84.85%</w:t>
            </w:r>
          </w:p>
        </w:tc>
        <w:tc>
          <w:tcPr>
            <w:tcW w:w="1104" w:type="dxa"/>
          </w:tcPr>
          <w:p w:rsidR="007F373F" w:rsidRDefault="00000000">
            <w:pPr>
              <w:spacing w:after="0"/>
              <w:jc w:val="right"/>
            </w:pPr>
            <w:r>
              <w:rPr>
                <w:sz w:val="19"/>
              </w:rPr>
              <w:t>87.90%</w:t>
            </w:r>
          </w:p>
        </w:tc>
      </w:tr>
      <w:tr w:rsidR="007F373F">
        <w:trPr>
          <w:jc w:val="center"/>
        </w:trPr>
        <w:tc>
          <w:tcPr>
            <w:tcW w:w="4555" w:type="dxa"/>
          </w:tcPr>
          <w:p w:rsidR="007F373F" w:rsidRDefault="00000000">
            <w:pPr>
              <w:spacing w:after="0"/>
              <w:jc w:val="left"/>
            </w:pPr>
            <w:r>
              <w:rPr>
                <w:sz w:val="19"/>
              </w:rPr>
              <w:t>Investments</w:t>
            </w:r>
          </w:p>
        </w:tc>
        <w:tc>
          <w:tcPr>
            <w:tcW w:w="1518" w:type="dxa"/>
          </w:tcPr>
          <w:p w:rsidR="007F373F" w:rsidRDefault="00000000">
            <w:pPr>
              <w:spacing w:after="0"/>
              <w:jc w:val="right"/>
            </w:pPr>
            <w:r>
              <w:rPr>
                <w:sz w:val="19"/>
              </w:rPr>
              <w:t>40,167</w:t>
            </w:r>
          </w:p>
        </w:tc>
        <w:tc>
          <w:tcPr>
            <w:tcW w:w="1518" w:type="dxa"/>
          </w:tcPr>
          <w:p w:rsidR="007F373F" w:rsidRDefault="00000000">
            <w:pPr>
              <w:spacing w:after="0"/>
              <w:jc w:val="right"/>
            </w:pPr>
            <w:r>
              <w:rPr>
                <w:sz w:val="19"/>
              </w:rPr>
              <w:t>40,419</w:t>
            </w:r>
          </w:p>
        </w:tc>
        <w:tc>
          <w:tcPr>
            <w:tcW w:w="1035" w:type="dxa"/>
          </w:tcPr>
          <w:p w:rsidR="007F373F" w:rsidRDefault="00000000">
            <w:pPr>
              <w:spacing w:after="0"/>
              <w:jc w:val="right"/>
            </w:pPr>
            <w:r>
              <w:rPr>
                <w:sz w:val="19"/>
              </w:rPr>
              <w:t>2.38%</w:t>
            </w:r>
          </w:p>
        </w:tc>
        <w:tc>
          <w:tcPr>
            <w:tcW w:w="1104" w:type="dxa"/>
          </w:tcPr>
          <w:p w:rsidR="007F373F" w:rsidRDefault="00000000">
            <w:pPr>
              <w:spacing w:after="0"/>
              <w:jc w:val="right"/>
            </w:pPr>
            <w:r>
              <w:rPr>
                <w:sz w:val="19"/>
              </w:rPr>
              <w:t>3.05%</w:t>
            </w:r>
          </w:p>
        </w:tc>
      </w:tr>
      <w:tr w:rsidR="007F373F">
        <w:trPr>
          <w:jc w:val="center"/>
        </w:trPr>
        <w:tc>
          <w:tcPr>
            <w:tcW w:w="4555" w:type="dxa"/>
          </w:tcPr>
          <w:p w:rsidR="007F373F" w:rsidRDefault="00000000">
            <w:pPr>
              <w:spacing w:after="0"/>
              <w:jc w:val="left"/>
            </w:pPr>
            <w:r>
              <w:rPr>
                <w:sz w:val="19"/>
              </w:rPr>
              <w:t>Other financial assets</w:t>
            </w:r>
          </w:p>
        </w:tc>
        <w:tc>
          <w:tcPr>
            <w:tcW w:w="1518" w:type="dxa"/>
          </w:tcPr>
          <w:p w:rsidR="007F373F" w:rsidRDefault="00000000">
            <w:pPr>
              <w:spacing w:after="0"/>
              <w:jc w:val="right"/>
            </w:pPr>
            <w:r>
              <w:rPr>
                <w:sz w:val="19"/>
              </w:rPr>
              <w:t>20,736</w:t>
            </w:r>
          </w:p>
        </w:tc>
        <w:tc>
          <w:tcPr>
            <w:tcW w:w="1518" w:type="dxa"/>
          </w:tcPr>
          <w:p w:rsidR="007F373F" w:rsidRDefault="00000000">
            <w:pPr>
              <w:spacing w:after="0"/>
              <w:jc w:val="right"/>
            </w:pPr>
            <w:r>
              <w:rPr>
                <w:sz w:val="19"/>
              </w:rPr>
              <w:t>8,671</w:t>
            </w:r>
          </w:p>
        </w:tc>
        <w:tc>
          <w:tcPr>
            <w:tcW w:w="1035" w:type="dxa"/>
          </w:tcPr>
          <w:p w:rsidR="007F373F" w:rsidRDefault="00000000">
            <w:pPr>
              <w:spacing w:after="0"/>
              <w:jc w:val="right"/>
            </w:pPr>
            <w:r>
              <w:rPr>
                <w:sz w:val="19"/>
              </w:rPr>
              <w:t>1.23%</w:t>
            </w:r>
          </w:p>
        </w:tc>
        <w:tc>
          <w:tcPr>
            <w:tcW w:w="1104" w:type="dxa"/>
          </w:tcPr>
          <w:p w:rsidR="007F373F" w:rsidRDefault="00000000">
            <w:pPr>
              <w:spacing w:after="0"/>
              <w:jc w:val="right"/>
            </w:pPr>
            <w:r>
              <w:rPr>
                <w:sz w:val="19"/>
              </w:rPr>
              <w:t>0.65%</w:t>
            </w:r>
          </w:p>
        </w:tc>
      </w:tr>
      <w:tr w:rsidR="007F373F">
        <w:trPr>
          <w:jc w:val="center"/>
        </w:trPr>
        <w:tc>
          <w:tcPr>
            <w:tcW w:w="4555" w:type="dxa"/>
          </w:tcPr>
          <w:p w:rsidR="007F373F" w:rsidRDefault="00000000">
            <w:pPr>
              <w:spacing w:after="0"/>
              <w:jc w:val="left"/>
            </w:pPr>
            <w:r>
              <w:rPr>
                <w:sz w:val="19"/>
              </w:rPr>
              <w:t>Total financial assets</w:t>
            </w:r>
          </w:p>
        </w:tc>
        <w:tc>
          <w:tcPr>
            <w:tcW w:w="1518" w:type="dxa"/>
          </w:tcPr>
          <w:p w:rsidR="007F373F" w:rsidRDefault="00000000">
            <w:pPr>
              <w:spacing w:after="0"/>
              <w:jc w:val="right"/>
            </w:pPr>
            <w:r>
              <w:rPr>
                <w:sz w:val="19"/>
              </w:rPr>
              <w:t>1,656,352</w:t>
            </w:r>
          </w:p>
        </w:tc>
        <w:tc>
          <w:tcPr>
            <w:tcW w:w="1518" w:type="dxa"/>
          </w:tcPr>
          <w:p w:rsidR="007F373F" w:rsidRDefault="00000000">
            <w:pPr>
              <w:spacing w:after="0"/>
              <w:jc w:val="right"/>
            </w:pPr>
            <w:r>
              <w:rPr>
                <w:sz w:val="19"/>
              </w:rPr>
              <w:t>1,299,185</w:t>
            </w:r>
          </w:p>
        </w:tc>
        <w:tc>
          <w:tcPr>
            <w:tcW w:w="1035" w:type="dxa"/>
          </w:tcPr>
          <w:p w:rsidR="007F373F" w:rsidRDefault="00000000">
            <w:pPr>
              <w:spacing w:after="0"/>
              <w:jc w:val="right"/>
            </w:pPr>
            <w:r>
              <w:rPr>
                <w:sz w:val="19"/>
              </w:rPr>
              <w:t>98.16%</w:t>
            </w:r>
          </w:p>
        </w:tc>
        <w:tc>
          <w:tcPr>
            <w:tcW w:w="1104" w:type="dxa"/>
          </w:tcPr>
          <w:p w:rsidR="007F373F" w:rsidRDefault="00000000">
            <w:pPr>
              <w:spacing w:after="0"/>
              <w:jc w:val="right"/>
            </w:pPr>
            <w:r>
              <w:rPr>
                <w:sz w:val="19"/>
              </w:rPr>
              <w:t>98.05%</w:t>
            </w:r>
          </w:p>
        </w:tc>
      </w:tr>
      <w:tr w:rsidR="007F373F">
        <w:trPr>
          <w:jc w:val="center"/>
        </w:trPr>
        <w:tc>
          <w:tcPr>
            <w:tcW w:w="4555" w:type="dxa"/>
          </w:tcPr>
          <w:p w:rsidR="007F373F" w:rsidRDefault="00000000">
            <w:pPr>
              <w:spacing w:after="0"/>
              <w:jc w:val="left"/>
            </w:pPr>
            <w:r>
              <w:rPr>
                <w:sz w:val="19"/>
              </w:rPr>
              <w:t>Current tax assets (net)</w:t>
            </w:r>
          </w:p>
        </w:tc>
        <w:tc>
          <w:tcPr>
            <w:tcW w:w="1518" w:type="dxa"/>
          </w:tcPr>
          <w:p w:rsidR="007F373F" w:rsidRDefault="00000000">
            <w:pPr>
              <w:spacing w:after="0"/>
              <w:jc w:val="right"/>
            </w:pPr>
            <w:r>
              <w:rPr>
                <w:sz w:val="19"/>
              </w:rPr>
              <w:t>199</w:t>
            </w:r>
          </w:p>
        </w:tc>
        <w:tc>
          <w:tcPr>
            <w:tcW w:w="1518" w:type="dxa"/>
          </w:tcPr>
          <w:p w:rsidR="007F373F" w:rsidRDefault="00000000">
            <w:pPr>
              <w:spacing w:after="0"/>
              <w:jc w:val="right"/>
            </w:pPr>
            <w:r>
              <w:rPr>
                <w:sz w:val="19"/>
              </w:rPr>
              <w:t>0</w:t>
            </w:r>
          </w:p>
        </w:tc>
        <w:tc>
          <w:tcPr>
            <w:tcW w:w="1035" w:type="dxa"/>
          </w:tcPr>
          <w:p w:rsidR="007F373F" w:rsidRDefault="00000000">
            <w:pPr>
              <w:spacing w:after="0"/>
              <w:jc w:val="right"/>
            </w:pPr>
            <w:r>
              <w:rPr>
                <w:sz w:val="19"/>
              </w:rPr>
              <w:t>0.01%</w:t>
            </w:r>
          </w:p>
        </w:tc>
        <w:tc>
          <w:tcPr>
            <w:tcW w:w="1104" w:type="dxa"/>
          </w:tcPr>
          <w:p w:rsidR="007F373F" w:rsidRDefault="00000000">
            <w:pPr>
              <w:spacing w:after="0"/>
              <w:jc w:val="right"/>
            </w:pPr>
            <w:r>
              <w:rPr>
                <w:sz w:val="19"/>
              </w:rPr>
              <w:t>0.00%</w:t>
            </w:r>
          </w:p>
        </w:tc>
      </w:tr>
      <w:tr w:rsidR="007F373F">
        <w:trPr>
          <w:jc w:val="center"/>
        </w:trPr>
        <w:tc>
          <w:tcPr>
            <w:tcW w:w="4555" w:type="dxa"/>
          </w:tcPr>
          <w:p w:rsidR="007F373F" w:rsidRDefault="00000000">
            <w:pPr>
              <w:spacing w:after="0"/>
              <w:jc w:val="left"/>
            </w:pPr>
            <w:r>
              <w:rPr>
                <w:sz w:val="19"/>
              </w:rPr>
              <w:t>Deferred tax assets (net)</w:t>
            </w:r>
          </w:p>
        </w:tc>
        <w:tc>
          <w:tcPr>
            <w:tcW w:w="1518" w:type="dxa"/>
          </w:tcPr>
          <w:p w:rsidR="007F373F" w:rsidRDefault="00000000">
            <w:pPr>
              <w:spacing w:after="0"/>
              <w:jc w:val="right"/>
            </w:pPr>
            <w:r>
              <w:rPr>
                <w:sz w:val="19"/>
              </w:rPr>
              <w:t>938</w:t>
            </w:r>
          </w:p>
        </w:tc>
        <w:tc>
          <w:tcPr>
            <w:tcW w:w="1518" w:type="dxa"/>
          </w:tcPr>
          <w:p w:rsidR="007F373F" w:rsidRDefault="00000000">
            <w:pPr>
              <w:spacing w:after="0"/>
              <w:jc w:val="right"/>
            </w:pPr>
            <w:r>
              <w:rPr>
                <w:sz w:val="19"/>
              </w:rPr>
              <w:t>1,070</w:t>
            </w:r>
          </w:p>
        </w:tc>
        <w:tc>
          <w:tcPr>
            <w:tcW w:w="1035" w:type="dxa"/>
          </w:tcPr>
          <w:p w:rsidR="007F373F" w:rsidRDefault="00000000">
            <w:pPr>
              <w:spacing w:after="0"/>
              <w:jc w:val="right"/>
            </w:pPr>
            <w:r>
              <w:rPr>
                <w:sz w:val="19"/>
              </w:rPr>
              <w:t>0.06%</w:t>
            </w:r>
          </w:p>
        </w:tc>
        <w:tc>
          <w:tcPr>
            <w:tcW w:w="1104" w:type="dxa"/>
          </w:tcPr>
          <w:p w:rsidR="007F373F" w:rsidRDefault="00000000">
            <w:pPr>
              <w:spacing w:after="0"/>
              <w:jc w:val="right"/>
            </w:pPr>
            <w:r>
              <w:rPr>
                <w:sz w:val="19"/>
              </w:rPr>
              <w:t>0.08%</w:t>
            </w:r>
          </w:p>
        </w:tc>
      </w:tr>
      <w:tr w:rsidR="007F373F">
        <w:trPr>
          <w:jc w:val="center"/>
        </w:trPr>
        <w:tc>
          <w:tcPr>
            <w:tcW w:w="4555" w:type="dxa"/>
          </w:tcPr>
          <w:p w:rsidR="007F373F" w:rsidRDefault="00000000">
            <w:pPr>
              <w:spacing w:after="0"/>
              <w:jc w:val="left"/>
            </w:pPr>
            <w:r>
              <w:rPr>
                <w:sz w:val="19"/>
              </w:rPr>
              <w:t>Property, plant and equipment</w:t>
            </w:r>
          </w:p>
        </w:tc>
        <w:tc>
          <w:tcPr>
            <w:tcW w:w="1518" w:type="dxa"/>
          </w:tcPr>
          <w:p w:rsidR="007F373F" w:rsidRDefault="00000000">
            <w:pPr>
              <w:spacing w:after="0"/>
              <w:jc w:val="right"/>
            </w:pPr>
            <w:r>
              <w:rPr>
                <w:sz w:val="19"/>
              </w:rPr>
              <w:t>4,179</w:t>
            </w:r>
          </w:p>
        </w:tc>
        <w:tc>
          <w:tcPr>
            <w:tcW w:w="1518" w:type="dxa"/>
          </w:tcPr>
          <w:p w:rsidR="007F373F" w:rsidRDefault="00000000">
            <w:pPr>
              <w:spacing w:after="0"/>
              <w:jc w:val="right"/>
            </w:pPr>
            <w:r>
              <w:rPr>
                <w:sz w:val="19"/>
              </w:rPr>
              <w:t>3,191</w:t>
            </w:r>
          </w:p>
        </w:tc>
        <w:tc>
          <w:tcPr>
            <w:tcW w:w="1035" w:type="dxa"/>
          </w:tcPr>
          <w:p w:rsidR="007F373F" w:rsidRDefault="00000000">
            <w:pPr>
              <w:spacing w:after="0"/>
              <w:jc w:val="right"/>
            </w:pPr>
            <w:r>
              <w:rPr>
                <w:sz w:val="19"/>
              </w:rPr>
              <w:t>0.25%</w:t>
            </w:r>
          </w:p>
        </w:tc>
        <w:tc>
          <w:tcPr>
            <w:tcW w:w="1104" w:type="dxa"/>
          </w:tcPr>
          <w:p w:rsidR="007F373F" w:rsidRDefault="00000000">
            <w:pPr>
              <w:spacing w:after="0"/>
              <w:jc w:val="right"/>
            </w:pPr>
            <w:r>
              <w:rPr>
                <w:sz w:val="19"/>
              </w:rPr>
              <w:t>0.24%</w:t>
            </w:r>
          </w:p>
        </w:tc>
      </w:tr>
      <w:tr w:rsidR="007F373F">
        <w:trPr>
          <w:jc w:val="center"/>
        </w:trPr>
        <w:tc>
          <w:tcPr>
            <w:tcW w:w="4555" w:type="dxa"/>
          </w:tcPr>
          <w:p w:rsidR="007F373F" w:rsidRDefault="00000000">
            <w:pPr>
              <w:spacing w:after="0"/>
              <w:jc w:val="left"/>
            </w:pPr>
            <w:r>
              <w:rPr>
                <w:sz w:val="19"/>
              </w:rPr>
              <w:t>Right-of-use assets</w:t>
            </w:r>
          </w:p>
        </w:tc>
        <w:tc>
          <w:tcPr>
            <w:tcW w:w="1518" w:type="dxa"/>
          </w:tcPr>
          <w:p w:rsidR="007F373F" w:rsidRDefault="00000000">
            <w:pPr>
              <w:spacing w:after="0"/>
              <w:jc w:val="right"/>
            </w:pPr>
            <w:r>
              <w:rPr>
                <w:sz w:val="19"/>
              </w:rPr>
              <w:t>17,433</w:t>
            </w:r>
          </w:p>
        </w:tc>
        <w:tc>
          <w:tcPr>
            <w:tcW w:w="1518" w:type="dxa"/>
          </w:tcPr>
          <w:p w:rsidR="007F373F" w:rsidRDefault="00000000">
            <w:pPr>
              <w:spacing w:after="0"/>
              <w:jc w:val="right"/>
            </w:pPr>
            <w:r>
              <w:rPr>
                <w:sz w:val="19"/>
              </w:rPr>
              <w:t>15,395</w:t>
            </w:r>
          </w:p>
        </w:tc>
        <w:tc>
          <w:tcPr>
            <w:tcW w:w="1035" w:type="dxa"/>
          </w:tcPr>
          <w:p w:rsidR="007F373F" w:rsidRDefault="00000000">
            <w:pPr>
              <w:spacing w:after="0"/>
              <w:jc w:val="right"/>
            </w:pPr>
            <w:r>
              <w:rPr>
                <w:sz w:val="19"/>
              </w:rPr>
              <w:t>1.03%</w:t>
            </w:r>
          </w:p>
        </w:tc>
        <w:tc>
          <w:tcPr>
            <w:tcW w:w="1104" w:type="dxa"/>
          </w:tcPr>
          <w:p w:rsidR="007F373F" w:rsidRDefault="00000000">
            <w:pPr>
              <w:spacing w:after="0"/>
              <w:jc w:val="right"/>
            </w:pPr>
            <w:r>
              <w:rPr>
                <w:sz w:val="19"/>
              </w:rPr>
              <w:t>1.16%</w:t>
            </w:r>
          </w:p>
        </w:tc>
      </w:tr>
      <w:tr w:rsidR="007F373F">
        <w:trPr>
          <w:jc w:val="center"/>
        </w:trPr>
        <w:tc>
          <w:tcPr>
            <w:tcW w:w="4555" w:type="dxa"/>
          </w:tcPr>
          <w:p w:rsidR="007F373F" w:rsidRDefault="00000000">
            <w:pPr>
              <w:spacing w:after="0"/>
              <w:jc w:val="left"/>
            </w:pPr>
            <w:r>
              <w:rPr>
                <w:sz w:val="19"/>
              </w:rPr>
              <w:t>Capital work-in-progress</w:t>
            </w:r>
          </w:p>
        </w:tc>
        <w:tc>
          <w:tcPr>
            <w:tcW w:w="1518" w:type="dxa"/>
          </w:tcPr>
          <w:p w:rsidR="007F373F" w:rsidRDefault="00000000">
            <w:pPr>
              <w:spacing w:after="0"/>
              <w:jc w:val="right"/>
            </w:pPr>
            <w:r>
              <w:rPr>
                <w:sz w:val="19"/>
              </w:rPr>
              <w:t>177</w:t>
            </w:r>
          </w:p>
        </w:tc>
        <w:tc>
          <w:tcPr>
            <w:tcW w:w="1518" w:type="dxa"/>
          </w:tcPr>
          <w:p w:rsidR="007F373F" w:rsidRDefault="00000000">
            <w:pPr>
              <w:spacing w:after="0"/>
              <w:jc w:val="right"/>
            </w:pPr>
            <w:r>
              <w:rPr>
                <w:sz w:val="19"/>
              </w:rPr>
              <w:t>28</w:t>
            </w:r>
          </w:p>
        </w:tc>
        <w:tc>
          <w:tcPr>
            <w:tcW w:w="1035" w:type="dxa"/>
          </w:tcPr>
          <w:p w:rsidR="007F373F" w:rsidRDefault="00000000">
            <w:pPr>
              <w:spacing w:after="0"/>
              <w:jc w:val="right"/>
            </w:pPr>
            <w:r>
              <w:rPr>
                <w:sz w:val="19"/>
              </w:rPr>
              <w:t>0.01%</w:t>
            </w:r>
          </w:p>
        </w:tc>
        <w:tc>
          <w:tcPr>
            <w:tcW w:w="1104" w:type="dxa"/>
          </w:tcPr>
          <w:p w:rsidR="007F373F" w:rsidRDefault="00000000">
            <w:pPr>
              <w:spacing w:after="0"/>
              <w:jc w:val="right"/>
            </w:pPr>
            <w:r>
              <w:rPr>
                <w:sz w:val="19"/>
              </w:rPr>
              <w:t>0.00%</w:t>
            </w:r>
          </w:p>
        </w:tc>
      </w:tr>
      <w:tr w:rsidR="007F373F">
        <w:trPr>
          <w:jc w:val="center"/>
        </w:trPr>
        <w:tc>
          <w:tcPr>
            <w:tcW w:w="4555" w:type="dxa"/>
          </w:tcPr>
          <w:p w:rsidR="007F373F" w:rsidRDefault="00000000">
            <w:pPr>
              <w:spacing w:after="0"/>
              <w:jc w:val="left"/>
            </w:pPr>
            <w:r>
              <w:rPr>
                <w:sz w:val="19"/>
              </w:rPr>
              <w:t>Intangible assets under development</w:t>
            </w:r>
          </w:p>
        </w:tc>
        <w:tc>
          <w:tcPr>
            <w:tcW w:w="1518" w:type="dxa"/>
          </w:tcPr>
          <w:p w:rsidR="007F373F" w:rsidRDefault="00000000">
            <w:pPr>
              <w:spacing w:after="0"/>
              <w:jc w:val="right"/>
            </w:pPr>
            <w:r>
              <w:rPr>
                <w:sz w:val="19"/>
              </w:rPr>
              <w:t>27</w:t>
            </w:r>
          </w:p>
        </w:tc>
        <w:tc>
          <w:tcPr>
            <w:tcW w:w="1518" w:type="dxa"/>
          </w:tcPr>
          <w:p w:rsidR="007F373F" w:rsidRDefault="00000000">
            <w:pPr>
              <w:spacing w:after="0"/>
              <w:jc w:val="right"/>
            </w:pPr>
            <w:r>
              <w:rPr>
                <w:sz w:val="19"/>
              </w:rPr>
              <w:t>64</w:t>
            </w:r>
          </w:p>
        </w:tc>
        <w:tc>
          <w:tcPr>
            <w:tcW w:w="1035" w:type="dxa"/>
          </w:tcPr>
          <w:p w:rsidR="007F373F" w:rsidRDefault="00000000">
            <w:pPr>
              <w:spacing w:after="0"/>
              <w:jc w:val="right"/>
            </w:pPr>
            <w:r>
              <w:rPr>
                <w:sz w:val="19"/>
              </w:rPr>
              <w:t>0.00%</w:t>
            </w:r>
          </w:p>
        </w:tc>
        <w:tc>
          <w:tcPr>
            <w:tcW w:w="1104" w:type="dxa"/>
          </w:tcPr>
          <w:p w:rsidR="007F373F" w:rsidRDefault="00000000">
            <w:pPr>
              <w:spacing w:after="0"/>
              <w:jc w:val="right"/>
            </w:pPr>
            <w:r>
              <w:rPr>
                <w:sz w:val="19"/>
              </w:rPr>
              <w:t>0.00%</w:t>
            </w:r>
          </w:p>
        </w:tc>
      </w:tr>
      <w:tr w:rsidR="007F373F">
        <w:trPr>
          <w:jc w:val="center"/>
        </w:trPr>
        <w:tc>
          <w:tcPr>
            <w:tcW w:w="4555" w:type="dxa"/>
          </w:tcPr>
          <w:p w:rsidR="007F373F" w:rsidRDefault="00000000">
            <w:pPr>
              <w:spacing w:after="0"/>
              <w:jc w:val="left"/>
            </w:pPr>
            <w:r>
              <w:rPr>
                <w:sz w:val="19"/>
              </w:rPr>
              <w:t>Other intangible assets</w:t>
            </w:r>
          </w:p>
        </w:tc>
        <w:tc>
          <w:tcPr>
            <w:tcW w:w="1518" w:type="dxa"/>
          </w:tcPr>
          <w:p w:rsidR="007F373F" w:rsidRDefault="00000000">
            <w:pPr>
              <w:spacing w:after="0"/>
              <w:jc w:val="right"/>
            </w:pPr>
            <w:r>
              <w:rPr>
                <w:sz w:val="19"/>
              </w:rPr>
              <w:t>362</w:t>
            </w:r>
          </w:p>
        </w:tc>
        <w:tc>
          <w:tcPr>
            <w:tcW w:w="1518" w:type="dxa"/>
          </w:tcPr>
          <w:p w:rsidR="007F373F" w:rsidRDefault="00000000">
            <w:pPr>
              <w:spacing w:after="0"/>
              <w:jc w:val="right"/>
            </w:pPr>
            <w:r>
              <w:rPr>
                <w:sz w:val="19"/>
              </w:rPr>
              <w:t>292</w:t>
            </w:r>
          </w:p>
        </w:tc>
        <w:tc>
          <w:tcPr>
            <w:tcW w:w="1035" w:type="dxa"/>
          </w:tcPr>
          <w:p w:rsidR="007F373F" w:rsidRDefault="00000000">
            <w:pPr>
              <w:spacing w:after="0"/>
              <w:jc w:val="right"/>
            </w:pPr>
            <w:r>
              <w:rPr>
                <w:sz w:val="19"/>
              </w:rPr>
              <w:t>0.02%</w:t>
            </w:r>
          </w:p>
        </w:tc>
        <w:tc>
          <w:tcPr>
            <w:tcW w:w="1104" w:type="dxa"/>
          </w:tcPr>
          <w:p w:rsidR="007F373F" w:rsidRDefault="00000000">
            <w:pPr>
              <w:spacing w:after="0"/>
              <w:jc w:val="right"/>
            </w:pPr>
            <w:r>
              <w:rPr>
                <w:sz w:val="19"/>
              </w:rPr>
              <w:t>0.02%</w:t>
            </w:r>
          </w:p>
        </w:tc>
      </w:tr>
      <w:tr w:rsidR="007F373F">
        <w:trPr>
          <w:jc w:val="center"/>
        </w:trPr>
        <w:tc>
          <w:tcPr>
            <w:tcW w:w="4555" w:type="dxa"/>
          </w:tcPr>
          <w:p w:rsidR="007F373F" w:rsidRDefault="00000000">
            <w:pPr>
              <w:spacing w:after="0"/>
              <w:jc w:val="left"/>
            </w:pPr>
            <w:r>
              <w:rPr>
                <w:sz w:val="19"/>
              </w:rPr>
              <w:t>Other non-financial assets</w:t>
            </w:r>
          </w:p>
        </w:tc>
        <w:tc>
          <w:tcPr>
            <w:tcW w:w="1518" w:type="dxa"/>
          </w:tcPr>
          <w:p w:rsidR="007F373F" w:rsidRDefault="00000000">
            <w:pPr>
              <w:spacing w:after="0"/>
              <w:jc w:val="right"/>
            </w:pPr>
            <w:r>
              <w:rPr>
                <w:sz w:val="19"/>
              </w:rPr>
              <w:t>7,811</w:t>
            </w:r>
          </w:p>
        </w:tc>
        <w:tc>
          <w:tcPr>
            <w:tcW w:w="1518" w:type="dxa"/>
          </w:tcPr>
          <w:p w:rsidR="007F373F" w:rsidRDefault="00000000">
            <w:pPr>
              <w:spacing w:after="0"/>
              <w:jc w:val="right"/>
            </w:pPr>
            <w:r>
              <w:rPr>
                <w:sz w:val="19"/>
              </w:rPr>
              <w:t>5,745</w:t>
            </w:r>
          </w:p>
        </w:tc>
        <w:tc>
          <w:tcPr>
            <w:tcW w:w="1035" w:type="dxa"/>
          </w:tcPr>
          <w:p w:rsidR="007F373F" w:rsidRDefault="00000000">
            <w:pPr>
              <w:spacing w:after="0"/>
              <w:jc w:val="right"/>
            </w:pPr>
            <w:r>
              <w:rPr>
                <w:sz w:val="19"/>
              </w:rPr>
              <w:t>0.46%</w:t>
            </w:r>
          </w:p>
        </w:tc>
        <w:tc>
          <w:tcPr>
            <w:tcW w:w="1104" w:type="dxa"/>
          </w:tcPr>
          <w:p w:rsidR="007F373F" w:rsidRDefault="00000000">
            <w:pPr>
              <w:spacing w:after="0"/>
              <w:jc w:val="right"/>
            </w:pPr>
            <w:r>
              <w:rPr>
                <w:sz w:val="19"/>
              </w:rPr>
              <w:t>0.43%</w:t>
            </w:r>
          </w:p>
        </w:tc>
      </w:tr>
      <w:tr w:rsidR="007F373F">
        <w:trPr>
          <w:jc w:val="center"/>
        </w:trPr>
        <w:tc>
          <w:tcPr>
            <w:tcW w:w="4555" w:type="dxa"/>
          </w:tcPr>
          <w:p w:rsidR="007F373F" w:rsidRDefault="00000000">
            <w:pPr>
              <w:spacing w:after="0"/>
              <w:jc w:val="left"/>
            </w:pPr>
            <w:r>
              <w:rPr>
                <w:sz w:val="19"/>
              </w:rPr>
              <w:t>Total non-financial assets</w:t>
            </w:r>
          </w:p>
        </w:tc>
        <w:tc>
          <w:tcPr>
            <w:tcW w:w="1518" w:type="dxa"/>
          </w:tcPr>
          <w:p w:rsidR="007F373F" w:rsidRDefault="00000000">
            <w:pPr>
              <w:spacing w:after="0"/>
              <w:jc w:val="right"/>
            </w:pPr>
            <w:r>
              <w:rPr>
                <w:sz w:val="19"/>
              </w:rPr>
              <w:t>31,126</w:t>
            </w:r>
          </w:p>
        </w:tc>
        <w:tc>
          <w:tcPr>
            <w:tcW w:w="1518" w:type="dxa"/>
          </w:tcPr>
          <w:p w:rsidR="007F373F" w:rsidRDefault="00000000">
            <w:pPr>
              <w:spacing w:after="0"/>
              <w:jc w:val="right"/>
            </w:pPr>
            <w:r>
              <w:rPr>
                <w:sz w:val="19"/>
              </w:rPr>
              <w:t>25,785</w:t>
            </w:r>
          </w:p>
        </w:tc>
        <w:tc>
          <w:tcPr>
            <w:tcW w:w="1035" w:type="dxa"/>
          </w:tcPr>
          <w:p w:rsidR="007F373F" w:rsidRDefault="00000000">
            <w:pPr>
              <w:spacing w:after="0"/>
              <w:jc w:val="right"/>
            </w:pPr>
            <w:r>
              <w:rPr>
                <w:sz w:val="19"/>
              </w:rPr>
              <w:t>1.84%</w:t>
            </w:r>
          </w:p>
        </w:tc>
        <w:tc>
          <w:tcPr>
            <w:tcW w:w="1104" w:type="dxa"/>
          </w:tcPr>
          <w:p w:rsidR="007F373F" w:rsidRDefault="00000000">
            <w:pPr>
              <w:spacing w:after="0"/>
              <w:jc w:val="right"/>
            </w:pPr>
            <w:r>
              <w:rPr>
                <w:sz w:val="19"/>
              </w:rPr>
              <w:t>1.95%</w:t>
            </w:r>
          </w:p>
        </w:tc>
      </w:tr>
      <w:tr w:rsidR="007F373F">
        <w:trPr>
          <w:jc w:val="center"/>
        </w:trPr>
        <w:tc>
          <w:tcPr>
            <w:tcW w:w="4555" w:type="dxa"/>
          </w:tcPr>
          <w:p w:rsidR="007F373F" w:rsidRDefault="00000000">
            <w:pPr>
              <w:spacing w:after="0"/>
              <w:jc w:val="left"/>
            </w:pPr>
            <w:r>
              <w:rPr>
                <w:sz w:val="19"/>
              </w:rPr>
              <w:t>TOTAL ASSETS</w:t>
            </w:r>
          </w:p>
        </w:tc>
        <w:tc>
          <w:tcPr>
            <w:tcW w:w="1518" w:type="dxa"/>
          </w:tcPr>
          <w:p w:rsidR="007F373F" w:rsidRDefault="00000000">
            <w:pPr>
              <w:spacing w:after="0"/>
              <w:jc w:val="right"/>
            </w:pPr>
            <w:r>
              <w:rPr>
                <w:sz w:val="19"/>
              </w:rPr>
              <w:t>1,687,478</w:t>
            </w:r>
          </w:p>
        </w:tc>
        <w:tc>
          <w:tcPr>
            <w:tcW w:w="1518" w:type="dxa"/>
          </w:tcPr>
          <w:p w:rsidR="007F373F" w:rsidRDefault="00000000">
            <w:pPr>
              <w:spacing w:after="0"/>
              <w:jc w:val="right"/>
            </w:pPr>
            <w:r>
              <w:rPr>
                <w:sz w:val="19"/>
              </w:rPr>
              <w:t>1,324,970</w:t>
            </w:r>
          </w:p>
        </w:tc>
        <w:tc>
          <w:tcPr>
            <w:tcW w:w="1035" w:type="dxa"/>
          </w:tcPr>
          <w:p w:rsidR="007F373F" w:rsidRDefault="00000000">
            <w:pPr>
              <w:spacing w:after="0"/>
              <w:jc w:val="right"/>
            </w:pPr>
            <w:r>
              <w:rPr>
                <w:sz w:val="19"/>
              </w:rPr>
              <w:t>100.00%</w:t>
            </w:r>
          </w:p>
        </w:tc>
        <w:tc>
          <w:tcPr>
            <w:tcW w:w="1104" w:type="dxa"/>
          </w:tcPr>
          <w:p w:rsidR="007F373F" w:rsidRDefault="00000000">
            <w:pPr>
              <w:spacing w:after="0"/>
              <w:jc w:val="right"/>
            </w:pPr>
            <w:r>
              <w:rPr>
                <w:sz w:val="19"/>
              </w:rPr>
              <w:t>100.00%</w:t>
            </w:r>
          </w:p>
        </w:tc>
      </w:tr>
    </w:tbl>
    <w:p w:rsidR="007F373F" w:rsidRDefault="007F373F">
      <w:pPr>
        <w:spacing w:after="40"/>
      </w:pP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555"/>
        <w:gridCol w:w="1518"/>
        <w:gridCol w:w="1518"/>
        <w:gridCol w:w="1035"/>
        <w:gridCol w:w="1104"/>
      </w:tblGrid>
      <w:tr w:rsidR="007F373F">
        <w:trPr>
          <w:jc w:val="center"/>
        </w:trPr>
        <w:tc>
          <w:tcPr>
            <w:tcW w:w="4555" w:type="dxa"/>
          </w:tcPr>
          <w:p w:rsidR="007F373F" w:rsidRDefault="00000000">
            <w:pPr>
              <w:spacing w:after="0"/>
              <w:jc w:val="left"/>
            </w:pPr>
            <w:r>
              <w:rPr>
                <w:b/>
                <w:sz w:val="19"/>
              </w:rPr>
              <w:t>LIABILITIES AND EQUITY</w:t>
            </w:r>
          </w:p>
        </w:tc>
        <w:tc>
          <w:tcPr>
            <w:tcW w:w="1518" w:type="dxa"/>
          </w:tcPr>
          <w:p w:rsidR="007F373F" w:rsidRDefault="00000000">
            <w:pPr>
              <w:spacing w:after="0"/>
              <w:jc w:val="left"/>
            </w:pPr>
            <w:r>
              <w:rPr>
                <w:b/>
                <w:sz w:val="19"/>
              </w:rPr>
              <w:t>31 March 2026</w:t>
            </w:r>
          </w:p>
        </w:tc>
        <w:tc>
          <w:tcPr>
            <w:tcW w:w="1518" w:type="dxa"/>
          </w:tcPr>
          <w:p w:rsidR="007F373F" w:rsidRDefault="00000000">
            <w:pPr>
              <w:spacing w:after="0"/>
              <w:jc w:val="left"/>
            </w:pPr>
            <w:r>
              <w:rPr>
                <w:b/>
                <w:sz w:val="19"/>
              </w:rPr>
              <w:t>31 March 2025</w:t>
            </w:r>
          </w:p>
        </w:tc>
        <w:tc>
          <w:tcPr>
            <w:tcW w:w="1035" w:type="dxa"/>
          </w:tcPr>
          <w:p w:rsidR="007F373F" w:rsidRDefault="00000000">
            <w:pPr>
              <w:spacing w:after="0"/>
              <w:jc w:val="left"/>
            </w:pPr>
            <w:r>
              <w:rPr>
                <w:b/>
                <w:sz w:val="19"/>
              </w:rPr>
              <w:t>% FY26</w:t>
            </w:r>
          </w:p>
        </w:tc>
        <w:tc>
          <w:tcPr>
            <w:tcW w:w="1104" w:type="dxa"/>
          </w:tcPr>
          <w:p w:rsidR="007F373F" w:rsidRDefault="00000000">
            <w:pPr>
              <w:spacing w:after="0"/>
              <w:jc w:val="left"/>
            </w:pPr>
            <w:r>
              <w:rPr>
                <w:b/>
                <w:sz w:val="19"/>
              </w:rPr>
              <w:t>% FY25</w:t>
            </w:r>
          </w:p>
        </w:tc>
      </w:tr>
      <w:tr w:rsidR="007F373F">
        <w:trPr>
          <w:jc w:val="center"/>
        </w:trPr>
        <w:tc>
          <w:tcPr>
            <w:tcW w:w="4555" w:type="dxa"/>
          </w:tcPr>
          <w:p w:rsidR="007F373F" w:rsidRDefault="00000000">
            <w:pPr>
              <w:spacing w:after="0"/>
              <w:jc w:val="left"/>
            </w:pPr>
            <w:r>
              <w:rPr>
                <w:sz w:val="19"/>
              </w:rPr>
              <w:t>Derivative financial instruments</w:t>
            </w:r>
          </w:p>
        </w:tc>
        <w:tc>
          <w:tcPr>
            <w:tcW w:w="1518" w:type="dxa"/>
          </w:tcPr>
          <w:p w:rsidR="007F373F" w:rsidRDefault="00000000">
            <w:pPr>
              <w:spacing w:after="0"/>
              <w:jc w:val="right"/>
            </w:pPr>
            <w:r>
              <w:rPr>
                <w:sz w:val="19"/>
              </w:rPr>
              <w:t>0</w:t>
            </w:r>
          </w:p>
        </w:tc>
        <w:tc>
          <w:tcPr>
            <w:tcW w:w="1518" w:type="dxa"/>
          </w:tcPr>
          <w:p w:rsidR="007F373F" w:rsidRDefault="00000000">
            <w:pPr>
              <w:spacing w:after="0"/>
              <w:jc w:val="right"/>
            </w:pPr>
            <w:r>
              <w:rPr>
                <w:sz w:val="19"/>
              </w:rPr>
              <w:t>123</w:t>
            </w:r>
          </w:p>
        </w:tc>
        <w:tc>
          <w:tcPr>
            <w:tcW w:w="1035" w:type="dxa"/>
          </w:tcPr>
          <w:p w:rsidR="007F373F" w:rsidRDefault="00000000">
            <w:pPr>
              <w:spacing w:after="0"/>
              <w:jc w:val="right"/>
            </w:pPr>
            <w:r>
              <w:rPr>
                <w:sz w:val="19"/>
              </w:rPr>
              <w:t>0.00%</w:t>
            </w:r>
          </w:p>
        </w:tc>
        <w:tc>
          <w:tcPr>
            <w:tcW w:w="1104" w:type="dxa"/>
          </w:tcPr>
          <w:p w:rsidR="007F373F" w:rsidRDefault="00000000">
            <w:pPr>
              <w:spacing w:after="0"/>
              <w:jc w:val="right"/>
            </w:pPr>
            <w:r>
              <w:rPr>
                <w:sz w:val="19"/>
              </w:rPr>
              <w:t>0.01%</w:t>
            </w:r>
          </w:p>
        </w:tc>
      </w:tr>
      <w:tr w:rsidR="007F373F">
        <w:trPr>
          <w:jc w:val="center"/>
        </w:trPr>
        <w:tc>
          <w:tcPr>
            <w:tcW w:w="4555" w:type="dxa"/>
          </w:tcPr>
          <w:p w:rsidR="007F373F" w:rsidRDefault="00000000">
            <w:pPr>
              <w:spacing w:after="0"/>
              <w:jc w:val="left"/>
            </w:pPr>
            <w:r>
              <w:rPr>
                <w:sz w:val="19"/>
              </w:rPr>
              <w:t>Trade payables</w:t>
            </w:r>
          </w:p>
        </w:tc>
        <w:tc>
          <w:tcPr>
            <w:tcW w:w="1518" w:type="dxa"/>
          </w:tcPr>
          <w:p w:rsidR="007F373F" w:rsidRDefault="00000000">
            <w:pPr>
              <w:spacing w:after="0"/>
              <w:jc w:val="right"/>
            </w:pPr>
            <w:r>
              <w:rPr>
                <w:sz w:val="19"/>
              </w:rPr>
              <w:t>910</w:t>
            </w:r>
          </w:p>
        </w:tc>
        <w:tc>
          <w:tcPr>
            <w:tcW w:w="1518" w:type="dxa"/>
          </w:tcPr>
          <w:p w:rsidR="007F373F" w:rsidRDefault="00000000">
            <w:pPr>
              <w:spacing w:after="0"/>
              <w:jc w:val="right"/>
            </w:pPr>
            <w:r>
              <w:rPr>
                <w:sz w:val="19"/>
              </w:rPr>
              <w:t>873</w:t>
            </w:r>
          </w:p>
        </w:tc>
        <w:tc>
          <w:tcPr>
            <w:tcW w:w="1035" w:type="dxa"/>
          </w:tcPr>
          <w:p w:rsidR="007F373F" w:rsidRDefault="00000000">
            <w:pPr>
              <w:spacing w:after="0"/>
              <w:jc w:val="right"/>
            </w:pPr>
            <w:r>
              <w:rPr>
                <w:sz w:val="19"/>
              </w:rPr>
              <w:t>0.05%</w:t>
            </w:r>
          </w:p>
        </w:tc>
        <w:tc>
          <w:tcPr>
            <w:tcW w:w="1104" w:type="dxa"/>
          </w:tcPr>
          <w:p w:rsidR="007F373F" w:rsidRDefault="00000000">
            <w:pPr>
              <w:spacing w:after="0"/>
              <w:jc w:val="right"/>
            </w:pPr>
            <w:r>
              <w:rPr>
                <w:sz w:val="19"/>
              </w:rPr>
              <w:t>0.07%</w:t>
            </w:r>
          </w:p>
        </w:tc>
      </w:tr>
      <w:tr w:rsidR="007F373F">
        <w:trPr>
          <w:jc w:val="center"/>
        </w:trPr>
        <w:tc>
          <w:tcPr>
            <w:tcW w:w="4555" w:type="dxa"/>
          </w:tcPr>
          <w:p w:rsidR="007F373F" w:rsidRDefault="00000000">
            <w:pPr>
              <w:spacing w:after="0"/>
              <w:jc w:val="left"/>
            </w:pPr>
            <w:r>
              <w:rPr>
                <w:sz w:val="19"/>
              </w:rPr>
              <w:t>Other payables</w:t>
            </w:r>
          </w:p>
        </w:tc>
        <w:tc>
          <w:tcPr>
            <w:tcW w:w="1518" w:type="dxa"/>
          </w:tcPr>
          <w:p w:rsidR="007F373F" w:rsidRDefault="00000000">
            <w:pPr>
              <w:spacing w:after="0"/>
              <w:jc w:val="right"/>
            </w:pPr>
            <w:r>
              <w:rPr>
                <w:sz w:val="19"/>
              </w:rPr>
              <w:t>0</w:t>
            </w:r>
          </w:p>
        </w:tc>
        <w:tc>
          <w:tcPr>
            <w:tcW w:w="1518" w:type="dxa"/>
          </w:tcPr>
          <w:p w:rsidR="007F373F" w:rsidRDefault="00000000">
            <w:pPr>
              <w:spacing w:after="0"/>
              <w:jc w:val="right"/>
            </w:pPr>
            <w:r>
              <w:rPr>
                <w:sz w:val="19"/>
              </w:rPr>
              <w:t>157</w:t>
            </w:r>
          </w:p>
        </w:tc>
        <w:tc>
          <w:tcPr>
            <w:tcW w:w="1035" w:type="dxa"/>
          </w:tcPr>
          <w:p w:rsidR="007F373F" w:rsidRDefault="00000000">
            <w:pPr>
              <w:spacing w:after="0"/>
              <w:jc w:val="right"/>
            </w:pPr>
            <w:r>
              <w:rPr>
                <w:sz w:val="19"/>
              </w:rPr>
              <w:t>0.00%</w:t>
            </w:r>
          </w:p>
        </w:tc>
        <w:tc>
          <w:tcPr>
            <w:tcW w:w="1104" w:type="dxa"/>
          </w:tcPr>
          <w:p w:rsidR="007F373F" w:rsidRDefault="00000000">
            <w:pPr>
              <w:spacing w:after="0"/>
              <w:jc w:val="right"/>
            </w:pPr>
            <w:r>
              <w:rPr>
                <w:sz w:val="19"/>
              </w:rPr>
              <w:t>0.01%</w:t>
            </w:r>
          </w:p>
        </w:tc>
      </w:tr>
      <w:tr w:rsidR="007F373F">
        <w:trPr>
          <w:jc w:val="center"/>
        </w:trPr>
        <w:tc>
          <w:tcPr>
            <w:tcW w:w="4555" w:type="dxa"/>
          </w:tcPr>
          <w:p w:rsidR="007F373F" w:rsidRDefault="00000000">
            <w:pPr>
              <w:spacing w:after="0"/>
              <w:jc w:val="left"/>
            </w:pPr>
            <w:r>
              <w:rPr>
                <w:sz w:val="19"/>
              </w:rPr>
              <w:t>Debt securities</w:t>
            </w:r>
          </w:p>
        </w:tc>
        <w:tc>
          <w:tcPr>
            <w:tcW w:w="1518" w:type="dxa"/>
          </w:tcPr>
          <w:p w:rsidR="007F373F" w:rsidRDefault="00000000">
            <w:pPr>
              <w:spacing w:after="0"/>
              <w:jc w:val="right"/>
            </w:pPr>
            <w:r>
              <w:rPr>
                <w:sz w:val="19"/>
              </w:rPr>
              <w:t>173,031</w:t>
            </w:r>
          </w:p>
        </w:tc>
        <w:tc>
          <w:tcPr>
            <w:tcW w:w="1518" w:type="dxa"/>
          </w:tcPr>
          <w:p w:rsidR="007F373F" w:rsidRDefault="00000000">
            <w:pPr>
              <w:spacing w:after="0"/>
              <w:jc w:val="right"/>
            </w:pPr>
            <w:r>
              <w:rPr>
                <w:sz w:val="19"/>
              </w:rPr>
              <w:t>50,022</w:t>
            </w:r>
          </w:p>
        </w:tc>
        <w:tc>
          <w:tcPr>
            <w:tcW w:w="1035" w:type="dxa"/>
          </w:tcPr>
          <w:p w:rsidR="007F373F" w:rsidRDefault="00000000">
            <w:pPr>
              <w:spacing w:after="0"/>
              <w:jc w:val="right"/>
            </w:pPr>
            <w:r>
              <w:rPr>
                <w:sz w:val="19"/>
              </w:rPr>
              <w:t>10.25%</w:t>
            </w:r>
          </w:p>
        </w:tc>
        <w:tc>
          <w:tcPr>
            <w:tcW w:w="1104" w:type="dxa"/>
          </w:tcPr>
          <w:p w:rsidR="007F373F" w:rsidRDefault="00000000">
            <w:pPr>
              <w:spacing w:after="0"/>
              <w:jc w:val="right"/>
            </w:pPr>
            <w:r>
              <w:rPr>
                <w:sz w:val="19"/>
              </w:rPr>
              <w:t>3.78%</w:t>
            </w:r>
          </w:p>
        </w:tc>
      </w:tr>
      <w:tr w:rsidR="007F373F">
        <w:trPr>
          <w:jc w:val="center"/>
        </w:trPr>
        <w:tc>
          <w:tcPr>
            <w:tcW w:w="4555" w:type="dxa"/>
          </w:tcPr>
          <w:p w:rsidR="007F373F" w:rsidRDefault="00000000">
            <w:pPr>
              <w:spacing w:after="0"/>
              <w:jc w:val="left"/>
            </w:pPr>
            <w:r>
              <w:rPr>
                <w:sz w:val="19"/>
              </w:rPr>
              <w:t>Borrowings (other than debt securities)</w:t>
            </w:r>
          </w:p>
        </w:tc>
        <w:tc>
          <w:tcPr>
            <w:tcW w:w="1518" w:type="dxa"/>
          </w:tcPr>
          <w:p w:rsidR="007F373F" w:rsidRDefault="00000000">
            <w:pPr>
              <w:spacing w:after="0"/>
              <w:jc w:val="right"/>
            </w:pPr>
            <w:r>
              <w:rPr>
                <w:sz w:val="19"/>
              </w:rPr>
              <w:t>1,083,747</w:t>
            </w:r>
          </w:p>
        </w:tc>
        <w:tc>
          <w:tcPr>
            <w:tcW w:w="1518" w:type="dxa"/>
          </w:tcPr>
          <w:p w:rsidR="007F373F" w:rsidRDefault="00000000">
            <w:pPr>
              <w:spacing w:after="0"/>
              <w:jc w:val="right"/>
            </w:pPr>
            <w:r>
              <w:rPr>
                <w:sz w:val="19"/>
              </w:rPr>
              <w:t>929,237</w:t>
            </w:r>
          </w:p>
        </w:tc>
        <w:tc>
          <w:tcPr>
            <w:tcW w:w="1035" w:type="dxa"/>
          </w:tcPr>
          <w:p w:rsidR="007F373F" w:rsidRDefault="00000000">
            <w:pPr>
              <w:spacing w:after="0"/>
              <w:jc w:val="right"/>
            </w:pPr>
            <w:r>
              <w:rPr>
                <w:sz w:val="19"/>
              </w:rPr>
              <w:t>64.22%</w:t>
            </w:r>
          </w:p>
        </w:tc>
        <w:tc>
          <w:tcPr>
            <w:tcW w:w="1104" w:type="dxa"/>
          </w:tcPr>
          <w:p w:rsidR="007F373F" w:rsidRDefault="00000000">
            <w:pPr>
              <w:spacing w:after="0"/>
              <w:jc w:val="right"/>
            </w:pPr>
            <w:r>
              <w:rPr>
                <w:sz w:val="19"/>
              </w:rPr>
              <w:t>70.13%</w:t>
            </w:r>
          </w:p>
        </w:tc>
      </w:tr>
      <w:tr w:rsidR="007F373F">
        <w:trPr>
          <w:jc w:val="center"/>
        </w:trPr>
        <w:tc>
          <w:tcPr>
            <w:tcW w:w="4555" w:type="dxa"/>
          </w:tcPr>
          <w:p w:rsidR="007F373F" w:rsidRDefault="00000000">
            <w:pPr>
              <w:spacing w:after="0"/>
              <w:jc w:val="left"/>
            </w:pPr>
            <w:r>
              <w:rPr>
                <w:sz w:val="19"/>
              </w:rPr>
              <w:t>Subordinated liabilities</w:t>
            </w:r>
          </w:p>
        </w:tc>
        <w:tc>
          <w:tcPr>
            <w:tcW w:w="1518" w:type="dxa"/>
          </w:tcPr>
          <w:p w:rsidR="007F373F" w:rsidRDefault="00000000">
            <w:pPr>
              <w:spacing w:after="0"/>
              <w:jc w:val="right"/>
            </w:pPr>
            <w:r>
              <w:rPr>
                <w:sz w:val="19"/>
              </w:rPr>
              <w:t>91,635</w:t>
            </w:r>
          </w:p>
        </w:tc>
        <w:tc>
          <w:tcPr>
            <w:tcW w:w="1518" w:type="dxa"/>
          </w:tcPr>
          <w:p w:rsidR="007F373F" w:rsidRDefault="00000000">
            <w:pPr>
              <w:spacing w:after="0"/>
              <w:jc w:val="right"/>
            </w:pPr>
            <w:r>
              <w:rPr>
                <w:sz w:val="19"/>
              </w:rPr>
              <w:t>47,607</w:t>
            </w:r>
          </w:p>
        </w:tc>
        <w:tc>
          <w:tcPr>
            <w:tcW w:w="1035" w:type="dxa"/>
          </w:tcPr>
          <w:p w:rsidR="007F373F" w:rsidRDefault="00000000">
            <w:pPr>
              <w:spacing w:after="0"/>
              <w:jc w:val="right"/>
            </w:pPr>
            <w:r>
              <w:rPr>
                <w:sz w:val="19"/>
              </w:rPr>
              <w:t>5.43%</w:t>
            </w:r>
          </w:p>
        </w:tc>
        <w:tc>
          <w:tcPr>
            <w:tcW w:w="1104" w:type="dxa"/>
          </w:tcPr>
          <w:p w:rsidR="007F373F" w:rsidRDefault="00000000">
            <w:pPr>
              <w:spacing w:after="0"/>
              <w:jc w:val="right"/>
            </w:pPr>
            <w:r>
              <w:rPr>
                <w:sz w:val="19"/>
              </w:rPr>
              <w:t>3.59%</w:t>
            </w:r>
          </w:p>
        </w:tc>
      </w:tr>
      <w:tr w:rsidR="007F373F">
        <w:trPr>
          <w:jc w:val="center"/>
        </w:trPr>
        <w:tc>
          <w:tcPr>
            <w:tcW w:w="4555" w:type="dxa"/>
          </w:tcPr>
          <w:p w:rsidR="007F373F" w:rsidRDefault="00000000">
            <w:pPr>
              <w:spacing w:after="0"/>
              <w:jc w:val="left"/>
            </w:pPr>
            <w:r>
              <w:rPr>
                <w:sz w:val="19"/>
              </w:rPr>
              <w:t>Lease liabilities</w:t>
            </w:r>
          </w:p>
        </w:tc>
        <w:tc>
          <w:tcPr>
            <w:tcW w:w="1518" w:type="dxa"/>
          </w:tcPr>
          <w:p w:rsidR="007F373F" w:rsidRDefault="00000000">
            <w:pPr>
              <w:spacing w:after="0"/>
              <w:jc w:val="right"/>
            </w:pPr>
            <w:r>
              <w:rPr>
                <w:sz w:val="19"/>
              </w:rPr>
              <w:t>19,074</w:t>
            </w:r>
          </w:p>
        </w:tc>
        <w:tc>
          <w:tcPr>
            <w:tcW w:w="1518" w:type="dxa"/>
          </w:tcPr>
          <w:p w:rsidR="007F373F" w:rsidRDefault="00000000">
            <w:pPr>
              <w:spacing w:after="0"/>
              <w:jc w:val="right"/>
            </w:pPr>
            <w:r>
              <w:rPr>
                <w:sz w:val="19"/>
              </w:rPr>
              <w:t>16,854</w:t>
            </w:r>
          </w:p>
        </w:tc>
        <w:tc>
          <w:tcPr>
            <w:tcW w:w="1035" w:type="dxa"/>
          </w:tcPr>
          <w:p w:rsidR="007F373F" w:rsidRDefault="00000000">
            <w:pPr>
              <w:spacing w:after="0"/>
              <w:jc w:val="right"/>
            </w:pPr>
            <w:r>
              <w:rPr>
                <w:sz w:val="19"/>
              </w:rPr>
              <w:t>1.13%</w:t>
            </w:r>
          </w:p>
        </w:tc>
        <w:tc>
          <w:tcPr>
            <w:tcW w:w="1104" w:type="dxa"/>
          </w:tcPr>
          <w:p w:rsidR="007F373F" w:rsidRDefault="00000000">
            <w:pPr>
              <w:spacing w:after="0"/>
              <w:jc w:val="right"/>
            </w:pPr>
            <w:r>
              <w:rPr>
                <w:sz w:val="19"/>
              </w:rPr>
              <w:t>1.27%</w:t>
            </w:r>
          </w:p>
        </w:tc>
      </w:tr>
      <w:tr w:rsidR="007F373F">
        <w:trPr>
          <w:jc w:val="center"/>
        </w:trPr>
        <w:tc>
          <w:tcPr>
            <w:tcW w:w="4555" w:type="dxa"/>
          </w:tcPr>
          <w:p w:rsidR="007F373F" w:rsidRDefault="00000000">
            <w:pPr>
              <w:spacing w:after="0"/>
              <w:jc w:val="left"/>
            </w:pPr>
            <w:r>
              <w:rPr>
                <w:sz w:val="19"/>
              </w:rPr>
              <w:t>Other financial liabilities</w:t>
            </w:r>
          </w:p>
        </w:tc>
        <w:tc>
          <w:tcPr>
            <w:tcW w:w="1518" w:type="dxa"/>
          </w:tcPr>
          <w:p w:rsidR="007F373F" w:rsidRDefault="00000000">
            <w:pPr>
              <w:spacing w:after="0"/>
              <w:jc w:val="right"/>
            </w:pPr>
            <w:r>
              <w:rPr>
                <w:sz w:val="19"/>
              </w:rPr>
              <w:t>21,638</w:t>
            </w:r>
          </w:p>
        </w:tc>
        <w:tc>
          <w:tcPr>
            <w:tcW w:w="1518" w:type="dxa"/>
          </w:tcPr>
          <w:p w:rsidR="007F373F" w:rsidRDefault="00000000">
            <w:pPr>
              <w:spacing w:after="0"/>
              <w:jc w:val="right"/>
            </w:pPr>
            <w:r>
              <w:rPr>
                <w:sz w:val="19"/>
              </w:rPr>
              <w:t>20,229</w:t>
            </w:r>
          </w:p>
        </w:tc>
        <w:tc>
          <w:tcPr>
            <w:tcW w:w="1035" w:type="dxa"/>
          </w:tcPr>
          <w:p w:rsidR="007F373F" w:rsidRDefault="00000000">
            <w:pPr>
              <w:spacing w:after="0"/>
              <w:jc w:val="right"/>
            </w:pPr>
            <w:r>
              <w:rPr>
                <w:sz w:val="19"/>
              </w:rPr>
              <w:t>1.28%</w:t>
            </w:r>
          </w:p>
        </w:tc>
        <w:tc>
          <w:tcPr>
            <w:tcW w:w="1104" w:type="dxa"/>
          </w:tcPr>
          <w:p w:rsidR="007F373F" w:rsidRDefault="00000000">
            <w:pPr>
              <w:spacing w:after="0"/>
              <w:jc w:val="right"/>
            </w:pPr>
            <w:r>
              <w:rPr>
                <w:sz w:val="19"/>
              </w:rPr>
              <w:t>1.53%</w:t>
            </w:r>
          </w:p>
        </w:tc>
      </w:tr>
      <w:tr w:rsidR="007F373F">
        <w:trPr>
          <w:jc w:val="center"/>
        </w:trPr>
        <w:tc>
          <w:tcPr>
            <w:tcW w:w="4555" w:type="dxa"/>
          </w:tcPr>
          <w:p w:rsidR="007F373F" w:rsidRDefault="00000000">
            <w:pPr>
              <w:spacing w:after="0"/>
              <w:jc w:val="left"/>
            </w:pPr>
            <w:r>
              <w:rPr>
                <w:sz w:val="19"/>
              </w:rPr>
              <w:t>Total financial liabilities</w:t>
            </w:r>
          </w:p>
        </w:tc>
        <w:tc>
          <w:tcPr>
            <w:tcW w:w="1518" w:type="dxa"/>
          </w:tcPr>
          <w:p w:rsidR="007F373F" w:rsidRDefault="00000000">
            <w:pPr>
              <w:spacing w:after="0"/>
              <w:jc w:val="right"/>
            </w:pPr>
            <w:r>
              <w:rPr>
                <w:sz w:val="19"/>
              </w:rPr>
              <w:t>1,390,035</w:t>
            </w:r>
          </w:p>
        </w:tc>
        <w:tc>
          <w:tcPr>
            <w:tcW w:w="1518" w:type="dxa"/>
          </w:tcPr>
          <w:p w:rsidR="007F373F" w:rsidRDefault="00000000">
            <w:pPr>
              <w:spacing w:after="0"/>
              <w:jc w:val="right"/>
            </w:pPr>
            <w:r>
              <w:rPr>
                <w:sz w:val="19"/>
              </w:rPr>
              <w:t>1,065,102</w:t>
            </w:r>
          </w:p>
        </w:tc>
        <w:tc>
          <w:tcPr>
            <w:tcW w:w="1035" w:type="dxa"/>
          </w:tcPr>
          <w:p w:rsidR="007F373F" w:rsidRDefault="00000000">
            <w:pPr>
              <w:spacing w:after="0"/>
              <w:jc w:val="right"/>
            </w:pPr>
            <w:r>
              <w:rPr>
                <w:sz w:val="19"/>
              </w:rPr>
              <w:t>82.37%</w:t>
            </w:r>
          </w:p>
        </w:tc>
        <w:tc>
          <w:tcPr>
            <w:tcW w:w="1104" w:type="dxa"/>
          </w:tcPr>
          <w:p w:rsidR="007F373F" w:rsidRDefault="00000000">
            <w:pPr>
              <w:spacing w:after="0"/>
              <w:jc w:val="right"/>
            </w:pPr>
            <w:r>
              <w:rPr>
                <w:sz w:val="19"/>
              </w:rPr>
              <w:t>80.39%</w:t>
            </w:r>
          </w:p>
        </w:tc>
      </w:tr>
      <w:tr w:rsidR="007F373F">
        <w:trPr>
          <w:jc w:val="center"/>
        </w:trPr>
        <w:tc>
          <w:tcPr>
            <w:tcW w:w="4555" w:type="dxa"/>
          </w:tcPr>
          <w:p w:rsidR="007F373F" w:rsidRDefault="00000000">
            <w:pPr>
              <w:spacing w:after="0"/>
              <w:jc w:val="left"/>
            </w:pPr>
            <w:r>
              <w:rPr>
                <w:sz w:val="19"/>
              </w:rPr>
              <w:t>Current tax liabilities (net)</w:t>
            </w:r>
          </w:p>
        </w:tc>
        <w:tc>
          <w:tcPr>
            <w:tcW w:w="1518" w:type="dxa"/>
          </w:tcPr>
          <w:p w:rsidR="007F373F" w:rsidRDefault="00000000">
            <w:pPr>
              <w:spacing w:after="0"/>
              <w:jc w:val="right"/>
            </w:pPr>
            <w:r>
              <w:rPr>
                <w:sz w:val="19"/>
              </w:rPr>
              <w:t>0</w:t>
            </w:r>
          </w:p>
        </w:tc>
        <w:tc>
          <w:tcPr>
            <w:tcW w:w="1518" w:type="dxa"/>
          </w:tcPr>
          <w:p w:rsidR="007F373F" w:rsidRDefault="00000000">
            <w:pPr>
              <w:spacing w:after="0"/>
              <w:jc w:val="right"/>
            </w:pPr>
            <w:r>
              <w:rPr>
                <w:sz w:val="19"/>
              </w:rPr>
              <w:t>1,161</w:t>
            </w:r>
          </w:p>
        </w:tc>
        <w:tc>
          <w:tcPr>
            <w:tcW w:w="1035" w:type="dxa"/>
          </w:tcPr>
          <w:p w:rsidR="007F373F" w:rsidRDefault="00000000">
            <w:pPr>
              <w:spacing w:after="0"/>
              <w:jc w:val="right"/>
            </w:pPr>
            <w:r>
              <w:rPr>
                <w:sz w:val="19"/>
              </w:rPr>
              <w:t>0.00%</w:t>
            </w:r>
          </w:p>
        </w:tc>
        <w:tc>
          <w:tcPr>
            <w:tcW w:w="1104" w:type="dxa"/>
          </w:tcPr>
          <w:p w:rsidR="007F373F" w:rsidRDefault="00000000">
            <w:pPr>
              <w:spacing w:after="0"/>
              <w:jc w:val="right"/>
            </w:pPr>
            <w:r>
              <w:rPr>
                <w:sz w:val="19"/>
              </w:rPr>
              <w:t>0.09%</w:t>
            </w:r>
          </w:p>
        </w:tc>
      </w:tr>
      <w:tr w:rsidR="007F373F">
        <w:trPr>
          <w:jc w:val="center"/>
        </w:trPr>
        <w:tc>
          <w:tcPr>
            <w:tcW w:w="4555" w:type="dxa"/>
          </w:tcPr>
          <w:p w:rsidR="007F373F" w:rsidRDefault="00000000">
            <w:pPr>
              <w:spacing w:after="0"/>
              <w:jc w:val="left"/>
            </w:pPr>
            <w:r>
              <w:rPr>
                <w:sz w:val="19"/>
              </w:rPr>
              <w:t>Provisions</w:t>
            </w:r>
          </w:p>
        </w:tc>
        <w:tc>
          <w:tcPr>
            <w:tcW w:w="1518" w:type="dxa"/>
          </w:tcPr>
          <w:p w:rsidR="007F373F" w:rsidRDefault="00000000">
            <w:pPr>
              <w:spacing w:after="0"/>
              <w:jc w:val="right"/>
            </w:pPr>
            <w:r>
              <w:rPr>
                <w:sz w:val="19"/>
              </w:rPr>
              <w:t>1,983</w:t>
            </w:r>
          </w:p>
        </w:tc>
        <w:tc>
          <w:tcPr>
            <w:tcW w:w="1518" w:type="dxa"/>
          </w:tcPr>
          <w:p w:rsidR="007F373F" w:rsidRDefault="00000000">
            <w:pPr>
              <w:spacing w:after="0"/>
              <w:jc w:val="right"/>
            </w:pPr>
            <w:r>
              <w:rPr>
                <w:sz w:val="19"/>
              </w:rPr>
              <w:t>1,381</w:t>
            </w:r>
          </w:p>
        </w:tc>
        <w:tc>
          <w:tcPr>
            <w:tcW w:w="1035" w:type="dxa"/>
          </w:tcPr>
          <w:p w:rsidR="007F373F" w:rsidRDefault="00000000">
            <w:pPr>
              <w:spacing w:after="0"/>
              <w:jc w:val="right"/>
            </w:pPr>
            <w:r>
              <w:rPr>
                <w:sz w:val="19"/>
              </w:rPr>
              <w:t>0.12%</w:t>
            </w:r>
          </w:p>
        </w:tc>
        <w:tc>
          <w:tcPr>
            <w:tcW w:w="1104" w:type="dxa"/>
          </w:tcPr>
          <w:p w:rsidR="007F373F" w:rsidRDefault="00000000">
            <w:pPr>
              <w:spacing w:after="0"/>
              <w:jc w:val="right"/>
            </w:pPr>
            <w:r>
              <w:rPr>
                <w:sz w:val="19"/>
              </w:rPr>
              <w:t>0.10%</w:t>
            </w:r>
          </w:p>
        </w:tc>
      </w:tr>
      <w:tr w:rsidR="007F373F">
        <w:trPr>
          <w:jc w:val="center"/>
        </w:trPr>
        <w:tc>
          <w:tcPr>
            <w:tcW w:w="4555" w:type="dxa"/>
          </w:tcPr>
          <w:p w:rsidR="007F373F" w:rsidRDefault="00000000">
            <w:pPr>
              <w:spacing w:after="0"/>
              <w:jc w:val="left"/>
            </w:pPr>
            <w:r>
              <w:rPr>
                <w:sz w:val="19"/>
              </w:rPr>
              <w:t>Other non-financial liabilities</w:t>
            </w:r>
          </w:p>
        </w:tc>
        <w:tc>
          <w:tcPr>
            <w:tcW w:w="1518" w:type="dxa"/>
          </w:tcPr>
          <w:p w:rsidR="007F373F" w:rsidRDefault="00000000">
            <w:pPr>
              <w:spacing w:after="0"/>
              <w:jc w:val="right"/>
            </w:pPr>
            <w:r>
              <w:rPr>
                <w:sz w:val="19"/>
              </w:rPr>
              <w:t>2,850</w:t>
            </w:r>
          </w:p>
        </w:tc>
        <w:tc>
          <w:tcPr>
            <w:tcW w:w="1518" w:type="dxa"/>
          </w:tcPr>
          <w:p w:rsidR="007F373F" w:rsidRDefault="00000000">
            <w:pPr>
              <w:spacing w:after="0"/>
              <w:jc w:val="right"/>
            </w:pPr>
            <w:r>
              <w:rPr>
                <w:sz w:val="19"/>
              </w:rPr>
              <w:t>2,590</w:t>
            </w:r>
          </w:p>
        </w:tc>
        <w:tc>
          <w:tcPr>
            <w:tcW w:w="1035" w:type="dxa"/>
          </w:tcPr>
          <w:p w:rsidR="007F373F" w:rsidRDefault="00000000">
            <w:pPr>
              <w:spacing w:after="0"/>
              <w:jc w:val="right"/>
            </w:pPr>
            <w:r>
              <w:rPr>
                <w:sz w:val="19"/>
              </w:rPr>
              <w:t>0.17%</w:t>
            </w:r>
          </w:p>
        </w:tc>
        <w:tc>
          <w:tcPr>
            <w:tcW w:w="1104" w:type="dxa"/>
          </w:tcPr>
          <w:p w:rsidR="007F373F" w:rsidRDefault="00000000">
            <w:pPr>
              <w:spacing w:after="0"/>
              <w:jc w:val="right"/>
            </w:pPr>
            <w:r>
              <w:rPr>
                <w:sz w:val="19"/>
              </w:rPr>
              <w:t>0.20%</w:t>
            </w:r>
          </w:p>
        </w:tc>
      </w:tr>
      <w:tr w:rsidR="007F373F">
        <w:trPr>
          <w:jc w:val="center"/>
        </w:trPr>
        <w:tc>
          <w:tcPr>
            <w:tcW w:w="4555" w:type="dxa"/>
          </w:tcPr>
          <w:p w:rsidR="007F373F" w:rsidRDefault="00000000">
            <w:pPr>
              <w:spacing w:after="0"/>
              <w:jc w:val="left"/>
            </w:pPr>
            <w:r>
              <w:rPr>
                <w:sz w:val="19"/>
              </w:rPr>
              <w:t>Total non-financial liabilities</w:t>
            </w:r>
          </w:p>
        </w:tc>
        <w:tc>
          <w:tcPr>
            <w:tcW w:w="1518" w:type="dxa"/>
          </w:tcPr>
          <w:p w:rsidR="007F373F" w:rsidRDefault="00000000">
            <w:pPr>
              <w:spacing w:after="0"/>
              <w:jc w:val="right"/>
            </w:pPr>
            <w:r>
              <w:rPr>
                <w:sz w:val="19"/>
              </w:rPr>
              <w:t>4,833</w:t>
            </w:r>
          </w:p>
        </w:tc>
        <w:tc>
          <w:tcPr>
            <w:tcW w:w="1518" w:type="dxa"/>
          </w:tcPr>
          <w:p w:rsidR="007F373F" w:rsidRDefault="00000000">
            <w:pPr>
              <w:spacing w:after="0"/>
              <w:jc w:val="right"/>
            </w:pPr>
            <w:r>
              <w:rPr>
                <w:sz w:val="19"/>
              </w:rPr>
              <w:t>5,132</w:t>
            </w:r>
          </w:p>
        </w:tc>
        <w:tc>
          <w:tcPr>
            <w:tcW w:w="1035" w:type="dxa"/>
          </w:tcPr>
          <w:p w:rsidR="007F373F" w:rsidRDefault="00000000">
            <w:pPr>
              <w:spacing w:after="0"/>
              <w:jc w:val="right"/>
            </w:pPr>
            <w:r>
              <w:rPr>
                <w:sz w:val="19"/>
              </w:rPr>
              <w:t>0.29%</w:t>
            </w:r>
          </w:p>
        </w:tc>
        <w:tc>
          <w:tcPr>
            <w:tcW w:w="1104" w:type="dxa"/>
          </w:tcPr>
          <w:p w:rsidR="007F373F" w:rsidRDefault="00000000">
            <w:pPr>
              <w:spacing w:after="0"/>
              <w:jc w:val="right"/>
            </w:pPr>
            <w:r>
              <w:rPr>
                <w:sz w:val="19"/>
              </w:rPr>
              <w:t>0.39%</w:t>
            </w:r>
          </w:p>
        </w:tc>
      </w:tr>
      <w:tr w:rsidR="007F373F">
        <w:trPr>
          <w:jc w:val="center"/>
        </w:trPr>
        <w:tc>
          <w:tcPr>
            <w:tcW w:w="4555" w:type="dxa"/>
          </w:tcPr>
          <w:p w:rsidR="007F373F" w:rsidRDefault="00000000">
            <w:pPr>
              <w:spacing w:after="0"/>
              <w:jc w:val="left"/>
            </w:pPr>
            <w:r>
              <w:rPr>
                <w:sz w:val="19"/>
              </w:rPr>
              <w:t>Equity share capital</w:t>
            </w:r>
          </w:p>
        </w:tc>
        <w:tc>
          <w:tcPr>
            <w:tcW w:w="1518" w:type="dxa"/>
          </w:tcPr>
          <w:p w:rsidR="007F373F" w:rsidRDefault="00000000">
            <w:pPr>
              <w:spacing w:after="0"/>
              <w:jc w:val="right"/>
            </w:pPr>
            <w:r>
              <w:rPr>
                <w:sz w:val="19"/>
              </w:rPr>
              <w:t>37,421</w:t>
            </w:r>
          </w:p>
        </w:tc>
        <w:tc>
          <w:tcPr>
            <w:tcW w:w="1518" w:type="dxa"/>
          </w:tcPr>
          <w:p w:rsidR="007F373F" w:rsidRDefault="00000000">
            <w:pPr>
              <w:spacing w:after="0"/>
              <w:jc w:val="right"/>
            </w:pPr>
            <w:r>
              <w:rPr>
                <w:sz w:val="19"/>
              </w:rPr>
              <w:t>37,272</w:t>
            </w:r>
          </w:p>
        </w:tc>
        <w:tc>
          <w:tcPr>
            <w:tcW w:w="1035" w:type="dxa"/>
          </w:tcPr>
          <w:p w:rsidR="007F373F" w:rsidRDefault="00000000">
            <w:pPr>
              <w:spacing w:after="0"/>
              <w:jc w:val="right"/>
            </w:pPr>
            <w:r>
              <w:rPr>
                <w:sz w:val="19"/>
              </w:rPr>
              <w:t>2.22%</w:t>
            </w:r>
          </w:p>
        </w:tc>
        <w:tc>
          <w:tcPr>
            <w:tcW w:w="1104" w:type="dxa"/>
          </w:tcPr>
          <w:p w:rsidR="007F373F" w:rsidRDefault="00000000">
            <w:pPr>
              <w:spacing w:after="0"/>
              <w:jc w:val="right"/>
            </w:pPr>
            <w:r>
              <w:rPr>
                <w:sz w:val="19"/>
              </w:rPr>
              <w:t>2.81%</w:t>
            </w:r>
          </w:p>
        </w:tc>
      </w:tr>
      <w:tr w:rsidR="007F373F">
        <w:trPr>
          <w:jc w:val="center"/>
        </w:trPr>
        <w:tc>
          <w:tcPr>
            <w:tcW w:w="4555" w:type="dxa"/>
          </w:tcPr>
          <w:p w:rsidR="007F373F" w:rsidRDefault="00000000">
            <w:pPr>
              <w:spacing w:after="0"/>
              <w:jc w:val="left"/>
            </w:pPr>
            <w:r>
              <w:rPr>
                <w:sz w:val="19"/>
              </w:rPr>
              <w:t>Other equity</w:t>
            </w:r>
          </w:p>
        </w:tc>
        <w:tc>
          <w:tcPr>
            <w:tcW w:w="1518" w:type="dxa"/>
          </w:tcPr>
          <w:p w:rsidR="007F373F" w:rsidRDefault="00000000">
            <w:pPr>
              <w:spacing w:after="0"/>
              <w:jc w:val="right"/>
            </w:pPr>
            <w:r>
              <w:rPr>
                <w:sz w:val="19"/>
              </w:rPr>
              <w:t>255,189</w:t>
            </w:r>
          </w:p>
        </w:tc>
        <w:tc>
          <w:tcPr>
            <w:tcW w:w="1518" w:type="dxa"/>
          </w:tcPr>
          <w:p w:rsidR="007F373F" w:rsidRDefault="00000000">
            <w:pPr>
              <w:spacing w:after="0"/>
              <w:jc w:val="right"/>
            </w:pPr>
            <w:r>
              <w:rPr>
                <w:sz w:val="19"/>
              </w:rPr>
              <w:t>217,464</w:t>
            </w:r>
          </w:p>
        </w:tc>
        <w:tc>
          <w:tcPr>
            <w:tcW w:w="1035" w:type="dxa"/>
          </w:tcPr>
          <w:p w:rsidR="007F373F" w:rsidRDefault="00000000">
            <w:pPr>
              <w:spacing w:after="0"/>
              <w:jc w:val="right"/>
            </w:pPr>
            <w:r>
              <w:rPr>
                <w:sz w:val="19"/>
              </w:rPr>
              <w:t>15.12%</w:t>
            </w:r>
          </w:p>
        </w:tc>
        <w:tc>
          <w:tcPr>
            <w:tcW w:w="1104" w:type="dxa"/>
          </w:tcPr>
          <w:p w:rsidR="007F373F" w:rsidRDefault="00000000">
            <w:pPr>
              <w:spacing w:after="0"/>
              <w:jc w:val="right"/>
            </w:pPr>
            <w:r>
              <w:rPr>
                <w:sz w:val="19"/>
              </w:rPr>
              <w:t>16.41%</w:t>
            </w:r>
          </w:p>
        </w:tc>
      </w:tr>
      <w:tr w:rsidR="007F373F">
        <w:trPr>
          <w:jc w:val="center"/>
        </w:trPr>
        <w:tc>
          <w:tcPr>
            <w:tcW w:w="4555" w:type="dxa"/>
          </w:tcPr>
          <w:p w:rsidR="007F373F" w:rsidRDefault="00000000">
            <w:pPr>
              <w:spacing w:after="0"/>
              <w:jc w:val="left"/>
            </w:pPr>
            <w:r>
              <w:rPr>
                <w:sz w:val="19"/>
              </w:rPr>
              <w:t>TOTAL EQUITY</w:t>
            </w:r>
          </w:p>
        </w:tc>
        <w:tc>
          <w:tcPr>
            <w:tcW w:w="1518" w:type="dxa"/>
          </w:tcPr>
          <w:p w:rsidR="007F373F" w:rsidRDefault="00000000">
            <w:pPr>
              <w:spacing w:after="0"/>
              <w:jc w:val="right"/>
            </w:pPr>
            <w:r>
              <w:rPr>
                <w:sz w:val="19"/>
              </w:rPr>
              <w:t>292,610</w:t>
            </w:r>
          </w:p>
        </w:tc>
        <w:tc>
          <w:tcPr>
            <w:tcW w:w="1518" w:type="dxa"/>
          </w:tcPr>
          <w:p w:rsidR="007F373F" w:rsidRDefault="00000000">
            <w:pPr>
              <w:spacing w:after="0"/>
              <w:jc w:val="right"/>
            </w:pPr>
            <w:r>
              <w:rPr>
                <w:sz w:val="19"/>
              </w:rPr>
              <w:t>254,736</w:t>
            </w:r>
          </w:p>
        </w:tc>
        <w:tc>
          <w:tcPr>
            <w:tcW w:w="1035" w:type="dxa"/>
          </w:tcPr>
          <w:p w:rsidR="007F373F" w:rsidRDefault="00000000">
            <w:pPr>
              <w:spacing w:after="0"/>
              <w:jc w:val="right"/>
            </w:pPr>
            <w:r>
              <w:rPr>
                <w:sz w:val="19"/>
              </w:rPr>
              <w:t>17.34%</w:t>
            </w:r>
          </w:p>
        </w:tc>
        <w:tc>
          <w:tcPr>
            <w:tcW w:w="1104" w:type="dxa"/>
          </w:tcPr>
          <w:p w:rsidR="007F373F" w:rsidRDefault="00000000">
            <w:pPr>
              <w:spacing w:after="0"/>
              <w:jc w:val="right"/>
            </w:pPr>
            <w:r>
              <w:rPr>
                <w:sz w:val="19"/>
              </w:rPr>
              <w:t>19.23%</w:t>
            </w:r>
          </w:p>
        </w:tc>
      </w:tr>
      <w:tr w:rsidR="007F373F">
        <w:trPr>
          <w:jc w:val="center"/>
        </w:trPr>
        <w:tc>
          <w:tcPr>
            <w:tcW w:w="4555" w:type="dxa"/>
          </w:tcPr>
          <w:p w:rsidR="007F373F" w:rsidRDefault="00000000">
            <w:pPr>
              <w:spacing w:after="0"/>
              <w:jc w:val="left"/>
            </w:pPr>
            <w:r>
              <w:rPr>
                <w:sz w:val="19"/>
              </w:rPr>
              <w:t>TOTAL LIABILITIES AND EQUITY</w:t>
            </w:r>
          </w:p>
        </w:tc>
        <w:tc>
          <w:tcPr>
            <w:tcW w:w="1518" w:type="dxa"/>
          </w:tcPr>
          <w:p w:rsidR="007F373F" w:rsidRDefault="00000000">
            <w:pPr>
              <w:spacing w:after="0"/>
              <w:jc w:val="right"/>
            </w:pPr>
            <w:r>
              <w:rPr>
                <w:sz w:val="19"/>
              </w:rPr>
              <w:t>1,687,478</w:t>
            </w:r>
          </w:p>
        </w:tc>
        <w:tc>
          <w:tcPr>
            <w:tcW w:w="1518" w:type="dxa"/>
          </w:tcPr>
          <w:p w:rsidR="007F373F" w:rsidRDefault="00000000">
            <w:pPr>
              <w:spacing w:after="0"/>
              <w:jc w:val="right"/>
            </w:pPr>
            <w:r>
              <w:rPr>
                <w:sz w:val="19"/>
              </w:rPr>
              <w:t>1,324,970</w:t>
            </w:r>
          </w:p>
        </w:tc>
        <w:tc>
          <w:tcPr>
            <w:tcW w:w="1035" w:type="dxa"/>
          </w:tcPr>
          <w:p w:rsidR="007F373F" w:rsidRDefault="00000000">
            <w:pPr>
              <w:spacing w:after="0"/>
              <w:jc w:val="right"/>
            </w:pPr>
            <w:r>
              <w:rPr>
                <w:sz w:val="19"/>
              </w:rPr>
              <w:t>100.00%</w:t>
            </w:r>
          </w:p>
        </w:tc>
        <w:tc>
          <w:tcPr>
            <w:tcW w:w="1104" w:type="dxa"/>
          </w:tcPr>
          <w:p w:rsidR="007F373F" w:rsidRDefault="00000000">
            <w:pPr>
              <w:spacing w:after="0"/>
              <w:jc w:val="right"/>
            </w:pPr>
            <w:r>
              <w:rPr>
                <w:sz w:val="19"/>
              </w:rPr>
              <w:t>100.00%</w:t>
            </w:r>
          </w:p>
        </w:tc>
      </w:tr>
    </w:tbl>
    <w:p w:rsidR="007F373F" w:rsidRDefault="00000000">
      <w:pPr>
        <w:spacing w:before="40" w:after="80"/>
      </w:pPr>
      <w:r>
        <w:rPr>
          <w:i/>
          <w:sz w:val="18"/>
        </w:rPr>
        <w:t>Source: Fedfina Annual Report 2025-26, Balance Sheet as at 31 March 2026 (audited by KKC &amp; Associates LLP). Common-size percentages derived. Sub-totals may differ by ±1 lakh due to rounding in the source.</w:t>
      </w:r>
    </w:p>
    <w:p w:rsidR="007F373F" w:rsidRDefault="00000000">
      <w:pPr>
        <w:pStyle w:val="Heading1"/>
        <w:pageBreakBefore/>
      </w:pPr>
      <w:r>
        <w:lastRenderedPageBreak/>
        <w:t>Appendix B — Summarised Statement of Profit and Loss (₹ lakh)</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279"/>
        <w:gridCol w:w="1518"/>
        <w:gridCol w:w="1518"/>
        <w:gridCol w:w="1242"/>
        <w:gridCol w:w="1173"/>
      </w:tblGrid>
      <w:tr w:rsidR="007F373F">
        <w:trPr>
          <w:jc w:val="center"/>
        </w:trPr>
        <w:tc>
          <w:tcPr>
            <w:tcW w:w="4279" w:type="dxa"/>
          </w:tcPr>
          <w:p w:rsidR="007F373F" w:rsidRDefault="00000000">
            <w:pPr>
              <w:spacing w:after="0"/>
              <w:jc w:val="left"/>
            </w:pPr>
            <w:r>
              <w:rPr>
                <w:b/>
                <w:sz w:val="18"/>
              </w:rPr>
              <w:t>Particulars</w:t>
            </w:r>
          </w:p>
        </w:tc>
        <w:tc>
          <w:tcPr>
            <w:tcW w:w="1518" w:type="dxa"/>
          </w:tcPr>
          <w:p w:rsidR="007F373F" w:rsidRDefault="00000000">
            <w:pPr>
              <w:spacing w:after="0"/>
              <w:jc w:val="left"/>
            </w:pPr>
            <w:r>
              <w:rPr>
                <w:b/>
                <w:sz w:val="18"/>
              </w:rPr>
              <w:t>FY 2025-26</w:t>
            </w:r>
          </w:p>
        </w:tc>
        <w:tc>
          <w:tcPr>
            <w:tcW w:w="1518" w:type="dxa"/>
          </w:tcPr>
          <w:p w:rsidR="007F373F" w:rsidRDefault="00000000">
            <w:pPr>
              <w:spacing w:after="0"/>
              <w:jc w:val="left"/>
            </w:pPr>
            <w:r>
              <w:rPr>
                <w:b/>
                <w:sz w:val="18"/>
              </w:rPr>
              <w:t>FY 2024-25</w:t>
            </w:r>
          </w:p>
        </w:tc>
        <w:tc>
          <w:tcPr>
            <w:tcW w:w="1242" w:type="dxa"/>
          </w:tcPr>
          <w:p w:rsidR="007F373F" w:rsidRDefault="00000000">
            <w:pPr>
              <w:spacing w:after="0"/>
              <w:jc w:val="left"/>
            </w:pPr>
            <w:r>
              <w:rPr>
                <w:b/>
                <w:sz w:val="18"/>
              </w:rPr>
              <w:t>% of revenue FY26</w:t>
            </w:r>
          </w:p>
        </w:tc>
        <w:tc>
          <w:tcPr>
            <w:tcW w:w="1173" w:type="dxa"/>
          </w:tcPr>
          <w:p w:rsidR="007F373F" w:rsidRDefault="00000000">
            <w:pPr>
              <w:spacing w:after="0"/>
              <w:jc w:val="left"/>
            </w:pPr>
            <w:r>
              <w:rPr>
                <w:b/>
                <w:sz w:val="18"/>
              </w:rPr>
              <w:t>% of revenue FY25</w:t>
            </w:r>
          </w:p>
        </w:tc>
      </w:tr>
      <w:tr w:rsidR="007F373F">
        <w:trPr>
          <w:jc w:val="center"/>
        </w:trPr>
        <w:tc>
          <w:tcPr>
            <w:tcW w:w="4279" w:type="dxa"/>
          </w:tcPr>
          <w:p w:rsidR="007F373F" w:rsidRDefault="00000000">
            <w:pPr>
              <w:spacing w:after="0"/>
              <w:jc w:val="left"/>
            </w:pPr>
            <w:r>
              <w:rPr>
                <w:sz w:val="18"/>
              </w:rPr>
              <w:t>Interest income</w:t>
            </w:r>
          </w:p>
        </w:tc>
        <w:tc>
          <w:tcPr>
            <w:tcW w:w="1518" w:type="dxa"/>
          </w:tcPr>
          <w:p w:rsidR="007F373F" w:rsidRDefault="00000000">
            <w:pPr>
              <w:spacing w:after="0"/>
              <w:jc w:val="right"/>
            </w:pPr>
            <w:r>
              <w:rPr>
                <w:sz w:val="18"/>
              </w:rPr>
              <w:t>210,907</w:t>
            </w:r>
          </w:p>
        </w:tc>
        <w:tc>
          <w:tcPr>
            <w:tcW w:w="1518" w:type="dxa"/>
          </w:tcPr>
          <w:p w:rsidR="007F373F" w:rsidRDefault="00000000">
            <w:pPr>
              <w:spacing w:after="0"/>
              <w:jc w:val="right"/>
            </w:pPr>
            <w:r>
              <w:rPr>
                <w:sz w:val="18"/>
              </w:rPr>
              <w:t>192,458</w:t>
            </w:r>
          </w:p>
        </w:tc>
        <w:tc>
          <w:tcPr>
            <w:tcW w:w="1242" w:type="dxa"/>
          </w:tcPr>
          <w:p w:rsidR="007F373F" w:rsidRDefault="00000000">
            <w:pPr>
              <w:spacing w:after="0"/>
              <w:jc w:val="right"/>
            </w:pPr>
            <w:r>
              <w:rPr>
                <w:sz w:val="18"/>
              </w:rPr>
              <w:t>94.72%</w:t>
            </w:r>
          </w:p>
        </w:tc>
        <w:tc>
          <w:tcPr>
            <w:tcW w:w="1173" w:type="dxa"/>
          </w:tcPr>
          <w:p w:rsidR="007F373F" w:rsidRDefault="00000000">
            <w:pPr>
              <w:spacing w:after="0"/>
              <w:jc w:val="right"/>
            </w:pPr>
            <w:r>
              <w:rPr>
                <w:sz w:val="18"/>
              </w:rPr>
              <w:t>92.54%</w:t>
            </w:r>
          </w:p>
        </w:tc>
      </w:tr>
      <w:tr w:rsidR="007F373F">
        <w:trPr>
          <w:jc w:val="center"/>
        </w:trPr>
        <w:tc>
          <w:tcPr>
            <w:tcW w:w="4279" w:type="dxa"/>
          </w:tcPr>
          <w:p w:rsidR="007F373F" w:rsidRDefault="00000000">
            <w:pPr>
              <w:spacing w:after="0"/>
              <w:jc w:val="left"/>
            </w:pPr>
            <w:r>
              <w:rPr>
                <w:sz w:val="18"/>
              </w:rPr>
              <w:t>Fee and commission income</w:t>
            </w:r>
          </w:p>
        </w:tc>
        <w:tc>
          <w:tcPr>
            <w:tcW w:w="1518" w:type="dxa"/>
          </w:tcPr>
          <w:p w:rsidR="007F373F" w:rsidRDefault="00000000">
            <w:pPr>
              <w:spacing w:after="0"/>
              <w:jc w:val="right"/>
            </w:pPr>
            <w:r>
              <w:rPr>
                <w:sz w:val="18"/>
              </w:rPr>
              <w:t>9,669</w:t>
            </w:r>
          </w:p>
        </w:tc>
        <w:tc>
          <w:tcPr>
            <w:tcW w:w="1518" w:type="dxa"/>
          </w:tcPr>
          <w:p w:rsidR="007F373F" w:rsidRDefault="00000000">
            <w:pPr>
              <w:spacing w:after="0"/>
              <w:jc w:val="right"/>
            </w:pPr>
            <w:r>
              <w:rPr>
                <w:sz w:val="18"/>
              </w:rPr>
              <w:t>11,171</w:t>
            </w:r>
          </w:p>
        </w:tc>
        <w:tc>
          <w:tcPr>
            <w:tcW w:w="1242" w:type="dxa"/>
          </w:tcPr>
          <w:p w:rsidR="007F373F" w:rsidRDefault="00000000">
            <w:pPr>
              <w:spacing w:after="0"/>
              <w:jc w:val="right"/>
            </w:pPr>
            <w:r>
              <w:rPr>
                <w:sz w:val="18"/>
              </w:rPr>
              <w:t>4.34%</w:t>
            </w:r>
          </w:p>
        </w:tc>
        <w:tc>
          <w:tcPr>
            <w:tcW w:w="1173" w:type="dxa"/>
          </w:tcPr>
          <w:p w:rsidR="007F373F" w:rsidRDefault="00000000">
            <w:pPr>
              <w:spacing w:after="0"/>
              <w:jc w:val="right"/>
            </w:pPr>
            <w:r>
              <w:rPr>
                <w:sz w:val="18"/>
              </w:rPr>
              <w:t>5.37%</w:t>
            </w:r>
          </w:p>
        </w:tc>
      </w:tr>
      <w:tr w:rsidR="007F373F">
        <w:trPr>
          <w:jc w:val="center"/>
        </w:trPr>
        <w:tc>
          <w:tcPr>
            <w:tcW w:w="4279" w:type="dxa"/>
          </w:tcPr>
          <w:p w:rsidR="007F373F" w:rsidRDefault="00000000">
            <w:pPr>
              <w:spacing w:after="0"/>
              <w:jc w:val="left"/>
            </w:pPr>
            <w:r>
              <w:rPr>
                <w:sz w:val="18"/>
              </w:rPr>
              <w:t>Net gain on fair value changes</w:t>
            </w:r>
          </w:p>
        </w:tc>
        <w:tc>
          <w:tcPr>
            <w:tcW w:w="1518" w:type="dxa"/>
          </w:tcPr>
          <w:p w:rsidR="007F373F" w:rsidRDefault="00000000">
            <w:pPr>
              <w:spacing w:after="0"/>
              <w:jc w:val="right"/>
            </w:pPr>
            <w:r>
              <w:rPr>
                <w:sz w:val="18"/>
              </w:rPr>
              <w:t>1,784</w:t>
            </w:r>
          </w:p>
        </w:tc>
        <w:tc>
          <w:tcPr>
            <w:tcW w:w="1518" w:type="dxa"/>
          </w:tcPr>
          <w:p w:rsidR="007F373F" w:rsidRDefault="00000000">
            <w:pPr>
              <w:spacing w:after="0"/>
              <w:jc w:val="right"/>
            </w:pPr>
            <w:r>
              <w:rPr>
                <w:sz w:val="18"/>
              </w:rPr>
              <w:t>2,558</w:t>
            </w:r>
          </w:p>
        </w:tc>
        <w:tc>
          <w:tcPr>
            <w:tcW w:w="1242" w:type="dxa"/>
          </w:tcPr>
          <w:p w:rsidR="007F373F" w:rsidRDefault="00000000">
            <w:pPr>
              <w:spacing w:after="0"/>
              <w:jc w:val="right"/>
            </w:pPr>
            <w:r>
              <w:rPr>
                <w:sz w:val="18"/>
              </w:rPr>
              <w:t>0.80%</w:t>
            </w:r>
          </w:p>
        </w:tc>
        <w:tc>
          <w:tcPr>
            <w:tcW w:w="1173" w:type="dxa"/>
          </w:tcPr>
          <w:p w:rsidR="007F373F" w:rsidRDefault="00000000">
            <w:pPr>
              <w:spacing w:after="0"/>
              <w:jc w:val="right"/>
            </w:pPr>
            <w:r>
              <w:rPr>
                <w:sz w:val="18"/>
              </w:rPr>
              <w:t>1.23%</w:t>
            </w:r>
          </w:p>
        </w:tc>
      </w:tr>
      <w:tr w:rsidR="007F373F">
        <w:trPr>
          <w:jc w:val="center"/>
        </w:trPr>
        <w:tc>
          <w:tcPr>
            <w:tcW w:w="4279" w:type="dxa"/>
          </w:tcPr>
          <w:p w:rsidR="007F373F" w:rsidRDefault="00000000">
            <w:pPr>
              <w:spacing w:after="0"/>
              <w:jc w:val="left"/>
            </w:pPr>
            <w:r>
              <w:rPr>
                <w:sz w:val="18"/>
              </w:rPr>
              <w:t>Total revenue from operations</w:t>
            </w:r>
          </w:p>
        </w:tc>
        <w:tc>
          <w:tcPr>
            <w:tcW w:w="1518" w:type="dxa"/>
          </w:tcPr>
          <w:p w:rsidR="007F373F" w:rsidRDefault="00000000">
            <w:pPr>
              <w:spacing w:after="0"/>
              <w:jc w:val="right"/>
            </w:pPr>
            <w:r>
              <w:rPr>
                <w:sz w:val="18"/>
              </w:rPr>
              <w:t>222,360</w:t>
            </w:r>
          </w:p>
        </w:tc>
        <w:tc>
          <w:tcPr>
            <w:tcW w:w="1518" w:type="dxa"/>
          </w:tcPr>
          <w:p w:rsidR="007F373F" w:rsidRDefault="00000000">
            <w:pPr>
              <w:spacing w:after="0"/>
              <w:jc w:val="right"/>
            </w:pPr>
            <w:r>
              <w:rPr>
                <w:sz w:val="18"/>
              </w:rPr>
              <w:t>206,187</w:t>
            </w:r>
          </w:p>
        </w:tc>
        <w:tc>
          <w:tcPr>
            <w:tcW w:w="1242" w:type="dxa"/>
          </w:tcPr>
          <w:p w:rsidR="007F373F" w:rsidRDefault="00000000">
            <w:pPr>
              <w:spacing w:after="0"/>
              <w:jc w:val="right"/>
            </w:pPr>
            <w:r>
              <w:rPr>
                <w:sz w:val="18"/>
              </w:rPr>
              <w:t>99.86%</w:t>
            </w:r>
          </w:p>
        </w:tc>
        <w:tc>
          <w:tcPr>
            <w:tcW w:w="1173" w:type="dxa"/>
          </w:tcPr>
          <w:p w:rsidR="007F373F" w:rsidRDefault="00000000">
            <w:pPr>
              <w:spacing w:after="0"/>
              <w:jc w:val="right"/>
            </w:pPr>
            <w:r>
              <w:rPr>
                <w:sz w:val="18"/>
              </w:rPr>
              <w:t>99.14%</w:t>
            </w:r>
          </w:p>
        </w:tc>
      </w:tr>
      <w:tr w:rsidR="007F373F">
        <w:trPr>
          <w:jc w:val="center"/>
        </w:trPr>
        <w:tc>
          <w:tcPr>
            <w:tcW w:w="4279" w:type="dxa"/>
          </w:tcPr>
          <w:p w:rsidR="007F373F" w:rsidRDefault="00000000">
            <w:pPr>
              <w:spacing w:after="0"/>
              <w:jc w:val="left"/>
            </w:pPr>
            <w:r>
              <w:rPr>
                <w:sz w:val="18"/>
              </w:rPr>
              <w:t>Other income</w:t>
            </w:r>
          </w:p>
        </w:tc>
        <w:tc>
          <w:tcPr>
            <w:tcW w:w="1518" w:type="dxa"/>
          </w:tcPr>
          <w:p w:rsidR="007F373F" w:rsidRDefault="00000000">
            <w:pPr>
              <w:spacing w:after="0"/>
              <w:jc w:val="right"/>
            </w:pPr>
            <w:r>
              <w:rPr>
                <w:sz w:val="18"/>
              </w:rPr>
              <w:t>301</w:t>
            </w:r>
          </w:p>
        </w:tc>
        <w:tc>
          <w:tcPr>
            <w:tcW w:w="1518" w:type="dxa"/>
          </w:tcPr>
          <w:p w:rsidR="007F373F" w:rsidRDefault="00000000">
            <w:pPr>
              <w:spacing w:after="0"/>
              <w:jc w:val="right"/>
            </w:pPr>
            <w:r>
              <w:rPr>
                <w:sz w:val="18"/>
              </w:rPr>
              <w:t>1,795</w:t>
            </w:r>
          </w:p>
        </w:tc>
        <w:tc>
          <w:tcPr>
            <w:tcW w:w="1242" w:type="dxa"/>
          </w:tcPr>
          <w:p w:rsidR="007F373F" w:rsidRDefault="00000000">
            <w:pPr>
              <w:spacing w:after="0"/>
              <w:jc w:val="right"/>
            </w:pPr>
            <w:r>
              <w:rPr>
                <w:sz w:val="18"/>
              </w:rPr>
              <w:t>0.14%</w:t>
            </w:r>
          </w:p>
        </w:tc>
        <w:tc>
          <w:tcPr>
            <w:tcW w:w="1173" w:type="dxa"/>
          </w:tcPr>
          <w:p w:rsidR="007F373F" w:rsidRDefault="00000000">
            <w:pPr>
              <w:spacing w:after="0"/>
              <w:jc w:val="right"/>
            </w:pPr>
            <w:r>
              <w:rPr>
                <w:sz w:val="18"/>
              </w:rPr>
              <w:t>0.86%</w:t>
            </w:r>
          </w:p>
        </w:tc>
      </w:tr>
      <w:tr w:rsidR="007F373F">
        <w:trPr>
          <w:jc w:val="center"/>
        </w:trPr>
        <w:tc>
          <w:tcPr>
            <w:tcW w:w="4279" w:type="dxa"/>
          </w:tcPr>
          <w:p w:rsidR="007F373F" w:rsidRDefault="00000000">
            <w:pPr>
              <w:spacing w:after="0"/>
              <w:jc w:val="left"/>
            </w:pPr>
            <w:r>
              <w:rPr>
                <w:sz w:val="18"/>
              </w:rPr>
              <w:t>Total income</w:t>
            </w:r>
          </w:p>
        </w:tc>
        <w:tc>
          <w:tcPr>
            <w:tcW w:w="1518" w:type="dxa"/>
          </w:tcPr>
          <w:p w:rsidR="007F373F" w:rsidRDefault="00000000">
            <w:pPr>
              <w:spacing w:after="0"/>
              <w:jc w:val="right"/>
            </w:pPr>
            <w:r>
              <w:rPr>
                <w:sz w:val="18"/>
              </w:rPr>
              <w:t>222,661</w:t>
            </w:r>
          </w:p>
        </w:tc>
        <w:tc>
          <w:tcPr>
            <w:tcW w:w="1518" w:type="dxa"/>
          </w:tcPr>
          <w:p w:rsidR="007F373F" w:rsidRDefault="00000000">
            <w:pPr>
              <w:spacing w:after="0"/>
              <w:jc w:val="right"/>
            </w:pPr>
            <w:r>
              <w:rPr>
                <w:sz w:val="18"/>
              </w:rPr>
              <w:t>207,982</w:t>
            </w:r>
          </w:p>
        </w:tc>
        <w:tc>
          <w:tcPr>
            <w:tcW w:w="1242" w:type="dxa"/>
          </w:tcPr>
          <w:p w:rsidR="007F373F" w:rsidRDefault="00000000">
            <w:pPr>
              <w:spacing w:after="0"/>
              <w:jc w:val="right"/>
            </w:pPr>
            <w:r>
              <w:rPr>
                <w:sz w:val="18"/>
              </w:rPr>
              <w:t>100.00%</w:t>
            </w:r>
          </w:p>
        </w:tc>
        <w:tc>
          <w:tcPr>
            <w:tcW w:w="1173" w:type="dxa"/>
          </w:tcPr>
          <w:p w:rsidR="007F373F" w:rsidRDefault="00000000">
            <w:pPr>
              <w:spacing w:after="0"/>
              <w:jc w:val="right"/>
            </w:pPr>
            <w:r>
              <w:rPr>
                <w:sz w:val="18"/>
              </w:rPr>
              <w:t>100.00%</w:t>
            </w:r>
          </w:p>
        </w:tc>
      </w:tr>
      <w:tr w:rsidR="007F373F">
        <w:trPr>
          <w:jc w:val="center"/>
        </w:trPr>
        <w:tc>
          <w:tcPr>
            <w:tcW w:w="4279" w:type="dxa"/>
          </w:tcPr>
          <w:p w:rsidR="007F373F" w:rsidRDefault="00000000">
            <w:pPr>
              <w:spacing w:after="0"/>
              <w:jc w:val="left"/>
            </w:pPr>
            <w:r>
              <w:rPr>
                <w:sz w:val="18"/>
              </w:rPr>
              <w:t>Finance costs</w:t>
            </w:r>
          </w:p>
        </w:tc>
        <w:tc>
          <w:tcPr>
            <w:tcW w:w="1518" w:type="dxa"/>
          </w:tcPr>
          <w:p w:rsidR="007F373F" w:rsidRDefault="00000000">
            <w:pPr>
              <w:spacing w:after="0"/>
              <w:jc w:val="right"/>
            </w:pPr>
            <w:r>
              <w:rPr>
                <w:sz w:val="18"/>
              </w:rPr>
              <w:t>87,932</w:t>
            </w:r>
          </w:p>
        </w:tc>
        <w:tc>
          <w:tcPr>
            <w:tcW w:w="1518" w:type="dxa"/>
          </w:tcPr>
          <w:p w:rsidR="007F373F" w:rsidRDefault="00000000">
            <w:pPr>
              <w:spacing w:after="0"/>
              <w:jc w:val="right"/>
            </w:pPr>
            <w:r>
              <w:rPr>
                <w:sz w:val="18"/>
              </w:rPr>
              <w:t>85,378</w:t>
            </w:r>
          </w:p>
        </w:tc>
        <w:tc>
          <w:tcPr>
            <w:tcW w:w="1242" w:type="dxa"/>
          </w:tcPr>
          <w:p w:rsidR="007F373F" w:rsidRDefault="00000000">
            <w:pPr>
              <w:spacing w:after="0"/>
              <w:jc w:val="right"/>
            </w:pPr>
            <w:r>
              <w:rPr>
                <w:sz w:val="18"/>
              </w:rPr>
              <w:t>39.49%</w:t>
            </w:r>
          </w:p>
        </w:tc>
        <w:tc>
          <w:tcPr>
            <w:tcW w:w="1173" w:type="dxa"/>
          </w:tcPr>
          <w:p w:rsidR="007F373F" w:rsidRDefault="00000000">
            <w:pPr>
              <w:spacing w:after="0"/>
              <w:jc w:val="right"/>
            </w:pPr>
            <w:r>
              <w:rPr>
                <w:sz w:val="18"/>
              </w:rPr>
              <w:t>41.05%</w:t>
            </w:r>
          </w:p>
        </w:tc>
      </w:tr>
      <w:tr w:rsidR="007F373F">
        <w:trPr>
          <w:jc w:val="center"/>
        </w:trPr>
        <w:tc>
          <w:tcPr>
            <w:tcW w:w="4279" w:type="dxa"/>
          </w:tcPr>
          <w:p w:rsidR="007F373F" w:rsidRDefault="00000000">
            <w:pPr>
              <w:spacing w:after="0"/>
              <w:jc w:val="left"/>
            </w:pPr>
            <w:r>
              <w:rPr>
                <w:sz w:val="18"/>
              </w:rPr>
              <w:t>Fee and commission expense</w:t>
            </w:r>
          </w:p>
        </w:tc>
        <w:tc>
          <w:tcPr>
            <w:tcW w:w="1518" w:type="dxa"/>
          </w:tcPr>
          <w:p w:rsidR="007F373F" w:rsidRDefault="00000000">
            <w:pPr>
              <w:spacing w:after="0"/>
              <w:jc w:val="right"/>
            </w:pPr>
            <w:r>
              <w:rPr>
                <w:sz w:val="18"/>
              </w:rPr>
              <w:t>-20</w:t>
            </w:r>
          </w:p>
        </w:tc>
        <w:tc>
          <w:tcPr>
            <w:tcW w:w="1518" w:type="dxa"/>
          </w:tcPr>
          <w:p w:rsidR="007F373F" w:rsidRDefault="00000000">
            <w:pPr>
              <w:spacing w:after="0"/>
              <w:jc w:val="right"/>
            </w:pPr>
            <w:r>
              <w:rPr>
                <w:sz w:val="18"/>
              </w:rPr>
              <w:t>1,850</w:t>
            </w:r>
          </w:p>
        </w:tc>
        <w:tc>
          <w:tcPr>
            <w:tcW w:w="1242" w:type="dxa"/>
          </w:tcPr>
          <w:p w:rsidR="007F373F" w:rsidRDefault="00000000">
            <w:pPr>
              <w:spacing w:after="0"/>
              <w:jc w:val="right"/>
            </w:pPr>
            <w:r>
              <w:rPr>
                <w:sz w:val="18"/>
              </w:rPr>
              <w:t>-0.01%</w:t>
            </w:r>
          </w:p>
        </w:tc>
        <w:tc>
          <w:tcPr>
            <w:tcW w:w="1173" w:type="dxa"/>
          </w:tcPr>
          <w:p w:rsidR="007F373F" w:rsidRDefault="00000000">
            <w:pPr>
              <w:spacing w:after="0"/>
              <w:jc w:val="right"/>
            </w:pPr>
            <w:r>
              <w:rPr>
                <w:sz w:val="18"/>
              </w:rPr>
              <w:t>0.89%</w:t>
            </w:r>
          </w:p>
        </w:tc>
      </w:tr>
      <w:tr w:rsidR="007F373F">
        <w:trPr>
          <w:jc w:val="center"/>
        </w:trPr>
        <w:tc>
          <w:tcPr>
            <w:tcW w:w="4279" w:type="dxa"/>
          </w:tcPr>
          <w:p w:rsidR="007F373F" w:rsidRDefault="00000000">
            <w:pPr>
              <w:spacing w:after="0"/>
              <w:jc w:val="left"/>
            </w:pPr>
            <w:r>
              <w:rPr>
                <w:sz w:val="18"/>
              </w:rPr>
              <w:t>Impairment on financial instruments</w:t>
            </w:r>
          </w:p>
        </w:tc>
        <w:tc>
          <w:tcPr>
            <w:tcW w:w="1518" w:type="dxa"/>
          </w:tcPr>
          <w:p w:rsidR="007F373F" w:rsidRDefault="00000000">
            <w:pPr>
              <w:spacing w:after="0"/>
              <w:jc w:val="right"/>
            </w:pPr>
            <w:r>
              <w:rPr>
                <w:sz w:val="18"/>
              </w:rPr>
              <w:t>11,527</w:t>
            </w:r>
          </w:p>
        </w:tc>
        <w:tc>
          <w:tcPr>
            <w:tcW w:w="1518" w:type="dxa"/>
          </w:tcPr>
          <w:p w:rsidR="007F373F" w:rsidRDefault="00000000">
            <w:pPr>
              <w:spacing w:after="0"/>
              <w:jc w:val="right"/>
            </w:pPr>
            <w:r>
              <w:rPr>
                <w:sz w:val="18"/>
              </w:rPr>
              <w:t>21,636</w:t>
            </w:r>
          </w:p>
        </w:tc>
        <w:tc>
          <w:tcPr>
            <w:tcW w:w="1242" w:type="dxa"/>
          </w:tcPr>
          <w:p w:rsidR="007F373F" w:rsidRDefault="00000000">
            <w:pPr>
              <w:spacing w:after="0"/>
              <w:jc w:val="right"/>
            </w:pPr>
            <w:r>
              <w:rPr>
                <w:sz w:val="18"/>
              </w:rPr>
              <w:t>5.18%</w:t>
            </w:r>
          </w:p>
        </w:tc>
        <w:tc>
          <w:tcPr>
            <w:tcW w:w="1173" w:type="dxa"/>
          </w:tcPr>
          <w:p w:rsidR="007F373F" w:rsidRDefault="00000000">
            <w:pPr>
              <w:spacing w:after="0"/>
              <w:jc w:val="right"/>
            </w:pPr>
            <w:r>
              <w:rPr>
                <w:sz w:val="18"/>
              </w:rPr>
              <w:t>10.40%</w:t>
            </w:r>
          </w:p>
        </w:tc>
      </w:tr>
      <w:tr w:rsidR="007F373F">
        <w:trPr>
          <w:jc w:val="center"/>
        </w:trPr>
        <w:tc>
          <w:tcPr>
            <w:tcW w:w="4279" w:type="dxa"/>
          </w:tcPr>
          <w:p w:rsidR="007F373F" w:rsidRDefault="00000000">
            <w:pPr>
              <w:spacing w:after="0"/>
              <w:jc w:val="left"/>
            </w:pPr>
            <w:r>
              <w:rPr>
                <w:sz w:val="18"/>
              </w:rPr>
              <w:t>Employee benefits expense</w:t>
            </w:r>
          </w:p>
        </w:tc>
        <w:tc>
          <w:tcPr>
            <w:tcW w:w="1518" w:type="dxa"/>
          </w:tcPr>
          <w:p w:rsidR="007F373F" w:rsidRDefault="00000000">
            <w:pPr>
              <w:spacing w:after="0"/>
              <w:jc w:val="right"/>
            </w:pPr>
            <w:r>
              <w:rPr>
                <w:sz w:val="18"/>
              </w:rPr>
              <w:t>44,393</w:t>
            </w:r>
          </w:p>
        </w:tc>
        <w:tc>
          <w:tcPr>
            <w:tcW w:w="1518" w:type="dxa"/>
          </w:tcPr>
          <w:p w:rsidR="007F373F" w:rsidRDefault="00000000">
            <w:pPr>
              <w:spacing w:after="0"/>
              <w:jc w:val="right"/>
            </w:pPr>
            <w:r>
              <w:rPr>
                <w:sz w:val="18"/>
              </w:rPr>
              <w:t>39,030</w:t>
            </w:r>
          </w:p>
        </w:tc>
        <w:tc>
          <w:tcPr>
            <w:tcW w:w="1242" w:type="dxa"/>
          </w:tcPr>
          <w:p w:rsidR="007F373F" w:rsidRDefault="00000000">
            <w:pPr>
              <w:spacing w:after="0"/>
              <w:jc w:val="right"/>
            </w:pPr>
            <w:r>
              <w:rPr>
                <w:sz w:val="18"/>
              </w:rPr>
              <w:t>19.94%</w:t>
            </w:r>
          </w:p>
        </w:tc>
        <w:tc>
          <w:tcPr>
            <w:tcW w:w="1173" w:type="dxa"/>
          </w:tcPr>
          <w:p w:rsidR="007F373F" w:rsidRDefault="00000000">
            <w:pPr>
              <w:spacing w:after="0"/>
              <w:jc w:val="right"/>
            </w:pPr>
            <w:r>
              <w:rPr>
                <w:sz w:val="18"/>
              </w:rPr>
              <w:t>18.77%</w:t>
            </w:r>
          </w:p>
        </w:tc>
      </w:tr>
      <w:tr w:rsidR="007F373F">
        <w:trPr>
          <w:jc w:val="center"/>
        </w:trPr>
        <w:tc>
          <w:tcPr>
            <w:tcW w:w="4279" w:type="dxa"/>
          </w:tcPr>
          <w:p w:rsidR="007F373F" w:rsidRDefault="00000000">
            <w:pPr>
              <w:spacing w:after="0"/>
              <w:jc w:val="left"/>
            </w:pPr>
            <w:r>
              <w:rPr>
                <w:sz w:val="18"/>
              </w:rPr>
              <w:t>Depreciation, amortisation and impairment</w:t>
            </w:r>
          </w:p>
        </w:tc>
        <w:tc>
          <w:tcPr>
            <w:tcW w:w="1518" w:type="dxa"/>
          </w:tcPr>
          <w:p w:rsidR="007F373F" w:rsidRDefault="00000000">
            <w:pPr>
              <w:spacing w:after="0"/>
              <w:jc w:val="right"/>
            </w:pPr>
            <w:r>
              <w:rPr>
                <w:sz w:val="18"/>
              </w:rPr>
              <w:t>5,447</w:t>
            </w:r>
          </w:p>
        </w:tc>
        <w:tc>
          <w:tcPr>
            <w:tcW w:w="1518" w:type="dxa"/>
          </w:tcPr>
          <w:p w:rsidR="007F373F" w:rsidRDefault="00000000">
            <w:pPr>
              <w:spacing w:after="0"/>
              <w:jc w:val="right"/>
            </w:pPr>
            <w:r>
              <w:rPr>
                <w:sz w:val="18"/>
              </w:rPr>
              <w:t>4,885</w:t>
            </w:r>
          </w:p>
        </w:tc>
        <w:tc>
          <w:tcPr>
            <w:tcW w:w="1242" w:type="dxa"/>
          </w:tcPr>
          <w:p w:rsidR="007F373F" w:rsidRDefault="00000000">
            <w:pPr>
              <w:spacing w:after="0"/>
              <w:jc w:val="right"/>
            </w:pPr>
            <w:r>
              <w:rPr>
                <w:sz w:val="18"/>
              </w:rPr>
              <w:t>2.45%</w:t>
            </w:r>
          </w:p>
        </w:tc>
        <w:tc>
          <w:tcPr>
            <w:tcW w:w="1173" w:type="dxa"/>
          </w:tcPr>
          <w:p w:rsidR="007F373F" w:rsidRDefault="00000000">
            <w:pPr>
              <w:spacing w:after="0"/>
              <w:jc w:val="right"/>
            </w:pPr>
            <w:r>
              <w:rPr>
                <w:sz w:val="18"/>
              </w:rPr>
              <w:t>2.35%</w:t>
            </w:r>
          </w:p>
        </w:tc>
      </w:tr>
      <w:tr w:rsidR="007F373F">
        <w:trPr>
          <w:jc w:val="center"/>
        </w:trPr>
        <w:tc>
          <w:tcPr>
            <w:tcW w:w="4279" w:type="dxa"/>
          </w:tcPr>
          <w:p w:rsidR="007F373F" w:rsidRDefault="00000000">
            <w:pPr>
              <w:spacing w:after="0"/>
              <w:jc w:val="left"/>
            </w:pPr>
            <w:r>
              <w:rPr>
                <w:sz w:val="18"/>
              </w:rPr>
              <w:t>Other expenses</w:t>
            </w:r>
          </w:p>
        </w:tc>
        <w:tc>
          <w:tcPr>
            <w:tcW w:w="1518" w:type="dxa"/>
          </w:tcPr>
          <w:p w:rsidR="007F373F" w:rsidRDefault="00000000">
            <w:pPr>
              <w:spacing w:after="0"/>
              <w:jc w:val="right"/>
            </w:pPr>
            <w:r>
              <w:rPr>
                <w:sz w:val="18"/>
              </w:rPr>
              <w:t>27,281</w:t>
            </w:r>
          </w:p>
        </w:tc>
        <w:tc>
          <w:tcPr>
            <w:tcW w:w="1518" w:type="dxa"/>
          </w:tcPr>
          <w:p w:rsidR="007F373F" w:rsidRDefault="00000000">
            <w:pPr>
              <w:spacing w:after="0"/>
              <w:jc w:val="right"/>
            </w:pPr>
            <w:r>
              <w:rPr>
                <w:sz w:val="18"/>
              </w:rPr>
              <w:t>24,828</w:t>
            </w:r>
          </w:p>
        </w:tc>
        <w:tc>
          <w:tcPr>
            <w:tcW w:w="1242" w:type="dxa"/>
          </w:tcPr>
          <w:p w:rsidR="007F373F" w:rsidRDefault="00000000">
            <w:pPr>
              <w:spacing w:after="0"/>
              <w:jc w:val="right"/>
            </w:pPr>
            <w:r>
              <w:rPr>
                <w:sz w:val="18"/>
              </w:rPr>
              <w:t>12.25%</w:t>
            </w:r>
          </w:p>
        </w:tc>
        <w:tc>
          <w:tcPr>
            <w:tcW w:w="1173" w:type="dxa"/>
          </w:tcPr>
          <w:p w:rsidR="007F373F" w:rsidRDefault="00000000">
            <w:pPr>
              <w:spacing w:after="0"/>
              <w:jc w:val="right"/>
            </w:pPr>
            <w:r>
              <w:rPr>
                <w:sz w:val="18"/>
              </w:rPr>
              <w:t>11.94%</w:t>
            </w:r>
          </w:p>
        </w:tc>
      </w:tr>
      <w:tr w:rsidR="007F373F">
        <w:trPr>
          <w:jc w:val="center"/>
        </w:trPr>
        <w:tc>
          <w:tcPr>
            <w:tcW w:w="4279" w:type="dxa"/>
          </w:tcPr>
          <w:p w:rsidR="007F373F" w:rsidRDefault="00000000">
            <w:pPr>
              <w:spacing w:after="0"/>
              <w:jc w:val="left"/>
            </w:pPr>
            <w:r>
              <w:rPr>
                <w:sz w:val="18"/>
              </w:rPr>
              <w:t>Total expenses</w:t>
            </w:r>
          </w:p>
        </w:tc>
        <w:tc>
          <w:tcPr>
            <w:tcW w:w="1518" w:type="dxa"/>
          </w:tcPr>
          <w:p w:rsidR="007F373F" w:rsidRDefault="00000000">
            <w:pPr>
              <w:spacing w:after="0"/>
              <w:jc w:val="right"/>
            </w:pPr>
            <w:r>
              <w:rPr>
                <w:sz w:val="18"/>
              </w:rPr>
              <w:t>176,560</w:t>
            </w:r>
          </w:p>
        </w:tc>
        <w:tc>
          <w:tcPr>
            <w:tcW w:w="1518" w:type="dxa"/>
          </w:tcPr>
          <w:p w:rsidR="007F373F" w:rsidRDefault="00000000">
            <w:pPr>
              <w:spacing w:after="0"/>
              <w:jc w:val="right"/>
            </w:pPr>
            <w:r>
              <w:rPr>
                <w:sz w:val="18"/>
              </w:rPr>
              <w:t>177,607</w:t>
            </w:r>
          </w:p>
        </w:tc>
        <w:tc>
          <w:tcPr>
            <w:tcW w:w="1242" w:type="dxa"/>
          </w:tcPr>
          <w:p w:rsidR="007F373F" w:rsidRDefault="00000000">
            <w:pPr>
              <w:spacing w:after="0"/>
              <w:jc w:val="right"/>
            </w:pPr>
            <w:r>
              <w:rPr>
                <w:sz w:val="18"/>
              </w:rPr>
              <w:t>79.30%</w:t>
            </w:r>
          </w:p>
        </w:tc>
        <w:tc>
          <w:tcPr>
            <w:tcW w:w="1173" w:type="dxa"/>
          </w:tcPr>
          <w:p w:rsidR="007F373F" w:rsidRDefault="00000000">
            <w:pPr>
              <w:spacing w:after="0"/>
              <w:jc w:val="right"/>
            </w:pPr>
            <w:r>
              <w:rPr>
                <w:sz w:val="18"/>
              </w:rPr>
              <w:t>85.40%</w:t>
            </w:r>
          </w:p>
        </w:tc>
      </w:tr>
      <w:tr w:rsidR="007F373F">
        <w:trPr>
          <w:jc w:val="center"/>
        </w:trPr>
        <w:tc>
          <w:tcPr>
            <w:tcW w:w="4279" w:type="dxa"/>
          </w:tcPr>
          <w:p w:rsidR="007F373F" w:rsidRDefault="00000000">
            <w:pPr>
              <w:spacing w:after="0"/>
              <w:jc w:val="left"/>
            </w:pPr>
            <w:r>
              <w:rPr>
                <w:sz w:val="18"/>
              </w:rPr>
              <w:t>Profit before tax</w:t>
            </w:r>
          </w:p>
        </w:tc>
        <w:tc>
          <w:tcPr>
            <w:tcW w:w="1518" w:type="dxa"/>
          </w:tcPr>
          <w:p w:rsidR="007F373F" w:rsidRDefault="00000000">
            <w:pPr>
              <w:spacing w:after="0"/>
              <w:jc w:val="right"/>
            </w:pPr>
            <w:r>
              <w:rPr>
                <w:sz w:val="18"/>
              </w:rPr>
              <w:t>46,101</w:t>
            </w:r>
          </w:p>
        </w:tc>
        <w:tc>
          <w:tcPr>
            <w:tcW w:w="1518" w:type="dxa"/>
          </w:tcPr>
          <w:p w:rsidR="007F373F" w:rsidRDefault="00000000">
            <w:pPr>
              <w:spacing w:after="0"/>
              <w:jc w:val="right"/>
            </w:pPr>
            <w:r>
              <w:rPr>
                <w:sz w:val="18"/>
              </w:rPr>
              <w:t>30,375</w:t>
            </w:r>
          </w:p>
        </w:tc>
        <w:tc>
          <w:tcPr>
            <w:tcW w:w="1242" w:type="dxa"/>
          </w:tcPr>
          <w:p w:rsidR="007F373F" w:rsidRDefault="00000000">
            <w:pPr>
              <w:spacing w:after="0"/>
              <w:jc w:val="right"/>
            </w:pPr>
            <w:r>
              <w:rPr>
                <w:sz w:val="18"/>
              </w:rPr>
              <w:t>20.70%</w:t>
            </w:r>
          </w:p>
        </w:tc>
        <w:tc>
          <w:tcPr>
            <w:tcW w:w="1173" w:type="dxa"/>
          </w:tcPr>
          <w:p w:rsidR="007F373F" w:rsidRDefault="00000000">
            <w:pPr>
              <w:spacing w:after="0"/>
              <w:jc w:val="right"/>
            </w:pPr>
            <w:r>
              <w:rPr>
                <w:sz w:val="18"/>
              </w:rPr>
              <w:t>14.60%</w:t>
            </w:r>
          </w:p>
        </w:tc>
      </w:tr>
      <w:tr w:rsidR="007F373F">
        <w:trPr>
          <w:jc w:val="center"/>
        </w:trPr>
        <w:tc>
          <w:tcPr>
            <w:tcW w:w="4279" w:type="dxa"/>
          </w:tcPr>
          <w:p w:rsidR="007F373F" w:rsidRDefault="00000000">
            <w:pPr>
              <w:spacing w:after="0"/>
              <w:jc w:val="left"/>
            </w:pPr>
            <w:r>
              <w:rPr>
                <w:sz w:val="18"/>
              </w:rPr>
              <w:t>Current tax</w:t>
            </w:r>
          </w:p>
        </w:tc>
        <w:tc>
          <w:tcPr>
            <w:tcW w:w="1518" w:type="dxa"/>
          </w:tcPr>
          <w:p w:rsidR="007F373F" w:rsidRDefault="00000000">
            <w:pPr>
              <w:spacing w:after="0"/>
              <w:jc w:val="right"/>
            </w:pPr>
            <w:r>
              <w:rPr>
                <w:sz w:val="18"/>
              </w:rPr>
              <w:t>12,107</w:t>
            </w:r>
          </w:p>
        </w:tc>
        <w:tc>
          <w:tcPr>
            <w:tcW w:w="1518" w:type="dxa"/>
          </w:tcPr>
          <w:p w:rsidR="007F373F" w:rsidRDefault="00000000">
            <w:pPr>
              <w:spacing w:after="0"/>
              <w:jc w:val="right"/>
            </w:pPr>
            <w:r>
              <w:rPr>
                <w:sz w:val="18"/>
              </w:rPr>
              <w:t>10,169</w:t>
            </w:r>
          </w:p>
        </w:tc>
        <w:tc>
          <w:tcPr>
            <w:tcW w:w="1242" w:type="dxa"/>
          </w:tcPr>
          <w:p w:rsidR="007F373F" w:rsidRDefault="00000000">
            <w:pPr>
              <w:spacing w:after="0"/>
              <w:jc w:val="right"/>
            </w:pPr>
            <w:r>
              <w:rPr>
                <w:sz w:val="18"/>
              </w:rPr>
              <w:t>5.44%</w:t>
            </w:r>
          </w:p>
        </w:tc>
        <w:tc>
          <w:tcPr>
            <w:tcW w:w="1173" w:type="dxa"/>
          </w:tcPr>
          <w:p w:rsidR="007F373F" w:rsidRDefault="00000000">
            <w:pPr>
              <w:spacing w:after="0"/>
              <w:jc w:val="right"/>
            </w:pPr>
            <w:r>
              <w:rPr>
                <w:sz w:val="18"/>
              </w:rPr>
              <w:t>4.89%</w:t>
            </w:r>
          </w:p>
        </w:tc>
      </w:tr>
      <w:tr w:rsidR="007F373F">
        <w:trPr>
          <w:jc w:val="center"/>
        </w:trPr>
        <w:tc>
          <w:tcPr>
            <w:tcW w:w="4279" w:type="dxa"/>
          </w:tcPr>
          <w:p w:rsidR="007F373F" w:rsidRDefault="00000000">
            <w:pPr>
              <w:spacing w:after="0"/>
              <w:jc w:val="left"/>
            </w:pPr>
            <w:r>
              <w:rPr>
                <w:sz w:val="18"/>
              </w:rPr>
              <w:t>Deferred tax (credit)</w:t>
            </w:r>
          </w:p>
        </w:tc>
        <w:tc>
          <w:tcPr>
            <w:tcW w:w="1518" w:type="dxa"/>
          </w:tcPr>
          <w:p w:rsidR="007F373F" w:rsidRDefault="00000000">
            <w:pPr>
              <w:spacing w:after="0"/>
              <w:jc w:val="right"/>
            </w:pPr>
            <w:r>
              <w:rPr>
                <w:sz w:val="18"/>
              </w:rPr>
              <w:t>-366</w:t>
            </w:r>
          </w:p>
        </w:tc>
        <w:tc>
          <w:tcPr>
            <w:tcW w:w="1518" w:type="dxa"/>
          </w:tcPr>
          <w:p w:rsidR="007F373F" w:rsidRDefault="00000000">
            <w:pPr>
              <w:spacing w:after="0"/>
              <w:jc w:val="right"/>
            </w:pPr>
            <w:r>
              <w:rPr>
                <w:sz w:val="18"/>
              </w:rPr>
              <w:t>-2,312</w:t>
            </w:r>
          </w:p>
        </w:tc>
        <w:tc>
          <w:tcPr>
            <w:tcW w:w="1242" w:type="dxa"/>
          </w:tcPr>
          <w:p w:rsidR="007F373F" w:rsidRDefault="00000000">
            <w:pPr>
              <w:spacing w:after="0"/>
              <w:jc w:val="right"/>
            </w:pPr>
            <w:r>
              <w:rPr>
                <w:sz w:val="18"/>
              </w:rPr>
              <w:t>-0.16%</w:t>
            </w:r>
          </w:p>
        </w:tc>
        <w:tc>
          <w:tcPr>
            <w:tcW w:w="1173" w:type="dxa"/>
          </w:tcPr>
          <w:p w:rsidR="007F373F" w:rsidRDefault="00000000">
            <w:pPr>
              <w:spacing w:after="0"/>
              <w:jc w:val="right"/>
            </w:pPr>
            <w:r>
              <w:rPr>
                <w:sz w:val="18"/>
              </w:rPr>
              <w:t>-1.11%</w:t>
            </w:r>
          </w:p>
        </w:tc>
      </w:tr>
      <w:tr w:rsidR="007F373F">
        <w:trPr>
          <w:jc w:val="center"/>
        </w:trPr>
        <w:tc>
          <w:tcPr>
            <w:tcW w:w="4279" w:type="dxa"/>
          </w:tcPr>
          <w:p w:rsidR="007F373F" w:rsidRDefault="00000000">
            <w:pPr>
              <w:spacing w:after="0"/>
              <w:jc w:val="left"/>
            </w:pPr>
            <w:r>
              <w:rPr>
                <w:sz w:val="18"/>
              </w:rPr>
              <w:t>Profit for the year</w:t>
            </w:r>
          </w:p>
        </w:tc>
        <w:tc>
          <w:tcPr>
            <w:tcW w:w="1518" w:type="dxa"/>
          </w:tcPr>
          <w:p w:rsidR="007F373F" w:rsidRDefault="00000000">
            <w:pPr>
              <w:spacing w:after="0"/>
              <w:jc w:val="right"/>
            </w:pPr>
            <w:r>
              <w:rPr>
                <w:sz w:val="18"/>
              </w:rPr>
              <w:t>34,360</w:t>
            </w:r>
          </w:p>
        </w:tc>
        <w:tc>
          <w:tcPr>
            <w:tcW w:w="1518" w:type="dxa"/>
          </w:tcPr>
          <w:p w:rsidR="007F373F" w:rsidRDefault="00000000">
            <w:pPr>
              <w:spacing w:after="0"/>
              <w:jc w:val="right"/>
            </w:pPr>
            <w:r>
              <w:rPr>
                <w:sz w:val="18"/>
              </w:rPr>
              <w:t>22,518</w:t>
            </w:r>
          </w:p>
        </w:tc>
        <w:tc>
          <w:tcPr>
            <w:tcW w:w="1242" w:type="dxa"/>
          </w:tcPr>
          <w:p w:rsidR="007F373F" w:rsidRDefault="00000000">
            <w:pPr>
              <w:spacing w:after="0"/>
              <w:jc w:val="right"/>
            </w:pPr>
            <w:r>
              <w:rPr>
                <w:sz w:val="18"/>
              </w:rPr>
              <w:t>15.43%</w:t>
            </w:r>
          </w:p>
        </w:tc>
        <w:tc>
          <w:tcPr>
            <w:tcW w:w="1173" w:type="dxa"/>
          </w:tcPr>
          <w:p w:rsidR="007F373F" w:rsidRDefault="00000000">
            <w:pPr>
              <w:spacing w:after="0"/>
              <w:jc w:val="right"/>
            </w:pPr>
            <w:r>
              <w:rPr>
                <w:sz w:val="18"/>
              </w:rPr>
              <w:t>10.83%</w:t>
            </w:r>
          </w:p>
        </w:tc>
      </w:tr>
      <w:tr w:rsidR="007F373F">
        <w:trPr>
          <w:jc w:val="center"/>
        </w:trPr>
        <w:tc>
          <w:tcPr>
            <w:tcW w:w="4279" w:type="dxa"/>
          </w:tcPr>
          <w:p w:rsidR="007F373F" w:rsidRDefault="00000000">
            <w:pPr>
              <w:spacing w:after="0"/>
              <w:jc w:val="left"/>
            </w:pPr>
            <w:r>
              <w:rPr>
                <w:sz w:val="18"/>
              </w:rPr>
              <w:t>Other comprehensive income (net of tax)</w:t>
            </w:r>
          </w:p>
        </w:tc>
        <w:tc>
          <w:tcPr>
            <w:tcW w:w="1518" w:type="dxa"/>
          </w:tcPr>
          <w:p w:rsidR="007F373F" w:rsidRDefault="00000000">
            <w:pPr>
              <w:spacing w:after="0"/>
              <w:jc w:val="right"/>
            </w:pPr>
            <w:r>
              <w:rPr>
                <w:sz w:val="18"/>
              </w:rPr>
              <w:t>1,502</w:t>
            </w:r>
          </w:p>
        </w:tc>
        <w:tc>
          <w:tcPr>
            <w:tcW w:w="1518" w:type="dxa"/>
          </w:tcPr>
          <w:p w:rsidR="007F373F" w:rsidRDefault="00000000">
            <w:pPr>
              <w:spacing w:after="0"/>
              <w:jc w:val="right"/>
            </w:pPr>
            <w:r>
              <w:rPr>
                <w:sz w:val="18"/>
              </w:rPr>
              <w:t>4,159</w:t>
            </w:r>
          </w:p>
        </w:tc>
        <w:tc>
          <w:tcPr>
            <w:tcW w:w="1242" w:type="dxa"/>
          </w:tcPr>
          <w:p w:rsidR="007F373F" w:rsidRDefault="00000000">
            <w:pPr>
              <w:spacing w:after="0"/>
              <w:jc w:val="right"/>
            </w:pPr>
            <w:r>
              <w:rPr>
                <w:sz w:val="18"/>
              </w:rPr>
              <w:t>0.67%</w:t>
            </w:r>
          </w:p>
        </w:tc>
        <w:tc>
          <w:tcPr>
            <w:tcW w:w="1173" w:type="dxa"/>
          </w:tcPr>
          <w:p w:rsidR="007F373F" w:rsidRDefault="00000000">
            <w:pPr>
              <w:spacing w:after="0"/>
              <w:jc w:val="right"/>
            </w:pPr>
            <w:r>
              <w:rPr>
                <w:sz w:val="18"/>
              </w:rPr>
              <w:t>2.00%</w:t>
            </w:r>
          </w:p>
        </w:tc>
      </w:tr>
      <w:tr w:rsidR="007F373F">
        <w:trPr>
          <w:jc w:val="center"/>
        </w:trPr>
        <w:tc>
          <w:tcPr>
            <w:tcW w:w="4279" w:type="dxa"/>
          </w:tcPr>
          <w:p w:rsidR="007F373F" w:rsidRDefault="00000000">
            <w:pPr>
              <w:spacing w:after="0"/>
              <w:jc w:val="left"/>
            </w:pPr>
            <w:r>
              <w:rPr>
                <w:sz w:val="18"/>
              </w:rPr>
              <w:t>Total comprehensive income</w:t>
            </w:r>
          </w:p>
        </w:tc>
        <w:tc>
          <w:tcPr>
            <w:tcW w:w="1518" w:type="dxa"/>
          </w:tcPr>
          <w:p w:rsidR="007F373F" w:rsidRDefault="00000000">
            <w:pPr>
              <w:spacing w:after="0"/>
              <w:jc w:val="right"/>
            </w:pPr>
            <w:r>
              <w:rPr>
                <w:sz w:val="18"/>
              </w:rPr>
              <w:t>35,862</w:t>
            </w:r>
          </w:p>
        </w:tc>
        <w:tc>
          <w:tcPr>
            <w:tcW w:w="1518" w:type="dxa"/>
          </w:tcPr>
          <w:p w:rsidR="007F373F" w:rsidRDefault="00000000">
            <w:pPr>
              <w:spacing w:after="0"/>
              <w:jc w:val="right"/>
            </w:pPr>
            <w:r>
              <w:rPr>
                <w:sz w:val="18"/>
              </w:rPr>
              <w:t>26,677</w:t>
            </w:r>
          </w:p>
        </w:tc>
        <w:tc>
          <w:tcPr>
            <w:tcW w:w="1242" w:type="dxa"/>
          </w:tcPr>
          <w:p w:rsidR="007F373F" w:rsidRDefault="00000000">
            <w:pPr>
              <w:spacing w:after="0"/>
              <w:jc w:val="right"/>
            </w:pPr>
            <w:r>
              <w:rPr>
                <w:sz w:val="18"/>
              </w:rPr>
              <w:t>16.11%</w:t>
            </w:r>
          </w:p>
        </w:tc>
        <w:tc>
          <w:tcPr>
            <w:tcW w:w="1173" w:type="dxa"/>
          </w:tcPr>
          <w:p w:rsidR="007F373F" w:rsidRDefault="00000000">
            <w:pPr>
              <w:spacing w:after="0"/>
              <w:jc w:val="right"/>
            </w:pPr>
            <w:r>
              <w:rPr>
                <w:sz w:val="18"/>
              </w:rPr>
              <w:t>12.83%</w:t>
            </w:r>
          </w:p>
        </w:tc>
      </w:tr>
    </w:tbl>
    <w:p w:rsidR="007F373F" w:rsidRDefault="00000000">
      <w:pPr>
        <w:spacing w:before="40" w:after="80"/>
      </w:pPr>
      <w:r>
        <w:rPr>
          <w:i/>
          <w:sz w:val="18"/>
        </w:rPr>
        <w:t>Source: Fedfina Annual Report 2025-26, Statement of Profit and Loss for the year ended 31 March 2026.</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175"/>
        <w:gridCol w:w="966"/>
        <w:gridCol w:w="966"/>
        <w:gridCol w:w="2761"/>
        <w:gridCol w:w="966"/>
        <w:gridCol w:w="897"/>
      </w:tblGrid>
      <w:tr w:rsidR="007F373F">
        <w:trPr>
          <w:jc w:val="center"/>
        </w:trPr>
        <w:tc>
          <w:tcPr>
            <w:tcW w:w="3175" w:type="dxa"/>
          </w:tcPr>
          <w:p w:rsidR="007F373F" w:rsidRDefault="00000000">
            <w:pPr>
              <w:spacing w:after="0"/>
              <w:jc w:val="left"/>
            </w:pPr>
            <w:r>
              <w:rPr>
                <w:b/>
                <w:sz w:val="18"/>
              </w:rPr>
              <w:t>Selected notes (₹ lakh)</w:t>
            </w:r>
          </w:p>
        </w:tc>
        <w:tc>
          <w:tcPr>
            <w:tcW w:w="966" w:type="dxa"/>
          </w:tcPr>
          <w:p w:rsidR="007F373F" w:rsidRDefault="00000000">
            <w:pPr>
              <w:spacing w:after="0"/>
              <w:jc w:val="left"/>
            </w:pPr>
            <w:r>
              <w:rPr>
                <w:b/>
                <w:sz w:val="18"/>
              </w:rPr>
              <w:t>FY26</w:t>
            </w:r>
          </w:p>
        </w:tc>
        <w:tc>
          <w:tcPr>
            <w:tcW w:w="966" w:type="dxa"/>
          </w:tcPr>
          <w:p w:rsidR="007F373F" w:rsidRDefault="00000000">
            <w:pPr>
              <w:spacing w:after="0"/>
              <w:jc w:val="left"/>
            </w:pPr>
            <w:r>
              <w:rPr>
                <w:b/>
                <w:sz w:val="18"/>
              </w:rPr>
              <w:t>FY25</w:t>
            </w:r>
          </w:p>
        </w:tc>
        <w:tc>
          <w:tcPr>
            <w:tcW w:w="2761" w:type="dxa"/>
          </w:tcPr>
          <w:p w:rsidR="007F373F" w:rsidRDefault="00000000">
            <w:pPr>
              <w:spacing w:after="0"/>
              <w:jc w:val="left"/>
            </w:pPr>
            <w:r>
              <w:rPr>
                <w:b/>
                <w:sz w:val="18"/>
              </w:rPr>
              <w:t>Selected notes (₹ lakh)</w:t>
            </w:r>
          </w:p>
        </w:tc>
        <w:tc>
          <w:tcPr>
            <w:tcW w:w="966" w:type="dxa"/>
          </w:tcPr>
          <w:p w:rsidR="007F373F" w:rsidRDefault="00000000">
            <w:pPr>
              <w:spacing w:after="0"/>
              <w:jc w:val="left"/>
            </w:pPr>
            <w:r>
              <w:rPr>
                <w:b/>
                <w:sz w:val="18"/>
              </w:rPr>
              <w:t>FY26</w:t>
            </w:r>
          </w:p>
        </w:tc>
        <w:tc>
          <w:tcPr>
            <w:tcW w:w="897" w:type="dxa"/>
          </w:tcPr>
          <w:p w:rsidR="007F373F" w:rsidRDefault="00000000">
            <w:pPr>
              <w:spacing w:after="0"/>
              <w:jc w:val="left"/>
            </w:pPr>
            <w:r>
              <w:rPr>
                <w:b/>
                <w:sz w:val="18"/>
              </w:rPr>
              <w:t>FY25</w:t>
            </w:r>
          </w:p>
        </w:tc>
      </w:tr>
      <w:tr w:rsidR="007F373F">
        <w:trPr>
          <w:jc w:val="center"/>
        </w:trPr>
        <w:tc>
          <w:tcPr>
            <w:tcW w:w="3175" w:type="dxa"/>
          </w:tcPr>
          <w:p w:rsidR="007F373F" w:rsidRDefault="00000000">
            <w:pPr>
              <w:spacing w:after="0"/>
              <w:jc w:val="left"/>
            </w:pPr>
            <w:r>
              <w:rPr>
                <w:sz w:val="18"/>
              </w:rPr>
              <w:t>Note 27 – Income from distribution</w:t>
            </w:r>
          </w:p>
        </w:tc>
        <w:tc>
          <w:tcPr>
            <w:tcW w:w="966" w:type="dxa"/>
          </w:tcPr>
          <w:p w:rsidR="007F373F" w:rsidRDefault="00000000">
            <w:pPr>
              <w:spacing w:after="0"/>
              <w:jc w:val="right"/>
            </w:pPr>
            <w:r>
              <w:rPr>
                <w:sz w:val="18"/>
              </w:rPr>
              <w:t>4,083</w:t>
            </w:r>
          </w:p>
        </w:tc>
        <w:tc>
          <w:tcPr>
            <w:tcW w:w="966" w:type="dxa"/>
          </w:tcPr>
          <w:p w:rsidR="007F373F" w:rsidRDefault="00000000">
            <w:pPr>
              <w:spacing w:after="0"/>
              <w:jc w:val="right"/>
            </w:pPr>
            <w:r>
              <w:rPr>
                <w:sz w:val="18"/>
              </w:rPr>
              <w:t>5,915</w:t>
            </w:r>
          </w:p>
        </w:tc>
        <w:tc>
          <w:tcPr>
            <w:tcW w:w="2761" w:type="dxa"/>
          </w:tcPr>
          <w:p w:rsidR="007F373F" w:rsidRDefault="00000000">
            <w:pPr>
              <w:spacing w:after="0"/>
              <w:jc w:val="left"/>
            </w:pPr>
            <w:r>
              <w:rPr>
                <w:sz w:val="18"/>
              </w:rPr>
              <w:t>Note 30 – Interest on borrowings</w:t>
            </w:r>
          </w:p>
        </w:tc>
        <w:tc>
          <w:tcPr>
            <w:tcW w:w="966" w:type="dxa"/>
          </w:tcPr>
          <w:p w:rsidR="007F373F" w:rsidRDefault="00000000">
            <w:pPr>
              <w:spacing w:after="0"/>
              <w:jc w:val="right"/>
            </w:pPr>
            <w:r>
              <w:rPr>
                <w:sz w:val="18"/>
              </w:rPr>
              <w:t>73,394</w:t>
            </w:r>
          </w:p>
        </w:tc>
        <w:tc>
          <w:tcPr>
            <w:tcW w:w="897" w:type="dxa"/>
          </w:tcPr>
          <w:p w:rsidR="007F373F" w:rsidRDefault="00000000">
            <w:pPr>
              <w:spacing w:after="0"/>
              <w:jc w:val="right"/>
            </w:pPr>
            <w:r>
              <w:rPr>
                <w:sz w:val="18"/>
              </w:rPr>
              <w:t>73,220</w:t>
            </w:r>
          </w:p>
        </w:tc>
      </w:tr>
      <w:tr w:rsidR="007F373F">
        <w:trPr>
          <w:jc w:val="center"/>
        </w:trPr>
        <w:tc>
          <w:tcPr>
            <w:tcW w:w="3175" w:type="dxa"/>
          </w:tcPr>
          <w:p w:rsidR="007F373F" w:rsidRDefault="00000000">
            <w:pPr>
              <w:spacing w:after="0"/>
              <w:jc w:val="left"/>
            </w:pPr>
            <w:r>
              <w:rPr>
                <w:sz w:val="18"/>
              </w:rPr>
              <w:t>Note 27 – Loan servicing fee</w:t>
            </w:r>
          </w:p>
        </w:tc>
        <w:tc>
          <w:tcPr>
            <w:tcW w:w="966" w:type="dxa"/>
          </w:tcPr>
          <w:p w:rsidR="007F373F" w:rsidRDefault="00000000">
            <w:pPr>
              <w:spacing w:after="0"/>
              <w:jc w:val="right"/>
            </w:pPr>
            <w:r>
              <w:rPr>
                <w:sz w:val="18"/>
              </w:rPr>
              <w:t>525</w:t>
            </w:r>
          </w:p>
        </w:tc>
        <w:tc>
          <w:tcPr>
            <w:tcW w:w="966" w:type="dxa"/>
          </w:tcPr>
          <w:p w:rsidR="007F373F" w:rsidRDefault="00000000">
            <w:pPr>
              <w:spacing w:after="0"/>
              <w:jc w:val="right"/>
            </w:pPr>
            <w:r>
              <w:rPr>
                <w:sz w:val="18"/>
              </w:rPr>
              <w:t>272</w:t>
            </w:r>
          </w:p>
        </w:tc>
        <w:tc>
          <w:tcPr>
            <w:tcW w:w="2761" w:type="dxa"/>
          </w:tcPr>
          <w:p w:rsidR="007F373F" w:rsidRDefault="00000000">
            <w:pPr>
              <w:spacing w:after="0"/>
              <w:jc w:val="left"/>
            </w:pPr>
            <w:r>
              <w:rPr>
                <w:sz w:val="18"/>
              </w:rPr>
              <w:t>Note 30 – Interest on debt securities</w:t>
            </w:r>
          </w:p>
        </w:tc>
        <w:tc>
          <w:tcPr>
            <w:tcW w:w="966" w:type="dxa"/>
          </w:tcPr>
          <w:p w:rsidR="007F373F" w:rsidRDefault="00000000">
            <w:pPr>
              <w:spacing w:after="0"/>
              <w:jc w:val="right"/>
            </w:pPr>
            <w:r>
              <w:rPr>
                <w:sz w:val="18"/>
              </w:rPr>
              <w:t>7,127</w:t>
            </w:r>
          </w:p>
        </w:tc>
        <w:tc>
          <w:tcPr>
            <w:tcW w:w="897" w:type="dxa"/>
          </w:tcPr>
          <w:p w:rsidR="007F373F" w:rsidRDefault="00000000">
            <w:pPr>
              <w:spacing w:after="0"/>
              <w:jc w:val="right"/>
            </w:pPr>
            <w:r>
              <w:rPr>
                <w:sz w:val="18"/>
              </w:rPr>
              <w:t>8,403</w:t>
            </w:r>
          </w:p>
        </w:tc>
      </w:tr>
      <w:tr w:rsidR="007F373F">
        <w:trPr>
          <w:jc w:val="center"/>
        </w:trPr>
        <w:tc>
          <w:tcPr>
            <w:tcW w:w="3175" w:type="dxa"/>
          </w:tcPr>
          <w:p w:rsidR="007F373F" w:rsidRDefault="00000000">
            <w:pPr>
              <w:spacing w:after="0"/>
              <w:jc w:val="left"/>
            </w:pPr>
            <w:r>
              <w:rPr>
                <w:sz w:val="18"/>
              </w:rPr>
              <w:t>Note 27 – Other fees and charges</w:t>
            </w:r>
          </w:p>
        </w:tc>
        <w:tc>
          <w:tcPr>
            <w:tcW w:w="966" w:type="dxa"/>
          </w:tcPr>
          <w:p w:rsidR="007F373F" w:rsidRDefault="00000000">
            <w:pPr>
              <w:spacing w:after="0"/>
              <w:jc w:val="right"/>
            </w:pPr>
            <w:r>
              <w:rPr>
                <w:sz w:val="18"/>
              </w:rPr>
              <w:t>5,061</w:t>
            </w:r>
          </w:p>
        </w:tc>
        <w:tc>
          <w:tcPr>
            <w:tcW w:w="966" w:type="dxa"/>
          </w:tcPr>
          <w:p w:rsidR="007F373F" w:rsidRDefault="00000000">
            <w:pPr>
              <w:spacing w:after="0"/>
              <w:jc w:val="right"/>
            </w:pPr>
            <w:r>
              <w:rPr>
                <w:sz w:val="18"/>
              </w:rPr>
              <w:t>4,984</w:t>
            </w:r>
          </w:p>
        </w:tc>
        <w:tc>
          <w:tcPr>
            <w:tcW w:w="2761" w:type="dxa"/>
          </w:tcPr>
          <w:p w:rsidR="007F373F" w:rsidRDefault="00000000">
            <w:pPr>
              <w:spacing w:after="0"/>
              <w:jc w:val="left"/>
            </w:pPr>
            <w:r>
              <w:rPr>
                <w:sz w:val="18"/>
              </w:rPr>
              <w:t>Note 30 – Interest on subordinated liabilities</w:t>
            </w:r>
          </w:p>
        </w:tc>
        <w:tc>
          <w:tcPr>
            <w:tcW w:w="966" w:type="dxa"/>
          </w:tcPr>
          <w:p w:rsidR="007F373F" w:rsidRDefault="00000000">
            <w:pPr>
              <w:spacing w:after="0"/>
              <w:jc w:val="right"/>
            </w:pPr>
            <w:r>
              <w:rPr>
                <w:sz w:val="18"/>
              </w:rPr>
              <w:t>4,356</w:t>
            </w:r>
          </w:p>
        </w:tc>
        <w:tc>
          <w:tcPr>
            <w:tcW w:w="897" w:type="dxa"/>
          </w:tcPr>
          <w:p w:rsidR="007F373F" w:rsidRDefault="00000000">
            <w:pPr>
              <w:spacing w:after="0"/>
              <w:jc w:val="right"/>
            </w:pPr>
            <w:r>
              <w:rPr>
                <w:sz w:val="18"/>
              </w:rPr>
              <w:t>1,257</w:t>
            </w:r>
          </w:p>
        </w:tc>
      </w:tr>
      <w:tr w:rsidR="007F373F">
        <w:trPr>
          <w:jc w:val="center"/>
        </w:trPr>
        <w:tc>
          <w:tcPr>
            <w:tcW w:w="3175" w:type="dxa"/>
          </w:tcPr>
          <w:p w:rsidR="007F373F" w:rsidRDefault="00000000">
            <w:pPr>
              <w:spacing w:after="0"/>
              <w:jc w:val="left"/>
            </w:pPr>
            <w:r>
              <w:rPr>
                <w:sz w:val="18"/>
              </w:rPr>
              <w:t>Note 32 – Bad debts net of recovery (amortised)</w:t>
            </w:r>
          </w:p>
        </w:tc>
        <w:tc>
          <w:tcPr>
            <w:tcW w:w="966" w:type="dxa"/>
          </w:tcPr>
          <w:p w:rsidR="007F373F" w:rsidRDefault="00000000">
            <w:pPr>
              <w:spacing w:after="0"/>
              <w:jc w:val="right"/>
            </w:pPr>
            <w:r>
              <w:rPr>
                <w:sz w:val="18"/>
              </w:rPr>
              <w:t>8,352</w:t>
            </w:r>
          </w:p>
        </w:tc>
        <w:tc>
          <w:tcPr>
            <w:tcW w:w="966" w:type="dxa"/>
          </w:tcPr>
          <w:p w:rsidR="007F373F" w:rsidRDefault="00000000">
            <w:pPr>
              <w:spacing w:after="0"/>
              <w:jc w:val="right"/>
            </w:pPr>
            <w:r>
              <w:rPr>
                <w:sz w:val="18"/>
              </w:rPr>
              <w:t>3,151</w:t>
            </w:r>
          </w:p>
        </w:tc>
        <w:tc>
          <w:tcPr>
            <w:tcW w:w="2761" w:type="dxa"/>
          </w:tcPr>
          <w:p w:rsidR="007F373F" w:rsidRDefault="00000000">
            <w:pPr>
              <w:spacing w:after="0"/>
              <w:jc w:val="left"/>
            </w:pPr>
            <w:r>
              <w:rPr>
                <w:sz w:val="18"/>
              </w:rPr>
              <w:t>Note 30 – Interest on lease liability</w:t>
            </w:r>
          </w:p>
        </w:tc>
        <w:tc>
          <w:tcPr>
            <w:tcW w:w="966" w:type="dxa"/>
          </w:tcPr>
          <w:p w:rsidR="007F373F" w:rsidRDefault="00000000">
            <w:pPr>
              <w:spacing w:after="0"/>
              <w:jc w:val="right"/>
            </w:pPr>
            <w:r>
              <w:rPr>
                <w:sz w:val="18"/>
              </w:rPr>
              <w:t>1,328</w:t>
            </w:r>
          </w:p>
        </w:tc>
        <w:tc>
          <w:tcPr>
            <w:tcW w:w="897" w:type="dxa"/>
          </w:tcPr>
          <w:p w:rsidR="007F373F" w:rsidRDefault="00000000">
            <w:pPr>
              <w:spacing w:after="0"/>
              <w:jc w:val="right"/>
            </w:pPr>
            <w:r>
              <w:rPr>
                <w:sz w:val="18"/>
              </w:rPr>
              <w:t>1,204</w:t>
            </w:r>
          </w:p>
        </w:tc>
      </w:tr>
      <w:tr w:rsidR="007F373F">
        <w:trPr>
          <w:jc w:val="center"/>
        </w:trPr>
        <w:tc>
          <w:tcPr>
            <w:tcW w:w="3175" w:type="dxa"/>
          </w:tcPr>
          <w:p w:rsidR="007F373F" w:rsidRDefault="00000000">
            <w:pPr>
              <w:spacing w:after="0"/>
              <w:jc w:val="left"/>
            </w:pPr>
            <w:r>
              <w:rPr>
                <w:sz w:val="18"/>
              </w:rPr>
              <w:t>Note 32 – ECL provision (amortised)</w:t>
            </w:r>
          </w:p>
        </w:tc>
        <w:tc>
          <w:tcPr>
            <w:tcW w:w="966" w:type="dxa"/>
          </w:tcPr>
          <w:p w:rsidR="007F373F" w:rsidRDefault="00000000">
            <w:pPr>
              <w:spacing w:after="0"/>
              <w:jc w:val="right"/>
            </w:pPr>
            <w:r>
              <w:rPr>
                <w:sz w:val="18"/>
              </w:rPr>
              <w:t>-537</w:t>
            </w:r>
          </w:p>
        </w:tc>
        <w:tc>
          <w:tcPr>
            <w:tcW w:w="966" w:type="dxa"/>
          </w:tcPr>
          <w:p w:rsidR="007F373F" w:rsidRDefault="00000000">
            <w:pPr>
              <w:spacing w:after="0"/>
              <w:jc w:val="right"/>
            </w:pPr>
            <w:r>
              <w:rPr>
                <w:sz w:val="18"/>
              </w:rPr>
              <w:t>9,824</w:t>
            </w:r>
          </w:p>
        </w:tc>
        <w:tc>
          <w:tcPr>
            <w:tcW w:w="2761" w:type="dxa"/>
          </w:tcPr>
          <w:p w:rsidR="007F373F" w:rsidRDefault="00000000">
            <w:pPr>
              <w:spacing w:after="0"/>
              <w:jc w:val="left"/>
            </w:pPr>
            <w:r>
              <w:rPr>
                <w:sz w:val="18"/>
              </w:rPr>
              <w:t>Note 33 – Salaries and wages</w:t>
            </w:r>
          </w:p>
        </w:tc>
        <w:tc>
          <w:tcPr>
            <w:tcW w:w="966" w:type="dxa"/>
          </w:tcPr>
          <w:p w:rsidR="007F373F" w:rsidRDefault="00000000">
            <w:pPr>
              <w:spacing w:after="0"/>
              <w:jc w:val="right"/>
            </w:pPr>
            <w:r>
              <w:rPr>
                <w:sz w:val="18"/>
              </w:rPr>
              <w:t>40,027</w:t>
            </w:r>
          </w:p>
        </w:tc>
        <w:tc>
          <w:tcPr>
            <w:tcW w:w="897" w:type="dxa"/>
          </w:tcPr>
          <w:p w:rsidR="007F373F" w:rsidRDefault="00000000">
            <w:pPr>
              <w:spacing w:after="0"/>
              <w:jc w:val="right"/>
            </w:pPr>
            <w:r>
              <w:rPr>
                <w:sz w:val="18"/>
              </w:rPr>
              <w:t>35,928</w:t>
            </w:r>
          </w:p>
        </w:tc>
      </w:tr>
      <w:tr w:rsidR="007F373F">
        <w:trPr>
          <w:jc w:val="center"/>
        </w:trPr>
        <w:tc>
          <w:tcPr>
            <w:tcW w:w="3175" w:type="dxa"/>
          </w:tcPr>
          <w:p w:rsidR="007F373F" w:rsidRDefault="00000000">
            <w:pPr>
              <w:spacing w:after="0"/>
              <w:jc w:val="left"/>
            </w:pPr>
            <w:r>
              <w:rPr>
                <w:sz w:val="18"/>
              </w:rPr>
              <w:t>Note 32 – Bad debts net of recovery (FVOCI)</w:t>
            </w:r>
          </w:p>
        </w:tc>
        <w:tc>
          <w:tcPr>
            <w:tcW w:w="966" w:type="dxa"/>
          </w:tcPr>
          <w:p w:rsidR="007F373F" w:rsidRDefault="00000000">
            <w:pPr>
              <w:spacing w:after="0"/>
              <w:jc w:val="right"/>
            </w:pPr>
            <w:r>
              <w:rPr>
                <w:sz w:val="18"/>
              </w:rPr>
              <w:t>5,023</w:t>
            </w:r>
          </w:p>
        </w:tc>
        <w:tc>
          <w:tcPr>
            <w:tcW w:w="966" w:type="dxa"/>
          </w:tcPr>
          <w:p w:rsidR="007F373F" w:rsidRDefault="00000000">
            <w:pPr>
              <w:spacing w:after="0"/>
              <w:jc w:val="right"/>
            </w:pPr>
            <w:r>
              <w:rPr>
                <w:sz w:val="18"/>
              </w:rPr>
              <w:t>1,564</w:t>
            </w:r>
          </w:p>
        </w:tc>
        <w:tc>
          <w:tcPr>
            <w:tcW w:w="2761" w:type="dxa"/>
          </w:tcPr>
          <w:p w:rsidR="007F373F" w:rsidRDefault="00000000">
            <w:pPr>
              <w:spacing w:after="0"/>
              <w:jc w:val="left"/>
            </w:pPr>
            <w:r>
              <w:rPr>
                <w:sz w:val="18"/>
              </w:rPr>
              <w:t>Note 33 – Share-based payments</w:t>
            </w:r>
          </w:p>
        </w:tc>
        <w:tc>
          <w:tcPr>
            <w:tcW w:w="966" w:type="dxa"/>
          </w:tcPr>
          <w:p w:rsidR="007F373F" w:rsidRDefault="00000000">
            <w:pPr>
              <w:spacing w:after="0"/>
              <w:jc w:val="right"/>
            </w:pPr>
            <w:r>
              <w:rPr>
                <w:sz w:val="18"/>
              </w:rPr>
              <w:t>1,181</w:t>
            </w:r>
          </w:p>
        </w:tc>
        <w:tc>
          <w:tcPr>
            <w:tcW w:w="897" w:type="dxa"/>
          </w:tcPr>
          <w:p w:rsidR="007F373F" w:rsidRDefault="00000000">
            <w:pPr>
              <w:spacing w:after="0"/>
              <w:jc w:val="right"/>
            </w:pPr>
            <w:r>
              <w:rPr>
                <w:sz w:val="18"/>
              </w:rPr>
              <w:t>130</w:t>
            </w:r>
          </w:p>
        </w:tc>
      </w:tr>
      <w:tr w:rsidR="007F373F">
        <w:trPr>
          <w:jc w:val="center"/>
        </w:trPr>
        <w:tc>
          <w:tcPr>
            <w:tcW w:w="3175" w:type="dxa"/>
          </w:tcPr>
          <w:p w:rsidR="007F373F" w:rsidRDefault="00000000">
            <w:pPr>
              <w:spacing w:after="0"/>
              <w:jc w:val="left"/>
            </w:pPr>
            <w:r>
              <w:rPr>
                <w:sz w:val="18"/>
              </w:rPr>
              <w:t>Note 32 – ECL provision (FVOCI)</w:t>
            </w:r>
          </w:p>
        </w:tc>
        <w:tc>
          <w:tcPr>
            <w:tcW w:w="966" w:type="dxa"/>
          </w:tcPr>
          <w:p w:rsidR="007F373F" w:rsidRDefault="00000000">
            <w:pPr>
              <w:spacing w:after="0"/>
              <w:jc w:val="right"/>
            </w:pPr>
            <w:r>
              <w:rPr>
                <w:sz w:val="18"/>
              </w:rPr>
              <w:t>-689</w:t>
            </w:r>
          </w:p>
        </w:tc>
        <w:tc>
          <w:tcPr>
            <w:tcW w:w="966" w:type="dxa"/>
          </w:tcPr>
          <w:p w:rsidR="007F373F" w:rsidRDefault="00000000">
            <w:pPr>
              <w:spacing w:after="0"/>
              <w:jc w:val="right"/>
            </w:pPr>
            <w:r>
              <w:rPr>
                <w:sz w:val="18"/>
              </w:rPr>
              <w:t>6,392</w:t>
            </w:r>
          </w:p>
        </w:tc>
        <w:tc>
          <w:tcPr>
            <w:tcW w:w="2761" w:type="dxa"/>
          </w:tcPr>
          <w:p w:rsidR="007F373F" w:rsidRDefault="00000000">
            <w:pPr>
              <w:spacing w:after="0"/>
              <w:jc w:val="left"/>
            </w:pPr>
            <w:r>
              <w:rPr>
                <w:sz w:val="18"/>
              </w:rPr>
              <w:t>Note 34 – CSR expenditure</w:t>
            </w:r>
          </w:p>
        </w:tc>
        <w:tc>
          <w:tcPr>
            <w:tcW w:w="966" w:type="dxa"/>
          </w:tcPr>
          <w:p w:rsidR="007F373F" w:rsidRDefault="00000000">
            <w:pPr>
              <w:spacing w:after="0"/>
              <w:jc w:val="right"/>
            </w:pPr>
            <w:r>
              <w:rPr>
                <w:sz w:val="18"/>
              </w:rPr>
              <w:t>584</w:t>
            </w:r>
          </w:p>
        </w:tc>
        <w:tc>
          <w:tcPr>
            <w:tcW w:w="897" w:type="dxa"/>
          </w:tcPr>
          <w:p w:rsidR="007F373F" w:rsidRDefault="00000000">
            <w:pPr>
              <w:spacing w:after="0"/>
              <w:jc w:val="right"/>
            </w:pPr>
            <w:r>
              <w:rPr>
                <w:sz w:val="18"/>
              </w:rPr>
              <w:t>473</w:t>
            </w:r>
          </w:p>
        </w:tc>
      </w:tr>
    </w:tbl>
    <w:p w:rsidR="007F373F" w:rsidRDefault="00000000">
      <w:pPr>
        <w:spacing w:before="40" w:after="80"/>
      </w:pPr>
      <w:r>
        <w:rPr>
          <w:i/>
          <w:sz w:val="18"/>
        </w:rPr>
        <w:t>Source: Fedfina Annual Report 2025-26, notes 27, 30, 32, 33 and 34 to the financial statements.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451"/>
        <w:gridCol w:w="1380"/>
        <w:gridCol w:w="1380"/>
        <w:gridCol w:w="1104"/>
        <w:gridCol w:w="2415"/>
      </w:tblGrid>
      <w:tr w:rsidR="007F373F">
        <w:trPr>
          <w:jc w:val="center"/>
        </w:trPr>
        <w:tc>
          <w:tcPr>
            <w:tcW w:w="3451" w:type="dxa"/>
          </w:tcPr>
          <w:p w:rsidR="007F373F" w:rsidRDefault="00000000">
            <w:pPr>
              <w:spacing w:after="0"/>
              <w:jc w:val="left"/>
            </w:pPr>
            <w:r>
              <w:rPr>
                <w:b/>
                <w:sz w:val="18"/>
              </w:rPr>
              <w:t>Derived from the statement above</w:t>
            </w:r>
          </w:p>
        </w:tc>
        <w:tc>
          <w:tcPr>
            <w:tcW w:w="1380" w:type="dxa"/>
          </w:tcPr>
          <w:p w:rsidR="007F373F" w:rsidRDefault="00000000">
            <w:pPr>
              <w:spacing w:after="0"/>
              <w:jc w:val="left"/>
            </w:pPr>
            <w:r>
              <w:rPr>
                <w:b/>
                <w:sz w:val="18"/>
              </w:rPr>
              <w:t>FY26</w:t>
            </w:r>
          </w:p>
        </w:tc>
        <w:tc>
          <w:tcPr>
            <w:tcW w:w="1380" w:type="dxa"/>
          </w:tcPr>
          <w:p w:rsidR="007F373F" w:rsidRDefault="00000000">
            <w:pPr>
              <w:spacing w:after="0"/>
              <w:jc w:val="left"/>
            </w:pPr>
            <w:r>
              <w:rPr>
                <w:b/>
                <w:sz w:val="18"/>
              </w:rPr>
              <w:t>FY25</w:t>
            </w:r>
          </w:p>
        </w:tc>
        <w:tc>
          <w:tcPr>
            <w:tcW w:w="1104" w:type="dxa"/>
          </w:tcPr>
          <w:p w:rsidR="007F373F" w:rsidRDefault="00000000">
            <w:pPr>
              <w:spacing w:after="0"/>
              <w:jc w:val="left"/>
            </w:pPr>
            <w:r>
              <w:rPr>
                <w:b/>
                <w:sz w:val="18"/>
              </w:rPr>
              <w:t>Change</w:t>
            </w:r>
          </w:p>
        </w:tc>
        <w:tc>
          <w:tcPr>
            <w:tcW w:w="2415" w:type="dxa"/>
          </w:tcPr>
          <w:p w:rsidR="007F373F" w:rsidRDefault="00000000">
            <w:pPr>
              <w:spacing w:after="0"/>
              <w:jc w:val="left"/>
            </w:pPr>
            <w:r>
              <w:rPr>
                <w:b/>
                <w:sz w:val="18"/>
              </w:rPr>
              <w:t>Formula</w:t>
            </w:r>
          </w:p>
        </w:tc>
      </w:tr>
      <w:tr w:rsidR="007F373F">
        <w:trPr>
          <w:jc w:val="center"/>
        </w:trPr>
        <w:tc>
          <w:tcPr>
            <w:tcW w:w="3451" w:type="dxa"/>
          </w:tcPr>
          <w:p w:rsidR="007F373F" w:rsidRDefault="00000000">
            <w:pPr>
              <w:spacing w:after="0"/>
              <w:jc w:val="left"/>
            </w:pPr>
            <w:r>
              <w:rPr>
                <w:sz w:val="18"/>
              </w:rPr>
              <w:t>Net interest income (₹ lakh)</w:t>
            </w:r>
          </w:p>
        </w:tc>
        <w:tc>
          <w:tcPr>
            <w:tcW w:w="1380" w:type="dxa"/>
          </w:tcPr>
          <w:p w:rsidR="007F373F" w:rsidRDefault="00000000">
            <w:pPr>
              <w:spacing w:after="0"/>
              <w:jc w:val="right"/>
            </w:pPr>
            <w:r>
              <w:rPr>
                <w:sz w:val="18"/>
              </w:rPr>
              <w:t>122,975</w:t>
            </w:r>
          </w:p>
        </w:tc>
        <w:tc>
          <w:tcPr>
            <w:tcW w:w="1380" w:type="dxa"/>
          </w:tcPr>
          <w:p w:rsidR="007F373F" w:rsidRDefault="00000000">
            <w:pPr>
              <w:spacing w:after="0"/>
              <w:jc w:val="right"/>
            </w:pPr>
            <w:r>
              <w:rPr>
                <w:sz w:val="18"/>
              </w:rPr>
              <w:t>107,080</w:t>
            </w:r>
          </w:p>
        </w:tc>
        <w:tc>
          <w:tcPr>
            <w:tcW w:w="1104" w:type="dxa"/>
          </w:tcPr>
          <w:p w:rsidR="007F373F" w:rsidRDefault="00000000">
            <w:pPr>
              <w:spacing w:after="0"/>
              <w:jc w:val="right"/>
            </w:pPr>
            <w:r>
              <w:rPr>
                <w:sz w:val="18"/>
              </w:rPr>
              <w:t>+14.8%</w:t>
            </w:r>
          </w:p>
        </w:tc>
        <w:tc>
          <w:tcPr>
            <w:tcW w:w="2415" w:type="dxa"/>
          </w:tcPr>
          <w:p w:rsidR="007F373F" w:rsidRDefault="00000000">
            <w:pPr>
              <w:spacing w:after="0"/>
              <w:jc w:val="left"/>
            </w:pPr>
            <w:r>
              <w:rPr>
                <w:sz w:val="18"/>
              </w:rPr>
              <w:t>Interest income − finance costs</w:t>
            </w:r>
          </w:p>
        </w:tc>
      </w:tr>
      <w:tr w:rsidR="007F373F">
        <w:trPr>
          <w:jc w:val="center"/>
        </w:trPr>
        <w:tc>
          <w:tcPr>
            <w:tcW w:w="3451" w:type="dxa"/>
          </w:tcPr>
          <w:p w:rsidR="007F373F" w:rsidRDefault="00000000">
            <w:pPr>
              <w:spacing w:after="0"/>
              <w:jc w:val="left"/>
            </w:pPr>
            <w:r>
              <w:rPr>
                <w:sz w:val="18"/>
              </w:rPr>
              <w:t>Operating expenses (₹ lakh)</w:t>
            </w:r>
          </w:p>
        </w:tc>
        <w:tc>
          <w:tcPr>
            <w:tcW w:w="1380" w:type="dxa"/>
          </w:tcPr>
          <w:p w:rsidR="007F373F" w:rsidRDefault="00000000">
            <w:pPr>
              <w:spacing w:after="0"/>
              <w:jc w:val="right"/>
            </w:pPr>
            <w:r>
              <w:rPr>
                <w:sz w:val="18"/>
              </w:rPr>
              <w:t>77,121</w:t>
            </w:r>
          </w:p>
        </w:tc>
        <w:tc>
          <w:tcPr>
            <w:tcW w:w="1380" w:type="dxa"/>
          </w:tcPr>
          <w:p w:rsidR="007F373F" w:rsidRDefault="00000000">
            <w:pPr>
              <w:spacing w:after="0"/>
              <w:jc w:val="right"/>
            </w:pPr>
            <w:r>
              <w:rPr>
                <w:sz w:val="18"/>
              </w:rPr>
              <w:t>68,743</w:t>
            </w:r>
          </w:p>
        </w:tc>
        <w:tc>
          <w:tcPr>
            <w:tcW w:w="1104" w:type="dxa"/>
          </w:tcPr>
          <w:p w:rsidR="007F373F" w:rsidRDefault="00000000">
            <w:pPr>
              <w:spacing w:after="0"/>
              <w:jc w:val="right"/>
            </w:pPr>
            <w:r>
              <w:rPr>
                <w:sz w:val="18"/>
              </w:rPr>
              <w:t>+12.2%</w:t>
            </w:r>
          </w:p>
        </w:tc>
        <w:tc>
          <w:tcPr>
            <w:tcW w:w="2415" w:type="dxa"/>
          </w:tcPr>
          <w:p w:rsidR="007F373F" w:rsidRDefault="00000000">
            <w:pPr>
              <w:spacing w:after="0"/>
              <w:jc w:val="left"/>
            </w:pPr>
            <w:r>
              <w:rPr>
                <w:sz w:val="18"/>
              </w:rPr>
              <w:t>Employee + depreciation + other expenses</w:t>
            </w:r>
          </w:p>
        </w:tc>
      </w:tr>
      <w:tr w:rsidR="007F373F">
        <w:trPr>
          <w:jc w:val="center"/>
        </w:trPr>
        <w:tc>
          <w:tcPr>
            <w:tcW w:w="3451" w:type="dxa"/>
          </w:tcPr>
          <w:p w:rsidR="007F373F" w:rsidRDefault="00000000">
            <w:pPr>
              <w:spacing w:after="0"/>
              <w:jc w:val="left"/>
            </w:pPr>
            <w:r>
              <w:rPr>
                <w:sz w:val="18"/>
              </w:rPr>
              <w:t>Pre-provision operating profit (₹ lakh)</w:t>
            </w:r>
          </w:p>
        </w:tc>
        <w:tc>
          <w:tcPr>
            <w:tcW w:w="1380" w:type="dxa"/>
          </w:tcPr>
          <w:p w:rsidR="007F373F" w:rsidRDefault="00000000">
            <w:pPr>
              <w:spacing w:after="0"/>
              <w:jc w:val="right"/>
            </w:pPr>
            <w:r>
              <w:rPr>
                <w:sz w:val="18"/>
              </w:rPr>
              <w:t>57,628</w:t>
            </w:r>
          </w:p>
        </w:tc>
        <w:tc>
          <w:tcPr>
            <w:tcW w:w="1380" w:type="dxa"/>
          </w:tcPr>
          <w:p w:rsidR="007F373F" w:rsidRDefault="00000000">
            <w:pPr>
              <w:spacing w:after="0"/>
              <w:jc w:val="right"/>
            </w:pPr>
            <w:r>
              <w:rPr>
                <w:sz w:val="18"/>
              </w:rPr>
              <w:t>52,011</w:t>
            </w:r>
          </w:p>
        </w:tc>
        <w:tc>
          <w:tcPr>
            <w:tcW w:w="1104" w:type="dxa"/>
          </w:tcPr>
          <w:p w:rsidR="007F373F" w:rsidRDefault="00000000">
            <w:pPr>
              <w:spacing w:after="0"/>
              <w:jc w:val="right"/>
            </w:pPr>
            <w:r>
              <w:rPr>
                <w:sz w:val="18"/>
              </w:rPr>
              <w:t>+10.8%</w:t>
            </w:r>
          </w:p>
        </w:tc>
        <w:tc>
          <w:tcPr>
            <w:tcW w:w="2415" w:type="dxa"/>
          </w:tcPr>
          <w:p w:rsidR="007F373F" w:rsidRDefault="00000000">
            <w:pPr>
              <w:spacing w:after="0"/>
              <w:jc w:val="left"/>
            </w:pPr>
            <w:r>
              <w:rPr>
                <w:sz w:val="18"/>
              </w:rPr>
              <w:t>PBT + impairment</w:t>
            </w:r>
          </w:p>
        </w:tc>
      </w:tr>
      <w:tr w:rsidR="007F373F">
        <w:trPr>
          <w:jc w:val="center"/>
        </w:trPr>
        <w:tc>
          <w:tcPr>
            <w:tcW w:w="3451" w:type="dxa"/>
          </w:tcPr>
          <w:p w:rsidR="007F373F" w:rsidRDefault="00000000">
            <w:pPr>
              <w:spacing w:after="0"/>
              <w:jc w:val="left"/>
            </w:pPr>
            <w:r>
              <w:rPr>
                <w:sz w:val="18"/>
              </w:rPr>
              <w:t>Effective tax rate</w:t>
            </w:r>
          </w:p>
        </w:tc>
        <w:tc>
          <w:tcPr>
            <w:tcW w:w="1380" w:type="dxa"/>
          </w:tcPr>
          <w:p w:rsidR="007F373F" w:rsidRDefault="00000000">
            <w:pPr>
              <w:spacing w:after="0"/>
              <w:jc w:val="right"/>
            </w:pPr>
            <w:r>
              <w:rPr>
                <w:sz w:val="18"/>
              </w:rPr>
              <w:t>25.5%</w:t>
            </w:r>
          </w:p>
        </w:tc>
        <w:tc>
          <w:tcPr>
            <w:tcW w:w="1380" w:type="dxa"/>
          </w:tcPr>
          <w:p w:rsidR="007F373F" w:rsidRDefault="00000000">
            <w:pPr>
              <w:spacing w:after="0"/>
              <w:jc w:val="right"/>
            </w:pPr>
            <w:r>
              <w:rPr>
                <w:sz w:val="18"/>
              </w:rPr>
              <w:t>25.9%</w:t>
            </w:r>
          </w:p>
        </w:tc>
        <w:tc>
          <w:tcPr>
            <w:tcW w:w="1104" w:type="dxa"/>
          </w:tcPr>
          <w:p w:rsidR="007F373F" w:rsidRDefault="007F373F">
            <w:pPr>
              <w:spacing w:after="0"/>
              <w:jc w:val="left"/>
            </w:pPr>
          </w:p>
        </w:tc>
        <w:tc>
          <w:tcPr>
            <w:tcW w:w="2415" w:type="dxa"/>
          </w:tcPr>
          <w:p w:rsidR="007F373F" w:rsidRDefault="00000000">
            <w:pPr>
              <w:spacing w:after="0"/>
              <w:jc w:val="left"/>
            </w:pPr>
            <w:r>
              <w:rPr>
                <w:sz w:val="18"/>
              </w:rPr>
              <w:t>(Current + deferred tax) / PBT</w:t>
            </w:r>
          </w:p>
        </w:tc>
      </w:tr>
    </w:tbl>
    <w:p w:rsidR="007F373F" w:rsidRDefault="00000000">
      <w:pPr>
        <w:spacing w:before="40" w:after="80"/>
      </w:pPr>
      <w:r>
        <w:rPr>
          <w:i/>
          <w:sz w:val="18"/>
        </w:rPr>
        <w:t>Source: Author’s computations on the figures above.</w:t>
      </w:r>
    </w:p>
    <w:p w:rsidR="007F373F" w:rsidRDefault="00000000">
      <w:pPr>
        <w:pStyle w:val="Heading1"/>
        <w:pageBreakBefore/>
      </w:pPr>
      <w:r>
        <w:lastRenderedPageBreak/>
        <w:t>Appendix C — Branch Network by State and Format (31 March 2026)</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313"/>
        <w:gridCol w:w="1242"/>
        <w:gridCol w:w="1518"/>
        <w:gridCol w:w="1794"/>
        <w:gridCol w:w="966"/>
        <w:gridCol w:w="897"/>
      </w:tblGrid>
      <w:tr w:rsidR="007F373F">
        <w:trPr>
          <w:jc w:val="center"/>
        </w:trPr>
        <w:tc>
          <w:tcPr>
            <w:tcW w:w="3313" w:type="dxa"/>
          </w:tcPr>
          <w:p w:rsidR="007F373F" w:rsidRDefault="00000000">
            <w:pPr>
              <w:spacing w:after="0"/>
              <w:jc w:val="left"/>
            </w:pPr>
            <w:r>
              <w:rPr>
                <w:b/>
                <w:sz w:val="19"/>
              </w:rPr>
              <w:t>State / Union Territory</w:t>
            </w:r>
          </w:p>
        </w:tc>
        <w:tc>
          <w:tcPr>
            <w:tcW w:w="1242" w:type="dxa"/>
          </w:tcPr>
          <w:p w:rsidR="007F373F" w:rsidRDefault="00000000">
            <w:pPr>
              <w:spacing w:after="0"/>
              <w:jc w:val="left"/>
            </w:pPr>
            <w:r>
              <w:rPr>
                <w:b/>
                <w:sz w:val="19"/>
              </w:rPr>
              <w:t>MSME hubs</w:t>
            </w:r>
          </w:p>
        </w:tc>
        <w:tc>
          <w:tcPr>
            <w:tcW w:w="1518" w:type="dxa"/>
          </w:tcPr>
          <w:p w:rsidR="007F373F" w:rsidRDefault="00000000">
            <w:pPr>
              <w:spacing w:after="0"/>
              <w:jc w:val="left"/>
            </w:pPr>
            <w:r>
              <w:rPr>
                <w:b/>
                <w:sz w:val="19"/>
              </w:rPr>
              <w:t>Gold-loan branches</w:t>
            </w:r>
          </w:p>
        </w:tc>
        <w:tc>
          <w:tcPr>
            <w:tcW w:w="1794" w:type="dxa"/>
          </w:tcPr>
          <w:p w:rsidR="007F373F" w:rsidRDefault="00000000">
            <w:pPr>
              <w:spacing w:after="0"/>
              <w:jc w:val="left"/>
            </w:pPr>
            <w:r>
              <w:rPr>
                <w:b/>
                <w:sz w:val="19"/>
              </w:rPr>
              <w:t>Co-located (MSME + Gold)</w:t>
            </w:r>
          </w:p>
        </w:tc>
        <w:tc>
          <w:tcPr>
            <w:tcW w:w="966" w:type="dxa"/>
          </w:tcPr>
          <w:p w:rsidR="007F373F" w:rsidRDefault="00000000">
            <w:pPr>
              <w:spacing w:after="0"/>
              <w:jc w:val="left"/>
            </w:pPr>
            <w:r>
              <w:rPr>
                <w:b/>
                <w:sz w:val="19"/>
              </w:rPr>
              <w:t>Total</w:t>
            </w:r>
          </w:p>
        </w:tc>
        <w:tc>
          <w:tcPr>
            <w:tcW w:w="897" w:type="dxa"/>
          </w:tcPr>
          <w:p w:rsidR="007F373F" w:rsidRDefault="00000000">
            <w:pPr>
              <w:spacing w:after="0"/>
              <w:jc w:val="left"/>
            </w:pPr>
            <w:r>
              <w:rPr>
                <w:b/>
                <w:sz w:val="19"/>
              </w:rPr>
              <w:t>Share</w:t>
            </w:r>
          </w:p>
        </w:tc>
      </w:tr>
      <w:tr w:rsidR="007F373F">
        <w:trPr>
          <w:jc w:val="center"/>
        </w:trPr>
        <w:tc>
          <w:tcPr>
            <w:tcW w:w="3313" w:type="dxa"/>
          </w:tcPr>
          <w:p w:rsidR="007F373F" w:rsidRDefault="00000000">
            <w:pPr>
              <w:spacing w:after="0"/>
              <w:jc w:val="left"/>
            </w:pPr>
            <w:r>
              <w:rPr>
                <w:sz w:val="19"/>
              </w:rPr>
              <w:t>Maharashtra</w:t>
            </w:r>
          </w:p>
        </w:tc>
        <w:tc>
          <w:tcPr>
            <w:tcW w:w="1242" w:type="dxa"/>
          </w:tcPr>
          <w:p w:rsidR="007F373F" w:rsidRDefault="00000000">
            <w:pPr>
              <w:spacing w:after="0"/>
              <w:jc w:val="right"/>
            </w:pPr>
            <w:r>
              <w:rPr>
                <w:sz w:val="19"/>
              </w:rPr>
              <w:t>31</w:t>
            </w:r>
          </w:p>
        </w:tc>
        <w:tc>
          <w:tcPr>
            <w:tcW w:w="1518" w:type="dxa"/>
          </w:tcPr>
          <w:p w:rsidR="007F373F" w:rsidRDefault="00000000">
            <w:pPr>
              <w:spacing w:after="0"/>
              <w:jc w:val="right"/>
            </w:pPr>
            <w:r>
              <w:rPr>
                <w:sz w:val="19"/>
              </w:rPr>
              <w:t>102</w:t>
            </w:r>
          </w:p>
        </w:tc>
        <w:tc>
          <w:tcPr>
            <w:tcW w:w="1794" w:type="dxa"/>
          </w:tcPr>
          <w:p w:rsidR="007F373F" w:rsidRDefault="00000000">
            <w:pPr>
              <w:spacing w:after="0"/>
              <w:jc w:val="right"/>
            </w:pPr>
            <w:r>
              <w:rPr>
                <w:sz w:val="19"/>
              </w:rPr>
              <w:t>8</w:t>
            </w:r>
          </w:p>
        </w:tc>
        <w:tc>
          <w:tcPr>
            <w:tcW w:w="966" w:type="dxa"/>
          </w:tcPr>
          <w:p w:rsidR="007F373F" w:rsidRDefault="00000000">
            <w:pPr>
              <w:spacing w:after="0"/>
              <w:jc w:val="right"/>
            </w:pPr>
            <w:r>
              <w:rPr>
                <w:sz w:val="19"/>
              </w:rPr>
              <w:t>141</w:t>
            </w:r>
          </w:p>
        </w:tc>
        <w:tc>
          <w:tcPr>
            <w:tcW w:w="897" w:type="dxa"/>
          </w:tcPr>
          <w:p w:rsidR="007F373F" w:rsidRDefault="00000000">
            <w:pPr>
              <w:spacing w:after="0"/>
              <w:jc w:val="right"/>
            </w:pPr>
            <w:r>
              <w:rPr>
                <w:sz w:val="19"/>
              </w:rPr>
              <w:t>18.6%</w:t>
            </w:r>
          </w:p>
        </w:tc>
      </w:tr>
      <w:tr w:rsidR="007F373F">
        <w:trPr>
          <w:jc w:val="center"/>
        </w:trPr>
        <w:tc>
          <w:tcPr>
            <w:tcW w:w="3313" w:type="dxa"/>
          </w:tcPr>
          <w:p w:rsidR="007F373F" w:rsidRDefault="00000000">
            <w:pPr>
              <w:spacing w:after="0"/>
              <w:jc w:val="left"/>
            </w:pPr>
            <w:r>
              <w:rPr>
                <w:sz w:val="19"/>
              </w:rPr>
              <w:t>Gujarat</w:t>
            </w:r>
          </w:p>
        </w:tc>
        <w:tc>
          <w:tcPr>
            <w:tcW w:w="1242" w:type="dxa"/>
          </w:tcPr>
          <w:p w:rsidR="007F373F" w:rsidRDefault="00000000">
            <w:pPr>
              <w:spacing w:after="0"/>
              <w:jc w:val="right"/>
            </w:pPr>
            <w:r>
              <w:rPr>
                <w:sz w:val="19"/>
              </w:rPr>
              <w:t>11</w:t>
            </w:r>
          </w:p>
        </w:tc>
        <w:tc>
          <w:tcPr>
            <w:tcW w:w="1518" w:type="dxa"/>
          </w:tcPr>
          <w:p w:rsidR="007F373F" w:rsidRDefault="00000000">
            <w:pPr>
              <w:spacing w:after="0"/>
              <w:jc w:val="right"/>
            </w:pPr>
            <w:r>
              <w:rPr>
                <w:sz w:val="19"/>
              </w:rPr>
              <w:t>110</w:t>
            </w:r>
          </w:p>
        </w:tc>
        <w:tc>
          <w:tcPr>
            <w:tcW w:w="1794" w:type="dxa"/>
          </w:tcPr>
          <w:p w:rsidR="007F373F" w:rsidRDefault="00000000">
            <w:pPr>
              <w:spacing w:after="0"/>
              <w:jc w:val="right"/>
            </w:pPr>
            <w:r>
              <w:rPr>
                <w:sz w:val="19"/>
              </w:rPr>
              <w:t>15</w:t>
            </w:r>
          </w:p>
        </w:tc>
        <w:tc>
          <w:tcPr>
            <w:tcW w:w="966" w:type="dxa"/>
          </w:tcPr>
          <w:p w:rsidR="007F373F" w:rsidRDefault="00000000">
            <w:pPr>
              <w:spacing w:after="0"/>
              <w:jc w:val="right"/>
            </w:pPr>
            <w:r>
              <w:rPr>
                <w:sz w:val="19"/>
              </w:rPr>
              <w:t>136</w:t>
            </w:r>
          </w:p>
        </w:tc>
        <w:tc>
          <w:tcPr>
            <w:tcW w:w="897" w:type="dxa"/>
          </w:tcPr>
          <w:p w:rsidR="007F373F" w:rsidRDefault="00000000">
            <w:pPr>
              <w:spacing w:after="0"/>
              <w:jc w:val="right"/>
            </w:pPr>
            <w:r>
              <w:rPr>
                <w:sz w:val="19"/>
              </w:rPr>
              <w:t>18.0%</w:t>
            </w:r>
          </w:p>
        </w:tc>
      </w:tr>
      <w:tr w:rsidR="007F373F">
        <w:trPr>
          <w:jc w:val="center"/>
        </w:trPr>
        <w:tc>
          <w:tcPr>
            <w:tcW w:w="3313" w:type="dxa"/>
          </w:tcPr>
          <w:p w:rsidR="007F373F" w:rsidRDefault="00000000">
            <w:pPr>
              <w:spacing w:after="0"/>
              <w:jc w:val="left"/>
            </w:pPr>
            <w:r>
              <w:rPr>
                <w:sz w:val="19"/>
              </w:rPr>
              <w:t>Karnataka</w:t>
            </w:r>
          </w:p>
        </w:tc>
        <w:tc>
          <w:tcPr>
            <w:tcW w:w="1242" w:type="dxa"/>
          </w:tcPr>
          <w:p w:rsidR="007F373F" w:rsidRDefault="00000000">
            <w:pPr>
              <w:spacing w:after="0"/>
              <w:jc w:val="right"/>
            </w:pPr>
            <w:r>
              <w:rPr>
                <w:sz w:val="19"/>
              </w:rPr>
              <w:t>9</w:t>
            </w:r>
          </w:p>
        </w:tc>
        <w:tc>
          <w:tcPr>
            <w:tcW w:w="1518" w:type="dxa"/>
          </w:tcPr>
          <w:p w:rsidR="007F373F" w:rsidRDefault="00000000">
            <w:pPr>
              <w:spacing w:after="0"/>
              <w:jc w:val="right"/>
            </w:pPr>
            <w:r>
              <w:rPr>
                <w:sz w:val="19"/>
              </w:rPr>
              <w:t>77</w:t>
            </w:r>
          </w:p>
        </w:tc>
        <w:tc>
          <w:tcPr>
            <w:tcW w:w="1794" w:type="dxa"/>
          </w:tcPr>
          <w:p w:rsidR="007F373F" w:rsidRDefault="00000000">
            <w:pPr>
              <w:spacing w:after="0"/>
              <w:jc w:val="right"/>
            </w:pPr>
            <w:r>
              <w:rPr>
                <w:sz w:val="19"/>
              </w:rPr>
              <w:t>9</w:t>
            </w:r>
          </w:p>
        </w:tc>
        <w:tc>
          <w:tcPr>
            <w:tcW w:w="966" w:type="dxa"/>
          </w:tcPr>
          <w:p w:rsidR="007F373F" w:rsidRDefault="00000000">
            <w:pPr>
              <w:spacing w:after="0"/>
              <w:jc w:val="right"/>
            </w:pPr>
            <w:r>
              <w:rPr>
                <w:sz w:val="19"/>
              </w:rPr>
              <w:t>95</w:t>
            </w:r>
          </w:p>
        </w:tc>
        <w:tc>
          <w:tcPr>
            <w:tcW w:w="897" w:type="dxa"/>
          </w:tcPr>
          <w:p w:rsidR="007F373F" w:rsidRDefault="00000000">
            <w:pPr>
              <w:spacing w:after="0"/>
              <w:jc w:val="right"/>
            </w:pPr>
            <w:r>
              <w:rPr>
                <w:sz w:val="19"/>
              </w:rPr>
              <w:t>12.5%</w:t>
            </w:r>
          </w:p>
        </w:tc>
      </w:tr>
      <w:tr w:rsidR="007F373F">
        <w:trPr>
          <w:jc w:val="center"/>
        </w:trPr>
        <w:tc>
          <w:tcPr>
            <w:tcW w:w="3313" w:type="dxa"/>
          </w:tcPr>
          <w:p w:rsidR="007F373F" w:rsidRDefault="00000000">
            <w:pPr>
              <w:spacing w:after="0"/>
              <w:jc w:val="left"/>
            </w:pPr>
            <w:r>
              <w:rPr>
                <w:sz w:val="19"/>
              </w:rPr>
              <w:t>Tamil Nadu</w:t>
            </w:r>
          </w:p>
        </w:tc>
        <w:tc>
          <w:tcPr>
            <w:tcW w:w="1242" w:type="dxa"/>
          </w:tcPr>
          <w:p w:rsidR="007F373F" w:rsidRDefault="00000000">
            <w:pPr>
              <w:spacing w:after="0"/>
              <w:jc w:val="right"/>
            </w:pPr>
            <w:r>
              <w:rPr>
                <w:sz w:val="19"/>
              </w:rPr>
              <w:t>26</w:t>
            </w:r>
          </w:p>
        </w:tc>
        <w:tc>
          <w:tcPr>
            <w:tcW w:w="1518" w:type="dxa"/>
          </w:tcPr>
          <w:p w:rsidR="007F373F" w:rsidRDefault="00000000">
            <w:pPr>
              <w:spacing w:after="0"/>
              <w:jc w:val="right"/>
            </w:pPr>
            <w:r>
              <w:rPr>
                <w:sz w:val="19"/>
              </w:rPr>
              <w:t>57</w:t>
            </w:r>
          </w:p>
        </w:tc>
        <w:tc>
          <w:tcPr>
            <w:tcW w:w="1794" w:type="dxa"/>
          </w:tcPr>
          <w:p w:rsidR="007F373F" w:rsidRDefault="00000000">
            <w:pPr>
              <w:spacing w:after="0"/>
              <w:jc w:val="right"/>
            </w:pPr>
            <w:r>
              <w:rPr>
                <w:sz w:val="19"/>
              </w:rPr>
              <w:t>7</w:t>
            </w:r>
          </w:p>
        </w:tc>
        <w:tc>
          <w:tcPr>
            <w:tcW w:w="966" w:type="dxa"/>
          </w:tcPr>
          <w:p w:rsidR="007F373F" w:rsidRDefault="00000000">
            <w:pPr>
              <w:spacing w:after="0"/>
              <w:jc w:val="right"/>
            </w:pPr>
            <w:r>
              <w:rPr>
                <w:sz w:val="19"/>
              </w:rPr>
              <w:t>90</w:t>
            </w:r>
          </w:p>
        </w:tc>
        <w:tc>
          <w:tcPr>
            <w:tcW w:w="897" w:type="dxa"/>
          </w:tcPr>
          <w:p w:rsidR="007F373F" w:rsidRDefault="00000000">
            <w:pPr>
              <w:spacing w:after="0"/>
              <w:jc w:val="right"/>
            </w:pPr>
            <w:r>
              <w:rPr>
                <w:sz w:val="19"/>
              </w:rPr>
              <w:t>11.9%</w:t>
            </w:r>
          </w:p>
        </w:tc>
      </w:tr>
      <w:tr w:rsidR="007F373F">
        <w:trPr>
          <w:jc w:val="center"/>
        </w:trPr>
        <w:tc>
          <w:tcPr>
            <w:tcW w:w="3313" w:type="dxa"/>
          </w:tcPr>
          <w:p w:rsidR="007F373F" w:rsidRDefault="00000000">
            <w:pPr>
              <w:spacing w:after="0"/>
              <w:jc w:val="left"/>
            </w:pPr>
            <w:r>
              <w:rPr>
                <w:sz w:val="19"/>
              </w:rPr>
              <w:t>Andhra Pradesh</w:t>
            </w:r>
          </w:p>
        </w:tc>
        <w:tc>
          <w:tcPr>
            <w:tcW w:w="1242" w:type="dxa"/>
          </w:tcPr>
          <w:p w:rsidR="007F373F" w:rsidRDefault="00000000">
            <w:pPr>
              <w:spacing w:after="0"/>
              <w:jc w:val="right"/>
            </w:pPr>
            <w:r>
              <w:rPr>
                <w:sz w:val="19"/>
              </w:rPr>
              <w:t>9</w:t>
            </w:r>
          </w:p>
        </w:tc>
        <w:tc>
          <w:tcPr>
            <w:tcW w:w="1518" w:type="dxa"/>
          </w:tcPr>
          <w:p w:rsidR="007F373F" w:rsidRDefault="00000000">
            <w:pPr>
              <w:spacing w:after="0"/>
              <w:jc w:val="right"/>
            </w:pPr>
            <w:r>
              <w:rPr>
                <w:sz w:val="19"/>
              </w:rPr>
              <w:t>42</w:t>
            </w:r>
          </w:p>
        </w:tc>
        <w:tc>
          <w:tcPr>
            <w:tcW w:w="1794" w:type="dxa"/>
          </w:tcPr>
          <w:p w:rsidR="007F373F" w:rsidRDefault="00000000">
            <w:pPr>
              <w:spacing w:after="0"/>
              <w:jc w:val="right"/>
            </w:pPr>
            <w:r>
              <w:rPr>
                <w:sz w:val="19"/>
              </w:rPr>
              <w:t>6</w:t>
            </w:r>
          </w:p>
        </w:tc>
        <w:tc>
          <w:tcPr>
            <w:tcW w:w="966" w:type="dxa"/>
          </w:tcPr>
          <w:p w:rsidR="007F373F" w:rsidRDefault="00000000">
            <w:pPr>
              <w:spacing w:after="0"/>
              <w:jc w:val="right"/>
            </w:pPr>
            <w:r>
              <w:rPr>
                <w:sz w:val="19"/>
              </w:rPr>
              <w:t>57</w:t>
            </w:r>
          </w:p>
        </w:tc>
        <w:tc>
          <w:tcPr>
            <w:tcW w:w="897" w:type="dxa"/>
          </w:tcPr>
          <w:p w:rsidR="007F373F" w:rsidRDefault="00000000">
            <w:pPr>
              <w:spacing w:after="0"/>
              <w:jc w:val="right"/>
            </w:pPr>
            <w:r>
              <w:rPr>
                <w:sz w:val="19"/>
              </w:rPr>
              <w:t>7.5%</w:t>
            </w:r>
          </w:p>
        </w:tc>
      </w:tr>
      <w:tr w:rsidR="007F373F">
        <w:trPr>
          <w:jc w:val="center"/>
        </w:trPr>
        <w:tc>
          <w:tcPr>
            <w:tcW w:w="3313" w:type="dxa"/>
          </w:tcPr>
          <w:p w:rsidR="007F373F" w:rsidRDefault="00000000">
            <w:pPr>
              <w:spacing w:after="0"/>
              <w:jc w:val="left"/>
            </w:pPr>
            <w:r>
              <w:rPr>
                <w:sz w:val="19"/>
              </w:rPr>
              <w:t>Delhi NCR</w:t>
            </w:r>
          </w:p>
        </w:tc>
        <w:tc>
          <w:tcPr>
            <w:tcW w:w="1242" w:type="dxa"/>
          </w:tcPr>
          <w:p w:rsidR="007F373F" w:rsidRDefault="00000000">
            <w:pPr>
              <w:spacing w:after="0"/>
              <w:jc w:val="right"/>
            </w:pPr>
            <w:r>
              <w:rPr>
                <w:sz w:val="19"/>
              </w:rPr>
              <w:t>1</w:t>
            </w:r>
          </w:p>
        </w:tc>
        <w:tc>
          <w:tcPr>
            <w:tcW w:w="1518" w:type="dxa"/>
          </w:tcPr>
          <w:p w:rsidR="007F373F" w:rsidRDefault="00000000">
            <w:pPr>
              <w:spacing w:after="0"/>
              <w:jc w:val="right"/>
            </w:pPr>
            <w:r>
              <w:rPr>
                <w:sz w:val="19"/>
              </w:rPr>
              <w:t>45</w:t>
            </w:r>
          </w:p>
        </w:tc>
        <w:tc>
          <w:tcPr>
            <w:tcW w:w="1794" w:type="dxa"/>
          </w:tcPr>
          <w:p w:rsidR="007F373F" w:rsidRDefault="00000000">
            <w:pPr>
              <w:spacing w:after="0"/>
              <w:jc w:val="right"/>
            </w:pPr>
            <w:r>
              <w:rPr>
                <w:sz w:val="19"/>
              </w:rPr>
              <w:t>0</w:t>
            </w:r>
          </w:p>
        </w:tc>
        <w:tc>
          <w:tcPr>
            <w:tcW w:w="966" w:type="dxa"/>
          </w:tcPr>
          <w:p w:rsidR="007F373F" w:rsidRDefault="00000000">
            <w:pPr>
              <w:spacing w:after="0"/>
              <w:jc w:val="right"/>
            </w:pPr>
            <w:r>
              <w:rPr>
                <w:sz w:val="19"/>
              </w:rPr>
              <w:t>46</w:t>
            </w:r>
          </w:p>
        </w:tc>
        <w:tc>
          <w:tcPr>
            <w:tcW w:w="897" w:type="dxa"/>
          </w:tcPr>
          <w:p w:rsidR="007F373F" w:rsidRDefault="00000000">
            <w:pPr>
              <w:spacing w:after="0"/>
              <w:jc w:val="right"/>
            </w:pPr>
            <w:r>
              <w:rPr>
                <w:sz w:val="19"/>
              </w:rPr>
              <w:t>6.1%</w:t>
            </w:r>
          </w:p>
        </w:tc>
      </w:tr>
      <w:tr w:rsidR="007F373F">
        <w:trPr>
          <w:jc w:val="center"/>
        </w:trPr>
        <w:tc>
          <w:tcPr>
            <w:tcW w:w="3313" w:type="dxa"/>
          </w:tcPr>
          <w:p w:rsidR="007F373F" w:rsidRDefault="00000000">
            <w:pPr>
              <w:spacing w:after="0"/>
              <w:jc w:val="left"/>
            </w:pPr>
            <w:r>
              <w:rPr>
                <w:sz w:val="19"/>
              </w:rPr>
              <w:t>Telangana</w:t>
            </w:r>
          </w:p>
        </w:tc>
        <w:tc>
          <w:tcPr>
            <w:tcW w:w="1242" w:type="dxa"/>
          </w:tcPr>
          <w:p w:rsidR="007F373F" w:rsidRDefault="00000000">
            <w:pPr>
              <w:spacing w:after="0"/>
              <w:jc w:val="right"/>
            </w:pPr>
            <w:r>
              <w:rPr>
                <w:sz w:val="19"/>
              </w:rPr>
              <w:t>4</w:t>
            </w:r>
          </w:p>
        </w:tc>
        <w:tc>
          <w:tcPr>
            <w:tcW w:w="1518" w:type="dxa"/>
          </w:tcPr>
          <w:p w:rsidR="007F373F" w:rsidRDefault="00000000">
            <w:pPr>
              <w:spacing w:after="0"/>
              <w:jc w:val="right"/>
            </w:pPr>
            <w:r>
              <w:rPr>
                <w:sz w:val="19"/>
              </w:rPr>
              <w:t>27</w:t>
            </w:r>
          </w:p>
        </w:tc>
        <w:tc>
          <w:tcPr>
            <w:tcW w:w="1794" w:type="dxa"/>
          </w:tcPr>
          <w:p w:rsidR="007F373F" w:rsidRDefault="00000000">
            <w:pPr>
              <w:spacing w:after="0"/>
              <w:jc w:val="right"/>
            </w:pPr>
            <w:r>
              <w:rPr>
                <w:sz w:val="19"/>
              </w:rPr>
              <w:t>11</w:t>
            </w:r>
          </w:p>
        </w:tc>
        <w:tc>
          <w:tcPr>
            <w:tcW w:w="966" w:type="dxa"/>
          </w:tcPr>
          <w:p w:rsidR="007F373F" w:rsidRDefault="00000000">
            <w:pPr>
              <w:spacing w:after="0"/>
              <w:jc w:val="right"/>
            </w:pPr>
            <w:r>
              <w:rPr>
                <w:sz w:val="19"/>
              </w:rPr>
              <w:t>42</w:t>
            </w:r>
          </w:p>
        </w:tc>
        <w:tc>
          <w:tcPr>
            <w:tcW w:w="897" w:type="dxa"/>
          </w:tcPr>
          <w:p w:rsidR="007F373F" w:rsidRDefault="00000000">
            <w:pPr>
              <w:spacing w:after="0"/>
              <w:jc w:val="right"/>
            </w:pPr>
            <w:r>
              <w:rPr>
                <w:sz w:val="19"/>
              </w:rPr>
              <w:t>5.5%</w:t>
            </w:r>
          </w:p>
        </w:tc>
      </w:tr>
      <w:tr w:rsidR="007F373F">
        <w:trPr>
          <w:jc w:val="center"/>
        </w:trPr>
        <w:tc>
          <w:tcPr>
            <w:tcW w:w="3313" w:type="dxa"/>
          </w:tcPr>
          <w:p w:rsidR="007F373F" w:rsidRDefault="00000000">
            <w:pPr>
              <w:spacing w:after="0"/>
              <w:jc w:val="left"/>
            </w:pPr>
            <w:r>
              <w:rPr>
                <w:sz w:val="19"/>
              </w:rPr>
              <w:t>Rajasthan</w:t>
            </w:r>
          </w:p>
        </w:tc>
        <w:tc>
          <w:tcPr>
            <w:tcW w:w="1242" w:type="dxa"/>
          </w:tcPr>
          <w:p w:rsidR="007F373F" w:rsidRDefault="00000000">
            <w:pPr>
              <w:spacing w:after="0"/>
              <w:jc w:val="right"/>
            </w:pPr>
            <w:r>
              <w:rPr>
                <w:sz w:val="19"/>
              </w:rPr>
              <w:t>10</w:t>
            </w:r>
          </w:p>
        </w:tc>
        <w:tc>
          <w:tcPr>
            <w:tcW w:w="1518" w:type="dxa"/>
          </w:tcPr>
          <w:p w:rsidR="007F373F" w:rsidRDefault="00000000">
            <w:pPr>
              <w:spacing w:after="0"/>
              <w:jc w:val="right"/>
            </w:pPr>
            <w:r>
              <w:rPr>
                <w:sz w:val="19"/>
              </w:rPr>
              <w:t>19</w:t>
            </w:r>
          </w:p>
        </w:tc>
        <w:tc>
          <w:tcPr>
            <w:tcW w:w="1794" w:type="dxa"/>
          </w:tcPr>
          <w:p w:rsidR="007F373F" w:rsidRDefault="00000000">
            <w:pPr>
              <w:spacing w:after="0"/>
              <w:jc w:val="right"/>
            </w:pPr>
            <w:r>
              <w:rPr>
                <w:sz w:val="19"/>
              </w:rPr>
              <w:t>5</w:t>
            </w:r>
          </w:p>
        </w:tc>
        <w:tc>
          <w:tcPr>
            <w:tcW w:w="966" w:type="dxa"/>
          </w:tcPr>
          <w:p w:rsidR="007F373F" w:rsidRDefault="00000000">
            <w:pPr>
              <w:spacing w:after="0"/>
              <w:jc w:val="right"/>
            </w:pPr>
            <w:r>
              <w:rPr>
                <w:sz w:val="19"/>
              </w:rPr>
              <w:t>34</w:t>
            </w:r>
          </w:p>
        </w:tc>
        <w:tc>
          <w:tcPr>
            <w:tcW w:w="897" w:type="dxa"/>
          </w:tcPr>
          <w:p w:rsidR="007F373F" w:rsidRDefault="00000000">
            <w:pPr>
              <w:spacing w:after="0"/>
              <w:jc w:val="right"/>
            </w:pPr>
            <w:r>
              <w:rPr>
                <w:sz w:val="19"/>
              </w:rPr>
              <w:t>4.5%</w:t>
            </w:r>
          </w:p>
        </w:tc>
      </w:tr>
      <w:tr w:rsidR="007F373F">
        <w:trPr>
          <w:jc w:val="center"/>
        </w:trPr>
        <w:tc>
          <w:tcPr>
            <w:tcW w:w="3313" w:type="dxa"/>
          </w:tcPr>
          <w:p w:rsidR="007F373F" w:rsidRDefault="00000000">
            <w:pPr>
              <w:spacing w:after="0"/>
              <w:jc w:val="left"/>
            </w:pPr>
            <w:r>
              <w:rPr>
                <w:sz w:val="19"/>
              </w:rPr>
              <w:t>Haryana</w:t>
            </w:r>
          </w:p>
        </w:tc>
        <w:tc>
          <w:tcPr>
            <w:tcW w:w="1242" w:type="dxa"/>
          </w:tcPr>
          <w:p w:rsidR="007F373F" w:rsidRDefault="00000000">
            <w:pPr>
              <w:spacing w:after="0"/>
              <w:jc w:val="right"/>
            </w:pPr>
            <w:r>
              <w:rPr>
                <w:sz w:val="19"/>
              </w:rPr>
              <w:t>7</w:t>
            </w:r>
          </w:p>
        </w:tc>
        <w:tc>
          <w:tcPr>
            <w:tcW w:w="1518" w:type="dxa"/>
          </w:tcPr>
          <w:p w:rsidR="007F373F" w:rsidRDefault="00000000">
            <w:pPr>
              <w:spacing w:after="0"/>
              <w:jc w:val="right"/>
            </w:pPr>
            <w:r>
              <w:rPr>
                <w:sz w:val="19"/>
              </w:rPr>
              <w:t>25</w:t>
            </w:r>
          </w:p>
        </w:tc>
        <w:tc>
          <w:tcPr>
            <w:tcW w:w="1794" w:type="dxa"/>
          </w:tcPr>
          <w:p w:rsidR="007F373F" w:rsidRDefault="00000000">
            <w:pPr>
              <w:spacing w:after="0"/>
              <w:jc w:val="right"/>
            </w:pPr>
            <w:r>
              <w:rPr>
                <w:sz w:val="19"/>
              </w:rPr>
              <w:t>0</w:t>
            </w:r>
          </w:p>
        </w:tc>
        <w:tc>
          <w:tcPr>
            <w:tcW w:w="966" w:type="dxa"/>
          </w:tcPr>
          <w:p w:rsidR="007F373F" w:rsidRDefault="00000000">
            <w:pPr>
              <w:spacing w:after="0"/>
              <w:jc w:val="right"/>
            </w:pPr>
            <w:r>
              <w:rPr>
                <w:sz w:val="19"/>
              </w:rPr>
              <w:t>32</w:t>
            </w:r>
          </w:p>
        </w:tc>
        <w:tc>
          <w:tcPr>
            <w:tcW w:w="897" w:type="dxa"/>
          </w:tcPr>
          <w:p w:rsidR="007F373F" w:rsidRDefault="00000000">
            <w:pPr>
              <w:spacing w:after="0"/>
              <w:jc w:val="right"/>
            </w:pPr>
            <w:r>
              <w:rPr>
                <w:sz w:val="19"/>
              </w:rPr>
              <w:t>4.2%</w:t>
            </w:r>
          </w:p>
        </w:tc>
      </w:tr>
      <w:tr w:rsidR="007F373F">
        <w:trPr>
          <w:jc w:val="center"/>
        </w:trPr>
        <w:tc>
          <w:tcPr>
            <w:tcW w:w="3313" w:type="dxa"/>
          </w:tcPr>
          <w:p w:rsidR="007F373F" w:rsidRDefault="00000000">
            <w:pPr>
              <w:spacing w:after="0"/>
              <w:jc w:val="left"/>
            </w:pPr>
            <w:r>
              <w:rPr>
                <w:sz w:val="19"/>
              </w:rPr>
              <w:t>Uttar Pradesh</w:t>
            </w:r>
          </w:p>
        </w:tc>
        <w:tc>
          <w:tcPr>
            <w:tcW w:w="1242" w:type="dxa"/>
          </w:tcPr>
          <w:p w:rsidR="007F373F" w:rsidRDefault="00000000">
            <w:pPr>
              <w:spacing w:after="0"/>
              <w:jc w:val="right"/>
            </w:pPr>
            <w:r>
              <w:rPr>
                <w:sz w:val="19"/>
              </w:rPr>
              <w:t>9</w:t>
            </w:r>
          </w:p>
        </w:tc>
        <w:tc>
          <w:tcPr>
            <w:tcW w:w="1518" w:type="dxa"/>
          </w:tcPr>
          <w:p w:rsidR="007F373F" w:rsidRDefault="00000000">
            <w:pPr>
              <w:spacing w:after="0"/>
              <w:jc w:val="right"/>
            </w:pPr>
            <w:r>
              <w:rPr>
                <w:sz w:val="19"/>
              </w:rPr>
              <w:t>21</w:t>
            </w:r>
          </w:p>
        </w:tc>
        <w:tc>
          <w:tcPr>
            <w:tcW w:w="1794" w:type="dxa"/>
          </w:tcPr>
          <w:p w:rsidR="007F373F" w:rsidRDefault="00000000">
            <w:pPr>
              <w:spacing w:after="0"/>
              <w:jc w:val="right"/>
            </w:pPr>
            <w:r>
              <w:rPr>
                <w:sz w:val="19"/>
              </w:rPr>
              <w:t>2</w:t>
            </w:r>
          </w:p>
        </w:tc>
        <w:tc>
          <w:tcPr>
            <w:tcW w:w="966" w:type="dxa"/>
          </w:tcPr>
          <w:p w:rsidR="007F373F" w:rsidRDefault="00000000">
            <w:pPr>
              <w:spacing w:after="0"/>
              <w:jc w:val="right"/>
            </w:pPr>
            <w:r>
              <w:rPr>
                <w:sz w:val="19"/>
              </w:rPr>
              <w:t>32</w:t>
            </w:r>
          </w:p>
        </w:tc>
        <w:tc>
          <w:tcPr>
            <w:tcW w:w="897" w:type="dxa"/>
          </w:tcPr>
          <w:p w:rsidR="007F373F" w:rsidRDefault="00000000">
            <w:pPr>
              <w:spacing w:after="0"/>
              <w:jc w:val="right"/>
            </w:pPr>
            <w:r>
              <w:rPr>
                <w:sz w:val="19"/>
              </w:rPr>
              <w:t>4.2%</w:t>
            </w:r>
          </w:p>
        </w:tc>
      </w:tr>
      <w:tr w:rsidR="007F373F">
        <w:trPr>
          <w:jc w:val="center"/>
        </w:trPr>
        <w:tc>
          <w:tcPr>
            <w:tcW w:w="3313" w:type="dxa"/>
          </w:tcPr>
          <w:p w:rsidR="007F373F" w:rsidRDefault="00000000">
            <w:pPr>
              <w:spacing w:after="0"/>
              <w:jc w:val="left"/>
            </w:pPr>
            <w:r>
              <w:rPr>
                <w:sz w:val="19"/>
              </w:rPr>
              <w:t>Madhya Pradesh</w:t>
            </w:r>
          </w:p>
        </w:tc>
        <w:tc>
          <w:tcPr>
            <w:tcW w:w="1242" w:type="dxa"/>
          </w:tcPr>
          <w:p w:rsidR="007F373F" w:rsidRDefault="00000000">
            <w:pPr>
              <w:spacing w:after="0"/>
              <w:jc w:val="right"/>
            </w:pPr>
            <w:r>
              <w:rPr>
                <w:sz w:val="19"/>
              </w:rPr>
              <w:t>7</w:t>
            </w:r>
          </w:p>
        </w:tc>
        <w:tc>
          <w:tcPr>
            <w:tcW w:w="1518" w:type="dxa"/>
          </w:tcPr>
          <w:p w:rsidR="007F373F" w:rsidRDefault="00000000">
            <w:pPr>
              <w:spacing w:after="0"/>
              <w:jc w:val="right"/>
            </w:pPr>
            <w:r>
              <w:rPr>
                <w:sz w:val="19"/>
              </w:rPr>
              <w:t>8</w:t>
            </w:r>
          </w:p>
        </w:tc>
        <w:tc>
          <w:tcPr>
            <w:tcW w:w="1794" w:type="dxa"/>
          </w:tcPr>
          <w:p w:rsidR="007F373F" w:rsidRDefault="00000000">
            <w:pPr>
              <w:spacing w:after="0"/>
              <w:jc w:val="right"/>
            </w:pPr>
            <w:r>
              <w:rPr>
                <w:sz w:val="19"/>
              </w:rPr>
              <w:t>5</w:t>
            </w:r>
          </w:p>
        </w:tc>
        <w:tc>
          <w:tcPr>
            <w:tcW w:w="966" w:type="dxa"/>
          </w:tcPr>
          <w:p w:rsidR="007F373F" w:rsidRDefault="00000000">
            <w:pPr>
              <w:spacing w:after="0"/>
              <w:jc w:val="right"/>
            </w:pPr>
            <w:r>
              <w:rPr>
                <w:sz w:val="19"/>
              </w:rPr>
              <w:t>20</w:t>
            </w:r>
          </w:p>
        </w:tc>
        <w:tc>
          <w:tcPr>
            <w:tcW w:w="897" w:type="dxa"/>
          </w:tcPr>
          <w:p w:rsidR="007F373F" w:rsidRDefault="00000000">
            <w:pPr>
              <w:spacing w:after="0"/>
              <w:jc w:val="right"/>
            </w:pPr>
            <w:r>
              <w:rPr>
                <w:sz w:val="19"/>
              </w:rPr>
              <w:t>2.6%</w:t>
            </w:r>
          </w:p>
        </w:tc>
      </w:tr>
      <w:tr w:rsidR="007F373F">
        <w:trPr>
          <w:jc w:val="center"/>
        </w:trPr>
        <w:tc>
          <w:tcPr>
            <w:tcW w:w="3313" w:type="dxa"/>
          </w:tcPr>
          <w:p w:rsidR="007F373F" w:rsidRDefault="00000000">
            <w:pPr>
              <w:spacing w:after="0"/>
              <w:jc w:val="left"/>
            </w:pPr>
            <w:r>
              <w:rPr>
                <w:sz w:val="19"/>
              </w:rPr>
              <w:t>Punjab</w:t>
            </w:r>
          </w:p>
        </w:tc>
        <w:tc>
          <w:tcPr>
            <w:tcW w:w="1242" w:type="dxa"/>
          </w:tcPr>
          <w:p w:rsidR="007F373F" w:rsidRDefault="00000000">
            <w:pPr>
              <w:spacing w:after="0"/>
              <w:jc w:val="right"/>
            </w:pPr>
            <w:r>
              <w:rPr>
                <w:sz w:val="19"/>
              </w:rPr>
              <w:t>1</w:t>
            </w:r>
          </w:p>
        </w:tc>
        <w:tc>
          <w:tcPr>
            <w:tcW w:w="1518" w:type="dxa"/>
          </w:tcPr>
          <w:p w:rsidR="007F373F" w:rsidRDefault="00000000">
            <w:pPr>
              <w:spacing w:after="0"/>
              <w:jc w:val="right"/>
            </w:pPr>
            <w:r>
              <w:rPr>
                <w:sz w:val="19"/>
              </w:rPr>
              <w:t>12</w:t>
            </w:r>
          </w:p>
        </w:tc>
        <w:tc>
          <w:tcPr>
            <w:tcW w:w="1794" w:type="dxa"/>
          </w:tcPr>
          <w:p w:rsidR="007F373F" w:rsidRDefault="00000000">
            <w:pPr>
              <w:spacing w:after="0"/>
              <w:jc w:val="right"/>
            </w:pPr>
            <w:r>
              <w:rPr>
                <w:sz w:val="19"/>
              </w:rPr>
              <w:t>0</w:t>
            </w:r>
          </w:p>
        </w:tc>
        <w:tc>
          <w:tcPr>
            <w:tcW w:w="966" w:type="dxa"/>
          </w:tcPr>
          <w:p w:rsidR="007F373F" w:rsidRDefault="00000000">
            <w:pPr>
              <w:spacing w:after="0"/>
              <w:jc w:val="right"/>
            </w:pPr>
            <w:r>
              <w:rPr>
                <w:sz w:val="19"/>
              </w:rPr>
              <w:t>13</w:t>
            </w:r>
          </w:p>
        </w:tc>
        <w:tc>
          <w:tcPr>
            <w:tcW w:w="897" w:type="dxa"/>
          </w:tcPr>
          <w:p w:rsidR="007F373F" w:rsidRDefault="00000000">
            <w:pPr>
              <w:spacing w:after="0"/>
              <w:jc w:val="right"/>
            </w:pPr>
            <w:r>
              <w:rPr>
                <w:sz w:val="19"/>
              </w:rPr>
              <w:t>1.7%</w:t>
            </w:r>
          </w:p>
        </w:tc>
      </w:tr>
      <w:tr w:rsidR="007F373F">
        <w:trPr>
          <w:jc w:val="center"/>
        </w:trPr>
        <w:tc>
          <w:tcPr>
            <w:tcW w:w="3313" w:type="dxa"/>
          </w:tcPr>
          <w:p w:rsidR="007F373F" w:rsidRDefault="00000000">
            <w:pPr>
              <w:spacing w:after="0"/>
              <w:jc w:val="left"/>
            </w:pPr>
            <w:r>
              <w:rPr>
                <w:sz w:val="19"/>
              </w:rPr>
              <w:t>Uttarakhand</w:t>
            </w:r>
          </w:p>
        </w:tc>
        <w:tc>
          <w:tcPr>
            <w:tcW w:w="1242" w:type="dxa"/>
          </w:tcPr>
          <w:p w:rsidR="007F373F" w:rsidRDefault="00000000">
            <w:pPr>
              <w:spacing w:after="0"/>
              <w:jc w:val="right"/>
            </w:pPr>
            <w:r>
              <w:rPr>
                <w:sz w:val="19"/>
              </w:rPr>
              <w:t>1</w:t>
            </w:r>
          </w:p>
        </w:tc>
        <w:tc>
          <w:tcPr>
            <w:tcW w:w="1518" w:type="dxa"/>
          </w:tcPr>
          <w:p w:rsidR="007F373F" w:rsidRDefault="00000000">
            <w:pPr>
              <w:spacing w:after="0"/>
              <w:jc w:val="right"/>
            </w:pPr>
            <w:r>
              <w:rPr>
                <w:sz w:val="19"/>
              </w:rPr>
              <w:t>5</w:t>
            </w:r>
          </w:p>
        </w:tc>
        <w:tc>
          <w:tcPr>
            <w:tcW w:w="1794" w:type="dxa"/>
          </w:tcPr>
          <w:p w:rsidR="007F373F" w:rsidRDefault="00000000">
            <w:pPr>
              <w:spacing w:after="0"/>
              <w:jc w:val="right"/>
            </w:pPr>
            <w:r>
              <w:rPr>
                <w:sz w:val="19"/>
              </w:rPr>
              <w:t>2</w:t>
            </w:r>
          </w:p>
        </w:tc>
        <w:tc>
          <w:tcPr>
            <w:tcW w:w="966" w:type="dxa"/>
          </w:tcPr>
          <w:p w:rsidR="007F373F" w:rsidRDefault="00000000">
            <w:pPr>
              <w:spacing w:after="0"/>
              <w:jc w:val="right"/>
            </w:pPr>
            <w:r>
              <w:rPr>
                <w:sz w:val="19"/>
              </w:rPr>
              <w:t>8</w:t>
            </w:r>
          </w:p>
        </w:tc>
        <w:tc>
          <w:tcPr>
            <w:tcW w:w="897" w:type="dxa"/>
          </w:tcPr>
          <w:p w:rsidR="007F373F" w:rsidRDefault="00000000">
            <w:pPr>
              <w:spacing w:after="0"/>
              <w:jc w:val="right"/>
            </w:pPr>
            <w:r>
              <w:rPr>
                <w:sz w:val="19"/>
              </w:rPr>
              <w:t>1.1%</w:t>
            </w:r>
          </w:p>
        </w:tc>
      </w:tr>
      <w:tr w:rsidR="007F373F">
        <w:trPr>
          <w:jc w:val="center"/>
        </w:trPr>
        <w:tc>
          <w:tcPr>
            <w:tcW w:w="3313" w:type="dxa"/>
          </w:tcPr>
          <w:p w:rsidR="007F373F" w:rsidRDefault="00000000">
            <w:pPr>
              <w:spacing w:after="0"/>
              <w:jc w:val="left"/>
            </w:pPr>
            <w:r>
              <w:rPr>
                <w:sz w:val="19"/>
              </w:rPr>
              <w:t>Goa</w:t>
            </w:r>
          </w:p>
        </w:tc>
        <w:tc>
          <w:tcPr>
            <w:tcW w:w="1242" w:type="dxa"/>
          </w:tcPr>
          <w:p w:rsidR="007F373F" w:rsidRDefault="00000000">
            <w:pPr>
              <w:spacing w:after="0"/>
              <w:jc w:val="right"/>
            </w:pPr>
            <w:r>
              <w:rPr>
                <w:sz w:val="19"/>
              </w:rPr>
              <w:t>0</w:t>
            </w:r>
          </w:p>
        </w:tc>
        <w:tc>
          <w:tcPr>
            <w:tcW w:w="1518" w:type="dxa"/>
          </w:tcPr>
          <w:p w:rsidR="007F373F" w:rsidRDefault="00000000">
            <w:pPr>
              <w:spacing w:after="0"/>
              <w:jc w:val="right"/>
            </w:pPr>
            <w:r>
              <w:rPr>
                <w:sz w:val="19"/>
              </w:rPr>
              <w:t>5</w:t>
            </w:r>
          </w:p>
        </w:tc>
        <w:tc>
          <w:tcPr>
            <w:tcW w:w="1794" w:type="dxa"/>
          </w:tcPr>
          <w:p w:rsidR="007F373F" w:rsidRDefault="00000000">
            <w:pPr>
              <w:spacing w:after="0"/>
              <w:jc w:val="right"/>
            </w:pPr>
            <w:r>
              <w:rPr>
                <w:sz w:val="19"/>
              </w:rPr>
              <w:t>0</w:t>
            </w:r>
          </w:p>
        </w:tc>
        <w:tc>
          <w:tcPr>
            <w:tcW w:w="966" w:type="dxa"/>
          </w:tcPr>
          <w:p w:rsidR="007F373F" w:rsidRDefault="00000000">
            <w:pPr>
              <w:spacing w:after="0"/>
              <w:jc w:val="right"/>
            </w:pPr>
            <w:r>
              <w:rPr>
                <w:sz w:val="19"/>
              </w:rPr>
              <w:t>5</w:t>
            </w:r>
          </w:p>
        </w:tc>
        <w:tc>
          <w:tcPr>
            <w:tcW w:w="897" w:type="dxa"/>
          </w:tcPr>
          <w:p w:rsidR="007F373F" w:rsidRDefault="00000000">
            <w:pPr>
              <w:spacing w:after="0"/>
              <w:jc w:val="right"/>
            </w:pPr>
            <w:r>
              <w:rPr>
                <w:sz w:val="19"/>
              </w:rPr>
              <w:t>0.7%</w:t>
            </w:r>
          </w:p>
        </w:tc>
      </w:tr>
      <w:tr w:rsidR="007F373F">
        <w:trPr>
          <w:jc w:val="center"/>
        </w:trPr>
        <w:tc>
          <w:tcPr>
            <w:tcW w:w="3313" w:type="dxa"/>
          </w:tcPr>
          <w:p w:rsidR="007F373F" w:rsidRDefault="00000000">
            <w:pPr>
              <w:spacing w:after="0"/>
              <w:jc w:val="left"/>
            </w:pPr>
            <w:r>
              <w:rPr>
                <w:sz w:val="19"/>
              </w:rPr>
              <w:t>Pondicherry</w:t>
            </w:r>
          </w:p>
        </w:tc>
        <w:tc>
          <w:tcPr>
            <w:tcW w:w="1242" w:type="dxa"/>
          </w:tcPr>
          <w:p w:rsidR="007F373F" w:rsidRDefault="00000000">
            <w:pPr>
              <w:spacing w:after="0"/>
              <w:jc w:val="right"/>
            </w:pPr>
            <w:r>
              <w:rPr>
                <w:sz w:val="19"/>
              </w:rPr>
              <w:t>2</w:t>
            </w:r>
          </w:p>
        </w:tc>
        <w:tc>
          <w:tcPr>
            <w:tcW w:w="1518" w:type="dxa"/>
          </w:tcPr>
          <w:p w:rsidR="007F373F" w:rsidRDefault="00000000">
            <w:pPr>
              <w:spacing w:after="0"/>
              <w:jc w:val="right"/>
            </w:pPr>
            <w:r>
              <w:rPr>
                <w:sz w:val="19"/>
              </w:rPr>
              <w:t>1</w:t>
            </w:r>
          </w:p>
        </w:tc>
        <w:tc>
          <w:tcPr>
            <w:tcW w:w="1794" w:type="dxa"/>
          </w:tcPr>
          <w:p w:rsidR="007F373F" w:rsidRDefault="00000000">
            <w:pPr>
              <w:spacing w:after="0"/>
              <w:jc w:val="right"/>
            </w:pPr>
            <w:r>
              <w:rPr>
                <w:sz w:val="19"/>
              </w:rPr>
              <w:t>0</w:t>
            </w:r>
          </w:p>
        </w:tc>
        <w:tc>
          <w:tcPr>
            <w:tcW w:w="966" w:type="dxa"/>
          </w:tcPr>
          <w:p w:rsidR="007F373F" w:rsidRDefault="00000000">
            <w:pPr>
              <w:spacing w:after="0"/>
              <w:jc w:val="right"/>
            </w:pPr>
            <w:r>
              <w:rPr>
                <w:sz w:val="19"/>
              </w:rPr>
              <w:t>3</w:t>
            </w:r>
          </w:p>
        </w:tc>
        <w:tc>
          <w:tcPr>
            <w:tcW w:w="897" w:type="dxa"/>
          </w:tcPr>
          <w:p w:rsidR="007F373F" w:rsidRDefault="00000000">
            <w:pPr>
              <w:spacing w:after="0"/>
              <w:jc w:val="right"/>
            </w:pPr>
            <w:r>
              <w:rPr>
                <w:sz w:val="19"/>
              </w:rPr>
              <w:t>0.4%</w:t>
            </w:r>
          </w:p>
        </w:tc>
      </w:tr>
      <w:tr w:rsidR="007F373F">
        <w:trPr>
          <w:jc w:val="center"/>
        </w:trPr>
        <w:tc>
          <w:tcPr>
            <w:tcW w:w="3313" w:type="dxa"/>
          </w:tcPr>
          <w:p w:rsidR="007F373F" w:rsidRDefault="00000000">
            <w:pPr>
              <w:spacing w:after="0"/>
              <w:jc w:val="left"/>
            </w:pPr>
            <w:r>
              <w:rPr>
                <w:sz w:val="19"/>
              </w:rPr>
              <w:t>Dadra &amp; Nagar Haveli (UT)</w:t>
            </w:r>
          </w:p>
        </w:tc>
        <w:tc>
          <w:tcPr>
            <w:tcW w:w="1242" w:type="dxa"/>
          </w:tcPr>
          <w:p w:rsidR="007F373F" w:rsidRDefault="00000000">
            <w:pPr>
              <w:spacing w:after="0"/>
              <w:jc w:val="right"/>
            </w:pPr>
            <w:r>
              <w:rPr>
                <w:sz w:val="19"/>
              </w:rPr>
              <w:t>0</w:t>
            </w:r>
          </w:p>
        </w:tc>
        <w:tc>
          <w:tcPr>
            <w:tcW w:w="1518" w:type="dxa"/>
          </w:tcPr>
          <w:p w:rsidR="007F373F" w:rsidRDefault="00000000">
            <w:pPr>
              <w:spacing w:after="0"/>
              <w:jc w:val="right"/>
            </w:pPr>
            <w:r>
              <w:rPr>
                <w:sz w:val="19"/>
              </w:rPr>
              <w:t>2</w:t>
            </w:r>
          </w:p>
        </w:tc>
        <w:tc>
          <w:tcPr>
            <w:tcW w:w="1794" w:type="dxa"/>
          </w:tcPr>
          <w:p w:rsidR="007F373F" w:rsidRDefault="00000000">
            <w:pPr>
              <w:spacing w:after="0"/>
              <w:jc w:val="right"/>
            </w:pPr>
            <w:r>
              <w:rPr>
                <w:sz w:val="19"/>
              </w:rPr>
              <w:t>0</w:t>
            </w:r>
          </w:p>
        </w:tc>
        <w:tc>
          <w:tcPr>
            <w:tcW w:w="966" w:type="dxa"/>
          </w:tcPr>
          <w:p w:rsidR="007F373F" w:rsidRDefault="00000000">
            <w:pPr>
              <w:spacing w:after="0"/>
              <w:jc w:val="right"/>
            </w:pPr>
            <w:r>
              <w:rPr>
                <w:sz w:val="19"/>
              </w:rPr>
              <w:t>2</w:t>
            </w:r>
          </w:p>
        </w:tc>
        <w:tc>
          <w:tcPr>
            <w:tcW w:w="897" w:type="dxa"/>
          </w:tcPr>
          <w:p w:rsidR="007F373F" w:rsidRDefault="00000000">
            <w:pPr>
              <w:spacing w:after="0"/>
              <w:jc w:val="right"/>
            </w:pPr>
            <w:r>
              <w:rPr>
                <w:sz w:val="19"/>
              </w:rPr>
              <w:t>0.3%</w:t>
            </w:r>
          </w:p>
        </w:tc>
      </w:tr>
      <w:tr w:rsidR="007F373F">
        <w:trPr>
          <w:jc w:val="center"/>
        </w:trPr>
        <w:tc>
          <w:tcPr>
            <w:tcW w:w="3313" w:type="dxa"/>
          </w:tcPr>
          <w:p w:rsidR="007F373F" w:rsidRDefault="00000000">
            <w:pPr>
              <w:spacing w:after="0"/>
              <w:jc w:val="left"/>
            </w:pPr>
            <w:r>
              <w:rPr>
                <w:sz w:val="19"/>
              </w:rPr>
              <w:t>Chandigarh</w:t>
            </w:r>
          </w:p>
        </w:tc>
        <w:tc>
          <w:tcPr>
            <w:tcW w:w="1242" w:type="dxa"/>
          </w:tcPr>
          <w:p w:rsidR="007F373F" w:rsidRDefault="00000000">
            <w:pPr>
              <w:spacing w:after="0"/>
              <w:jc w:val="right"/>
            </w:pPr>
            <w:r>
              <w:rPr>
                <w:sz w:val="19"/>
              </w:rPr>
              <w:t>1</w:t>
            </w:r>
          </w:p>
        </w:tc>
        <w:tc>
          <w:tcPr>
            <w:tcW w:w="1518" w:type="dxa"/>
          </w:tcPr>
          <w:p w:rsidR="007F373F" w:rsidRDefault="00000000">
            <w:pPr>
              <w:spacing w:after="0"/>
              <w:jc w:val="right"/>
            </w:pPr>
            <w:r>
              <w:rPr>
                <w:sz w:val="19"/>
              </w:rPr>
              <w:t>0</w:t>
            </w:r>
          </w:p>
        </w:tc>
        <w:tc>
          <w:tcPr>
            <w:tcW w:w="1794" w:type="dxa"/>
          </w:tcPr>
          <w:p w:rsidR="007F373F" w:rsidRDefault="00000000">
            <w:pPr>
              <w:spacing w:after="0"/>
              <w:jc w:val="right"/>
            </w:pPr>
            <w:r>
              <w:rPr>
                <w:sz w:val="19"/>
              </w:rPr>
              <w:t>0</w:t>
            </w:r>
          </w:p>
        </w:tc>
        <w:tc>
          <w:tcPr>
            <w:tcW w:w="966" w:type="dxa"/>
          </w:tcPr>
          <w:p w:rsidR="007F373F" w:rsidRDefault="00000000">
            <w:pPr>
              <w:spacing w:after="0"/>
              <w:jc w:val="right"/>
            </w:pPr>
            <w:r>
              <w:rPr>
                <w:sz w:val="19"/>
              </w:rPr>
              <w:t>1</w:t>
            </w:r>
          </w:p>
        </w:tc>
        <w:tc>
          <w:tcPr>
            <w:tcW w:w="897" w:type="dxa"/>
          </w:tcPr>
          <w:p w:rsidR="007F373F" w:rsidRDefault="00000000">
            <w:pPr>
              <w:spacing w:after="0"/>
              <w:jc w:val="right"/>
            </w:pPr>
            <w:r>
              <w:rPr>
                <w:sz w:val="19"/>
              </w:rPr>
              <w:t>0.1%</w:t>
            </w:r>
          </w:p>
        </w:tc>
      </w:tr>
      <w:tr w:rsidR="007F373F">
        <w:trPr>
          <w:jc w:val="center"/>
        </w:trPr>
        <w:tc>
          <w:tcPr>
            <w:tcW w:w="3313" w:type="dxa"/>
          </w:tcPr>
          <w:p w:rsidR="007F373F" w:rsidRDefault="00000000">
            <w:pPr>
              <w:spacing w:after="0"/>
              <w:jc w:val="left"/>
            </w:pPr>
            <w:r>
              <w:rPr>
                <w:sz w:val="19"/>
              </w:rPr>
              <w:t>Total</w:t>
            </w:r>
          </w:p>
        </w:tc>
        <w:tc>
          <w:tcPr>
            <w:tcW w:w="1242" w:type="dxa"/>
          </w:tcPr>
          <w:p w:rsidR="007F373F" w:rsidRDefault="00000000">
            <w:pPr>
              <w:spacing w:after="0"/>
              <w:jc w:val="right"/>
            </w:pPr>
            <w:r>
              <w:rPr>
                <w:sz w:val="19"/>
              </w:rPr>
              <w:t>129</w:t>
            </w:r>
          </w:p>
        </w:tc>
        <w:tc>
          <w:tcPr>
            <w:tcW w:w="1518" w:type="dxa"/>
          </w:tcPr>
          <w:p w:rsidR="007F373F" w:rsidRDefault="00000000">
            <w:pPr>
              <w:spacing w:after="0"/>
              <w:jc w:val="right"/>
            </w:pPr>
            <w:r>
              <w:rPr>
                <w:sz w:val="19"/>
              </w:rPr>
              <w:t>558</w:t>
            </w:r>
          </w:p>
        </w:tc>
        <w:tc>
          <w:tcPr>
            <w:tcW w:w="1794" w:type="dxa"/>
          </w:tcPr>
          <w:p w:rsidR="007F373F" w:rsidRDefault="00000000">
            <w:pPr>
              <w:spacing w:after="0"/>
              <w:jc w:val="right"/>
            </w:pPr>
            <w:r>
              <w:rPr>
                <w:sz w:val="19"/>
              </w:rPr>
              <w:t>70</w:t>
            </w:r>
          </w:p>
        </w:tc>
        <w:tc>
          <w:tcPr>
            <w:tcW w:w="966" w:type="dxa"/>
          </w:tcPr>
          <w:p w:rsidR="007F373F" w:rsidRDefault="00000000">
            <w:pPr>
              <w:spacing w:after="0"/>
              <w:jc w:val="right"/>
            </w:pPr>
            <w:r>
              <w:rPr>
                <w:sz w:val="19"/>
              </w:rPr>
              <w:t>757</w:t>
            </w:r>
          </w:p>
        </w:tc>
        <w:tc>
          <w:tcPr>
            <w:tcW w:w="897" w:type="dxa"/>
          </w:tcPr>
          <w:p w:rsidR="007F373F" w:rsidRDefault="00000000">
            <w:pPr>
              <w:spacing w:after="0"/>
              <w:jc w:val="right"/>
            </w:pPr>
            <w:r>
              <w:rPr>
                <w:sz w:val="19"/>
              </w:rPr>
              <w:t>100.0%</w:t>
            </w:r>
          </w:p>
        </w:tc>
      </w:tr>
    </w:tbl>
    <w:p w:rsidR="007F373F" w:rsidRDefault="00000000">
      <w:pPr>
        <w:spacing w:before="40" w:after="80"/>
      </w:pPr>
      <w:r>
        <w:rPr>
          <w:i/>
          <w:sz w:val="18"/>
        </w:rPr>
        <w:t>Source: Fedfina Annual Report 2025-26, Directors’ Report – ‘Branch network’ table. Shares derived.</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208"/>
        <w:gridCol w:w="938"/>
        <w:gridCol w:w="938"/>
        <w:gridCol w:w="938"/>
        <w:gridCol w:w="938"/>
        <w:gridCol w:w="938"/>
        <w:gridCol w:w="938"/>
        <w:gridCol w:w="938"/>
        <w:gridCol w:w="952"/>
      </w:tblGrid>
      <w:tr w:rsidR="007F373F">
        <w:trPr>
          <w:jc w:val="center"/>
        </w:trPr>
        <w:tc>
          <w:tcPr>
            <w:tcW w:w="2208" w:type="dxa"/>
          </w:tcPr>
          <w:p w:rsidR="007F373F" w:rsidRDefault="00000000">
            <w:pPr>
              <w:spacing w:after="0"/>
              <w:jc w:val="left"/>
            </w:pPr>
            <w:r>
              <w:rPr>
                <w:b/>
                <w:sz w:val="19"/>
              </w:rPr>
              <w:t>Year-end</w:t>
            </w:r>
          </w:p>
        </w:tc>
        <w:tc>
          <w:tcPr>
            <w:tcW w:w="938" w:type="dxa"/>
          </w:tcPr>
          <w:p w:rsidR="007F373F" w:rsidRDefault="00000000">
            <w:pPr>
              <w:spacing w:after="0"/>
              <w:jc w:val="left"/>
            </w:pPr>
            <w:r>
              <w:rPr>
                <w:b/>
                <w:sz w:val="19"/>
              </w:rPr>
              <w:t>FY19</w:t>
            </w:r>
          </w:p>
        </w:tc>
        <w:tc>
          <w:tcPr>
            <w:tcW w:w="938" w:type="dxa"/>
          </w:tcPr>
          <w:p w:rsidR="007F373F" w:rsidRDefault="00000000">
            <w:pPr>
              <w:spacing w:after="0"/>
              <w:jc w:val="left"/>
            </w:pPr>
            <w:r>
              <w:rPr>
                <w:b/>
                <w:sz w:val="19"/>
              </w:rPr>
              <w:t>FY20</w:t>
            </w:r>
          </w:p>
        </w:tc>
        <w:tc>
          <w:tcPr>
            <w:tcW w:w="938" w:type="dxa"/>
          </w:tcPr>
          <w:p w:rsidR="007F373F" w:rsidRDefault="00000000">
            <w:pPr>
              <w:spacing w:after="0"/>
              <w:jc w:val="left"/>
            </w:pPr>
            <w:r>
              <w:rPr>
                <w:b/>
                <w:sz w:val="19"/>
              </w:rPr>
              <w:t>FY21</w:t>
            </w:r>
          </w:p>
        </w:tc>
        <w:tc>
          <w:tcPr>
            <w:tcW w:w="938" w:type="dxa"/>
          </w:tcPr>
          <w:p w:rsidR="007F373F" w:rsidRDefault="00000000">
            <w:pPr>
              <w:spacing w:after="0"/>
              <w:jc w:val="left"/>
            </w:pPr>
            <w:r>
              <w:rPr>
                <w:b/>
                <w:sz w:val="19"/>
              </w:rPr>
              <w:t>FY22</w:t>
            </w:r>
          </w:p>
        </w:tc>
        <w:tc>
          <w:tcPr>
            <w:tcW w:w="938" w:type="dxa"/>
          </w:tcPr>
          <w:p w:rsidR="007F373F" w:rsidRDefault="00000000">
            <w:pPr>
              <w:spacing w:after="0"/>
              <w:jc w:val="left"/>
            </w:pPr>
            <w:r>
              <w:rPr>
                <w:b/>
                <w:sz w:val="19"/>
              </w:rPr>
              <w:t>FY23</w:t>
            </w:r>
          </w:p>
        </w:tc>
        <w:tc>
          <w:tcPr>
            <w:tcW w:w="938" w:type="dxa"/>
          </w:tcPr>
          <w:p w:rsidR="007F373F" w:rsidRDefault="00000000">
            <w:pPr>
              <w:spacing w:after="0"/>
              <w:jc w:val="left"/>
            </w:pPr>
            <w:r>
              <w:rPr>
                <w:b/>
                <w:sz w:val="19"/>
              </w:rPr>
              <w:t>FY24</w:t>
            </w:r>
          </w:p>
        </w:tc>
        <w:tc>
          <w:tcPr>
            <w:tcW w:w="938" w:type="dxa"/>
          </w:tcPr>
          <w:p w:rsidR="007F373F" w:rsidRDefault="00000000">
            <w:pPr>
              <w:spacing w:after="0"/>
              <w:jc w:val="left"/>
            </w:pPr>
            <w:r>
              <w:rPr>
                <w:b/>
                <w:sz w:val="19"/>
              </w:rPr>
              <w:t>FY25</w:t>
            </w:r>
          </w:p>
        </w:tc>
        <w:tc>
          <w:tcPr>
            <w:tcW w:w="952" w:type="dxa"/>
          </w:tcPr>
          <w:p w:rsidR="007F373F" w:rsidRDefault="00000000">
            <w:pPr>
              <w:spacing w:after="0"/>
              <w:jc w:val="left"/>
            </w:pPr>
            <w:r>
              <w:rPr>
                <w:b/>
                <w:sz w:val="19"/>
              </w:rPr>
              <w:t>FY26</w:t>
            </w:r>
          </w:p>
        </w:tc>
      </w:tr>
      <w:tr w:rsidR="007F373F">
        <w:trPr>
          <w:jc w:val="center"/>
        </w:trPr>
        <w:tc>
          <w:tcPr>
            <w:tcW w:w="2208" w:type="dxa"/>
          </w:tcPr>
          <w:p w:rsidR="007F373F" w:rsidRDefault="00000000">
            <w:pPr>
              <w:spacing w:after="0"/>
              <w:jc w:val="left"/>
            </w:pPr>
            <w:r>
              <w:rPr>
                <w:sz w:val="19"/>
              </w:rPr>
              <w:t>Total branches</w:t>
            </w:r>
          </w:p>
        </w:tc>
        <w:tc>
          <w:tcPr>
            <w:tcW w:w="938" w:type="dxa"/>
          </w:tcPr>
          <w:p w:rsidR="007F373F" w:rsidRDefault="00000000">
            <w:pPr>
              <w:spacing w:after="0"/>
              <w:jc w:val="right"/>
            </w:pPr>
            <w:r>
              <w:rPr>
                <w:sz w:val="19"/>
              </w:rPr>
              <w:t>149</w:t>
            </w:r>
          </w:p>
        </w:tc>
        <w:tc>
          <w:tcPr>
            <w:tcW w:w="938" w:type="dxa"/>
          </w:tcPr>
          <w:p w:rsidR="007F373F" w:rsidRDefault="00000000">
            <w:pPr>
              <w:spacing w:after="0"/>
              <w:jc w:val="right"/>
            </w:pPr>
            <w:r>
              <w:rPr>
                <w:sz w:val="19"/>
              </w:rPr>
              <w:t>303</w:t>
            </w:r>
          </w:p>
        </w:tc>
        <w:tc>
          <w:tcPr>
            <w:tcW w:w="938" w:type="dxa"/>
          </w:tcPr>
          <w:p w:rsidR="007F373F" w:rsidRDefault="00000000">
            <w:pPr>
              <w:spacing w:after="0"/>
              <w:jc w:val="right"/>
            </w:pPr>
            <w:r>
              <w:rPr>
                <w:sz w:val="19"/>
              </w:rPr>
              <w:t>359</w:t>
            </w:r>
          </w:p>
        </w:tc>
        <w:tc>
          <w:tcPr>
            <w:tcW w:w="938" w:type="dxa"/>
          </w:tcPr>
          <w:p w:rsidR="007F373F" w:rsidRDefault="00000000">
            <w:pPr>
              <w:spacing w:after="0"/>
              <w:jc w:val="right"/>
            </w:pPr>
            <w:r>
              <w:rPr>
                <w:sz w:val="19"/>
              </w:rPr>
              <w:t>516</w:t>
            </w:r>
          </w:p>
        </w:tc>
        <w:tc>
          <w:tcPr>
            <w:tcW w:w="938" w:type="dxa"/>
          </w:tcPr>
          <w:p w:rsidR="007F373F" w:rsidRDefault="00000000">
            <w:pPr>
              <w:spacing w:after="0"/>
              <w:jc w:val="right"/>
            </w:pPr>
            <w:r>
              <w:rPr>
                <w:sz w:val="19"/>
              </w:rPr>
              <w:t>575</w:t>
            </w:r>
          </w:p>
        </w:tc>
        <w:tc>
          <w:tcPr>
            <w:tcW w:w="938" w:type="dxa"/>
          </w:tcPr>
          <w:p w:rsidR="007F373F" w:rsidRDefault="00000000">
            <w:pPr>
              <w:spacing w:after="0"/>
              <w:jc w:val="right"/>
            </w:pPr>
            <w:r>
              <w:rPr>
                <w:sz w:val="19"/>
              </w:rPr>
              <w:t>621</w:t>
            </w:r>
          </w:p>
        </w:tc>
        <w:tc>
          <w:tcPr>
            <w:tcW w:w="938" w:type="dxa"/>
          </w:tcPr>
          <w:p w:rsidR="007F373F" w:rsidRDefault="00000000">
            <w:pPr>
              <w:spacing w:after="0"/>
              <w:jc w:val="right"/>
            </w:pPr>
            <w:r>
              <w:rPr>
                <w:sz w:val="19"/>
              </w:rPr>
              <w:t>694</w:t>
            </w:r>
          </w:p>
        </w:tc>
        <w:tc>
          <w:tcPr>
            <w:tcW w:w="952" w:type="dxa"/>
          </w:tcPr>
          <w:p w:rsidR="007F373F" w:rsidRDefault="00000000">
            <w:pPr>
              <w:spacing w:after="0"/>
              <w:jc w:val="right"/>
            </w:pPr>
            <w:r>
              <w:rPr>
                <w:sz w:val="19"/>
              </w:rPr>
              <w:t>757</w:t>
            </w:r>
          </w:p>
        </w:tc>
      </w:tr>
      <w:tr w:rsidR="007F373F">
        <w:trPr>
          <w:jc w:val="center"/>
        </w:trPr>
        <w:tc>
          <w:tcPr>
            <w:tcW w:w="2208" w:type="dxa"/>
          </w:tcPr>
          <w:p w:rsidR="007F373F" w:rsidRDefault="00000000">
            <w:pPr>
              <w:spacing w:after="0"/>
              <w:jc w:val="left"/>
            </w:pPr>
            <w:r>
              <w:rPr>
                <w:sz w:val="19"/>
              </w:rPr>
              <w:t>Gold-loan branches</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301</w:t>
            </w:r>
          </w:p>
        </w:tc>
        <w:tc>
          <w:tcPr>
            <w:tcW w:w="938" w:type="dxa"/>
          </w:tcPr>
          <w:p w:rsidR="007F373F" w:rsidRDefault="00000000">
            <w:pPr>
              <w:spacing w:after="0"/>
              <w:jc w:val="right"/>
            </w:pPr>
            <w:r>
              <w:rPr>
                <w:sz w:val="19"/>
              </w:rPr>
              <w:t>407</w:t>
            </w:r>
          </w:p>
        </w:tc>
        <w:tc>
          <w:tcPr>
            <w:tcW w:w="938" w:type="dxa"/>
          </w:tcPr>
          <w:p w:rsidR="007F373F" w:rsidRDefault="00000000">
            <w:pPr>
              <w:spacing w:after="0"/>
              <w:jc w:val="right"/>
            </w:pPr>
            <w:r>
              <w:rPr>
                <w:sz w:val="19"/>
              </w:rPr>
              <w:t>437</w:t>
            </w:r>
          </w:p>
        </w:tc>
        <w:tc>
          <w:tcPr>
            <w:tcW w:w="938" w:type="dxa"/>
          </w:tcPr>
          <w:p w:rsidR="007F373F" w:rsidRDefault="00000000">
            <w:pPr>
              <w:spacing w:after="0"/>
              <w:jc w:val="right"/>
            </w:pPr>
            <w:r>
              <w:rPr>
                <w:sz w:val="19"/>
              </w:rPr>
              <w:t>438</w:t>
            </w:r>
          </w:p>
        </w:tc>
        <w:tc>
          <w:tcPr>
            <w:tcW w:w="938" w:type="dxa"/>
          </w:tcPr>
          <w:p w:rsidR="007F373F" w:rsidRDefault="00000000">
            <w:pPr>
              <w:spacing w:after="0"/>
              <w:jc w:val="right"/>
            </w:pPr>
            <w:r>
              <w:rPr>
                <w:sz w:val="19"/>
              </w:rPr>
              <w:t>484</w:t>
            </w:r>
          </w:p>
        </w:tc>
        <w:tc>
          <w:tcPr>
            <w:tcW w:w="952" w:type="dxa"/>
          </w:tcPr>
          <w:p w:rsidR="007F373F" w:rsidRDefault="00000000">
            <w:pPr>
              <w:spacing w:after="0"/>
              <w:jc w:val="right"/>
            </w:pPr>
            <w:r>
              <w:rPr>
                <w:sz w:val="19"/>
              </w:rPr>
              <w:t>558</w:t>
            </w:r>
          </w:p>
        </w:tc>
      </w:tr>
      <w:tr w:rsidR="007F373F">
        <w:trPr>
          <w:jc w:val="center"/>
        </w:trPr>
        <w:tc>
          <w:tcPr>
            <w:tcW w:w="2208" w:type="dxa"/>
          </w:tcPr>
          <w:p w:rsidR="007F373F" w:rsidRDefault="00000000">
            <w:pPr>
              <w:spacing w:after="0"/>
              <w:jc w:val="left"/>
            </w:pPr>
            <w:r>
              <w:rPr>
                <w:sz w:val="19"/>
              </w:rPr>
              <w:t>MSME hubs</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58</w:t>
            </w:r>
          </w:p>
        </w:tc>
        <w:tc>
          <w:tcPr>
            <w:tcW w:w="938" w:type="dxa"/>
          </w:tcPr>
          <w:p w:rsidR="007F373F" w:rsidRDefault="00000000">
            <w:pPr>
              <w:spacing w:after="0"/>
              <w:jc w:val="right"/>
            </w:pPr>
            <w:r>
              <w:rPr>
                <w:sz w:val="19"/>
              </w:rPr>
              <w:t>109</w:t>
            </w:r>
          </w:p>
        </w:tc>
        <w:tc>
          <w:tcPr>
            <w:tcW w:w="938" w:type="dxa"/>
          </w:tcPr>
          <w:p w:rsidR="007F373F" w:rsidRDefault="00000000">
            <w:pPr>
              <w:spacing w:after="0"/>
              <w:jc w:val="right"/>
            </w:pPr>
            <w:r>
              <w:rPr>
                <w:sz w:val="19"/>
              </w:rPr>
              <w:t>138</w:t>
            </w:r>
          </w:p>
        </w:tc>
        <w:tc>
          <w:tcPr>
            <w:tcW w:w="938" w:type="dxa"/>
          </w:tcPr>
          <w:p w:rsidR="007F373F" w:rsidRDefault="00000000">
            <w:pPr>
              <w:spacing w:after="0"/>
              <w:jc w:val="right"/>
            </w:pPr>
            <w:r>
              <w:rPr>
                <w:sz w:val="19"/>
              </w:rPr>
              <w:t>183</w:t>
            </w:r>
          </w:p>
        </w:tc>
        <w:tc>
          <w:tcPr>
            <w:tcW w:w="938" w:type="dxa"/>
          </w:tcPr>
          <w:p w:rsidR="007F373F" w:rsidRDefault="00000000">
            <w:pPr>
              <w:spacing w:after="0"/>
              <w:jc w:val="right"/>
            </w:pPr>
            <w:r>
              <w:rPr>
                <w:sz w:val="19"/>
              </w:rPr>
              <w:t>210</w:t>
            </w:r>
          </w:p>
        </w:tc>
        <w:tc>
          <w:tcPr>
            <w:tcW w:w="952" w:type="dxa"/>
          </w:tcPr>
          <w:p w:rsidR="007F373F" w:rsidRDefault="00000000">
            <w:pPr>
              <w:spacing w:after="0"/>
              <w:jc w:val="right"/>
            </w:pPr>
            <w:r>
              <w:rPr>
                <w:sz w:val="19"/>
              </w:rPr>
              <w:t>129</w:t>
            </w:r>
          </w:p>
        </w:tc>
      </w:tr>
      <w:tr w:rsidR="007F373F">
        <w:trPr>
          <w:jc w:val="center"/>
        </w:trPr>
        <w:tc>
          <w:tcPr>
            <w:tcW w:w="2208" w:type="dxa"/>
          </w:tcPr>
          <w:p w:rsidR="007F373F" w:rsidRDefault="00000000">
            <w:pPr>
              <w:spacing w:after="0"/>
              <w:jc w:val="left"/>
            </w:pPr>
            <w:r>
              <w:rPr>
                <w:sz w:val="19"/>
              </w:rPr>
              <w:t>Co-located branches</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w:t>
            </w:r>
          </w:p>
        </w:tc>
        <w:tc>
          <w:tcPr>
            <w:tcW w:w="952" w:type="dxa"/>
          </w:tcPr>
          <w:p w:rsidR="007F373F" w:rsidRDefault="00000000">
            <w:pPr>
              <w:spacing w:after="0"/>
              <w:jc w:val="right"/>
            </w:pPr>
            <w:r>
              <w:rPr>
                <w:sz w:val="19"/>
              </w:rPr>
              <w:t>70</w:t>
            </w:r>
          </w:p>
        </w:tc>
      </w:tr>
      <w:tr w:rsidR="007F373F">
        <w:trPr>
          <w:jc w:val="center"/>
        </w:trPr>
        <w:tc>
          <w:tcPr>
            <w:tcW w:w="2208" w:type="dxa"/>
          </w:tcPr>
          <w:p w:rsidR="007F373F" w:rsidRDefault="00000000">
            <w:pPr>
              <w:spacing w:after="0"/>
              <w:jc w:val="left"/>
            </w:pPr>
            <w:r>
              <w:rPr>
                <w:sz w:val="19"/>
              </w:rPr>
              <w:t>States / UTs</w:t>
            </w:r>
          </w:p>
        </w:tc>
        <w:tc>
          <w:tcPr>
            <w:tcW w:w="938" w:type="dxa"/>
          </w:tcPr>
          <w:p w:rsidR="007F373F" w:rsidRDefault="00000000">
            <w:pPr>
              <w:spacing w:after="0"/>
              <w:jc w:val="right"/>
            </w:pPr>
            <w:r>
              <w:rPr>
                <w:sz w:val="19"/>
              </w:rPr>
              <w:t>8</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w:t>
            </w:r>
          </w:p>
        </w:tc>
        <w:tc>
          <w:tcPr>
            <w:tcW w:w="938" w:type="dxa"/>
          </w:tcPr>
          <w:p w:rsidR="007F373F" w:rsidRDefault="00000000">
            <w:pPr>
              <w:spacing w:after="0"/>
              <w:jc w:val="right"/>
            </w:pPr>
            <w:r>
              <w:rPr>
                <w:sz w:val="19"/>
              </w:rPr>
              <w:t>18</w:t>
            </w:r>
          </w:p>
        </w:tc>
        <w:tc>
          <w:tcPr>
            <w:tcW w:w="938" w:type="dxa"/>
          </w:tcPr>
          <w:p w:rsidR="007F373F" w:rsidRDefault="00000000">
            <w:pPr>
              <w:spacing w:after="0"/>
              <w:jc w:val="right"/>
            </w:pPr>
            <w:r>
              <w:rPr>
                <w:sz w:val="19"/>
              </w:rPr>
              <w:t>18</w:t>
            </w:r>
          </w:p>
        </w:tc>
        <w:tc>
          <w:tcPr>
            <w:tcW w:w="952" w:type="dxa"/>
          </w:tcPr>
          <w:p w:rsidR="007F373F" w:rsidRDefault="00000000">
            <w:pPr>
              <w:spacing w:after="0"/>
              <w:jc w:val="right"/>
            </w:pPr>
            <w:r>
              <w:rPr>
                <w:sz w:val="19"/>
              </w:rPr>
              <w:t>17</w:t>
            </w:r>
          </w:p>
        </w:tc>
      </w:tr>
    </w:tbl>
    <w:p w:rsidR="007F373F" w:rsidRDefault="00000000">
      <w:pPr>
        <w:spacing w:before="40" w:after="80"/>
      </w:pPr>
      <w:r>
        <w:rPr>
          <w:i/>
          <w:sz w:val="18"/>
        </w:rPr>
        <w:t>Source: Fedfina Annual Report 2023-24 journey and KPI pages; Fedfina Annual Report 2024-25 p.7; Fedfina Annual Report 2025-26 Directors’ Report. The FY26 state count of 17 follows the Directors’ Report table (Delhi NCR counted once).</w:t>
      </w:r>
    </w:p>
    <w:p w:rsidR="007F373F" w:rsidRDefault="00000000">
      <w:r>
        <w:t>Observations. Gujarat (136) and Maharashtra (141) together host 37% of the network; the southern states of Karnataka, Tamil Nadu, Andhra Pradesh and Telangana a further 38%. The co-located format is concentrated in Gujarat (15), Telangana (11), Karnataka (9) and Maharashtra (8) – the states with the deepest gold-branch presence and therefore the largest cross-sell base. Northern expansion (Delhi NCR, Haryana, Uttar Pradesh, Rajasthan, Punjab, Uttarakhand, Chandigarh) accounts for 166 branches (22%), almost all gold-loan format.</w:t>
      </w:r>
    </w:p>
    <w:p w:rsidR="007F373F" w:rsidRDefault="00000000">
      <w:r>
        <w:t xml:space="preserve">Network growth. The branch count rose from 149 at 31 March 2019 to 757 at 31 March 2026, a compound growth rate of about 26% a year (derived), with the two largest annual additions in FY25 (73 branches) and FY26 (63). Gold-loan branches account for all of the net addition since FY21 together with the new co-located format, while the number of stand-alone MSME hubs has stayed </w:t>
      </w:r>
      <w:r>
        <w:lastRenderedPageBreak/>
        <w:t>broadly stable – consistent with the strategy of growing mortgages out of existing catchments rather than new ones.</w:t>
      </w:r>
    </w:p>
    <w:p w:rsidR="007F373F" w:rsidRDefault="00000000">
      <w:pPr>
        <w:pStyle w:val="Heading1"/>
        <w:pageBreakBefore/>
      </w:pPr>
      <w:r>
        <w:lastRenderedPageBreak/>
        <w:t>Appendix D — Debt Instruments Outstanding and Issued in FY26</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003"/>
        <w:gridCol w:w="1380"/>
        <w:gridCol w:w="1380"/>
        <w:gridCol w:w="1449"/>
        <w:gridCol w:w="1518"/>
      </w:tblGrid>
      <w:tr w:rsidR="007F373F">
        <w:trPr>
          <w:jc w:val="center"/>
        </w:trPr>
        <w:tc>
          <w:tcPr>
            <w:tcW w:w="4003" w:type="dxa"/>
          </w:tcPr>
          <w:p w:rsidR="007F373F" w:rsidRDefault="00000000">
            <w:pPr>
              <w:spacing w:after="0"/>
              <w:jc w:val="left"/>
            </w:pPr>
            <w:r>
              <w:rPr>
                <w:b/>
                <w:sz w:val="19"/>
              </w:rPr>
              <w:t>Instrument</w:t>
            </w:r>
          </w:p>
        </w:tc>
        <w:tc>
          <w:tcPr>
            <w:tcW w:w="1380" w:type="dxa"/>
          </w:tcPr>
          <w:p w:rsidR="007F373F" w:rsidRDefault="00000000">
            <w:pPr>
              <w:spacing w:after="0"/>
              <w:jc w:val="left"/>
            </w:pPr>
            <w:r>
              <w:rPr>
                <w:b/>
                <w:sz w:val="19"/>
              </w:rPr>
              <w:t>Allotment date</w:t>
            </w:r>
          </w:p>
        </w:tc>
        <w:tc>
          <w:tcPr>
            <w:tcW w:w="1380" w:type="dxa"/>
          </w:tcPr>
          <w:p w:rsidR="007F373F" w:rsidRDefault="00000000">
            <w:pPr>
              <w:spacing w:after="0"/>
              <w:jc w:val="left"/>
            </w:pPr>
            <w:r>
              <w:rPr>
                <w:b/>
                <w:sz w:val="19"/>
              </w:rPr>
              <w:t>Maturity</w:t>
            </w:r>
          </w:p>
        </w:tc>
        <w:tc>
          <w:tcPr>
            <w:tcW w:w="1449" w:type="dxa"/>
          </w:tcPr>
          <w:p w:rsidR="007F373F" w:rsidRDefault="00000000">
            <w:pPr>
              <w:spacing w:after="0"/>
              <w:jc w:val="left"/>
            </w:pPr>
            <w:r>
              <w:rPr>
                <w:b/>
                <w:sz w:val="19"/>
              </w:rPr>
              <w:t>Amount (₹ crore)</w:t>
            </w:r>
          </w:p>
        </w:tc>
        <w:tc>
          <w:tcPr>
            <w:tcW w:w="1518" w:type="dxa"/>
          </w:tcPr>
          <w:p w:rsidR="007F373F" w:rsidRDefault="00000000">
            <w:pPr>
              <w:spacing w:after="0"/>
              <w:jc w:val="left"/>
            </w:pPr>
            <w:r>
              <w:rPr>
                <w:b/>
                <w:sz w:val="19"/>
              </w:rPr>
              <w:t>Type</w:t>
            </w:r>
          </w:p>
        </w:tc>
      </w:tr>
      <w:tr w:rsidR="007F373F">
        <w:trPr>
          <w:jc w:val="center"/>
        </w:trPr>
        <w:tc>
          <w:tcPr>
            <w:tcW w:w="4003" w:type="dxa"/>
          </w:tcPr>
          <w:p w:rsidR="007F373F" w:rsidRDefault="00000000">
            <w:pPr>
              <w:spacing w:after="0"/>
              <w:jc w:val="left"/>
            </w:pPr>
            <w:r>
              <w:rPr>
                <w:sz w:val="19"/>
              </w:rPr>
              <w:t>Reset-rate secured NCDs</w:t>
            </w:r>
          </w:p>
        </w:tc>
        <w:tc>
          <w:tcPr>
            <w:tcW w:w="1380" w:type="dxa"/>
          </w:tcPr>
          <w:p w:rsidR="007F373F" w:rsidRDefault="00000000">
            <w:pPr>
              <w:spacing w:after="0"/>
              <w:jc w:val="left"/>
            </w:pPr>
            <w:r>
              <w:rPr>
                <w:sz w:val="19"/>
              </w:rPr>
              <w:t>26 Jun 2023</w:t>
            </w:r>
          </w:p>
        </w:tc>
        <w:tc>
          <w:tcPr>
            <w:tcW w:w="1380" w:type="dxa"/>
          </w:tcPr>
          <w:p w:rsidR="007F373F" w:rsidRDefault="00000000">
            <w:pPr>
              <w:spacing w:after="0"/>
              <w:jc w:val="left"/>
            </w:pPr>
            <w:r>
              <w:rPr>
                <w:sz w:val="19"/>
              </w:rPr>
              <w:t>26 Jun 2027</w:t>
            </w:r>
          </w:p>
        </w:tc>
        <w:tc>
          <w:tcPr>
            <w:tcW w:w="1449" w:type="dxa"/>
          </w:tcPr>
          <w:p w:rsidR="007F373F" w:rsidRDefault="00000000">
            <w:pPr>
              <w:spacing w:after="0"/>
              <w:jc w:val="right"/>
            </w:pPr>
            <w:r>
              <w:rPr>
                <w:sz w:val="19"/>
              </w:rPr>
              <w:t>31.25</w:t>
            </w:r>
          </w:p>
        </w:tc>
        <w:tc>
          <w:tcPr>
            <w:tcW w:w="1518" w:type="dxa"/>
          </w:tcPr>
          <w:p w:rsidR="007F373F" w:rsidRDefault="00000000">
            <w:pPr>
              <w:spacing w:after="0"/>
              <w:jc w:val="left"/>
            </w:pPr>
            <w:r>
              <w:rPr>
                <w:sz w:val="19"/>
              </w:rPr>
              <w:t>Secured</w:t>
            </w:r>
          </w:p>
        </w:tc>
      </w:tr>
      <w:tr w:rsidR="007F373F">
        <w:trPr>
          <w:jc w:val="center"/>
        </w:trPr>
        <w:tc>
          <w:tcPr>
            <w:tcW w:w="4003" w:type="dxa"/>
          </w:tcPr>
          <w:p w:rsidR="007F373F" w:rsidRDefault="00000000">
            <w:pPr>
              <w:spacing w:after="0"/>
              <w:jc w:val="left"/>
            </w:pPr>
            <w:r>
              <w:rPr>
                <w:sz w:val="19"/>
              </w:rPr>
              <w:t>9.00% unsecured subordinated Tier II NCDs</w:t>
            </w:r>
          </w:p>
        </w:tc>
        <w:tc>
          <w:tcPr>
            <w:tcW w:w="1380" w:type="dxa"/>
          </w:tcPr>
          <w:p w:rsidR="007F373F" w:rsidRDefault="00000000">
            <w:pPr>
              <w:spacing w:after="0"/>
              <w:jc w:val="left"/>
            </w:pPr>
            <w:r>
              <w:rPr>
                <w:sz w:val="19"/>
              </w:rPr>
              <w:t>26 May 2023</w:t>
            </w:r>
          </w:p>
        </w:tc>
        <w:tc>
          <w:tcPr>
            <w:tcW w:w="1380" w:type="dxa"/>
          </w:tcPr>
          <w:p w:rsidR="007F373F" w:rsidRDefault="00000000">
            <w:pPr>
              <w:spacing w:after="0"/>
              <w:jc w:val="left"/>
            </w:pPr>
            <w:r>
              <w:rPr>
                <w:sz w:val="19"/>
              </w:rPr>
              <w:t>26 Apr 2030</w:t>
            </w:r>
          </w:p>
        </w:tc>
        <w:tc>
          <w:tcPr>
            <w:tcW w:w="1449" w:type="dxa"/>
          </w:tcPr>
          <w:p w:rsidR="007F373F" w:rsidRDefault="00000000">
            <w:pPr>
              <w:spacing w:after="0"/>
              <w:jc w:val="right"/>
            </w:pPr>
            <w:r>
              <w:rPr>
                <w:sz w:val="19"/>
              </w:rPr>
              <w:t>200.00</w:t>
            </w:r>
          </w:p>
        </w:tc>
        <w:tc>
          <w:tcPr>
            <w:tcW w:w="1518" w:type="dxa"/>
          </w:tcPr>
          <w:p w:rsidR="007F373F" w:rsidRDefault="00000000">
            <w:pPr>
              <w:spacing w:after="0"/>
              <w:jc w:val="left"/>
            </w:pPr>
            <w:r>
              <w:rPr>
                <w:sz w:val="19"/>
              </w:rPr>
              <w:t>Unsecured / subordinated</w:t>
            </w:r>
          </w:p>
        </w:tc>
      </w:tr>
      <w:tr w:rsidR="007F373F">
        <w:trPr>
          <w:jc w:val="center"/>
        </w:trPr>
        <w:tc>
          <w:tcPr>
            <w:tcW w:w="4003" w:type="dxa"/>
          </w:tcPr>
          <w:p w:rsidR="007F373F" w:rsidRDefault="00000000">
            <w:pPr>
              <w:spacing w:after="0"/>
              <w:jc w:val="left"/>
            </w:pPr>
            <w:r>
              <w:rPr>
                <w:sz w:val="19"/>
              </w:rPr>
              <w:t>G-Sec linked secured market-linked NCDs</w:t>
            </w:r>
          </w:p>
        </w:tc>
        <w:tc>
          <w:tcPr>
            <w:tcW w:w="1380" w:type="dxa"/>
          </w:tcPr>
          <w:p w:rsidR="007F373F" w:rsidRDefault="00000000">
            <w:pPr>
              <w:spacing w:after="0"/>
              <w:jc w:val="left"/>
            </w:pPr>
            <w:r>
              <w:rPr>
                <w:sz w:val="19"/>
              </w:rPr>
              <w:t>4 Jan 2023</w:t>
            </w:r>
          </w:p>
        </w:tc>
        <w:tc>
          <w:tcPr>
            <w:tcW w:w="1380" w:type="dxa"/>
          </w:tcPr>
          <w:p w:rsidR="007F373F" w:rsidRDefault="00000000">
            <w:pPr>
              <w:spacing w:after="0"/>
              <w:jc w:val="left"/>
            </w:pPr>
            <w:r>
              <w:rPr>
                <w:sz w:val="19"/>
              </w:rPr>
              <w:t>4 Apr 2026</w:t>
            </w:r>
          </w:p>
        </w:tc>
        <w:tc>
          <w:tcPr>
            <w:tcW w:w="1449" w:type="dxa"/>
          </w:tcPr>
          <w:p w:rsidR="007F373F" w:rsidRDefault="00000000">
            <w:pPr>
              <w:spacing w:after="0"/>
              <w:jc w:val="right"/>
            </w:pPr>
            <w:r>
              <w:rPr>
                <w:sz w:val="19"/>
              </w:rPr>
              <w:t>200.00</w:t>
            </w:r>
          </w:p>
        </w:tc>
        <w:tc>
          <w:tcPr>
            <w:tcW w:w="1518" w:type="dxa"/>
          </w:tcPr>
          <w:p w:rsidR="007F373F" w:rsidRDefault="00000000">
            <w:pPr>
              <w:spacing w:after="0"/>
              <w:jc w:val="left"/>
            </w:pPr>
            <w:r>
              <w:rPr>
                <w:sz w:val="19"/>
              </w:rPr>
              <w:t>Secured</w:t>
            </w:r>
          </w:p>
        </w:tc>
      </w:tr>
      <w:tr w:rsidR="007F373F">
        <w:trPr>
          <w:jc w:val="center"/>
        </w:trPr>
        <w:tc>
          <w:tcPr>
            <w:tcW w:w="4003" w:type="dxa"/>
          </w:tcPr>
          <w:p w:rsidR="007F373F" w:rsidRDefault="00000000">
            <w:pPr>
              <w:spacing w:after="0"/>
              <w:jc w:val="left"/>
            </w:pPr>
            <w:r>
              <w:rPr>
                <w:sz w:val="19"/>
              </w:rPr>
              <w:t>9.90% unsecured NCDs</w:t>
            </w:r>
          </w:p>
        </w:tc>
        <w:tc>
          <w:tcPr>
            <w:tcW w:w="1380" w:type="dxa"/>
          </w:tcPr>
          <w:p w:rsidR="007F373F" w:rsidRDefault="00000000">
            <w:pPr>
              <w:spacing w:after="0"/>
              <w:jc w:val="left"/>
            </w:pPr>
            <w:r>
              <w:rPr>
                <w:sz w:val="19"/>
              </w:rPr>
              <w:t>30 Sep 2020</w:t>
            </w:r>
          </w:p>
        </w:tc>
        <w:tc>
          <w:tcPr>
            <w:tcW w:w="1380" w:type="dxa"/>
          </w:tcPr>
          <w:p w:rsidR="007F373F" w:rsidRDefault="00000000">
            <w:pPr>
              <w:spacing w:after="0"/>
              <w:jc w:val="left"/>
            </w:pPr>
            <w:r>
              <w:rPr>
                <w:sz w:val="19"/>
              </w:rPr>
              <w:t>30 Sep 2027</w:t>
            </w:r>
          </w:p>
        </w:tc>
        <w:tc>
          <w:tcPr>
            <w:tcW w:w="1449" w:type="dxa"/>
          </w:tcPr>
          <w:p w:rsidR="007F373F" w:rsidRDefault="00000000">
            <w:pPr>
              <w:spacing w:after="0"/>
              <w:jc w:val="right"/>
            </w:pPr>
            <w:r>
              <w:rPr>
                <w:sz w:val="19"/>
              </w:rPr>
              <w:t>250.00</w:t>
            </w:r>
          </w:p>
        </w:tc>
        <w:tc>
          <w:tcPr>
            <w:tcW w:w="1518" w:type="dxa"/>
          </w:tcPr>
          <w:p w:rsidR="007F373F" w:rsidRDefault="00000000">
            <w:pPr>
              <w:spacing w:after="0"/>
              <w:jc w:val="left"/>
            </w:pPr>
            <w:r>
              <w:rPr>
                <w:sz w:val="19"/>
              </w:rPr>
              <w:t>Unsecured / subordinated</w:t>
            </w:r>
          </w:p>
        </w:tc>
      </w:tr>
      <w:tr w:rsidR="007F373F">
        <w:trPr>
          <w:jc w:val="center"/>
        </w:trPr>
        <w:tc>
          <w:tcPr>
            <w:tcW w:w="4003" w:type="dxa"/>
          </w:tcPr>
          <w:p w:rsidR="007F373F" w:rsidRDefault="00000000">
            <w:pPr>
              <w:spacing w:after="0"/>
              <w:jc w:val="left"/>
            </w:pPr>
            <w:r>
              <w:rPr>
                <w:sz w:val="19"/>
              </w:rPr>
              <w:t>Repo-rate linked secured NCDs (Series I-2408)</w:t>
            </w:r>
          </w:p>
        </w:tc>
        <w:tc>
          <w:tcPr>
            <w:tcW w:w="1380" w:type="dxa"/>
          </w:tcPr>
          <w:p w:rsidR="007F373F" w:rsidRDefault="00000000">
            <w:pPr>
              <w:spacing w:after="0"/>
              <w:jc w:val="left"/>
            </w:pPr>
            <w:r>
              <w:rPr>
                <w:sz w:val="19"/>
              </w:rPr>
              <w:t>14 Aug 2024</w:t>
            </w:r>
          </w:p>
        </w:tc>
        <w:tc>
          <w:tcPr>
            <w:tcW w:w="1380" w:type="dxa"/>
          </w:tcPr>
          <w:p w:rsidR="007F373F" w:rsidRDefault="00000000">
            <w:pPr>
              <w:spacing w:after="0"/>
              <w:jc w:val="left"/>
            </w:pPr>
            <w:r>
              <w:rPr>
                <w:sz w:val="19"/>
              </w:rPr>
              <w:t>14 Aug 2028</w:t>
            </w:r>
          </w:p>
        </w:tc>
        <w:tc>
          <w:tcPr>
            <w:tcW w:w="1449" w:type="dxa"/>
          </w:tcPr>
          <w:p w:rsidR="007F373F" w:rsidRDefault="00000000">
            <w:pPr>
              <w:spacing w:after="0"/>
              <w:jc w:val="right"/>
            </w:pPr>
            <w:r>
              <w:rPr>
                <w:sz w:val="19"/>
              </w:rPr>
              <w:t>75.00</w:t>
            </w:r>
          </w:p>
        </w:tc>
        <w:tc>
          <w:tcPr>
            <w:tcW w:w="1518" w:type="dxa"/>
          </w:tcPr>
          <w:p w:rsidR="007F373F" w:rsidRDefault="00000000">
            <w:pPr>
              <w:spacing w:after="0"/>
              <w:jc w:val="left"/>
            </w:pPr>
            <w:r>
              <w:rPr>
                <w:sz w:val="19"/>
              </w:rPr>
              <w:t>Secured</w:t>
            </w:r>
          </w:p>
        </w:tc>
      </w:tr>
      <w:tr w:rsidR="007F373F">
        <w:trPr>
          <w:jc w:val="center"/>
        </w:trPr>
        <w:tc>
          <w:tcPr>
            <w:tcW w:w="4003" w:type="dxa"/>
          </w:tcPr>
          <w:p w:rsidR="007F373F" w:rsidRDefault="00000000">
            <w:pPr>
              <w:spacing w:after="0"/>
              <w:jc w:val="left"/>
            </w:pPr>
            <w:r>
              <w:rPr>
                <w:sz w:val="19"/>
              </w:rPr>
              <w:t>G reset-rate secured NCDs Series 4 (7.29%)</w:t>
            </w:r>
          </w:p>
        </w:tc>
        <w:tc>
          <w:tcPr>
            <w:tcW w:w="1380" w:type="dxa"/>
          </w:tcPr>
          <w:p w:rsidR="007F373F" w:rsidRDefault="00000000">
            <w:pPr>
              <w:spacing w:after="0"/>
              <w:jc w:val="left"/>
            </w:pPr>
            <w:r>
              <w:rPr>
                <w:sz w:val="19"/>
              </w:rPr>
              <w:t>6 Jan 2026</w:t>
            </w:r>
          </w:p>
        </w:tc>
        <w:tc>
          <w:tcPr>
            <w:tcW w:w="1380" w:type="dxa"/>
          </w:tcPr>
          <w:p w:rsidR="007F373F" w:rsidRDefault="00000000">
            <w:pPr>
              <w:spacing w:after="0"/>
              <w:jc w:val="left"/>
            </w:pPr>
            <w:r>
              <w:rPr>
                <w:sz w:val="19"/>
              </w:rPr>
              <w:t>5 Jan 2029</w:t>
            </w:r>
          </w:p>
        </w:tc>
        <w:tc>
          <w:tcPr>
            <w:tcW w:w="1449" w:type="dxa"/>
          </w:tcPr>
          <w:p w:rsidR="007F373F" w:rsidRDefault="00000000">
            <w:pPr>
              <w:spacing w:after="0"/>
              <w:jc w:val="right"/>
            </w:pPr>
            <w:r>
              <w:rPr>
                <w:sz w:val="19"/>
              </w:rPr>
              <w:t>200.00</w:t>
            </w:r>
          </w:p>
        </w:tc>
        <w:tc>
          <w:tcPr>
            <w:tcW w:w="1518" w:type="dxa"/>
          </w:tcPr>
          <w:p w:rsidR="007F373F" w:rsidRDefault="00000000">
            <w:pPr>
              <w:spacing w:after="0"/>
              <w:jc w:val="left"/>
            </w:pPr>
            <w:r>
              <w:rPr>
                <w:sz w:val="19"/>
              </w:rPr>
              <w:t>Secured</w:t>
            </w:r>
          </w:p>
        </w:tc>
      </w:tr>
      <w:tr w:rsidR="007F373F">
        <w:trPr>
          <w:jc w:val="center"/>
        </w:trPr>
        <w:tc>
          <w:tcPr>
            <w:tcW w:w="4003" w:type="dxa"/>
          </w:tcPr>
          <w:p w:rsidR="007F373F" w:rsidRDefault="00000000">
            <w:pPr>
              <w:spacing w:after="0"/>
              <w:jc w:val="left"/>
            </w:pPr>
            <w:r>
              <w:rPr>
                <w:sz w:val="19"/>
              </w:rPr>
              <w:t>8.85% unsecured subordinated NCDs Series I</w:t>
            </w:r>
          </w:p>
        </w:tc>
        <w:tc>
          <w:tcPr>
            <w:tcW w:w="1380" w:type="dxa"/>
          </w:tcPr>
          <w:p w:rsidR="007F373F" w:rsidRDefault="00000000">
            <w:pPr>
              <w:spacing w:after="0"/>
              <w:jc w:val="left"/>
            </w:pPr>
            <w:r>
              <w:rPr>
                <w:sz w:val="19"/>
              </w:rPr>
              <w:t>24 Mar 2026</w:t>
            </w:r>
          </w:p>
        </w:tc>
        <w:tc>
          <w:tcPr>
            <w:tcW w:w="1380" w:type="dxa"/>
          </w:tcPr>
          <w:p w:rsidR="007F373F" w:rsidRDefault="00000000">
            <w:pPr>
              <w:spacing w:after="0"/>
              <w:jc w:val="left"/>
            </w:pPr>
            <w:r>
              <w:rPr>
                <w:sz w:val="19"/>
              </w:rPr>
              <w:t>21 Oct 2033</w:t>
            </w:r>
          </w:p>
        </w:tc>
        <w:tc>
          <w:tcPr>
            <w:tcW w:w="1449" w:type="dxa"/>
          </w:tcPr>
          <w:p w:rsidR="007F373F" w:rsidRDefault="00000000">
            <w:pPr>
              <w:spacing w:after="0"/>
              <w:jc w:val="right"/>
            </w:pPr>
            <w:r>
              <w:rPr>
                <w:sz w:val="19"/>
              </w:rPr>
              <w:t>250.00</w:t>
            </w:r>
          </w:p>
        </w:tc>
        <w:tc>
          <w:tcPr>
            <w:tcW w:w="1518" w:type="dxa"/>
          </w:tcPr>
          <w:p w:rsidR="007F373F" w:rsidRDefault="00000000">
            <w:pPr>
              <w:spacing w:after="0"/>
              <w:jc w:val="left"/>
            </w:pPr>
            <w:r>
              <w:rPr>
                <w:sz w:val="19"/>
              </w:rPr>
              <w:t>Unsecured / subordinated</w:t>
            </w:r>
          </w:p>
        </w:tc>
      </w:tr>
      <w:tr w:rsidR="007F373F">
        <w:trPr>
          <w:jc w:val="center"/>
        </w:trPr>
        <w:tc>
          <w:tcPr>
            <w:tcW w:w="4003" w:type="dxa"/>
          </w:tcPr>
          <w:p w:rsidR="007F373F" w:rsidRDefault="00000000">
            <w:pPr>
              <w:spacing w:after="0"/>
              <w:jc w:val="left"/>
            </w:pPr>
            <w:r>
              <w:rPr>
                <w:sz w:val="19"/>
              </w:rPr>
              <w:t>8.90% unsecured subordinated NCDs Series II</w:t>
            </w:r>
          </w:p>
        </w:tc>
        <w:tc>
          <w:tcPr>
            <w:tcW w:w="1380" w:type="dxa"/>
          </w:tcPr>
          <w:p w:rsidR="007F373F" w:rsidRDefault="00000000">
            <w:pPr>
              <w:spacing w:after="0"/>
              <w:jc w:val="left"/>
            </w:pPr>
            <w:r>
              <w:rPr>
                <w:sz w:val="19"/>
              </w:rPr>
              <w:t>24 Mar 2026</w:t>
            </w:r>
          </w:p>
        </w:tc>
        <w:tc>
          <w:tcPr>
            <w:tcW w:w="1380" w:type="dxa"/>
          </w:tcPr>
          <w:p w:rsidR="007F373F" w:rsidRDefault="00000000">
            <w:pPr>
              <w:spacing w:after="0"/>
              <w:jc w:val="left"/>
            </w:pPr>
            <w:r>
              <w:rPr>
                <w:sz w:val="19"/>
              </w:rPr>
              <w:t>21 Nov 2033</w:t>
            </w:r>
          </w:p>
        </w:tc>
        <w:tc>
          <w:tcPr>
            <w:tcW w:w="1449" w:type="dxa"/>
          </w:tcPr>
          <w:p w:rsidR="007F373F" w:rsidRDefault="00000000">
            <w:pPr>
              <w:spacing w:after="0"/>
              <w:jc w:val="right"/>
            </w:pPr>
            <w:r>
              <w:rPr>
                <w:sz w:val="19"/>
              </w:rPr>
              <w:t>200.00</w:t>
            </w:r>
          </w:p>
        </w:tc>
        <w:tc>
          <w:tcPr>
            <w:tcW w:w="1518" w:type="dxa"/>
          </w:tcPr>
          <w:p w:rsidR="007F373F" w:rsidRDefault="00000000">
            <w:pPr>
              <w:spacing w:after="0"/>
              <w:jc w:val="left"/>
            </w:pPr>
            <w:r>
              <w:rPr>
                <w:sz w:val="19"/>
              </w:rPr>
              <w:t>Unsecured / subordinated</w:t>
            </w:r>
          </w:p>
        </w:tc>
      </w:tr>
      <w:tr w:rsidR="007F373F">
        <w:trPr>
          <w:jc w:val="center"/>
        </w:trPr>
        <w:tc>
          <w:tcPr>
            <w:tcW w:w="4003" w:type="dxa"/>
          </w:tcPr>
          <w:p w:rsidR="007F373F" w:rsidRDefault="00000000">
            <w:pPr>
              <w:spacing w:after="0"/>
              <w:jc w:val="left"/>
            </w:pPr>
            <w:r>
              <w:rPr>
                <w:sz w:val="19"/>
              </w:rPr>
              <w:t>Total NCDs outstanding (face value)</w:t>
            </w:r>
          </w:p>
        </w:tc>
        <w:tc>
          <w:tcPr>
            <w:tcW w:w="1380" w:type="dxa"/>
          </w:tcPr>
          <w:p w:rsidR="007F373F" w:rsidRDefault="007F373F">
            <w:pPr>
              <w:spacing w:after="0"/>
              <w:jc w:val="left"/>
            </w:pPr>
          </w:p>
        </w:tc>
        <w:tc>
          <w:tcPr>
            <w:tcW w:w="1380" w:type="dxa"/>
          </w:tcPr>
          <w:p w:rsidR="007F373F" w:rsidRDefault="007F373F">
            <w:pPr>
              <w:spacing w:after="0"/>
              <w:jc w:val="left"/>
            </w:pPr>
          </w:p>
        </w:tc>
        <w:tc>
          <w:tcPr>
            <w:tcW w:w="1449" w:type="dxa"/>
          </w:tcPr>
          <w:p w:rsidR="007F373F" w:rsidRDefault="00000000">
            <w:pPr>
              <w:spacing w:after="0"/>
              <w:jc w:val="right"/>
            </w:pPr>
            <w:r>
              <w:rPr>
                <w:sz w:val="19"/>
              </w:rPr>
              <w:t>1,406.25</w:t>
            </w:r>
          </w:p>
        </w:tc>
        <w:tc>
          <w:tcPr>
            <w:tcW w:w="1518" w:type="dxa"/>
          </w:tcPr>
          <w:p w:rsidR="007F373F" w:rsidRDefault="007F373F">
            <w:pPr>
              <w:spacing w:after="0"/>
              <w:jc w:val="left"/>
            </w:pPr>
          </w:p>
        </w:tc>
      </w:tr>
    </w:tbl>
    <w:p w:rsidR="007F373F" w:rsidRDefault="00000000">
      <w:pPr>
        <w:spacing w:before="40" w:after="80"/>
      </w:pPr>
      <w:r>
        <w:rPr>
          <w:i/>
          <w:sz w:val="18"/>
        </w:rPr>
        <w:t>Source: Fedfina Annual Report 2025-26, Directors’ Report – debentures outstanding as at 31 March 2026. Carrying amounts in the balance sheet differ from face value because of unamortised issue costs and accrued interest.</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622"/>
        <w:gridCol w:w="7109"/>
      </w:tblGrid>
      <w:tr w:rsidR="007F373F">
        <w:trPr>
          <w:jc w:val="center"/>
        </w:trPr>
        <w:tc>
          <w:tcPr>
            <w:tcW w:w="2622" w:type="dxa"/>
          </w:tcPr>
          <w:p w:rsidR="007F373F" w:rsidRDefault="00000000">
            <w:pPr>
              <w:spacing w:after="0"/>
              <w:jc w:val="left"/>
            </w:pPr>
            <w:r>
              <w:rPr>
                <w:b/>
                <w:sz w:val="19"/>
              </w:rPr>
              <w:t>Other debt facts FY26</w:t>
            </w:r>
          </w:p>
        </w:tc>
        <w:tc>
          <w:tcPr>
            <w:tcW w:w="7109" w:type="dxa"/>
          </w:tcPr>
          <w:p w:rsidR="007F373F" w:rsidRDefault="00000000">
            <w:pPr>
              <w:spacing w:after="0"/>
              <w:jc w:val="left"/>
            </w:pPr>
            <w:r>
              <w:rPr>
                <w:b/>
                <w:sz w:val="19"/>
              </w:rPr>
              <w:t>Detail</w:t>
            </w:r>
          </w:p>
        </w:tc>
      </w:tr>
      <w:tr w:rsidR="007F373F">
        <w:trPr>
          <w:jc w:val="center"/>
        </w:trPr>
        <w:tc>
          <w:tcPr>
            <w:tcW w:w="2622" w:type="dxa"/>
          </w:tcPr>
          <w:p w:rsidR="007F373F" w:rsidRDefault="00000000">
            <w:pPr>
              <w:spacing w:after="0"/>
              <w:jc w:val="left"/>
            </w:pPr>
            <w:r>
              <w:rPr>
                <w:sz w:val="19"/>
              </w:rPr>
              <w:t>Fresh NCD issuance authority</w:t>
            </w:r>
          </w:p>
        </w:tc>
        <w:tc>
          <w:tcPr>
            <w:tcW w:w="7109" w:type="dxa"/>
          </w:tcPr>
          <w:p w:rsidR="007F373F" w:rsidRDefault="00000000">
            <w:pPr>
              <w:spacing w:after="0"/>
              <w:jc w:val="left"/>
            </w:pPr>
            <w:r>
              <w:rPr>
                <w:sz w:val="19"/>
              </w:rPr>
              <w:t>Board approval 25 August 2025 and shareholders’ special resolution (30th AGM) for up to ₹2,500 crore on private placement</w:t>
            </w:r>
          </w:p>
        </w:tc>
      </w:tr>
      <w:tr w:rsidR="007F373F">
        <w:trPr>
          <w:jc w:val="center"/>
        </w:trPr>
        <w:tc>
          <w:tcPr>
            <w:tcW w:w="2622" w:type="dxa"/>
          </w:tcPr>
          <w:p w:rsidR="007F373F" w:rsidRDefault="00000000">
            <w:pPr>
              <w:spacing w:after="0"/>
              <w:jc w:val="left"/>
            </w:pPr>
            <w:r>
              <w:rPr>
                <w:sz w:val="19"/>
              </w:rPr>
              <w:t>NCDs issued during FY26</w:t>
            </w:r>
          </w:p>
        </w:tc>
        <w:tc>
          <w:tcPr>
            <w:tcW w:w="7109" w:type="dxa"/>
          </w:tcPr>
          <w:p w:rsidR="007F373F" w:rsidRDefault="00000000">
            <w:pPr>
              <w:spacing w:after="0"/>
              <w:jc w:val="left"/>
            </w:pPr>
            <w:r>
              <w:rPr>
                <w:sz w:val="19"/>
              </w:rPr>
              <w:t>₹200 crore 7.29% secured reset-rate NCDs (6 Jan 2026, 3-year); ₹250 crore 8.85% and ₹200 crore 8.90% unsecured subordinated Tier II NCDs (24 Mar 2026, maturing Oct/Nov 2033)</w:t>
            </w:r>
          </w:p>
        </w:tc>
      </w:tr>
      <w:tr w:rsidR="007F373F">
        <w:trPr>
          <w:jc w:val="center"/>
        </w:trPr>
        <w:tc>
          <w:tcPr>
            <w:tcW w:w="2622" w:type="dxa"/>
          </w:tcPr>
          <w:p w:rsidR="007F373F" w:rsidRDefault="00000000">
            <w:pPr>
              <w:spacing w:after="0"/>
              <w:jc w:val="left"/>
            </w:pPr>
            <w:r>
              <w:rPr>
                <w:sz w:val="19"/>
              </w:rPr>
              <w:t>Commercial paper</w:t>
            </w:r>
          </w:p>
        </w:tc>
        <w:tc>
          <w:tcPr>
            <w:tcW w:w="7109" w:type="dxa"/>
          </w:tcPr>
          <w:p w:rsidR="007F373F" w:rsidRDefault="00000000">
            <w:pPr>
              <w:spacing w:after="0"/>
              <w:jc w:val="left"/>
            </w:pPr>
            <w:r>
              <w:rPr>
                <w:sz w:val="19"/>
              </w:rPr>
              <w:t>Outstanding ₹1,164 crore (net of discount); maximum outstanding during the year ₹1,375 crore (FY25: ₹575 crore); all maturities under one year; rated A1+</w:t>
            </w:r>
          </w:p>
        </w:tc>
      </w:tr>
      <w:tr w:rsidR="007F373F">
        <w:trPr>
          <w:jc w:val="center"/>
        </w:trPr>
        <w:tc>
          <w:tcPr>
            <w:tcW w:w="2622" w:type="dxa"/>
          </w:tcPr>
          <w:p w:rsidR="007F373F" w:rsidRDefault="00000000">
            <w:pPr>
              <w:spacing w:after="0"/>
              <w:jc w:val="left"/>
            </w:pPr>
            <w:r>
              <w:rPr>
                <w:sz w:val="19"/>
              </w:rPr>
              <w:t>External commercial borrowings</w:t>
            </w:r>
          </w:p>
        </w:tc>
        <w:tc>
          <w:tcPr>
            <w:tcW w:w="7109" w:type="dxa"/>
          </w:tcPr>
          <w:p w:rsidR="007F373F" w:rsidRDefault="00000000">
            <w:pPr>
              <w:spacing w:after="0"/>
              <w:jc w:val="left"/>
            </w:pPr>
            <w:r>
              <w:rPr>
                <w:sz w:val="19"/>
              </w:rPr>
              <w:t>USD 250 million programme; carrying amount ₹2,382 crore (FY25: ₹257 crore); fully hedged for the entire maturity through cross-currency swaps; derivative notional ₹2,446 crore</w:t>
            </w:r>
          </w:p>
        </w:tc>
      </w:tr>
      <w:tr w:rsidR="007F373F">
        <w:trPr>
          <w:jc w:val="center"/>
        </w:trPr>
        <w:tc>
          <w:tcPr>
            <w:tcW w:w="2622" w:type="dxa"/>
          </w:tcPr>
          <w:p w:rsidR="007F373F" w:rsidRDefault="00000000">
            <w:pPr>
              <w:spacing w:after="0"/>
              <w:jc w:val="left"/>
            </w:pPr>
            <w:r>
              <w:rPr>
                <w:sz w:val="19"/>
              </w:rPr>
              <w:t>FCNR borrowings</w:t>
            </w:r>
          </w:p>
        </w:tc>
        <w:tc>
          <w:tcPr>
            <w:tcW w:w="7109" w:type="dxa"/>
          </w:tcPr>
          <w:p w:rsidR="007F373F" w:rsidRDefault="00000000">
            <w:pPr>
              <w:spacing w:after="0"/>
              <w:jc w:val="left"/>
            </w:pPr>
            <w:r>
              <w:rPr>
                <w:sz w:val="19"/>
              </w:rPr>
              <w:t>₹62.5 crore (foreign-currency facility rolled over)</w:t>
            </w:r>
          </w:p>
        </w:tc>
      </w:tr>
      <w:tr w:rsidR="007F373F">
        <w:trPr>
          <w:jc w:val="center"/>
        </w:trPr>
        <w:tc>
          <w:tcPr>
            <w:tcW w:w="2622" w:type="dxa"/>
          </w:tcPr>
          <w:p w:rsidR="007F373F" w:rsidRDefault="00000000">
            <w:pPr>
              <w:spacing w:after="0"/>
              <w:jc w:val="left"/>
            </w:pPr>
            <w:r>
              <w:rPr>
                <w:sz w:val="19"/>
              </w:rPr>
              <w:t>Bank term loans</w:t>
            </w:r>
          </w:p>
        </w:tc>
        <w:tc>
          <w:tcPr>
            <w:tcW w:w="7109" w:type="dxa"/>
          </w:tcPr>
          <w:p w:rsidR="007F373F" w:rsidRDefault="00000000">
            <w:pPr>
              <w:spacing w:after="0"/>
              <w:jc w:val="left"/>
            </w:pPr>
            <w:r>
              <w:rPr>
                <w:sz w:val="19"/>
              </w:rPr>
              <w:t>₹5,682 crore from banks other than Federal Bank; ₹1,064 crore from Federal Bank; ₹866 crore from other financial institutions</w:t>
            </w:r>
          </w:p>
        </w:tc>
      </w:tr>
      <w:tr w:rsidR="007F373F">
        <w:trPr>
          <w:jc w:val="center"/>
        </w:trPr>
        <w:tc>
          <w:tcPr>
            <w:tcW w:w="2622" w:type="dxa"/>
          </w:tcPr>
          <w:p w:rsidR="007F373F" w:rsidRDefault="00000000">
            <w:pPr>
              <w:spacing w:after="0"/>
              <w:jc w:val="left"/>
            </w:pPr>
            <w:r>
              <w:rPr>
                <w:sz w:val="19"/>
              </w:rPr>
              <w:t>Demand loans / working capital</w:t>
            </w:r>
          </w:p>
        </w:tc>
        <w:tc>
          <w:tcPr>
            <w:tcW w:w="7109" w:type="dxa"/>
          </w:tcPr>
          <w:p w:rsidR="007F373F" w:rsidRDefault="00000000">
            <w:pPr>
              <w:spacing w:after="0"/>
              <w:jc w:val="left"/>
            </w:pPr>
            <w:r>
              <w:rPr>
                <w:sz w:val="19"/>
              </w:rPr>
              <w:t>₹783 crore from banks; ₹60 crore from Federal Bank</w:t>
            </w:r>
          </w:p>
        </w:tc>
      </w:tr>
      <w:tr w:rsidR="007F373F">
        <w:trPr>
          <w:jc w:val="center"/>
        </w:trPr>
        <w:tc>
          <w:tcPr>
            <w:tcW w:w="2622" w:type="dxa"/>
          </w:tcPr>
          <w:p w:rsidR="007F373F" w:rsidRDefault="00000000">
            <w:pPr>
              <w:spacing w:after="0"/>
              <w:jc w:val="left"/>
            </w:pPr>
            <w:r>
              <w:rPr>
                <w:sz w:val="19"/>
              </w:rPr>
              <w:t>Borrowing limit</w:t>
            </w:r>
          </w:p>
        </w:tc>
        <w:tc>
          <w:tcPr>
            <w:tcW w:w="7109" w:type="dxa"/>
          </w:tcPr>
          <w:p w:rsidR="007F373F" w:rsidRDefault="00000000">
            <w:pPr>
              <w:spacing w:after="0"/>
              <w:jc w:val="left"/>
            </w:pPr>
            <w:r>
              <w:rPr>
                <w:sz w:val="19"/>
              </w:rPr>
              <w:t>₹18,000 crore approved by shareholders; total borrowings ₹13,484 crore at 31 March 2026 (75% utilised, derived)</w:t>
            </w:r>
          </w:p>
        </w:tc>
      </w:tr>
      <w:tr w:rsidR="007F373F">
        <w:trPr>
          <w:jc w:val="center"/>
        </w:trPr>
        <w:tc>
          <w:tcPr>
            <w:tcW w:w="2622" w:type="dxa"/>
          </w:tcPr>
          <w:p w:rsidR="007F373F" w:rsidRDefault="00000000">
            <w:pPr>
              <w:spacing w:after="0"/>
              <w:jc w:val="left"/>
            </w:pPr>
            <w:r>
              <w:rPr>
                <w:sz w:val="19"/>
              </w:rPr>
              <w:t>Debenture trustees / registrar</w:t>
            </w:r>
          </w:p>
        </w:tc>
        <w:tc>
          <w:tcPr>
            <w:tcW w:w="7109" w:type="dxa"/>
          </w:tcPr>
          <w:p w:rsidR="007F373F" w:rsidRDefault="00000000">
            <w:pPr>
              <w:spacing w:after="0"/>
              <w:jc w:val="left"/>
            </w:pPr>
            <w:r>
              <w:rPr>
                <w:sz w:val="19"/>
              </w:rPr>
              <w:t>Axis Trustee Services, Beacon Trusteeship, IDBI Trusteeship Services; MUFG Intime India (RTA)</w:t>
            </w:r>
          </w:p>
        </w:tc>
      </w:tr>
      <w:tr w:rsidR="007F373F">
        <w:trPr>
          <w:jc w:val="center"/>
        </w:trPr>
        <w:tc>
          <w:tcPr>
            <w:tcW w:w="2622" w:type="dxa"/>
          </w:tcPr>
          <w:p w:rsidR="007F373F" w:rsidRDefault="00000000">
            <w:pPr>
              <w:spacing w:after="0"/>
              <w:jc w:val="left"/>
            </w:pPr>
            <w:r>
              <w:rPr>
                <w:sz w:val="19"/>
              </w:rPr>
              <w:t>Credit ratings</w:t>
            </w:r>
          </w:p>
        </w:tc>
        <w:tc>
          <w:tcPr>
            <w:tcW w:w="7109" w:type="dxa"/>
          </w:tcPr>
          <w:p w:rsidR="007F373F" w:rsidRDefault="00000000">
            <w:pPr>
              <w:spacing w:after="0"/>
              <w:jc w:val="left"/>
            </w:pPr>
            <w:r>
              <w:rPr>
                <w:sz w:val="19"/>
              </w:rPr>
              <w:t>AA+/Stable long-term and A1+ short-term from CARE, CRISIL, ICRA and India Ratings</w:t>
            </w:r>
          </w:p>
        </w:tc>
      </w:tr>
    </w:tbl>
    <w:p w:rsidR="007F373F" w:rsidRDefault="00000000">
      <w:pPr>
        <w:spacing w:before="40" w:after="80"/>
      </w:pPr>
      <w:r>
        <w:rPr>
          <w:i/>
          <w:sz w:val="18"/>
        </w:rPr>
        <w:t>Source: Fedfina Annual Report 2025-26, Directors’ Report, notes 16–18, note 48; Report on Corporate Governance.</w:t>
      </w:r>
    </w:p>
    <w:p w:rsidR="007F373F" w:rsidRDefault="00000000">
      <w:r>
        <w:t xml:space="preserve">Composition and cost. By the MD&amp;CEO’s classification the funding mix at 31 March 2026 was term loans 50%, external commercial borrowings 17%, NCDs and commercial paper 13% and direct assignment 14%, with the share of fixed-rate borrowings raised from about 10% to 40% during the year. The average cost of borrowings for FY26 was 8.1% (FY25: 9.0%) and the exit cost in the fourth quarter was 7.83%. Federal Bank’s facilities (₹1,124 crore of term and demand loans above, </w:t>
      </w:r>
      <w:r>
        <w:lastRenderedPageBreak/>
        <w:t>plus the FCNR line) represent roughly a tenth of total borrowings and are priced on arm’s-length terms disclosed under related-party transactions (interest paid ₹84.8 crore in FY26).</w:t>
      </w:r>
    </w:p>
    <w:p w:rsidR="007F373F" w:rsidRDefault="00000000">
      <w:pPr>
        <w:pStyle w:val="Heading1"/>
        <w:pageBreakBefore/>
      </w:pPr>
      <w:r>
        <w:lastRenderedPageBreak/>
        <w:t>Appendix E — Shareholding, Share Capital and Related-Party Summary</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5591"/>
        <w:gridCol w:w="2070"/>
        <w:gridCol w:w="2070"/>
      </w:tblGrid>
      <w:tr w:rsidR="007F373F">
        <w:trPr>
          <w:jc w:val="center"/>
        </w:trPr>
        <w:tc>
          <w:tcPr>
            <w:tcW w:w="5591" w:type="dxa"/>
          </w:tcPr>
          <w:p w:rsidR="007F373F" w:rsidRDefault="00000000">
            <w:pPr>
              <w:spacing w:after="0"/>
              <w:jc w:val="left"/>
            </w:pPr>
            <w:r>
              <w:rPr>
                <w:b/>
                <w:sz w:val="19"/>
              </w:rPr>
              <w:t>Category</w:t>
            </w:r>
          </w:p>
        </w:tc>
        <w:tc>
          <w:tcPr>
            <w:tcW w:w="2070" w:type="dxa"/>
          </w:tcPr>
          <w:p w:rsidR="007F373F" w:rsidRDefault="00000000">
            <w:pPr>
              <w:spacing w:after="0"/>
              <w:jc w:val="left"/>
            </w:pPr>
            <w:r>
              <w:rPr>
                <w:b/>
                <w:sz w:val="19"/>
              </w:rPr>
              <w:t>31 Mar 2026 (%)</w:t>
            </w:r>
          </w:p>
        </w:tc>
        <w:tc>
          <w:tcPr>
            <w:tcW w:w="2070" w:type="dxa"/>
          </w:tcPr>
          <w:p w:rsidR="007F373F" w:rsidRDefault="00000000">
            <w:pPr>
              <w:spacing w:after="0"/>
              <w:jc w:val="left"/>
            </w:pPr>
            <w:r>
              <w:rPr>
                <w:b/>
                <w:sz w:val="19"/>
              </w:rPr>
              <w:t>31 Mar 2025 (%)</w:t>
            </w:r>
          </w:p>
        </w:tc>
      </w:tr>
      <w:tr w:rsidR="007F373F">
        <w:trPr>
          <w:jc w:val="center"/>
        </w:trPr>
        <w:tc>
          <w:tcPr>
            <w:tcW w:w="5591" w:type="dxa"/>
          </w:tcPr>
          <w:p w:rsidR="007F373F" w:rsidRDefault="00000000">
            <w:pPr>
              <w:spacing w:after="0"/>
              <w:jc w:val="left"/>
            </w:pPr>
            <w:r>
              <w:rPr>
                <w:sz w:val="19"/>
              </w:rPr>
              <w:t>Promoter and Promoter Group (Federal Bank)</w:t>
            </w:r>
          </w:p>
        </w:tc>
        <w:tc>
          <w:tcPr>
            <w:tcW w:w="2070" w:type="dxa"/>
          </w:tcPr>
          <w:p w:rsidR="007F373F" w:rsidRDefault="00000000">
            <w:pPr>
              <w:spacing w:after="0"/>
              <w:jc w:val="right"/>
            </w:pPr>
            <w:r>
              <w:rPr>
                <w:sz w:val="19"/>
              </w:rPr>
              <w:t>60.79</w:t>
            </w:r>
          </w:p>
        </w:tc>
        <w:tc>
          <w:tcPr>
            <w:tcW w:w="2070" w:type="dxa"/>
          </w:tcPr>
          <w:p w:rsidR="007F373F" w:rsidRDefault="00000000">
            <w:pPr>
              <w:spacing w:after="0"/>
              <w:jc w:val="right"/>
            </w:pPr>
            <w:r>
              <w:rPr>
                <w:sz w:val="19"/>
              </w:rPr>
              <w:t>61.03</w:t>
            </w:r>
          </w:p>
        </w:tc>
      </w:tr>
      <w:tr w:rsidR="007F373F">
        <w:trPr>
          <w:jc w:val="center"/>
        </w:trPr>
        <w:tc>
          <w:tcPr>
            <w:tcW w:w="5591" w:type="dxa"/>
          </w:tcPr>
          <w:p w:rsidR="007F373F" w:rsidRDefault="00000000">
            <w:pPr>
              <w:spacing w:after="0"/>
              <w:jc w:val="left"/>
            </w:pPr>
            <w:r>
              <w:rPr>
                <w:sz w:val="19"/>
              </w:rPr>
              <w:t>Public (individuals)</w:t>
            </w:r>
          </w:p>
        </w:tc>
        <w:tc>
          <w:tcPr>
            <w:tcW w:w="2070" w:type="dxa"/>
          </w:tcPr>
          <w:p w:rsidR="007F373F" w:rsidRDefault="00000000">
            <w:pPr>
              <w:spacing w:after="0"/>
              <w:jc w:val="right"/>
            </w:pPr>
            <w:r>
              <w:rPr>
                <w:sz w:val="19"/>
              </w:rPr>
              <w:t>15.94</w:t>
            </w:r>
          </w:p>
        </w:tc>
        <w:tc>
          <w:tcPr>
            <w:tcW w:w="2070" w:type="dxa"/>
          </w:tcPr>
          <w:p w:rsidR="007F373F" w:rsidRDefault="00000000">
            <w:pPr>
              <w:spacing w:after="0"/>
              <w:jc w:val="right"/>
            </w:pPr>
            <w:r>
              <w:rPr>
                <w:sz w:val="19"/>
              </w:rPr>
              <w:t>14.34</w:t>
            </w:r>
          </w:p>
        </w:tc>
      </w:tr>
      <w:tr w:rsidR="007F373F">
        <w:trPr>
          <w:jc w:val="center"/>
        </w:trPr>
        <w:tc>
          <w:tcPr>
            <w:tcW w:w="5591" w:type="dxa"/>
          </w:tcPr>
          <w:p w:rsidR="007F373F" w:rsidRDefault="00000000">
            <w:pPr>
              <w:spacing w:after="0"/>
              <w:jc w:val="left"/>
            </w:pPr>
            <w:r>
              <w:rPr>
                <w:sz w:val="19"/>
              </w:rPr>
              <w:t>Alternate Investment Funds</w:t>
            </w:r>
          </w:p>
        </w:tc>
        <w:tc>
          <w:tcPr>
            <w:tcW w:w="2070" w:type="dxa"/>
          </w:tcPr>
          <w:p w:rsidR="007F373F" w:rsidRDefault="00000000">
            <w:pPr>
              <w:spacing w:after="0"/>
              <w:jc w:val="right"/>
            </w:pPr>
            <w:r>
              <w:rPr>
                <w:sz w:val="19"/>
              </w:rPr>
              <w:t>13.01</w:t>
            </w:r>
          </w:p>
        </w:tc>
        <w:tc>
          <w:tcPr>
            <w:tcW w:w="2070" w:type="dxa"/>
          </w:tcPr>
          <w:p w:rsidR="007F373F" w:rsidRDefault="00000000">
            <w:pPr>
              <w:spacing w:after="0"/>
              <w:jc w:val="right"/>
            </w:pPr>
            <w:r>
              <w:rPr>
                <w:sz w:val="19"/>
              </w:rPr>
              <w:t>14.38</w:t>
            </w:r>
          </w:p>
        </w:tc>
      </w:tr>
      <w:tr w:rsidR="007F373F">
        <w:trPr>
          <w:jc w:val="center"/>
        </w:trPr>
        <w:tc>
          <w:tcPr>
            <w:tcW w:w="5591" w:type="dxa"/>
          </w:tcPr>
          <w:p w:rsidR="007F373F" w:rsidRDefault="00000000">
            <w:pPr>
              <w:spacing w:after="0"/>
              <w:jc w:val="left"/>
            </w:pPr>
            <w:r>
              <w:rPr>
                <w:sz w:val="19"/>
              </w:rPr>
              <w:t>Insurance Companies</w:t>
            </w:r>
          </w:p>
        </w:tc>
        <w:tc>
          <w:tcPr>
            <w:tcW w:w="2070" w:type="dxa"/>
          </w:tcPr>
          <w:p w:rsidR="007F373F" w:rsidRDefault="00000000">
            <w:pPr>
              <w:spacing w:after="0"/>
              <w:jc w:val="right"/>
            </w:pPr>
            <w:r>
              <w:rPr>
                <w:sz w:val="19"/>
              </w:rPr>
              <w:t>3.10</w:t>
            </w:r>
          </w:p>
        </w:tc>
        <w:tc>
          <w:tcPr>
            <w:tcW w:w="2070" w:type="dxa"/>
          </w:tcPr>
          <w:p w:rsidR="007F373F" w:rsidRDefault="00000000">
            <w:pPr>
              <w:spacing w:after="0"/>
              <w:jc w:val="right"/>
            </w:pPr>
            <w:r>
              <w:rPr>
                <w:sz w:val="19"/>
              </w:rPr>
              <w:t>4.04</w:t>
            </w:r>
          </w:p>
        </w:tc>
      </w:tr>
      <w:tr w:rsidR="007F373F">
        <w:trPr>
          <w:jc w:val="center"/>
        </w:trPr>
        <w:tc>
          <w:tcPr>
            <w:tcW w:w="5591" w:type="dxa"/>
          </w:tcPr>
          <w:p w:rsidR="007F373F" w:rsidRDefault="00000000">
            <w:pPr>
              <w:spacing w:after="0"/>
              <w:jc w:val="left"/>
            </w:pPr>
            <w:r>
              <w:rPr>
                <w:sz w:val="19"/>
              </w:rPr>
              <w:t>Mutual Funds</w:t>
            </w:r>
          </w:p>
        </w:tc>
        <w:tc>
          <w:tcPr>
            <w:tcW w:w="2070" w:type="dxa"/>
          </w:tcPr>
          <w:p w:rsidR="007F373F" w:rsidRDefault="00000000">
            <w:pPr>
              <w:spacing w:after="0"/>
              <w:jc w:val="right"/>
            </w:pPr>
            <w:r>
              <w:rPr>
                <w:sz w:val="19"/>
              </w:rPr>
              <w:t>2.71</w:t>
            </w:r>
          </w:p>
        </w:tc>
        <w:tc>
          <w:tcPr>
            <w:tcW w:w="2070" w:type="dxa"/>
          </w:tcPr>
          <w:p w:rsidR="007F373F" w:rsidRDefault="00000000">
            <w:pPr>
              <w:spacing w:after="0"/>
              <w:jc w:val="right"/>
            </w:pPr>
            <w:r>
              <w:rPr>
                <w:sz w:val="19"/>
              </w:rPr>
              <w:t>2.39</w:t>
            </w:r>
          </w:p>
        </w:tc>
      </w:tr>
      <w:tr w:rsidR="007F373F">
        <w:trPr>
          <w:jc w:val="center"/>
        </w:trPr>
        <w:tc>
          <w:tcPr>
            <w:tcW w:w="5591" w:type="dxa"/>
          </w:tcPr>
          <w:p w:rsidR="007F373F" w:rsidRDefault="00000000">
            <w:pPr>
              <w:spacing w:after="0"/>
              <w:jc w:val="left"/>
            </w:pPr>
            <w:r>
              <w:rPr>
                <w:sz w:val="19"/>
              </w:rPr>
              <w:t>Other Bodies Corporate</w:t>
            </w:r>
          </w:p>
        </w:tc>
        <w:tc>
          <w:tcPr>
            <w:tcW w:w="2070" w:type="dxa"/>
          </w:tcPr>
          <w:p w:rsidR="007F373F" w:rsidRDefault="00000000">
            <w:pPr>
              <w:spacing w:after="0"/>
              <w:jc w:val="right"/>
            </w:pPr>
            <w:r>
              <w:rPr>
                <w:sz w:val="19"/>
              </w:rPr>
              <w:t>1.63</w:t>
            </w:r>
          </w:p>
        </w:tc>
        <w:tc>
          <w:tcPr>
            <w:tcW w:w="2070" w:type="dxa"/>
          </w:tcPr>
          <w:p w:rsidR="007F373F" w:rsidRDefault="00000000">
            <w:pPr>
              <w:spacing w:after="0"/>
              <w:jc w:val="right"/>
            </w:pPr>
            <w:r>
              <w:rPr>
                <w:sz w:val="19"/>
              </w:rPr>
              <w:t>1.85</w:t>
            </w:r>
          </w:p>
        </w:tc>
      </w:tr>
      <w:tr w:rsidR="007F373F">
        <w:trPr>
          <w:jc w:val="center"/>
        </w:trPr>
        <w:tc>
          <w:tcPr>
            <w:tcW w:w="5591" w:type="dxa"/>
          </w:tcPr>
          <w:p w:rsidR="007F373F" w:rsidRDefault="00000000">
            <w:pPr>
              <w:spacing w:after="0"/>
              <w:jc w:val="left"/>
            </w:pPr>
            <w:r>
              <w:rPr>
                <w:sz w:val="19"/>
              </w:rPr>
              <w:t>Foreign Portfolio Investors</w:t>
            </w:r>
          </w:p>
        </w:tc>
        <w:tc>
          <w:tcPr>
            <w:tcW w:w="2070" w:type="dxa"/>
          </w:tcPr>
          <w:p w:rsidR="007F373F" w:rsidRDefault="00000000">
            <w:pPr>
              <w:spacing w:after="0"/>
              <w:jc w:val="right"/>
            </w:pPr>
            <w:r>
              <w:rPr>
                <w:sz w:val="19"/>
              </w:rPr>
              <w:t>0.66</w:t>
            </w:r>
          </w:p>
        </w:tc>
        <w:tc>
          <w:tcPr>
            <w:tcW w:w="2070" w:type="dxa"/>
          </w:tcPr>
          <w:p w:rsidR="007F373F" w:rsidRDefault="00000000">
            <w:pPr>
              <w:spacing w:after="0"/>
              <w:jc w:val="right"/>
            </w:pPr>
            <w:r>
              <w:rPr>
                <w:sz w:val="19"/>
              </w:rPr>
              <w:t>0.49</w:t>
            </w:r>
          </w:p>
        </w:tc>
      </w:tr>
      <w:tr w:rsidR="007F373F">
        <w:trPr>
          <w:jc w:val="center"/>
        </w:trPr>
        <w:tc>
          <w:tcPr>
            <w:tcW w:w="5591" w:type="dxa"/>
          </w:tcPr>
          <w:p w:rsidR="007F373F" w:rsidRDefault="00000000">
            <w:pPr>
              <w:spacing w:after="0"/>
              <w:jc w:val="left"/>
            </w:pPr>
            <w:r>
              <w:rPr>
                <w:sz w:val="19"/>
              </w:rPr>
              <w:t>NRIs (repatriable + non-repatriable)</w:t>
            </w:r>
          </w:p>
        </w:tc>
        <w:tc>
          <w:tcPr>
            <w:tcW w:w="2070" w:type="dxa"/>
          </w:tcPr>
          <w:p w:rsidR="007F373F" w:rsidRDefault="00000000">
            <w:pPr>
              <w:spacing w:after="0"/>
              <w:jc w:val="right"/>
            </w:pPr>
            <w:r>
              <w:rPr>
                <w:sz w:val="19"/>
              </w:rPr>
              <w:t>0.98</w:t>
            </w:r>
          </w:p>
        </w:tc>
        <w:tc>
          <w:tcPr>
            <w:tcW w:w="2070" w:type="dxa"/>
          </w:tcPr>
          <w:p w:rsidR="007F373F" w:rsidRDefault="00000000">
            <w:pPr>
              <w:spacing w:after="0"/>
              <w:jc w:val="right"/>
            </w:pPr>
            <w:r>
              <w:rPr>
                <w:sz w:val="19"/>
              </w:rPr>
              <w:t>0.74</w:t>
            </w:r>
          </w:p>
        </w:tc>
      </w:tr>
      <w:tr w:rsidR="007F373F">
        <w:trPr>
          <w:jc w:val="center"/>
        </w:trPr>
        <w:tc>
          <w:tcPr>
            <w:tcW w:w="5591" w:type="dxa"/>
          </w:tcPr>
          <w:p w:rsidR="007F373F" w:rsidRDefault="00000000">
            <w:pPr>
              <w:spacing w:after="0"/>
              <w:jc w:val="left"/>
            </w:pPr>
            <w:r>
              <w:rPr>
                <w:sz w:val="19"/>
              </w:rPr>
              <w:t>HUF</w:t>
            </w:r>
          </w:p>
        </w:tc>
        <w:tc>
          <w:tcPr>
            <w:tcW w:w="2070" w:type="dxa"/>
          </w:tcPr>
          <w:p w:rsidR="007F373F" w:rsidRDefault="00000000">
            <w:pPr>
              <w:spacing w:after="0"/>
              <w:jc w:val="right"/>
            </w:pPr>
            <w:r>
              <w:rPr>
                <w:sz w:val="19"/>
              </w:rPr>
              <w:t>0.53</w:t>
            </w:r>
          </w:p>
        </w:tc>
        <w:tc>
          <w:tcPr>
            <w:tcW w:w="2070" w:type="dxa"/>
          </w:tcPr>
          <w:p w:rsidR="007F373F" w:rsidRDefault="00000000">
            <w:pPr>
              <w:spacing w:after="0"/>
              <w:jc w:val="right"/>
            </w:pPr>
            <w:r>
              <w:rPr>
                <w:sz w:val="19"/>
              </w:rPr>
              <w:t>0.43</w:t>
            </w:r>
          </w:p>
        </w:tc>
      </w:tr>
      <w:tr w:rsidR="007F373F">
        <w:trPr>
          <w:jc w:val="center"/>
        </w:trPr>
        <w:tc>
          <w:tcPr>
            <w:tcW w:w="5591" w:type="dxa"/>
          </w:tcPr>
          <w:p w:rsidR="007F373F" w:rsidRDefault="00000000">
            <w:pPr>
              <w:spacing w:after="0"/>
              <w:jc w:val="left"/>
            </w:pPr>
            <w:r>
              <w:rPr>
                <w:sz w:val="19"/>
              </w:rPr>
              <w:t>Key Managerial Personnel</w:t>
            </w:r>
          </w:p>
        </w:tc>
        <w:tc>
          <w:tcPr>
            <w:tcW w:w="2070" w:type="dxa"/>
          </w:tcPr>
          <w:p w:rsidR="007F373F" w:rsidRDefault="00000000">
            <w:pPr>
              <w:spacing w:after="0"/>
              <w:jc w:val="right"/>
            </w:pPr>
            <w:r>
              <w:rPr>
                <w:sz w:val="19"/>
              </w:rPr>
              <w:t>0.30</w:t>
            </w:r>
          </w:p>
        </w:tc>
        <w:tc>
          <w:tcPr>
            <w:tcW w:w="2070" w:type="dxa"/>
          </w:tcPr>
          <w:p w:rsidR="007F373F" w:rsidRDefault="00000000">
            <w:pPr>
              <w:spacing w:after="0"/>
              <w:jc w:val="right"/>
            </w:pPr>
            <w:r>
              <w:rPr>
                <w:sz w:val="19"/>
              </w:rPr>
              <w:t>0.20</w:t>
            </w:r>
          </w:p>
        </w:tc>
      </w:tr>
      <w:tr w:rsidR="007F373F">
        <w:trPr>
          <w:jc w:val="center"/>
        </w:trPr>
        <w:tc>
          <w:tcPr>
            <w:tcW w:w="5591" w:type="dxa"/>
          </w:tcPr>
          <w:p w:rsidR="007F373F" w:rsidRDefault="00000000">
            <w:pPr>
              <w:spacing w:after="0"/>
              <w:jc w:val="left"/>
            </w:pPr>
            <w:r>
              <w:rPr>
                <w:sz w:val="19"/>
              </w:rPr>
              <w:t>LLPs, Trusts, Clearing Members</w:t>
            </w:r>
          </w:p>
        </w:tc>
        <w:tc>
          <w:tcPr>
            <w:tcW w:w="2070" w:type="dxa"/>
          </w:tcPr>
          <w:p w:rsidR="007F373F" w:rsidRDefault="00000000">
            <w:pPr>
              <w:spacing w:after="0"/>
              <w:jc w:val="right"/>
            </w:pPr>
            <w:r>
              <w:rPr>
                <w:sz w:val="19"/>
              </w:rPr>
              <w:t>0.35</w:t>
            </w:r>
          </w:p>
        </w:tc>
        <w:tc>
          <w:tcPr>
            <w:tcW w:w="2070" w:type="dxa"/>
          </w:tcPr>
          <w:p w:rsidR="007F373F" w:rsidRDefault="00000000">
            <w:pPr>
              <w:spacing w:after="0"/>
              <w:jc w:val="right"/>
            </w:pPr>
            <w:r>
              <w:rPr>
                <w:sz w:val="19"/>
              </w:rPr>
              <w:t>0.11</w:t>
            </w:r>
          </w:p>
        </w:tc>
      </w:tr>
      <w:tr w:rsidR="007F373F">
        <w:trPr>
          <w:jc w:val="center"/>
        </w:trPr>
        <w:tc>
          <w:tcPr>
            <w:tcW w:w="5591" w:type="dxa"/>
          </w:tcPr>
          <w:p w:rsidR="007F373F" w:rsidRDefault="00000000">
            <w:pPr>
              <w:spacing w:after="0"/>
              <w:jc w:val="left"/>
            </w:pPr>
            <w:r>
              <w:rPr>
                <w:sz w:val="19"/>
              </w:rPr>
              <w:t>Total</w:t>
            </w:r>
          </w:p>
        </w:tc>
        <w:tc>
          <w:tcPr>
            <w:tcW w:w="2070" w:type="dxa"/>
          </w:tcPr>
          <w:p w:rsidR="007F373F" w:rsidRDefault="00000000">
            <w:pPr>
              <w:spacing w:after="0"/>
              <w:jc w:val="right"/>
            </w:pPr>
            <w:r>
              <w:rPr>
                <w:sz w:val="19"/>
              </w:rPr>
              <w:t>100.00</w:t>
            </w:r>
          </w:p>
        </w:tc>
        <w:tc>
          <w:tcPr>
            <w:tcW w:w="2070" w:type="dxa"/>
          </w:tcPr>
          <w:p w:rsidR="007F373F" w:rsidRDefault="00000000">
            <w:pPr>
              <w:spacing w:after="0"/>
              <w:jc w:val="right"/>
            </w:pPr>
            <w:r>
              <w:rPr>
                <w:sz w:val="19"/>
              </w:rPr>
              <w:t>100.00</w:t>
            </w:r>
          </w:p>
        </w:tc>
      </w:tr>
    </w:tbl>
    <w:p w:rsidR="007F373F" w:rsidRDefault="00000000">
      <w:pPr>
        <w:spacing w:before="40" w:after="80"/>
      </w:pPr>
      <w:r>
        <w:rPr>
          <w:i/>
          <w:sz w:val="18"/>
        </w:rPr>
        <w:t>Source: Fedfina Annual Report 2025-26, Report on Corporate Governance – categories of shareholders.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761"/>
        <w:gridCol w:w="6971"/>
      </w:tblGrid>
      <w:tr w:rsidR="007F373F">
        <w:trPr>
          <w:jc w:val="center"/>
        </w:trPr>
        <w:tc>
          <w:tcPr>
            <w:tcW w:w="2761" w:type="dxa"/>
          </w:tcPr>
          <w:p w:rsidR="007F373F" w:rsidRDefault="00000000">
            <w:pPr>
              <w:spacing w:after="0"/>
              <w:jc w:val="left"/>
            </w:pPr>
            <w:r>
              <w:rPr>
                <w:b/>
                <w:sz w:val="19"/>
              </w:rPr>
              <w:t>Share capital and listing facts</w:t>
            </w:r>
          </w:p>
        </w:tc>
        <w:tc>
          <w:tcPr>
            <w:tcW w:w="6971" w:type="dxa"/>
          </w:tcPr>
          <w:p w:rsidR="007F373F" w:rsidRDefault="00000000">
            <w:pPr>
              <w:spacing w:after="0"/>
              <w:jc w:val="left"/>
            </w:pPr>
            <w:r>
              <w:rPr>
                <w:b/>
                <w:sz w:val="19"/>
              </w:rPr>
              <w:t>Detail</w:t>
            </w:r>
          </w:p>
        </w:tc>
      </w:tr>
      <w:tr w:rsidR="007F373F">
        <w:trPr>
          <w:jc w:val="center"/>
        </w:trPr>
        <w:tc>
          <w:tcPr>
            <w:tcW w:w="2761" w:type="dxa"/>
          </w:tcPr>
          <w:p w:rsidR="007F373F" w:rsidRDefault="00000000">
            <w:pPr>
              <w:spacing w:after="0"/>
              <w:jc w:val="left"/>
            </w:pPr>
            <w:r>
              <w:rPr>
                <w:sz w:val="19"/>
              </w:rPr>
              <w:t>Equity shares outstanding</w:t>
            </w:r>
          </w:p>
        </w:tc>
        <w:tc>
          <w:tcPr>
            <w:tcW w:w="6971" w:type="dxa"/>
          </w:tcPr>
          <w:p w:rsidR="007F373F" w:rsidRDefault="00000000">
            <w:pPr>
              <w:spacing w:after="0"/>
              <w:jc w:val="left"/>
            </w:pPr>
            <w:r>
              <w:rPr>
                <w:sz w:val="19"/>
              </w:rPr>
              <w:t>374,206,101 of ₹10 each (31 Mar 2025: 372,716,854)</w:t>
            </w:r>
          </w:p>
        </w:tc>
      </w:tr>
      <w:tr w:rsidR="007F373F">
        <w:trPr>
          <w:jc w:val="center"/>
        </w:trPr>
        <w:tc>
          <w:tcPr>
            <w:tcW w:w="2761" w:type="dxa"/>
          </w:tcPr>
          <w:p w:rsidR="007F373F" w:rsidRDefault="00000000">
            <w:pPr>
              <w:spacing w:after="0"/>
              <w:jc w:val="left"/>
            </w:pPr>
            <w:r>
              <w:rPr>
                <w:sz w:val="19"/>
              </w:rPr>
              <w:t>Shares allotted in FY26</w:t>
            </w:r>
          </w:p>
        </w:tc>
        <w:tc>
          <w:tcPr>
            <w:tcW w:w="6971" w:type="dxa"/>
          </w:tcPr>
          <w:p w:rsidR="007F373F" w:rsidRDefault="00000000">
            <w:pPr>
              <w:spacing w:after="0"/>
              <w:jc w:val="left"/>
            </w:pPr>
            <w:r>
              <w:rPr>
                <w:sz w:val="19"/>
              </w:rPr>
              <w:t>1,489,247 under ESOS 2018 on exercise of options</w:t>
            </w:r>
          </w:p>
        </w:tc>
      </w:tr>
      <w:tr w:rsidR="007F373F">
        <w:trPr>
          <w:jc w:val="center"/>
        </w:trPr>
        <w:tc>
          <w:tcPr>
            <w:tcW w:w="2761" w:type="dxa"/>
          </w:tcPr>
          <w:p w:rsidR="007F373F" w:rsidRDefault="00000000">
            <w:pPr>
              <w:spacing w:after="0"/>
              <w:jc w:val="left"/>
            </w:pPr>
            <w:r>
              <w:rPr>
                <w:sz w:val="19"/>
              </w:rPr>
              <w:t>ESOP schemes</w:t>
            </w:r>
          </w:p>
        </w:tc>
        <w:tc>
          <w:tcPr>
            <w:tcW w:w="6971" w:type="dxa"/>
          </w:tcPr>
          <w:p w:rsidR="007F373F" w:rsidRDefault="00000000">
            <w:pPr>
              <w:spacing w:after="0"/>
              <w:jc w:val="left"/>
            </w:pPr>
            <w:r>
              <w:rPr>
                <w:sz w:val="19"/>
              </w:rPr>
              <w:t>ESOS 2018 and ESOS 2024 (approved at 29th AGM, 19 Sep 2024); amendments approved at 30th AGM</w:t>
            </w:r>
          </w:p>
        </w:tc>
      </w:tr>
      <w:tr w:rsidR="007F373F">
        <w:trPr>
          <w:jc w:val="center"/>
        </w:trPr>
        <w:tc>
          <w:tcPr>
            <w:tcW w:w="2761" w:type="dxa"/>
          </w:tcPr>
          <w:p w:rsidR="007F373F" w:rsidRDefault="00000000">
            <w:pPr>
              <w:spacing w:after="0"/>
              <w:jc w:val="left"/>
            </w:pPr>
            <w:r>
              <w:rPr>
                <w:sz w:val="19"/>
              </w:rPr>
              <w:t>IPO</w:t>
            </w:r>
          </w:p>
        </w:tc>
        <w:tc>
          <w:tcPr>
            <w:tcW w:w="6971" w:type="dxa"/>
          </w:tcPr>
          <w:p w:rsidR="007F373F" w:rsidRDefault="00000000">
            <w:pPr>
              <w:spacing w:after="0"/>
              <w:jc w:val="left"/>
            </w:pPr>
            <w:r>
              <w:rPr>
                <w:sz w:val="19"/>
              </w:rPr>
              <w:t>November 2023; total size ₹1,092 crore (fresh issue ₹600 crore + offer for sale); listed on NSE and BSE</w:t>
            </w:r>
          </w:p>
        </w:tc>
      </w:tr>
      <w:tr w:rsidR="007F373F">
        <w:trPr>
          <w:jc w:val="center"/>
        </w:trPr>
        <w:tc>
          <w:tcPr>
            <w:tcW w:w="2761" w:type="dxa"/>
          </w:tcPr>
          <w:p w:rsidR="007F373F" w:rsidRDefault="00000000">
            <w:pPr>
              <w:spacing w:after="0"/>
              <w:jc w:val="left"/>
            </w:pPr>
            <w:r>
              <w:rPr>
                <w:sz w:val="19"/>
              </w:rPr>
              <w:t>Market capitalisation</w:t>
            </w:r>
          </w:p>
        </w:tc>
        <w:tc>
          <w:tcPr>
            <w:tcW w:w="6971" w:type="dxa"/>
          </w:tcPr>
          <w:p w:rsidR="007F373F" w:rsidRDefault="00000000">
            <w:pPr>
              <w:spacing w:after="0"/>
              <w:jc w:val="left"/>
            </w:pPr>
            <w:r>
              <w:rPr>
                <w:sz w:val="19"/>
              </w:rPr>
              <w:t>₹4,642 crore at 31 March 2026 (AR FY26 inside cover)</w:t>
            </w:r>
          </w:p>
        </w:tc>
      </w:tr>
      <w:tr w:rsidR="007F373F">
        <w:trPr>
          <w:jc w:val="center"/>
        </w:trPr>
        <w:tc>
          <w:tcPr>
            <w:tcW w:w="2761" w:type="dxa"/>
          </w:tcPr>
          <w:p w:rsidR="007F373F" w:rsidRDefault="00000000">
            <w:pPr>
              <w:spacing w:after="0"/>
              <w:jc w:val="left"/>
            </w:pPr>
            <w:r>
              <w:rPr>
                <w:sz w:val="19"/>
              </w:rPr>
              <w:t>Dividend</w:t>
            </w:r>
          </w:p>
        </w:tc>
        <w:tc>
          <w:tcPr>
            <w:tcW w:w="6971" w:type="dxa"/>
          </w:tcPr>
          <w:p w:rsidR="007F373F" w:rsidRDefault="00000000">
            <w:pPr>
              <w:spacing w:after="0"/>
              <w:jc w:val="left"/>
            </w:pPr>
            <w:r>
              <w:rPr>
                <w:sz w:val="19"/>
              </w:rPr>
              <w:t>No dividend recommended for FY26; profits retained; ₹68.72 crore transferred to statutory reserve</w:t>
            </w:r>
          </w:p>
        </w:tc>
      </w:tr>
      <w:tr w:rsidR="007F373F">
        <w:trPr>
          <w:jc w:val="center"/>
        </w:trPr>
        <w:tc>
          <w:tcPr>
            <w:tcW w:w="2761" w:type="dxa"/>
          </w:tcPr>
          <w:p w:rsidR="007F373F" w:rsidRDefault="00000000">
            <w:pPr>
              <w:spacing w:after="0"/>
              <w:jc w:val="left"/>
            </w:pPr>
            <w:r>
              <w:rPr>
                <w:sz w:val="19"/>
              </w:rPr>
              <w:t>Promoter</w:t>
            </w:r>
          </w:p>
        </w:tc>
        <w:tc>
          <w:tcPr>
            <w:tcW w:w="6971" w:type="dxa"/>
          </w:tcPr>
          <w:p w:rsidR="007F373F" w:rsidRDefault="00000000">
            <w:pPr>
              <w:spacing w:after="0"/>
              <w:jc w:val="left"/>
            </w:pPr>
            <w:r>
              <w:rPr>
                <w:sz w:val="19"/>
              </w:rPr>
              <w:t>The Federal Bank Limited – 60.79%; nominee directors Mr. K.V.S. Manian and Mr. Harsh Dugar</w:t>
            </w:r>
          </w:p>
        </w:tc>
      </w:tr>
      <w:tr w:rsidR="007F373F">
        <w:trPr>
          <w:jc w:val="center"/>
        </w:trPr>
        <w:tc>
          <w:tcPr>
            <w:tcW w:w="2761" w:type="dxa"/>
          </w:tcPr>
          <w:p w:rsidR="007F373F" w:rsidRDefault="00000000">
            <w:pPr>
              <w:spacing w:after="0"/>
              <w:jc w:val="left"/>
            </w:pPr>
            <w:r>
              <w:rPr>
                <w:sz w:val="19"/>
              </w:rPr>
              <w:t>Private-equity investor</w:t>
            </w:r>
          </w:p>
        </w:tc>
        <w:tc>
          <w:tcPr>
            <w:tcW w:w="6971" w:type="dxa"/>
          </w:tcPr>
          <w:p w:rsidR="007F373F" w:rsidRDefault="00000000">
            <w:pPr>
              <w:spacing w:after="0"/>
              <w:jc w:val="left"/>
            </w:pPr>
            <w:r>
              <w:rPr>
                <w:sz w:val="19"/>
              </w:rPr>
              <w:t>True North Fund VI LLP – invested ₹168.6 crore in 2018; exited in FY26; nominee director resigned 14 May 2026</w:t>
            </w:r>
          </w:p>
        </w:tc>
      </w:tr>
      <w:tr w:rsidR="007F373F">
        <w:trPr>
          <w:jc w:val="center"/>
        </w:trPr>
        <w:tc>
          <w:tcPr>
            <w:tcW w:w="2761" w:type="dxa"/>
          </w:tcPr>
          <w:p w:rsidR="007F373F" w:rsidRDefault="00000000">
            <w:pPr>
              <w:spacing w:after="0"/>
              <w:jc w:val="left"/>
            </w:pPr>
            <w:r>
              <w:rPr>
                <w:sz w:val="19"/>
              </w:rPr>
              <w:t>31st AGM</w:t>
            </w:r>
          </w:p>
        </w:tc>
        <w:tc>
          <w:tcPr>
            <w:tcW w:w="6971" w:type="dxa"/>
          </w:tcPr>
          <w:p w:rsidR="007F373F" w:rsidRDefault="00000000">
            <w:pPr>
              <w:spacing w:after="0"/>
              <w:jc w:val="left"/>
            </w:pPr>
            <w:r>
              <w:rPr>
                <w:sz w:val="19"/>
              </w:rPr>
              <w:t>29 September 2026 (through VC/OAVM); RTA MUFG Intime India Pvt Ltd</w:t>
            </w:r>
          </w:p>
        </w:tc>
      </w:tr>
    </w:tbl>
    <w:p w:rsidR="007F373F" w:rsidRDefault="007F373F">
      <w:pPr>
        <w:spacing w:after="40"/>
      </w:pP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6281"/>
        <w:gridCol w:w="1725"/>
        <w:gridCol w:w="1725"/>
      </w:tblGrid>
      <w:tr w:rsidR="007F373F">
        <w:trPr>
          <w:jc w:val="center"/>
        </w:trPr>
        <w:tc>
          <w:tcPr>
            <w:tcW w:w="6281" w:type="dxa"/>
          </w:tcPr>
          <w:p w:rsidR="007F373F" w:rsidRDefault="00000000">
            <w:pPr>
              <w:spacing w:after="0"/>
              <w:jc w:val="left"/>
            </w:pPr>
            <w:r>
              <w:rPr>
                <w:b/>
                <w:sz w:val="19"/>
              </w:rPr>
              <w:t>Related-party transactions with Federal Bank (₹ crore, FY26 vs FY25)</w:t>
            </w:r>
          </w:p>
        </w:tc>
        <w:tc>
          <w:tcPr>
            <w:tcW w:w="1725" w:type="dxa"/>
          </w:tcPr>
          <w:p w:rsidR="007F373F" w:rsidRDefault="00000000">
            <w:pPr>
              <w:spacing w:after="0"/>
              <w:jc w:val="left"/>
            </w:pPr>
            <w:r>
              <w:rPr>
                <w:b/>
                <w:sz w:val="19"/>
              </w:rPr>
              <w:t>FY26</w:t>
            </w:r>
          </w:p>
        </w:tc>
        <w:tc>
          <w:tcPr>
            <w:tcW w:w="1725" w:type="dxa"/>
          </w:tcPr>
          <w:p w:rsidR="007F373F" w:rsidRDefault="00000000">
            <w:pPr>
              <w:spacing w:after="0"/>
              <w:jc w:val="left"/>
            </w:pPr>
            <w:r>
              <w:rPr>
                <w:b/>
                <w:sz w:val="19"/>
              </w:rPr>
              <w:t>FY25</w:t>
            </w:r>
          </w:p>
        </w:tc>
      </w:tr>
      <w:tr w:rsidR="007F373F">
        <w:trPr>
          <w:jc w:val="center"/>
        </w:trPr>
        <w:tc>
          <w:tcPr>
            <w:tcW w:w="6281" w:type="dxa"/>
          </w:tcPr>
          <w:p w:rsidR="007F373F" w:rsidRDefault="00000000">
            <w:pPr>
              <w:spacing w:after="0"/>
              <w:jc w:val="left"/>
            </w:pPr>
            <w:r>
              <w:rPr>
                <w:sz w:val="19"/>
              </w:rPr>
              <w:t>Interest paid on cash credit / WCDL / term loans</w:t>
            </w:r>
          </w:p>
        </w:tc>
        <w:tc>
          <w:tcPr>
            <w:tcW w:w="1725" w:type="dxa"/>
          </w:tcPr>
          <w:p w:rsidR="007F373F" w:rsidRDefault="00000000">
            <w:pPr>
              <w:spacing w:after="0"/>
              <w:jc w:val="right"/>
            </w:pPr>
            <w:r>
              <w:rPr>
                <w:sz w:val="19"/>
              </w:rPr>
              <w:t>84.82</w:t>
            </w:r>
          </w:p>
        </w:tc>
        <w:tc>
          <w:tcPr>
            <w:tcW w:w="1725" w:type="dxa"/>
          </w:tcPr>
          <w:p w:rsidR="007F373F" w:rsidRDefault="00000000">
            <w:pPr>
              <w:spacing w:after="0"/>
              <w:jc w:val="right"/>
            </w:pPr>
            <w:r>
              <w:rPr>
                <w:sz w:val="19"/>
              </w:rPr>
              <w:t>78.12</w:t>
            </w:r>
          </w:p>
        </w:tc>
      </w:tr>
      <w:tr w:rsidR="007F373F">
        <w:trPr>
          <w:jc w:val="center"/>
        </w:trPr>
        <w:tc>
          <w:tcPr>
            <w:tcW w:w="6281" w:type="dxa"/>
          </w:tcPr>
          <w:p w:rsidR="007F373F" w:rsidRDefault="00000000">
            <w:pPr>
              <w:spacing w:after="0"/>
              <w:jc w:val="left"/>
            </w:pPr>
            <w:r>
              <w:rPr>
                <w:sz w:val="19"/>
              </w:rPr>
              <w:t>Processing fees paid</w:t>
            </w:r>
          </w:p>
        </w:tc>
        <w:tc>
          <w:tcPr>
            <w:tcW w:w="1725" w:type="dxa"/>
          </w:tcPr>
          <w:p w:rsidR="007F373F" w:rsidRDefault="00000000">
            <w:pPr>
              <w:spacing w:after="0"/>
              <w:jc w:val="right"/>
            </w:pPr>
            <w:r>
              <w:rPr>
                <w:sz w:val="19"/>
              </w:rPr>
              <w:t>1.43</w:t>
            </w:r>
          </w:p>
        </w:tc>
        <w:tc>
          <w:tcPr>
            <w:tcW w:w="1725" w:type="dxa"/>
          </w:tcPr>
          <w:p w:rsidR="007F373F" w:rsidRDefault="00000000">
            <w:pPr>
              <w:spacing w:after="0"/>
              <w:jc w:val="right"/>
            </w:pPr>
            <w:r>
              <w:rPr>
                <w:sz w:val="19"/>
              </w:rPr>
              <w:t>n.a.</w:t>
            </w:r>
          </w:p>
        </w:tc>
      </w:tr>
      <w:tr w:rsidR="007F373F">
        <w:trPr>
          <w:jc w:val="center"/>
        </w:trPr>
        <w:tc>
          <w:tcPr>
            <w:tcW w:w="6281" w:type="dxa"/>
          </w:tcPr>
          <w:p w:rsidR="007F373F" w:rsidRDefault="00000000">
            <w:pPr>
              <w:spacing w:after="0"/>
              <w:jc w:val="left"/>
            </w:pPr>
            <w:r>
              <w:rPr>
                <w:sz w:val="19"/>
              </w:rPr>
              <w:t>Income from distribution of bank products</w:t>
            </w:r>
          </w:p>
        </w:tc>
        <w:tc>
          <w:tcPr>
            <w:tcW w:w="1725" w:type="dxa"/>
          </w:tcPr>
          <w:p w:rsidR="007F373F" w:rsidRDefault="00000000">
            <w:pPr>
              <w:spacing w:after="0"/>
              <w:jc w:val="right"/>
            </w:pPr>
            <w:r>
              <w:rPr>
                <w:sz w:val="19"/>
              </w:rPr>
              <w:t>33.07</w:t>
            </w:r>
          </w:p>
        </w:tc>
        <w:tc>
          <w:tcPr>
            <w:tcW w:w="1725" w:type="dxa"/>
          </w:tcPr>
          <w:p w:rsidR="007F373F" w:rsidRDefault="00000000">
            <w:pPr>
              <w:spacing w:after="0"/>
              <w:jc w:val="right"/>
            </w:pPr>
            <w:r>
              <w:rPr>
                <w:sz w:val="19"/>
              </w:rPr>
              <w:t>3.16</w:t>
            </w:r>
          </w:p>
        </w:tc>
      </w:tr>
      <w:tr w:rsidR="007F373F">
        <w:trPr>
          <w:jc w:val="center"/>
        </w:trPr>
        <w:tc>
          <w:tcPr>
            <w:tcW w:w="6281" w:type="dxa"/>
          </w:tcPr>
          <w:p w:rsidR="007F373F" w:rsidRDefault="00000000">
            <w:pPr>
              <w:spacing w:after="0"/>
              <w:jc w:val="left"/>
            </w:pPr>
            <w:r>
              <w:rPr>
                <w:sz w:val="19"/>
              </w:rPr>
              <w:t>PTC service fees received</w:t>
            </w:r>
          </w:p>
        </w:tc>
        <w:tc>
          <w:tcPr>
            <w:tcW w:w="1725" w:type="dxa"/>
          </w:tcPr>
          <w:p w:rsidR="007F373F" w:rsidRDefault="00000000">
            <w:pPr>
              <w:spacing w:after="0"/>
              <w:jc w:val="right"/>
            </w:pPr>
            <w:r>
              <w:rPr>
                <w:sz w:val="19"/>
              </w:rPr>
              <w:t>0.30</w:t>
            </w:r>
          </w:p>
        </w:tc>
        <w:tc>
          <w:tcPr>
            <w:tcW w:w="1725" w:type="dxa"/>
          </w:tcPr>
          <w:p w:rsidR="007F373F" w:rsidRDefault="00000000">
            <w:pPr>
              <w:spacing w:after="0"/>
              <w:jc w:val="right"/>
            </w:pPr>
            <w:r>
              <w:rPr>
                <w:sz w:val="19"/>
              </w:rPr>
              <w:t>0.25</w:t>
            </w:r>
          </w:p>
        </w:tc>
      </w:tr>
      <w:tr w:rsidR="007F373F">
        <w:trPr>
          <w:jc w:val="center"/>
        </w:trPr>
        <w:tc>
          <w:tcPr>
            <w:tcW w:w="6281" w:type="dxa"/>
          </w:tcPr>
          <w:p w:rsidR="007F373F" w:rsidRDefault="00000000">
            <w:pPr>
              <w:spacing w:after="0"/>
              <w:jc w:val="left"/>
            </w:pPr>
            <w:r>
              <w:rPr>
                <w:sz w:val="19"/>
              </w:rPr>
              <w:t>Term loan outstanding (31 March)</w:t>
            </w:r>
          </w:p>
        </w:tc>
        <w:tc>
          <w:tcPr>
            <w:tcW w:w="1725" w:type="dxa"/>
          </w:tcPr>
          <w:p w:rsidR="007F373F" w:rsidRDefault="00000000">
            <w:pPr>
              <w:spacing w:after="0"/>
              <w:jc w:val="right"/>
            </w:pPr>
            <w:r>
              <w:rPr>
                <w:sz w:val="19"/>
              </w:rPr>
              <w:t>1,064.1</w:t>
            </w:r>
          </w:p>
        </w:tc>
        <w:tc>
          <w:tcPr>
            <w:tcW w:w="1725" w:type="dxa"/>
          </w:tcPr>
          <w:p w:rsidR="007F373F" w:rsidRDefault="00000000">
            <w:pPr>
              <w:spacing w:after="0"/>
              <w:jc w:val="right"/>
            </w:pPr>
            <w:r>
              <w:rPr>
                <w:sz w:val="19"/>
              </w:rPr>
              <w:t>1,029.6</w:t>
            </w:r>
          </w:p>
        </w:tc>
      </w:tr>
      <w:tr w:rsidR="007F373F">
        <w:trPr>
          <w:jc w:val="center"/>
        </w:trPr>
        <w:tc>
          <w:tcPr>
            <w:tcW w:w="6281" w:type="dxa"/>
          </w:tcPr>
          <w:p w:rsidR="007F373F" w:rsidRDefault="00000000">
            <w:pPr>
              <w:spacing w:after="0"/>
              <w:jc w:val="left"/>
            </w:pPr>
            <w:r>
              <w:rPr>
                <w:sz w:val="19"/>
              </w:rPr>
              <w:t>Demand loan outstanding</w:t>
            </w:r>
          </w:p>
        </w:tc>
        <w:tc>
          <w:tcPr>
            <w:tcW w:w="1725" w:type="dxa"/>
          </w:tcPr>
          <w:p w:rsidR="007F373F" w:rsidRDefault="00000000">
            <w:pPr>
              <w:spacing w:after="0"/>
              <w:jc w:val="right"/>
            </w:pPr>
            <w:r>
              <w:rPr>
                <w:sz w:val="19"/>
              </w:rPr>
              <w:t>60.0</w:t>
            </w:r>
          </w:p>
        </w:tc>
        <w:tc>
          <w:tcPr>
            <w:tcW w:w="1725" w:type="dxa"/>
          </w:tcPr>
          <w:p w:rsidR="007F373F" w:rsidRDefault="00000000">
            <w:pPr>
              <w:spacing w:after="0"/>
              <w:jc w:val="right"/>
            </w:pPr>
            <w:r>
              <w:rPr>
                <w:sz w:val="19"/>
              </w:rPr>
              <w:t>60.0</w:t>
            </w:r>
          </w:p>
        </w:tc>
      </w:tr>
      <w:tr w:rsidR="007F373F">
        <w:trPr>
          <w:jc w:val="center"/>
        </w:trPr>
        <w:tc>
          <w:tcPr>
            <w:tcW w:w="6281" w:type="dxa"/>
          </w:tcPr>
          <w:p w:rsidR="007F373F" w:rsidRDefault="00000000">
            <w:pPr>
              <w:spacing w:after="0"/>
              <w:jc w:val="left"/>
            </w:pPr>
            <w:r>
              <w:rPr>
                <w:sz w:val="19"/>
              </w:rPr>
              <w:t>Subordinated NCDs held by Federal Bank</w:t>
            </w:r>
          </w:p>
        </w:tc>
        <w:tc>
          <w:tcPr>
            <w:tcW w:w="1725" w:type="dxa"/>
          </w:tcPr>
          <w:p w:rsidR="007F373F" w:rsidRDefault="00000000">
            <w:pPr>
              <w:spacing w:after="0"/>
              <w:jc w:val="right"/>
            </w:pPr>
            <w:r>
              <w:rPr>
                <w:sz w:val="19"/>
              </w:rPr>
              <w:t>246.1</w:t>
            </w:r>
          </w:p>
        </w:tc>
        <w:tc>
          <w:tcPr>
            <w:tcW w:w="1725" w:type="dxa"/>
          </w:tcPr>
          <w:p w:rsidR="007F373F" w:rsidRDefault="00000000">
            <w:pPr>
              <w:spacing w:after="0"/>
              <w:jc w:val="right"/>
            </w:pPr>
            <w:r>
              <w:rPr>
                <w:sz w:val="19"/>
              </w:rPr>
              <w:t>245.5</w:t>
            </w:r>
          </w:p>
        </w:tc>
      </w:tr>
    </w:tbl>
    <w:p w:rsidR="007F373F" w:rsidRDefault="00000000">
      <w:pPr>
        <w:spacing w:before="40" w:after="80"/>
      </w:pPr>
      <w:r>
        <w:rPr>
          <w:i/>
          <w:sz w:val="18"/>
        </w:rPr>
        <w:t>Source: Fedfina Annual Report 2025-26, related-party disclosures (note 48) and notes 17–18. Items marked n.a. were not separately disclosed in the extracted text.</w:t>
      </w:r>
    </w:p>
    <w:p w:rsidR="007F373F" w:rsidRDefault="00000000">
      <w:pPr>
        <w:pStyle w:val="Heading1"/>
        <w:pageBreakBefore/>
      </w:pPr>
      <w:r>
        <w:lastRenderedPageBreak/>
        <w:t>Appendix F — Glossary and Ratio Formulae</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070"/>
        <w:gridCol w:w="4417"/>
        <w:gridCol w:w="1932"/>
        <w:gridCol w:w="1311"/>
      </w:tblGrid>
      <w:tr w:rsidR="007F373F">
        <w:trPr>
          <w:jc w:val="center"/>
        </w:trPr>
        <w:tc>
          <w:tcPr>
            <w:tcW w:w="2070" w:type="dxa"/>
          </w:tcPr>
          <w:p w:rsidR="007F373F" w:rsidRDefault="00000000">
            <w:pPr>
              <w:spacing w:after="0"/>
              <w:jc w:val="left"/>
            </w:pPr>
            <w:r>
              <w:rPr>
                <w:b/>
                <w:sz w:val="18"/>
              </w:rPr>
              <w:t>Ratio / term</w:t>
            </w:r>
          </w:p>
        </w:tc>
        <w:tc>
          <w:tcPr>
            <w:tcW w:w="4417" w:type="dxa"/>
          </w:tcPr>
          <w:p w:rsidR="007F373F" w:rsidRDefault="00000000">
            <w:pPr>
              <w:spacing w:after="0"/>
              <w:jc w:val="left"/>
            </w:pPr>
            <w:r>
              <w:rPr>
                <w:b/>
                <w:sz w:val="18"/>
              </w:rPr>
              <w:t>Formula used in this report</w:t>
            </w:r>
          </w:p>
        </w:tc>
        <w:tc>
          <w:tcPr>
            <w:tcW w:w="1932" w:type="dxa"/>
          </w:tcPr>
          <w:p w:rsidR="007F373F" w:rsidRDefault="00000000">
            <w:pPr>
              <w:spacing w:after="0"/>
              <w:jc w:val="left"/>
            </w:pPr>
            <w:r>
              <w:rPr>
                <w:b/>
                <w:sz w:val="18"/>
              </w:rPr>
              <w:t>FY26 value</w:t>
            </w:r>
          </w:p>
        </w:tc>
        <w:tc>
          <w:tcPr>
            <w:tcW w:w="1311" w:type="dxa"/>
          </w:tcPr>
          <w:p w:rsidR="007F373F" w:rsidRDefault="00000000">
            <w:pPr>
              <w:spacing w:after="0"/>
              <w:jc w:val="left"/>
            </w:pPr>
            <w:r>
              <w:rPr>
                <w:b/>
                <w:sz w:val="18"/>
              </w:rPr>
              <w:t>Source basis</w:t>
            </w:r>
          </w:p>
        </w:tc>
      </w:tr>
      <w:tr w:rsidR="007F373F">
        <w:trPr>
          <w:jc w:val="center"/>
        </w:trPr>
        <w:tc>
          <w:tcPr>
            <w:tcW w:w="2070" w:type="dxa"/>
          </w:tcPr>
          <w:p w:rsidR="007F373F" w:rsidRDefault="00000000">
            <w:pPr>
              <w:spacing w:after="0"/>
              <w:jc w:val="left"/>
            </w:pPr>
            <w:r>
              <w:rPr>
                <w:sz w:val="18"/>
              </w:rPr>
              <w:t>AUM</w:t>
            </w:r>
          </w:p>
        </w:tc>
        <w:tc>
          <w:tcPr>
            <w:tcW w:w="4417" w:type="dxa"/>
          </w:tcPr>
          <w:p w:rsidR="007F373F" w:rsidRDefault="00000000">
            <w:pPr>
              <w:spacing w:after="0"/>
              <w:jc w:val="left"/>
            </w:pPr>
            <w:r>
              <w:rPr>
                <w:sz w:val="18"/>
              </w:rPr>
              <w:t>On-book loans + co-lent partner share + assigned portfolio under management</w:t>
            </w:r>
          </w:p>
        </w:tc>
        <w:tc>
          <w:tcPr>
            <w:tcW w:w="1932" w:type="dxa"/>
          </w:tcPr>
          <w:p w:rsidR="007F373F" w:rsidRDefault="00000000">
            <w:pPr>
              <w:spacing w:after="0"/>
              <w:jc w:val="left"/>
            </w:pPr>
            <w:r>
              <w:rPr>
                <w:sz w:val="18"/>
              </w:rPr>
              <w:t>₹20,153 crore</w:t>
            </w:r>
          </w:p>
        </w:tc>
        <w:tc>
          <w:tcPr>
            <w:tcW w:w="1311" w:type="dxa"/>
          </w:tcPr>
          <w:p w:rsidR="007F373F" w:rsidRDefault="00000000">
            <w:pPr>
              <w:spacing w:after="0"/>
              <w:jc w:val="left"/>
            </w:pPr>
            <w:r>
              <w:rPr>
                <w:sz w:val="18"/>
              </w:rPr>
              <w:t>Company-defined</w:t>
            </w:r>
          </w:p>
        </w:tc>
      </w:tr>
      <w:tr w:rsidR="007F373F">
        <w:trPr>
          <w:jc w:val="center"/>
        </w:trPr>
        <w:tc>
          <w:tcPr>
            <w:tcW w:w="2070" w:type="dxa"/>
          </w:tcPr>
          <w:p w:rsidR="007F373F" w:rsidRDefault="00000000">
            <w:pPr>
              <w:spacing w:after="0"/>
              <w:jc w:val="left"/>
            </w:pPr>
            <w:r>
              <w:rPr>
                <w:sz w:val="18"/>
              </w:rPr>
              <w:t>Yield on advances</w:t>
            </w:r>
          </w:p>
        </w:tc>
        <w:tc>
          <w:tcPr>
            <w:tcW w:w="4417" w:type="dxa"/>
          </w:tcPr>
          <w:p w:rsidR="007F373F" w:rsidRDefault="00000000">
            <w:pPr>
              <w:spacing w:after="0"/>
              <w:jc w:val="left"/>
            </w:pPr>
            <w:r>
              <w:rPr>
                <w:sz w:val="18"/>
              </w:rPr>
              <w:t>Interest on loans ÷ average advances (company basis)</w:t>
            </w:r>
          </w:p>
        </w:tc>
        <w:tc>
          <w:tcPr>
            <w:tcW w:w="1932" w:type="dxa"/>
          </w:tcPr>
          <w:p w:rsidR="007F373F" w:rsidRDefault="00000000">
            <w:pPr>
              <w:spacing w:after="0"/>
              <w:jc w:val="right"/>
            </w:pPr>
            <w:r>
              <w:rPr>
                <w:sz w:val="18"/>
              </w:rPr>
              <w:t>16.7%</w:t>
            </w:r>
          </w:p>
        </w:tc>
        <w:tc>
          <w:tcPr>
            <w:tcW w:w="1311" w:type="dxa"/>
          </w:tcPr>
          <w:p w:rsidR="007F373F" w:rsidRDefault="00000000">
            <w:pPr>
              <w:spacing w:after="0"/>
              <w:jc w:val="left"/>
            </w:pPr>
            <w:r>
              <w:rPr>
                <w:sz w:val="18"/>
              </w:rPr>
              <w:t>Reported</w:t>
            </w:r>
          </w:p>
        </w:tc>
      </w:tr>
      <w:tr w:rsidR="007F373F">
        <w:trPr>
          <w:jc w:val="center"/>
        </w:trPr>
        <w:tc>
          <w:tcPr>
            <w:tcW w:w="2070" w:type="dxa"/>
          </w:tcPr>
          <w:p w:rsidR="007F373F" w:rsidRDefault="00000000">
            <w:pPr>
              <w:spacing w:after="0"/>
              <w:jc w:val="left"/>
            </w:pPr>
            <w:r>
              <w:rPr>
                <w:sz w:val="18"/>
              </w:rPr>
              <w:t>Cost of borrowings</w:t>
            </w:r>
          </w:p>
        </w:tc>
        <w:tc>
          <w:tcPr>
            <w:tcW w:w="4417" w:type="dxa"/>
          </w:tcPr>
          <w:p w:rsidR="007F373F" w:rsidRDefault="00000000">
            <w:pPr>
              <w:spacing w:after="0"/>
              <w:jc w:val="left"/>
            </w:pPr>
            <w:r>
              <w:rPr>
                <w:sz w:val="18"/>
              </w:rPr>
              <w:t>Finance costs ÷ average borrowings (company basis)</w:t>
            </w:r>
          </w:p>
        </w:tc>
        <w:tc>
          <w:tcPr>
            <w:tcW w:w="1932" w:type="dxa"/>
          </w:tcPr>
          <w:p w:rsidR="007F373F" w:rsidRDefault="00000000">
            <w:pPr>
              <w:spacing w:after="0"/>
              <w:jc w:val="left"/>
            </w:pPr>
            <w:r>
              <w:rPr>
                <w:sz w:val="18"/>
              </w:rPr>
              <w:t>8.1% (Q4: 7.83%)</w:t>
            </w:r>
          </w:p>
        </w:tc>
        <w:tc>
          <w:tcPr>
            <w:tcW w:w="1311" w:type="dxa"/>
          </w:tcPr>
          <w:p w:rsidR="007F373F" w:rsidRDefault="00000000">
            <w:pPr>
              <w:spacing w:after="0"/>
              <w:jc w:val="left"/>
            </w:pPr>
            <w:r>
              <w:rPr>
                <w:sz w:val="18"/>
              </w:rPr>
              <w:t>Reported</w:t>
            </w:r>
          </w:p>
        </w:tc>
      </w:tr>
      <w:tr w:rsidR="007F373F">
        <w:trPr>
          <w:jc w:val="center"/>
        </w:trPr>
        <w:tc>
          <w:tcPr>
            <w:tcW w:w="2070" w:type="dxa"/>
          </w:tcPr>
          <w:p w:rsidR="007F373F" w:rsidRDefault="00000000">
            <w:pPr>
              <w:spacing w:after="0"/>
              <w:jc w:val="left"/>
            </w:pPr>
            <w:r>
              <w:rPr>
                <w:sz w:val="18"/>
              </w:rPr>
              <w:t>Spread</w:t>
            </w:r>
          </w:p>
        </w:tc>
        <w:tc>
          <w:tcPr>
            <w:tcW w:w="4417" w:type="dxa"/>
          </w:tcPr>
          <w:p w:rsidR="007F373F" w:rsidRDefault="00000000">
            <w:pPr>
              <w:spacing w:after="0"/>
              <w:jc w:val="left"/>
            </w:pPr>
            <w:r>
              <w:rPr>
                <w:sz w:val="18"/>
              </w:rPr>
              <w:t>Yield − cost of borrowings</w:t>
            </w:r>
          </w:p>
        </w:tc>
        <w:tc>
          <w:tcPr>
            <w:tcW w:w="1932" w:type="dxa"/>
          </w:tcPr>
          <w:p w:rsidR="007F373F" w:rsidRDefault="00000000">
            <w:pPr>
              <w:spacing w:after="0"/>
              <w:jc w:val="right"/>
            </w:pPr>
            <w:r>
              <w:rPr>
                <w:sz w:val="18"/>
              </w:rPr>
              <w:t>8.6%</w:t>
            </w:r>
          </w:p>
        </w:tc>
        <w:tc>
          <w:tcPr>
            <w:tcW w:w="1311" w:type="dxa"/>
          </w:tcPr>
          <w:p w:rsidR="007F373F" w:rsidRDefault="00000000">
            <w:pPr>
              <w:spacing w:after="0"/>
              <w:jc w:val="left"/>
            </w:pPr>
            <w:r>
              <w:rPr>
                <w:sz w:val="18"/>
              </w:rPr>
              <w:t>Reported</w:t>
            </w:r>
          </w:p>
        </w:tc>
      </w:tr>
      <w:tr w:rsidR="007F373F">
        <w:trPr>
          <w:jc w:val="center"/>
        </w:trPr>
        <w:tc>
          <w:tcPr>
            <w:tcW w:w="2070" w:type="dxa"/>
          </w:tcPr>
          <w:p w:rsidR="007F373F" w:rsidRDefault="00000000">
            <w:pPr>
              <w:spacing w:after="0"/>
              <w:jc w:val="left"/>
            </w:pPr>
            <w:r>
              <w:rPr>
                <w:sz w:val="18"/>
              </w:rPr>
              <w:t>Net interest margin</w:t>
            </w:r>
          </w:p>
        </w:tc>
        <w:tc>
          <w:tcPr>
            <w:tcW w:w="4417" w:type="dxa"/>
          </w:tcPr>
          <w:p w:rsidR="007F373F" w:rsidRDefault="00000000">
            <w:pPr>
              <w:spacing w:after="0"/>
              <w:jc w:val="left"/>
            </w:pPr>
            <w:r>
              <w:rPr>
                <w:sz w:val="18"/>
              </w:rPr>
              <w:t>Net interest income ÷ average total assets</w:t>
            </w:r>
          </w:p>
        </w:tc>
        <w:tc>
          <w:tcPr>
            <w:tcW w:w="1932" w:type="dxa"/>
          </w:tcPr>
          <w:p w:rsidR="007F373F" w:rsidRDefault="00000000">
            <w:pPr>
              <w:spacing w:after="0"/>
              <w:jc w:val="right"/>
            </w:pPr>
            <w:r>
              <w:rPr>
                <w:sz w:val="18"/>
              </w:rPr>
              <w:t>8.8%</w:t>
            </w:r>
          </w:p>
        </w:tc>
        <w:tc>
          <w:tcPr>
            <w:tcW w:w="1311" w:type="dxa"/>
          </w:tcPr>
          <w:p w:rsidR="007F373F" w:rsidRDefault="00000000">
            <w:pPr>
              <w:spacing w:after="0"/>
              <w:jc w:val="left"/>
            </w:pPr>
            <w:r>
              <w:rPr>
                <w:sz w:val="18"/>
              </w:rPr>
              <w:t>Reported</w:t>
            </w:r>
          </w:p>
        </w:tc>
      </w:tr>
      <w:tr w:rsidR="007F373F">
        <w:trPr>
          <w:jc w:val="center"/>
        </w:trPr>
        <w:tc>
          <w:tcPr>
            <w:tcW w:w="2070" w:type="dxa"/>
          </w:tcPr>
          <w:p w:rsidR="007F373F" w:rsidRDefault="00000000">
            <w:pPr>
              <w:spacing w:after="0"/>
              <w:jc w:val="left"/>
            </w:pPr>
            <w:r>
              <w:rPr>
                <w:sz w:val="18"/>
              </w:rPr>
              <w:t>Cost-to-income</w:t>
            </w:r>
          </w:p>
        </w:tc>
        <w:tc>
          <w:tcPr>
            <w:tcW w:w="4417" w:type="dxa"/>
          </w:tcPr>
          <w:p w:rsidR="007F373F" w:rsidRDefault="00000000">
            <w:pPr>
              <w:spacing w:after="0"/>
              <w:jc w:val="left"/>
            </w:pPr>
            <w:r>
              <w:rPr>
                <w:sz w:val="18"/>
              </w:rPr>
              <w:t>Operating expenses ÷ (NII + fee and other income)</w:t>
            </w:r>
          </w:p>
        </w:tc>
        <w:tc>
          <w:tcPr>
            <w:tcW w:w="1932" w:type="dxa"/>
          </w:tcPr>
          <w:p w:rsidR="007F373F" w:rsidRDefault="00000000">
            <w:pPr>
              <w:spacing w:after="0"/>
              <w:jc w:val="right"/>
            </w:pPr>
            <w:r>
              <w:rPr>
                <w:sz w:val="18"/>
              </w:rPr>
              <w:t>57.2%</w:t>
            </w:r>
          </w:p>
        </w:tc>
        <w:tc>
          <w:tcPr>
            <w:tcW w:w="1311" w:type="dxa"/>
          </w:tcPr>
          <w:p w:rsidR="007F373F" w:rsidRDefault="00000000">
            <w:pPr>
              <w:spacing w:after="0"/>
              <w:jc w:val="left"/>
            </w:pPr>
            <w:r>
              <w:rPr>
                <w:sz w:val="18"/>
              </w:rPr>
              <w:t>Reported; derived reconciles</w:t>
            </w:r>
          </w:p>
        </w:tc>
      </w:tr>
      <w:tr w:rsidR="007F373F">
        <w:trPr>
          <w:jc w:val="center"/>
        </w:trPr>
        <w:tc>
          <w:tcPr>
            <w:tcW w:w="2070" w:type="dxa"/>
          </w:tcPr>
          <w:p w:rsidR="007F373F" w:rsidRDefault="00000000">
            <w:pPr>
              <w:spacing w:after="0"/>
              <w:jc w:val="left"/>
            </w:pPr>
            <w:r>
              <w:rPr>
                <w:sz w:val="18"/>
              </w:rPr>
              <w:t>Credit cost</w:t>
            </w:r>
          </w:p>
        </w:tc>
        <w:tc>
          <w:tcPr>
            <w:tcW w:w="4417" w:type="dxa"/>
          </w:tcPr>
          <w:p w:rsidR="007F373F" w:rsidRDefault="00000000">
            <w:pPr>
              <w:spacing w:after="0"/>
              <w:jc w:val="left"/>
            </w:pPr>
            <w:r>
              <w:rPr>
                <w:sz w:val="18"/>
              </w:rPr>
              <w:t>Impairment on financial instruments ÷ average total assets</w:t>
            </w:r>
          </w:p>
        </w:tc>
        <w:tc>
          <w:tcPr>
            <w:tcW w:w="1932" w:type="dxa"/>
          </w:tcPr>
          <w:p w:rsidR="007F373F" w:rsidRDefault="00000000">
            <w:pPr>
              <w:spacing w:after="0"/>
              <w:jc w:val="left"/>
            </w:pPr>
            <w:r>
              <w:rPr>
                <w:sz w:val="18"/>
              </w:rPr>
              <w:t>0.8% (derived 0.77%)</w:t>
            </w:r>
          </w:p>
        </w:tc>
        <w:tc>
          <w:tcPr>
            <w:tcW w:w="1311" w:type="dxa"/>
          </w:tcPr>
          <w:p w:rsidR="007F373F" w:rsidRDefault="00000000">
            <w:pPr>
              <w:spacing w:after="0"/>
              <w:jc w:val="left"/>
            </w:pPr>
            <w:r>
              <w:rPr>
                <w:sz w:val="18"/>
              </w:rPr>
              <w:t>Reported / derived</w:t>
            </w:r>
          </w:p>
        </w:tc>
      </w:tr>
      <w:tr w:rsidR="007F373F">
        <w:trPr>
          <w:jc w:val="center"/>
        </w:trPr>
        <w:tc>
          <w:tcPr>
            <w:tcW w:w="2070" w:type="dxa"/>
          </w:tcPr>
          <w:p w:rsidR="007F373F" w:rsidRDefault="00000000">
            <w:pPr>
              <w:spacing w:after="0"/>
              <w:jc w:val="left"/>
            </w:pPr>
            <w:r>
              <w:rPr>
                <w:sz w:val="18"/>
              </w:rPr>
              <w:t>GNPA / NNPA</w:t>
            </w:r>
          </w:p>
        </w:tc>
        <w:tc>
          <w:tcPr>
            <w:tcW w:w="4417" w:type="dxa"/>
          </w:tcPr>
          <w:p w:rsidR="007F373F" w:rsidRDefault="00000000">
            <w:pPr>
              <w:spacing w:after="0"/>
              <w:jc w:val="left"/>
            </w:pPr>
            <w:r>
              <w:rPr>
                <w:sz w:val="18"/>
              </w:rPr>
              <w:t>Stage 3 loans (gross / net of provisions) ÷ gross / net advances</w:t>
            </w:r>
          </w:p>
        </w:tc>
        <w:tc>
          <w:tcPr>
            <w:tcW w:w="1932" w:type="dxa"/>
          </w:tcPr>
          <w:p w:rsidR="007F373F" w:rsidRDefault="00000000">
            <w:pPr>
              <w:spacing w:after="0"/>
              <w:jc w:val="left"/>
            </w:pPr>
            <w:r>
              <w:rPr>
                <w:sz w:val="18"/>
              </w:rPr>
              <w:t>1.9% / 1.3%</w:t>
            </w:r>
          </w:p>
        </w:tc>
        <w:tc>
          <w:tcPr>
            <w:tcW w:w="1311" w:type="dxa"/>
          </w:tcPr>
          <w:p w:rsidR="007F373F" w:rsidRDefault="00000000">
            <w:pPr>
              <w:spacing w:after="0"/>
              <w:jc w:val="left"/>
            </w:pPr>
            <w:r>
              <w:rPr>
                <w:sz w:val="18"/>
              </w:rPr>
              <w:t>Reported</w:t>
            </w:r>
          </w:p>
        </w:tc>
      </w:tr>
      <w:tr w:rsidR="007F373F">
        <w:trPr>
          <w:jc w:val="center"/>
        </w:trPr>
        <w:tc>
          <w:tcPr>
            <w:tcW w:w="2070" w:type="dxa"/>
          </w:tcPr>
          <w:p w:rsidR="007F373F" w:rsidRDefault="00000000">
            <w:pPr>
              <w:spacing w:after="0"/>
              <w:jc w:val="left"/>
            </w:pPr>
            <w:r>
              <w:rPr>
                <w:sz w:val="18"/>
              </w:rPr>
              <w:t>Provision coverage ratio</w:t>
            </w:r>
          </w:p>
        </w:tc>
        <w:tc>
          <w:tcPr>
            <w:tcW w:w="4417" w:type="dxa"/>
          </w:tcPr>
          <w:p w:rsidR="007F373F" w:rsidRDefault="00000000">
            <w:pPr>
              <w:spacing w:after="0"/>
              <w:jc w:val="left"/>
            </w:pPr>
            <w:r>
              <w:rPr>
                <w:sz w:val="18"/>
              </w:rPr>
              <w:t>Stage 3 provisions ÷ gross Stage 3 loans</w:t>
            </w:r>
          </w:p>
        </w:tc>
        <w:tc>
          <w:tcPr>
            <w:tcW w:w="1932" w:type="dxa"/>
          </w:tcPr>
          <w:p w:rsidR="007F373F" w:rsidRDefault="00000000">
            <w:pPr>
              <w:spacing w:after="0"/>
              <w:jc w:val="right"/>
            </w:pPr>
            <w:r>
              <w:rPr>
                <w:sz w:val="18"/>
              </w:rPr>
              <w:t>32.3%</w:t>
            </w:r>
          </w:p>
        </w:tc>
        <w:tc>
          <w:tcPr>
            <w:tcW w:w="1311" w:type="dxa"/>
          </w:tcPr>
          <w:p w:rsidR="007F373F" w:rsidRDefault="00000000">
            <w:pPr>
              <w:spacing w:after="0"/>
              <w:jc w:val="left"/>
            </w:pPr>
            <w:r>
              <w:rPr>
                <w:sz w:val="18"/>
              </w:rPr>
              <w:t>Reported</w:t>
            </w:r>
          </w:p>
        </w:tc>
      </w:tr>
      <w:tr w:rsidR="007F373F">
        <w:trPr>
          <w:jc w:val="center"/>
        </w:trPr>
        <w:tc>
          <w:tcPr>
            <w:tcW w:w="2070" w:type="dxa"/>
          </w:tcPr>
          <w:p w:rsidR="007F373F" w:rsidRDefault="00000000">
            <w:pPr>
              <w:spacing w:after="0"/>
              <w:jc w:val="left"/>
            </w:pPr>
            <w:r>
              <w:rPr>
                <w:sz w:val="18"/>
              </w:rPr>
              <w:t>Return on average assets</w:t>
            </w:r>
          </w:p>
        </w:tc>
        <w:tc>
          <w:tcPr>
            <w:tcW w:w="4417" w:type="dxa"/>
          </w:tcPr>
          <w:p w:rsidR="007F373F" w:rsidRDefault="00000000">
            <w:pPr>
              <w:spacing w:after="0"/>
              <w:jc w:val="left"/>
            </w:pPr>
            <w:r>
              <w:rPr>
                <w:sz w:val="18"/>
              </w:rPr>
              <w:t>PAT ÷ average total assets</w:t>
            </w:r>
          </w:p>
        </w:tc>
        <w:tc>
          <w:tcPr>
            <w:tcW w:w="1932" w:type="dxa"/>
          </w:tcPr>
          <w:p w:rsidR="007F373F" w:rsidRDefault="00000000">
            <w:pPr>
              <w:spacing w:after="0"/>
              <w:jc w:val="left"/>
            </w:pPr>
            <w:r>
              <w:rPr>
                <w:sz w:val="18"/>
              </w:rPr>
              <w:t>2.44% (derived 2.28%)</w:t>
            </w:r>
          </w:p>
        </w:tc>
        <w:tc>
          <w:tcPr>
            <w:tcW w:w="1311" w:type="dxa"/>
          </w:tcPr>
          <w:p w:rsidR="007F373F" w:rsidRDefault="00000000">
            <w:pPr>
              <w:spacing w:after="0"/>
              <w:jc w:val="left"/>
            </w:pPr>
            <w:r>
              <w:rPr>
                <w:sz w:val="18"/>
              </w:rPr>
              <w:t>Reported / derived</w:t>
            </w:r>
          </w:p>
        </w:tc>
      </w:tr>
      <w:tr w:rsidR="007F373F">
        <w:trPr>
          <w:jc w:val="center"/>
        </w:trPr>
        <w:tc>
          <w:tcPr>
            <w:tcW w:w="2070" w:type="dxa"/>
          </w:tcPr>
          <w:p w:rsidR="007F373F" w:rsidRDefault="00000000">
            <w:pPr>
              <w:spacing w:after="0"/>
              <w:jc w:val="left"/>
            </w:pPr>
            <w:r>
              <w:rPr>
                <w:sz w:val="18"/>
              </w:rPr>
              <w:t>Return on equity</w:t>
            </w:r>
          </w:p>
        </w:tc>
        <w:tc>
          <w:tcPr>
            <w:tcW w:w="4417" w:type="dxa"/>
          </w:tcPr>
          <w:p w:rsidR="007F373F" w:rsidRDefault="00000000">
            <w:pPr>
              <w:spacing w:after="0"/>
              <w:jc w:val="left"/>
            </w:pPr>
            <w:r>
              <w:rPr>
                <w:sz w:val="18"/>
              </w:rPr>
              <w:t>PAT ÷ average net worth</w:t>
            </w:r>
          </w:p>
        </w:tc>
        <w:tc>
          <w:tcPr>
            <w:tcW w:w="1932" w:type="dxa"/>
          </w:tcPr>
          <w:p w:rsidR="007F373F" w:rsidRDefault="00000000">
            <w:pPr>
              <w:spacing w:after="0"/>
              <w:jc w:val="left"/>
            </w:pPr>
            <w:r>
              <w:rPr>
                <w:sz w:val="18"/>
              </w:rPr>
              <w:t>12.62% (derived 12.55%)</w:t>
            </w:r>
          </w:p>
        </w:tc>
        <w:tc>
          <w:tcPr>
            <w:tcW w:w="1311" w:type="dxa"/>
          </w:tcPr>
          <w:p w:rsidR="007F373F" w:rsidRDefault="00000000">
            <w:pPr>
              <w:spacing w:after="0"/>
              <w:jc w:val="left"/>
            </w:pPr>
            <w:r>
              <w:rPr>
                <w:sz w:val="18"/>
              </w:rPr>
              <w:t>Reported / derived</w:t>
            </w:r>
          </w:p>
        </w:tc>
      </w:tr>
      <w:tr w:rsidR="007F373F">
        <w:trPr>
          <w:jc w:val="center"/>
        </w:trPr>
        <w:tc>
          <w:tcPr>
            <w:tcW w:w="2070" w:type="dxa"/>
          </w:tcPr>
          <w:p w:rsidR="007F373F" w:rsidRDefault="00000000">
            <w:pPr>
              <w:spacing w:after="0"/>
              <w:jc w:val="left"/>
            </w:pPr>
            <w:r>
              <w:rPr>
                <w:sz w:val="18"/>
              </w:rPr>
              <w:t>Debt-to-equity</w:t>
            </w:r>
          </w:p>
        </w:tc>
        <w:tc>
          <w:tcPr>
            <w:tcW w:w="4417" w:type="dxa"/>
          </w:tcPr>
          <w:p w:rsidR="007F373F" w:rsidRDefault="00000000">
            <w:pPr>
              <w:spacing w:after="0"/>
              <w:jc w:val="left"/>
            </w:pPr>
            <w:r>
              <w:rPr>
                <w:sz w:val="18"/>
              </w:rPr>
              <w:t>Total borrowings ÷ net worth</w:t>
            </w:r>
          </w:p>
        </w:tc>
        <w:tc>
          <w:tcPr>
            <w:tcW w:w="1932" w:type="dxa"/>
          </w:tcPr>
          <w:p w:rsidR="007F373F" w:rsidRDefault="00000000">
            <w:pPr>
              <w:spacing w:after="0"/>
              <w:jc w:val="left"/>
            </w:pPr>
            <w:r>
              <w:rPr>
                <w:sz w:val="18"/>
              </w:rPr>
              <w:t>4.6x (derived 4.61x)</w:t>
            </w:r>
          </w:p>
        </w:tc>
        <w:tc>
          <w:tcPr>
            <w:tcW w:w="1311" w:type="dxa"/>
          </w:tcPr>
          <w:p w:rsidR="007F373F" w:rsidRDefault="00000000">
            <w:pPr>
              <w:spacing w:after="0"/>
              <w:jc w:val="left"/>
            </w:pPr>
            <w:r>
              <w:rPr>
                <w:sz w:val="18"/>
              </w:rPr>
              <w:t>Reported / derived</w:t>
            </w:r>
          </w:p>
        </w:tc>
      </w:tr>
      <w:tr w:rsidR="007F373F">
        <w:trPr>
          <w:jc w:val="center"/>
        </w:trPr>
        <w:tc>
          <w:tcPr>
            <w:tcW w:w="2070" w:type="dxa"/>
          </w:tcPr>
          <w:p w:rsidR="007F373F" w:rsidRDefault="00000000">
            <w:pPr>
              <w:spacing w:after="0"/>
              <w:jc w:val="left"/>
            </w:pPr>
            <w:r>
              <w:rPr>
                <w:sz w:val="18"/>
              </w:rPr>
              <w:t>CRAR</w:t>
            </w:r>
          </w:p>
        </w:tc>
        <w:tc>
          <w:tcPr>
            <w:tcW w:w="4417" w:type="dxa"/>
          </w:tcPr>
          <w:p w:rsidR="007F373F" w:rsidRDefault="00000000">
            <w:pPr>
              <w:spacing w:after="0"/>
              <w:jc w:val="left"/>
            </w:pPr>
            <w:r>
              <w:rPr>
                <w:sz w:val="18"/>
              </w:rPr>
              <w:t>(Tier I + Tier II capital) ÷ risk-weighted assets</w:t>
            </w:r>
          </w:p>
        </w:tc>
        <w:tc>
          <w:tcPr>
            <w:tcW w:w="1932" w:type="dxa"/>
          </w:tcPr>
          <w:p w:rsidR="007F373F" w:rsidRDefault="00000000">
            <w:pPr>
              <w:spacing w:after="0"/>
              <w:jc w:val="left"/>
            </w:pPr>
            <w:r>
              <w:rPr>
                <w:sz w:val="18"/>
              </w:rPr>
              <w:t>22.40% (Tier I 17.52%)</w:t>
            </w:r>
          </w:p>
        </w:tc>
        <w:tc>
          <w:tcPr>
            <w:tcW w:w="1311" w:type="dxa"/>
          </w:tcPr>
          <w:p w:rsidR="007F373F" w:rsidRDefault="00000000">
            <w:pPr>
              <w:spacing w:after="0"/>
              <w:jc w:val="left"/>
            </w:pPr>
            <w:r>
              <w:rPr>
                <w:sz w:val="18"/>
              </w:rPr>
              <w:t>Reported</w:t>
            </w:r>
          </w:p>
        </w:tc>
      </w:tr>
      <w:tr w:rsidR="007F373F">
        <w:trPr>
          <w:jc w:val="center"/>
        </w:trPr>
        <w:tc>
          <w:tcPr>
            <w:tcW w:w="2070" w:type="dxa"/>
          </w:tcPr>
          <w:p w:rsidR="007F373F" w:rsidRDefault="00000000">
            <w:pPr>
              <w:spacing w:after="0"/>
              <w:jc w:val="left"/>
            </w:pPr>
            <w:r>
              <w:rPr>
                <w:sz w:val="18"/>
              </w:rPr>
              <w:t>Book value per share</w:t>
            </w:r>
          </w:p>
        </w:tc>
        <w:tc>
          <w:tcPr>
            <w:tcW w:w="4417" w:type="dxa"/>
          </w:tcPr>
          <w:p w:rsidR="007F373F" w:rsidRDefault="00000000">
            <w:pPr>
              <w:spacing w:after="0"/>
              <w:jc w:val="left"/>
            </w:pPr>
            <w:r>
              <w:rPr>
                <w:sz w:val="18"/>
              </w:rPr>
              <w:t>Net worth ÷ shares outstanding</w:t>
            </w:r>
          </w:p>
        </w:tc>
        <w:tc>
          <w:tcPr>
            <w:tcW w:w="1932" w:type="dxa"/>
          </w:tcPr>
          <w:p w:rsidR="007F373F" w:rsidRDefault="00000000">
            <w:pPr>
              <w:spacing w:after="0"/>
              <w:jc w:val="right"/>
            </w:pPr>
            <w:r>
              <w:rPr>
                <w:sz w:val="18"/>
              </w:rPr>
              <w:t>₹78.19</w:t>
            </w:r>
          </w:p>
        </w:tc>
        <w:tc>
          <w:tcPr>
            <w:tcW w:w="1311" w:type="dxa"/>
          </w:tcPr>
          <w:p w:rsidR="007F373F" w:rsidRDefault="00000000">
            <w:pPr>
              <w:spacing w:after="0"/>
              <w:jc w:val="left"/>
            </w:pPr>
            <w:r>
              <w:rPr>
                <w:sz w:val="18"/>
              </w:rPr>
              <w:t>Reported</w:t>
            </w:r>
          </w:p>
        </w:tc>
      </w:tr>
      <w:tr w:rsidR="007F373F">
        <w:trPr>
          <w:jc w:val="center"/>
        </w:trPr>
        <w:tc>
          <w:tcPr>
            <w:tcW w:w="2070" w:type="dxa"/>
          </w:tcPr>
          <w:p w:rsidR="007F373F" w:rsidRDefault="00000000">
            <w:pPr>
              <w:spacing w:after="0"/>
              <w:jc w:val="left"/>
            </w:pPr>
            <w:r>
              <w:rPr>
                <w:sz w:val="18"/>
              </w:rPr>
              <w:t>EPS (basic)</w:t>
            </w:r>
          </w:p>
        </w:tc>
        <w:tc>
          <w:tcPr>
            <w:tcW w:w="4417" w:type="dxa"/>
          </w:tcPr>
          <w:p w:rsidR="007F373F" w:rsidRDefault="00000000">
            <w:pPr>
              <w:spacing w:after="0"/>
              <w:jc w:val="left"/>
            </w:pPr>
            <w:r>
              <w:rPr>
                <w:sz w:val="18"/>
              </w:rPr>
              <w:t>PAT ÷ weighted average shares</w:t>
            </w:r>
          </w:p>
        </w:tc>
        <w:tc>
          <w:tcPr>
            <w:tcW w:w="1932" w:type="dxa"/>
          </w:tcPr>
          <w:p w:rsidR="007F373F" w:rsidRDefault="00000000">
            <w:pPr>
              <w:spacing w:after="0"/>
              <w:jc w:val="right"/>
            </w:pPr>
            <w:r>
              <w:rPr>
                <w:sz w:val="18"/>
              </w:rPr>
              <w:t>₹9.20</w:t>
            </w:r>
          </w:p>
        </w:tc>
        <w:tc>
          <w:tcPr>
            <w:tcW w:w="1311" w:type="dxa"/>
          </w:tcPr>
          <w:p w:rsidR="007F373F" w:rsidRDefault="00000000">
            <w:pPr>
              <w:spacing w:after="0"/>
              <w:jc w:val="left"/>
            </w:pPr>
            <w:r>
              <w:rPr>
                <w:sz w:val="18"/>
              </w:rPr>
              <w:t>Reported</w:t>
            </w:r>
          </w:p>
        </w:tc>
      </w:tr>
      <w:tr w:rsidR="007F373F">
        <w:trPr>
          <w:jc w:val="center"/>
        </w:trPr>
        <w:tc>
          <w:tcPr>
            <w:tcW w:w="2070" w:type="dxa"/>
          </w:tcPr>
          <w:p w:rsidR="007F373F" w:rsidRDefault="00000000">
            <w:pPr>
              <w:spacing w:after="0"/>
              <w:jc w:val="left"/>
            </w:pPr>
            <w:r>
              <w:rPr>
                <w:sz w:val="18"/>
              </w:rPr>
              <w:t>Price-to-book / P/E</w:t>
            </w:r>
          </w:p>
        </w:tc>
        <w:tc>
          <w:tcPr>
            <w:tcW w:w="4417" w:type="dxa"/>
          </w:tcPr>
          <w:p w:rsidR="007F373F" w:rsidRDefault="00000000">
            <w:pPr>
              <w:spacing w:after="0"/>
              <w:jc w:val="left"/>
            </w:pPr>
            <w:r>
              <w:rPr>
                <w:sz w:val="18"/>
              </w:rPr>
              <w:t>Implied price (mcap ÷ shares) ÷ BVPS or EPS</w:t>
            </w:r>
          </w:p>
        </w:tc>
        <w:tc>
          <w:tcPr>
            <w:tcW w:w="1932" w:type="dxa"/>
          </w:tcPr>
          <w:p w:rsidR="007F373F" w:rsidRDefault="00000000">
            <w:pPr>
              <w:spacing w:after="0"/>
              <w:jc w:val="left"/>
            </w:pPr>
            <w:r>
              <w:rPr>
                <w:sz w:val="18"/>
              </w:rPr>
              <w:t>≈1.59x / ≈13.5x</w:t>
            </w:r>
          </w:p>
        </w:tc>
        <w:tc>
          <w:tcPr>
            <w:tcW w:w="1311" w:type="dxa"/>
          </w:tcPr>
          <w:p w:rsidR="007F373F" w:rsidRDefault="00000000">
            <w:pPr>
              <w:spacing w:after="0"/>
              <w:jc w:val="left"/>
            </w:pPr>
            <w:r>
              <w:rPr>
                <w:sz w:val="18"/>
              </w:rPr>
              <w:t>Derived</w:t>
            </w:r>
          </w:p>
        </w:tc>
      </w:tr>
      <w:tr w:rsidR="007F373F">
        <w:trPr>
          <w:jc w:val="center"/>
        </w:trPr>
        <w:tc>
          <w:tcPr>
            <w:tcW w:w="2070" w:type="dxa"/>
          </w:tcPr>
          <w:p w:rsidR="007F373F" w:rsidRDefault="00000000">
            <w:pPr>
              <w:spacing w:after="0"/>
              <w:jc w:val="left"/>
            </w:pPr>
            <w:r>
              <w:rPr>
                <w:sz w:val="18"/>
              </w:rPr>
              <w:t>CAGR</w:t>
            </w:r>
          </w:p>
        </w:tc>
        <w:tc>
          <w:tcPr>
            <w:tcW w:w="4417" w:type="dxa"/>
          </w:tcPr>
          <w:p w:rsidR="007F373F" w:rsidRDefault="00000000">
            <w:pPr>
              <w:spacing w:after="0"/>
              <w:jc w:val="left"/>
            </w:pPr>
            <w:r>
              <w:rPr>
                <w:sz w:val="18"/>
              </w:rPr>
              <w:t>(End ÷ Start)^(1/years) − 1</w:t>
            </w:r>
          </w:p>
        </w:tc>
        <w:tc>
          <w:tcPr>
            <w:tcW w:w="1932" w:type="dxa"/>
          </w:tcPr>
          <w:p w:rsidR="007F373F" w:rsidRDefault="00000000">
            <w:pPr>
              <w:spacing w:after="0"/>
              <w:jc w:val="left"/>
            </w:pPr>
            <w:r>
              <w:rPr>
                <w:sz w:val="18"/>
              </w:rPr>
              <w:t>AUM FY22–26: 34.3%</w:t>
            </w:r>
          </w:p>
        </w:tc>
        <w:tc>
          <w:tcPr>
            <w:tcW w:w="1311" w:type="dxa"/>
          </w:tcPr>
          <w:p w:rsidR="007F373F" w:rsidRDefault="00000000">
            <w:pPr>
              <w:spacing w:after="0"/>
              <w:jc w:val="left"/>
            </w:pPr>
            <w:r>
              <w:rPr>
                <w:sz w:val="18"/>
              </w:rPr>
              <w:t>Derived</w:t>
            </w:r>
          </w:p>
        </w:tc>
      </w:tr>
      <w:tr w:rsidR="007F373F">
        <w:trPr>
          <w:jc w:val="center"/>
        </w:trPr>
        <w:tc>
          <w:tcPr>
            <w:tcW w:w="2070" w:type="dxa"/>
          </w:tcPr>
          <w:p w:rsidR="007F373F" w:rsidRDefault="00000000">
            <w:pPr>
              <w:spacing w:after="0"/>
              <w:jc w:val="left"/>
            </w:pPr>
            <w:r>
              <w:rPr>
                <w:sz w:val="18"/>
              </w:rPr>
              <w:t>PPOP</w:t>
            </w:r>
          </w:p>
        </w:tc>
        <w:tc>
          <w:tcPr>
            <w:tcW w:w="4417" w:type="dxa"/>
          </w:tcPr>
          <w:p w:rsidR="007F373F" w:rsidRDefault="00000000">
            <w:pPr>
              <w:spacing w:after="0"/>
              <w:jc w:val="left"/>
            </w:pPr>
            <w:r>
              <w:rPr>
                <w:sz w:val="18"/>
              </w:rPr>
              <w:t>NII + fee and other income − operating expenses</w:t>
            </w:r>
          </w:p>
        </w:tc>
        <w:tc>
          <w:tcPr>
            <w:tcW w:w="1932" w:type="dxa"/>
          </w:tcPr>
          <w:p w:rsidR="007F373F" w:rsidRDefault="00000000">
            <w:pPr>
              <w:spacing w:after="0"/>
              <w:jc w:val="left"/>
            </w:pPr>
            <w:r>
              <w:rPr>
                <w:sz w:val="18"/>
              </w:rPr>
              <w:t>₹576 crore</w:t>
            </w:r>
          </w:p>
        </w:tc>
        <w:tc>
          <w:tcPr>
            <w:tcW w:w="1311" w:type="dxa"/>
          </w:tcPr>
          <w:p w:rsidR="007F373F" w:rsidRDefault="00000000">
            <w:pPr>
              <w:spacing w:after="0"/>
              <w:jc w:val="left"/>
            </w:pPr>
            <w:r>
              <w:rPr>
                <w:sz w:val="18"/>
              </w:rPr>
              <w:t>Derived</w:t>
            </w:r>
          </w:p>
        </w:tc>
      </w:tr>
    </w:tbl>
    <w:p w:rsidR="007F373F" w:rsidRDefault="007F373F">
      <w:pPr>
        <w:spacing w:after="40"/>
      </w:pP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380"/>
        <w:gridCol w:w="3520"/>
        <w:gridCol w:w="1380"/>
        <w:gridCol w:w="3451"/>
      </w:tblGrid>
      <w:tr w:rsidR="007F373F">
        <w:trPr>
          <w:jc w:val="center"/>
        </w:trPr>
        <w:tc>
          <w:tcPr>
            <w:tcW w:w="1380" w:type="dxa"/>
          </w:tcPr>
          <w:p w:rsidR="007F373F" w:rsidRDefault="00000000">
            <w:pPr>
              <w:spacing w:after="0"/>
              <w:jc w:val="left"/>
            </w:pPr>
            <w:r>
              <w:rPr>
                <w:b/>
                <w:sz w:val="18"/>
              </w:rPr>
              <w:t>Term</w:t>
            </w:r>
          </w:p>
        </w:tc>
        <w:tc>
          <w:tcPr>
            <w:tcW w:w="3520" w:type="dxa"/>
          </w:tcPr>
          <w:p w:rsidR="007F373F" w:rsidRDefault="00000000">
            <w:pPr>
              <w:spacing w:after="0"/>
              <w:jc w:val="left"/>
            </w:pPr>
            <w:r>
              <w:rPr>
                <w:b/>
                <w:sz w:val="18"/>
              </w:rPr>
              <w:t>Meaning</w:t>
            </w:r>
          </w:p>
        </w:tc>
        <w:tc>
          <w:tcPr>
            <w:tcW w:w="1380" w:type="dxa"/>
          </w:tcPr>
          <w:p w:rsidR="007F373F" w:rsidRDefault="00000000">
            <w:pPr>
              <w:spacing w:after="0"/>
              <w:jc w:val="left"/>
            </w:pPr>
            <w:r>
              <w:rPr>
                <w:b/>
                <w:sz w:val="18"/>
              </w:rPr>
              <w:t>Term</w:t>
            </w:r>
          </w:p>
        </w:tc>
        <w:tc>
          <w:tcPr>
            <w:tcW w:w="3451" w:type="dxa"/>
          </w:tcPr>
          <w:p w:rsidR="007F373F" w:rsidRDefault="00000000">
            <w:pPr>
              <w:spacing w:after="0"/>
              <w:jc w:val="left"/>
            </w:pPr>
            <w:r>
              <w:rPr>
                <w:b/>
                <w:sz w:val="18"/>
              </w:rPr>
              <w:t>Meaning</w:t>
            </w:r>
          </w:p>
        </w:tc>
      </w:tr>
      <w:tr w:rsidR="007F373F">
        <w:trPr>
          <w:jc w:val="center"/>
        </w:trPr>
        <w:tc>
          <w:tcPr>
            <w:tcW w:w="1380" w:type="dxa"/>
          </w:tcPr>
          <w:p w:rsidR="007F373F" w:rsidRDefault="00000000">
            <w:pPr>
              <w:spacing w:after="0"/>
              <w:jc w:val="left"/>
            </w:pPr>
            <w:r>
              <w:rPr>
                <w:sz w:val="18"/>
              </w:rPr>
              <w:t>Stage 1 / 2 / 3</w:t>
            </w:r>
          </w:p>
        </w:tc>
        <w:tc>
          <w:tcPr>
            <w:tcW w:w="3520" w:type="dxa"/>
          </w:tcPr>
          <w:p w:rsidR="007F373F" w:rsidRDefault="00000000">
            <w:pPr>
              <w:spacing w:after="0"/>
              <w:jc w:val="left"/>
            </w:pPr>
            <w:r>
              <w:rPr>
                <w:sz w:val="18"/>
              </w:rPr>
              <w:t>Ind AS 109 buckets: performing / significant increase in credit risk / credit-impaired</w:t>
            </w:r>
          </w:p>
        </w:tc>
        <w:tc>
          <w:tcPr>
            <w:tcW w:w="1380" w:type="dxa"/>
          </w:tcPr>
          <w:p w:rsidR="007F373F" w:rsidRDefault="00000000">
            <w:pPr>
              <w:spacing w:after="0"/>
              <w:jc w:val="left"/>
            </w:pPr>
            <w:r>
              <w:rPr>
                <w:sz w:val="18"/>
              </w:rPr>
              <w:t>FVOCI loans</w:t>
            </w:r>
          </w:p>
        </w:tc>
        <w:tc>
          <w:tcPr>
            <w:tcW w:w="3451" w:type="dxa"/>
          </w:tcPr>
          <w:p w:rsidR="007F373F" w:rsidRDefault="00000000">
            <w:pPr>
              <w:spacing w:after="0"/>
              <w:jc w:val="left"/>
            </w:pPr>
            <w:r>
              <w:rPr>
                <w:sz w:val="18"/>
              </w:rPr>
              <w:t>Loans held in a business model of collect-and-sell, measured at fair value through OCI (pools earmarked for assignment)</w:t>
            </w:r>
          </w:p>
        </w:tc>
      </w:tr>
      <w:tr w:rsidR="007F373F">
        <w:trPr>
          <w:jc w:val="center"/>
        </w:trPr>
        <w:tc>
          <w:tcPr>
            <w:tcW w:w="1380" w:type="dxa"/>
          </w:tcPr>
          <w:p w:rsidR="007F373F" w:rsidRDefault="00000000">
            <w:pPr>
              <w:spacing w:after="0"/>
              <w:jc w:val="left"/>
            </w:pPr>
            <w:r>
              <w:rPr>
                <w:sz w:val="18"/>
              </w:rPr>
              <w:t>ECL</w:t>
            </w:r>
          </w:p>
        </w:tc>
        <w:tc>
          <w:tcPr>
            <w:tcW w:w="3520" w:type="dxa"/>
          </w:tcPr>
          <w:p w:rsidR="007F373F" w:rsidRDefault="00000000">
            <w:pPr>
              <w:spacing w:after="0"/>
              <w:jc w:val="left"/>
            </w:pPr>
            <w:r>
              <w:rPr>
                <w:sz w:val="18"/>
              </w:rPr>
              <w:t>Expected credit loss – forward-looking provision under Ind AS 109</w:t>
            </w:r>
          </w:p>
        </w:tc>
        <w:tc>
          <w:tcPr>
            <w:tcW w:w="1380" w:type="dxa"/>
          </w:tcPr>
          <w:p w:rsidR="007F373F" w:rsidRDefault="00000000">
            <w:pPr>
              <w:spacing w:after="0"/>
              <w:jc w:val="left"/>
            </w:pPr>
            <w:r>
              <w:rPr>
                <w:sz w:val="18"/>
              </w:rPr>
              <w:t>ARC</w:t>
            </w:r>
          </w:p>
        </w:tc>
        <w:tc>
          <w:tcPr>
            <w:tcW w:w="3451" w:type="dxa"/>
          </w:tcPr>
          <w:p w:rsidR="007F373F" w:rsidRDefault="00000000">
            <w:pPr>
              <w:spacing w:after="0"/>
              <w:jc w:val="left"/>
            </w:pPr>
            <w:r>
              <w:rPr>
                <w:sz w:val="18"/>
              </w:rPr>
              <w:t>Asset reconstruction company – buyer of NPA pools</w:t>
            </w:r>
          </w:p>
        </w:tc>
      </w:tr>
      <w:tr w:rsidR="007F373F">
        <w:trPr>
          <w:jc w:val="center"/>
        </w:trPr>
        <w:tc>
          <w:tcPr>
            <w:tcW w:w="1380" w:type="dxa"/>
          </w:tcPr>
          <w:p w:rsidR="007F373F" w:rsidRDefault="00000000">
            <w:pPr>
              <w:spacing w:after="0"/>
              <w:jc w:val="left"/>
            </w:pPr>
            <w:r>
              <w:rPr>
                <w:sz w:val="18"/>
              </w:rPr>
              <w:t>Co-lending</w:t>
            </w:r>
          </w:p>
        </w:tc>
        <w:tc>
          <w:tcPr>
            <w:tcW w:w="3520" w:type="dxa"/>
          </w:tcPr>
          <w:p w:rsidR="007F373F" w:rsidRDefault="00000000">
            <w:pPr>
              <w:spacing w:after="0"/>
              <w:jc w:val="left"/>
            </w:pPr>
            <w:r>
              <w:rPr>
                <w:sz w:val="18"/>
              </w:rPr>
              <w:t>RBI model where bank and NBFC jointly fund loans originated by the NBFC</w:t>
            </w:r>
          </w:p>
        </w:tc>
        <w:tc>
          <w:tcPr>
            <w:tcW w:w="1380" w:type="dxa"/>
          </w:tcPr>
          <w:p w:rsidR="007F373F" w:rsidRDefault="00000000">
            <w:pPr>
              <w:spacing w:after="0"/>
              <w:jc w:val="left"/>
            </w:pPr>
            <w:r>
              <w:rPr>
                <w:sz w:val="18"/>
              </w:rPr>
              <w:t>Direct assignment</w:t>
            </w:r>
          </w:p>
        </w:tc>
        <w:tc>
          <w:tcPr>
            <w:tcW w:w="3451" w:type="dxa"/>
          </w:tcPr>
          <w:p w:rsidR="007F373F" w:rsidRDefault="00000000">
            <w:pPr>
              <w:spacing w:after="0"/>
              <w:jc w:val="left"/>
            </w:pPr>
            <w:r>
              <w:rPr>
                <w:sz w:val="18"/>
              </w:rPr>
              <w:t>Sale of a loan pool with servicing retained; excess spread recognised as income</w:t>
            </w:r>
          </w:p>
        </w:tc>
      </w:tr>
      <w:tr w:rsidR="007F373F">
        <w:trPr>
          <w:jc w:val="center"/>
        </w:trPr>
        <w:tc>
          <w:tcPr>
            <w:tcW w:w="1380" w:type="dxa"/>
          </w:tcPr>
          <w:p w:rsidR="007F373F" w:rsidRDefault="00000000">
            <w:pPr>
              <w:spacing w:after="0"/>
              <w:jc w:val="left"/>
            </w:pPr>
            <w:r>
              <w:rPr>
                <w:sz w:val="18"/>
              </w:rPr>
              <w:t>NBFC-ML</w:t>
            </w:r>
          </w:p>
        </w:tc>
        <w:tc>
          <w:tcPr>
            <w:tcW w:w="3520" w:type="dxa"/>
          </w:tcPr>
          <w:p w:rsidR="007F373F" w:rsidRDefault="00000000">
            <w:pPr>
              <w:spacing w:after="0"/>
              <w:jc w:val="left"/>
            </w:pPr>
            <w:r>
              <w:rPr>
                <w:sz w:val="18"/>
              </w:rPr>
              <w:t>Middle-Layer NBFC under RBI scale-based regulation</w:t>
            </w:r>
          </w:p>
        </w:tc>
        <w:tc>
          <w:tcPr>
            <w:tcW w:w="1380" w:type="dxa"/>
          </w:tcPr>
          <w:p w:rsidR="007F373F" w:rsidRDefault="00000000">
            <w:pPr>
              <w:spacing w:after="0"/>
              <w:jc w:val="left"/>
            </w:pPr>
            <w:r>
              <w:rPr>
                <w:sz w:val="18"/>
              </w:rPr>
              <w:t>ICAAP</w:t>
            </w:r>
          </w:p>
        </w:tc>
        <w:tc>
          <w:tcPr>
            <w:tcW w:w="3451" w:type="dxa"/>
          </w:tcPr>
          <w:p w:rsidR="007F373F" w:rsidRDefault="00000000">
            <w:pPr>
              <w:spacing w:after="0"/>
              <w:jc w:val="left"/>
            </w:pPr>
            <w:r>
              <w:rPr>
                <w:sz w:val="18"/>
              </w:rPr>
              <w:t>Internal capital adequacy assessment process</w:t>
            </w:r>
          </w:p>
        </w:tc>
      </w:tr>
      <w:tr w:rsidR="007F373F">
        <w:trPr>
          <w:jc w:val="center"/>
        </w:trPr>
        <w:tc>
          <w:tcPr>
            <w:tcW w:w="1380" w:type="dxa"/>
          </w:tcPr>
          <w:p w:rsidR="007F373F" w:rsidRDefault="00000000">
            <w:pPr>
              <w:spacing w:after="0"/>
              <w:jc w:val="left"/>
            </w:pPr>
            <w:r>
              <w:rPr>
                <w:sz w:val="18"/>
              </w:rPr>
              <w:t>ALM</w:t>
            </w:r>
          </w:p>
        </w:tc>
        <w:tc>
          <w:tcPr>
            <w:tcW w:w="3520" w:type="dxa"/>
          </w:tcPr>
          <w:p w:rsidR="007F373F" w:rsidRDefault="00000000">
            <w:pPr>
              <w:spacing w:after="0"/>
              <w:jc w:val="left"/>
            </w:pPr>
            <w:r>
              <w:rPr>
                <w:sz w:val="18"/>
              </w:rPr>
              <w:t>Asset-liability management; structural liquidity by maturity bucket</w:t>
            </w:r>
          </w:p>
        </w:tc>
        <w:tc>
          <w:tcPr>
            <w:tcW w:w="1380" w:type="dxa"/>
          </w:tcPr>
          <w:p w:rsidR="007F373F" w:rsidRDefault="00000000">
            <w:pPr>
              <w:spacing w:after="0"/>
              <w:jc w:val="left"/>
            </w:pPr>
            <w:r>
              <w:rPr>
                <w:sz w:val="18"/>
              </w:rPr>
              <w:t>SARFAESI</w:t>
            </w:r>
          </w:p>
        </w:tc>
        <w:tc>
          <w:tcPr>
            <w:tcW w:w="3451" w:type="dxa"/>
          </w:tcPr>
          <w:p w:rsidR="007F373F" w:rsidRDefault="00000000">
            <w:pPr>
              <w:spacing w:after="0"/>
              <w:jc w:val="left"/>
            </w:pPr>
            <w:r>
              <w:rPr>
                <w:sz w:val="18"/>
              </w:rPr>
              <w:t>Act enabling enforcement of security without court intervention</w:t>
            </w:r>
          </w:p>
        </w:tc>
      </w:tr>
      <w:tr w:rsidR="007F373F">
        <w:trPr>
          <w:jc w:val="center"/>
        </w:trPr>
        <w:tc>
          <w:tcPr>
            <w:tcW w:w="1380" w:type="dxa"/>
          </w:tcPr>
          <w:p w:rsidR="007F373F" w:rsidRDefault="00000000">
            <w:pPr>
              <w:spacing w:after="0"/>
              <w:jc w:val="left"/>
            </w:pPr>
            <w:r>
              <w:rPr>
                <w:sz w:val="18"/>
              </w:rPr>
              <w:t>LTV</w:t>
            </w:r>
          </w:p>
        </w:tc>
        <w:tc>
          <w:tcPr>
            <w:tcW w:w="3520" w:type="dxa"/>
          </w:tcPr>
          <w:p w:rsidR="007F373F" w:rsidRDefault="00000000">
            <w:pPr>
              <w:spacing w:after="0"/>
              <w:jc w:val="left"/>
            </w:pPr>
            <w:r>
              <w:rPr>
                <w:sz w:val="18"/>
              </w:rPr>
              <w:t>Loan amount ÷ value of collateral</w:t>
            </w:r>
          </w:p>
        </w:tc>
        <w:tc>
          <w:tcPr>
            <w:tcW w:w="1380" w:type="dxa"/>
          </w:tcPr>
          <w:p w:rsidR="007F373F" w:rsidRDefault="00000000">
            <w:pPr>
              <w:spacing w:after="0"/>
              <w:jc w:val="left"/>
            </w:pPr>
            <w:r>
              <w:rPr>
                <w:sz w:val="18"/>
              </w:rPr>
              <w:t>DSGL</w:t>
            </w:r>
          </w:p>
        </w:tc>
        <w:tc>
          <w:tcPr>
            <w:tcW w:w="3451" w:type="dxa"/>
          </w:tcPr>
          <w:p w:rsidR="007F373F" w:rsidRDefault="00000000">
            <w:pPr>
              <w:spacing w:after="0"/>
              <w:jc w:val="left"/>
            </w:pPr>
            <w:r>
              <w:rPr>
                <w:sz w:val="18"/>
              </w:rPr>
              <w:t>Doorstep gold loan – gold loan originated and serviced at the customer’s premises</w:t>
            </w:r>
          </w:p>
        </w:tc>
      </w:tr>
    </w:tbl>
    <w:p w:rsidR="007F373F" w:rsidRDefault="007F373F">
      <w:pPr>
        <w:spacing w:after="40"/>
      </w:pPr>
    </w:p>
    <w:p w:rsidR="007F373F" w:rsidRDefault="007F373F">
      <w:pPr>
        <w:spacing w:after="40"/>
      </w:pPr>
    </w:p>
    <w:sectPr w:rsidR="007F373F">
      <w:footerReference w:type="default" r:id="rId26"/>
      <w:pgSz w:w="11906" w:h="16838"/>
      <w:pgMar w:top="1440" w:right="1080" w:bottom="1300" w:left="1080" w:header="720" w:footer="900" w:gutter="0"/>
      <w:pgBorders w:offsetFrom="page">
        <w:top w:val="thickThinSmallGap" w:sz="31" w:space="24" w:color="000000"/>
        <w:left w:val="thickThinSmallGap" w:sz="31" w:space="24" w:color="000000"/>
        <w:bottom w:val="thickThinSmallGap" w:sz="31" w:space="24" w:color="000000"/>
        <w:right w:val="thickThinSmallGap" w:sz="31"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2535" w:rsidRDefault="00CF2535">
      <w:pPr>
        <w:spacing w:after="0" w:line="240" w:lineRule="auto"/>
      </w:pPr>
      <w:r>
        <w:separator/>
      </w:r>
    </w:p>
  </w:endnote>
  <w:endnote w:type="continuationSeparator" w:id="0">
    <w:p w:rsidR="00CF2535" w:rsidRDefault="00CF2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373F" w:rsidRDefault="00000000">
    <w:pPr>
      <w:pStyle w:val="Footer"/>
      <w:ind w:left="-360"/>
      <w:jc w:val="left"/>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2535" w:rsidRDefault="00CF2535">
      <w:pPr>
        <w:spacing w:after="0" w:line="240" w:lineRule="auto"/>
      </w:pPr>
      <w:r>
        <w:separator/>
      </w:r>
    </w:p>
  </w:footnote>
  <w:footnote w:type="continuationSeparator" w:id="0">
    <w:p w:rsidR="00CF2535" w:rsidRDefault="00CF2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868960">
    <w:abstractNumId w:val="8"/>
  </w:num>
  <w:num w:numId="2" w16cid:durableId="1940985620">
    <w:abstractNumId w:val="6"/>
  </w:num>
  <w:num w:numId="3" w16cid:durableId="137460640">
    <w:abstractNumId w:val="5"/>
  </w:num>
  <w:num w:numId="4" w16cid:durableId="297566125">
    <w:abstractNumId w:val="4"/>
  </w:num>
  <w:num w:numId="5" w16cid:durableId="264073424">
    <w:abstractNumId w:val="7"/>
  </w:num>
  <w:num w:numId="6" w16cid:durableId="1238324663">
    <w:abstractNumId w:val="3"/>
  </w:num>
  <w:num w:numId="7" w16cid:durableId="1902907340">
    <w:abstractNumId w:val="2"/>
  </w:num>
  <w:num w:numId="8" w16cid:durableId="574970297">
    <w:abstractNumId w:val="1"/>
  </w:num>
  <w:num w:numId="9" w16cid:durableId="50602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134"/>
    <w:rsid w:val="007F373F"/>
    <w:rsid w:val="00AA1D8D"/>
    <w:rsid w:val="00AD19DE"/>
    <w:rsid w:val="00B47730"/>
    <w:rsid w:val="00CB0664"/>
    <w:rsid w:val="00CF25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0098C"/>
  <w14:defaultImageDpi w14:val="300"/>
  <w15:docId w15:val="{BB49374F-1095-684F-B452-5703A600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color w:val="000000"/>
    </w:rPr>
  </w:style>
  <w:style w:type="paragraph" w:styleId="Heading1">
    <w:name w:val="heading 1"/>
    <w:basedOn w:val="Normal"/>
    <w:next w:val="Normal"/>
    <w:link w:val="Heading1Char"/>
    <w:uiPriority w:val="9"/>
    <w:qFormat/>
    <w:rsid w:val="00FC693F"/>
    <w:pPr>
      <w:keepNext/>
      <w:keepLines/>
      <w:spacing w:after="240"/>
      <w:jc w:val="center"/>
      <w:outlineLvl w:val="0"/>
    </w:pPr>
    <w:rPr>
      <w:b/>
      <w:bCs/>
      <w:caps/>
      <w:sz w:val="28"/>
      <w:szCs w:val="28"/>
      <w:u w:val="single"/>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ap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124</Pages>
  <Words>36952</Words>
  <Characters>210627</Characters>
  <Application>Microsoft Office Word</Application>
  <DocSecurity>0</DocSecurity>
  <Lines>1755</Lines>
  <Paragraphs>494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SIngh</cp:lastModifiedBy>
  <cp:revision>2</cp:revision>
  <dcterms:created xsi:type="dcterms:W3CDTF">2013-12-23T23:15:00Z</dcterms:created>
  <dcterms:modified xsi:type="dcterms:W3CDTF">2026-10-04T16:26:00Z</dcterms:modified>
  <cp:category/>
</cp:coreProperties>
</file>