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4EDE0A" w14:textId="77777777" w:rsidR="00144D82" w:rsidRDefault="00000000">
      <w:r>
        <w:br/>
      </w:r>
      <w:r>
        <w:br/>
      </w:r>
      <w:r>
        <w:br/>
      </w:r>
    </w:p>
    <w:p w14:paraId="5FA8DBE1" w14:textId="77777777" w:rsidR="00144D82" w:rsidRDefault="00000000">
      <w:pPr>
        <w:jc w:val="center"/>
      </w:pPr>
      <w:r>
        <w:rPr>
          <w:b/>
          <w:color w:val="167D9A"/>
          <w:sz w:val="30"/>
        </w:rPr>
        <w:t>SUMMER INTERNSHIP REPORT</w:t>
      </w:r>
    </w:p>
    <w:p w14:paraId="6C08340E" w14:textId="77777777" w:rsidR="00144D82" w:rsidRDefault="00000000">
      <w:pPr>
        <w:jc w:val="center"/>
      </w:pPr>
      <w:r>
        <w:rPr>
          <w:b/>
          <w:color w:val="123A63"/>
          <w:sz w:val="48"/>
        </w:rPr>
        <w:t>Fundamental Analysis of Fedbank Financial Services Limited</w:t>
      </w:r>
    </w:p>
    <w:p w14:paraId="11C1FDD1" w14:textId="77B2AAC4" w:rsidR="00144D82" w:rsidRDefault="00000000">
      <w:pPr>
        <w:jc w:val="center"/>
      </w:pPr>
      <w:r>
        <w:rPr>
          <w:sz w:val="26"/>
        </w:rPr>
        <w:t>FY 20</w:t>
      </w:r>
      <w:r w:rsidR="00AF0EB1">
        <w:rPr>
          <w:sz w:val="26"/>
        </w:rPr>
        <w:t>26</w:t>
      </w:r>
      <w:r>
        <w:rPr>
          <w:sz w:val="26"/>
        </w:rPr>
        <w:t>–2</w:t>
      </w:r>
      <w:r w:rsidR="00AF0EB1">
        <w:rPr>
          <w:sz w:val="26"/>
        </w:rPr>
        <w:t>7</w:t>
      </w:r>
      <w:r>
        <w:rPr>
          <w:sz w:val="26"/>
        </w:rPr>
        <w:t xml:space="preserve"> | Corporate, industry and financial analysis</w:t>
      </w:r>
    </w:p>
    <w:p w14:paraId="5A32F0CC" w14:textId="77777777" w:rsidR="00144D82" w:rsidRDefault="00000000">
      <w:pPr>
        <w:spacing w:after="100" w:line="252" w:lineRule="auto"/>
        <w:jc w:val="center"/>
      </w:pPr>
      <w:r>
        <w:br/>
      </w:r>
      <w:r>
        <w:br/>
        <w:t>Submitted in partial fulfilment for the award of the degree of</w:t>
      </w:r>
    </w:p>
    <w:p w14:paraId="6F4CB2F3" w14:textId="77777777" w:rsidR="00144D82" w:rsidRDefault="00000000">
      <w:pPr>
        <w:spacing w:after="100" w:line="252" w:lineRule="auto"/>
        <w:jc w:val="center"/>
      </w:pPr>
      <w:r>
        <w:rPr>
          <w:b/>
        </w:rPr>
        <w:t>MASTER OF MANAGEMENT STUDIES  •  FINANCE</w:t>
      </w:r>
    </w:p>
    <w:p w14:paraId="6C7A033E" w14:textId="77777777" w:rsidR="00144D82" w:rsidRDefault="00000000">
      <w:pPr>
        <w:spacing w:after="100" w:line="252" w:lineRule="auto"/>
        <w:jc w:val="center"/>
      </w:pPr>
      <w:r>
        <w:rPr>
          <w:b/>
        </w:rPr>
        <w:br/>
        <w:t>UNIVERSITY OF MUMBAI</w:t>
      </w:r>
    </w:p>
    <w:p w14:paraId="1FDB622D" w14:textId="447336EB" w:rsidR="00144D82" w:rsidRDefault="00000000">
      <w:pPr>
        <w:spacing w:after="100" w:line="252" w:lineRule="auto"/>
        <w:jc w:val="center"/>
      </w:pPr>
      <w:r>
        <w:br/>
        <w:t>Submitted by</w:t>
      </w:r>
      <w:r>
        <w:br/>
      </w:r>
      <w:r w:rsidR="008E76F3">
        <w:t>Dattaguru Kallapa Patil</w:t>
      </w:r>
      <w:r>
        <w:br/>
        <w:t>Roll No. M-</w:t>
      </w:r>
      <w:r w:rsidR="008E76F3">
        <w:t>16144</w:t>
      </w:r>
      <w:r>
        <w:br/>
      </w:r>
      <w:r>
        <w:br/>
        <w:t>20</w:t>
      </w:r>
      <w:r w:rsidR="008E76F3">
        <w:t>26</w:t>
      </w:r>
      <w:r>
        <w:t>–202</w:t>
      </w:r>
      <w:r w:rsidR="008E76F3">
        <w:t>7</w:t>
      </w:r>
    </w:p>
    <w:p w14:paraId="3E522D8B" w14:textId="310CFE8F" w:rsidR="00144D82" w:rsidRDefault="00000000">
      <w:pPr>
        <w:spacing w:after="100" w:line="252" w:lineRule="auto"/>
        <w:jc w:val="center"/>
      </w:pPr>
      <w:r>
        <w:t>Under the Guidance of</w:t>
      </w:r>
      <w:r>
        <w:br/>
        <w:t xml:space="preserve">DR. RAHUL N. </w:t>
      </w:r>
      <w:r w:rsidR="00AF0EB1">
        <w:t xml:space="preserve">WADEKAR &amp; </w:t>
      </w:r>
      <w:r w:rsidR="008E76F3">
        <w:t xml:space="preserve"> </w:t>
      </w:r>
      <w:r w:rsidR="00AF0EB1">
        <w:t>DR. PRASAD SUPEKAR</w:t>
      </w:r>
      <w:r>
        <w:br/>
      </w:r>
      <w:r>
        <w:br/>
        <w:t>DES’S NAVINCHANDRA MEHTA INSTITUTE OF TECHNOLOGY AND DEVELOPMENT, MUMBAI – 400028</w:t>
      </w:r>
    </w:p>
    <w:p w14:paraId="71A9F520" w14:textId="77777777" w:rsidR="00144D82" w:rsidRDefault="00000000">
      <w:r>
        <w:br w:type="page"/>
      </w:r>
    </w:p>
    <w:p w14:paraId="202DBF58" w14:textId="77777777" w:rsidR="00144D82" w:rsidRDefault="00000000">
      <w:pPr>
        <w:pStyle w:val="Heading1"/>
        <w:spacing w:after="80"/>
      </w:pPr>
      <w:r>
        <w:lastRenderedPageBreak/>
        <w:t>Certificate</w:t>
      </w:r>
    </w:p>
    <w:p w14:paraId="16124A0B" w14:textId="77777777" w:rsidR="00144D82" w:rsidRDefault="00000000">
      <w:pPr>
        <w:spacing w:after="100" w:line="252" w:lineRule="auto"/>
      </w:pPr>
      <w:r>
        <w:t>This is to certify that the summer internship report titled “Fundamental Analysis of Fedbank Financial Services Limited” submitted in partial fulfilment for the MMS Degree Examination by Rashmi Gupta is a record of research work carried out during the academic period 2023–2025 under the guidance of Dr. Rahul N. Wadekar. The project has been found satisfactory and is based on the attached FY 2025–26 Annual Report and supporting public sources.</w:t>
      </w:r>
    </w:p>
    <w:p w14:paraId="56AF4EE1" w14:textId="37F8D6CC" w:rsidR="00144D82" w:rsidRDefault="00000000">
      <w:pPr>
        <w:spacing w:after="100" w:line="252" w:lineRule="auto"/>
      </w:pPr>
      <w:r>
        <w:t xml:space="preserve">Project Guide: Dr. Rahul N. Wadekar </w:t>
      </w:r>
      <w:r w:rsidR="00AF0EB1">
        <w:t>&amp; Dr Prasad Supekar</w:t>
      </w:r>
      <w:r>
        <w:t xml:space="preserve">   |    Director: Dr. Rasika Mallya</w:t>
      </w:r>
    </w:p>
    <w:p w14:paraId="1E71E123" w14:textId="77777777" w:rsidR="00144D82" w:rsidRDefault="00000000">
      <w:pPr>
        <w:spacing w:after="100" w:line="252" w:lineRule="auto"/>
      </w:pPr>
      <w:r>
        <w:t>Signature: ____________________    Date: ____________________</w:t>
      </w:r>
    </w:p>
    <w:p w14:paraId="11D6B590" w14:textId="77777777" w:rsidR="00144D82" w:rsidRDefault="00000000">
      <w:r>
        <w:br w:type="page"/>
      </w:r>
    </w:p>
    <w:p w14:paraId="7500117A" w14:textId="77777777" w:rsidR="00144D82" w:rsidRDefault="00000000">
      <w:pPr>
        <w:pStyle w:val="Heading1"/>
        <w:spacing w:after="80"/>
      </w:pPr>
      <w:r>
        <w:lastRenderedPageBreak/>
        <w:t>Declaration</w:t>
      </w:r>
    </w:p>
    <w:p w14:paraId="1EAB700E" w14:textId="25203E16" w:rsidR="00144D82" w:rsidRDefault="00000000">
      <w:pPr>
        <w:spacing w:after="100" w:line="252" w:lineRule="auto"/>
      </w:pPr>
      <w:r>
        <w:t>I hereby declare that this project report submitted in partial fulfilment of the requirements for the award of Master of Management Studies (Finance) of the University of Mumbai is my bona fide work. The analysis is prepared for academic purposes from publicly available information, principally the Fedbank Financial Services Limited Annual Report 202</w:t>
      </w:r>
      <w:r w:rsidR="00AF0EB1">
        <w:t>6</w:t>
      </w:r>
      <w:r>
        <w:t>–2</w:t>
      </w:r>
      <w:r w:rsidR="00AF0EB1">
        <w:t>7</w:t>
      </w:r>
      <w:r>
        <w:t>. It has not been submitted to any other university or institute for the award of a degree, diploma or certificate.</w:t>
      </w:r>
    </w:p>
    <w:p w14:paraId="31F690F1" w14:textId="7697B3D4" w:rsidR="00144D82" w:rsidRDefault="00000000">
      <w:pPr>
        <w:spacing w:after="100" w:line="252" w:lineRule="auto"/>
      </w:pPr>
      <w:r>
        <w:t xml:space="preserve">Name: </w:t>
      </w:r>
      <w:r w:rsidR="00AF0EB1">
        <w:t>Dattaguru Kallapa  Patil</w:t>
      </w:r>
      <w:r>
        <w:t xml:space="preserve">    Roll No.: M-1</w:t>
      </w:r>
      <w:r w:rsidR="00AF0EB1">
        <w:t>6144</w:t>
      </w:r>
      <w:r>
        <w:t xml:space="preserve">    Signature: ____________________</w:t>
      </w:r>
    </w:p>
    <w:p w14:paraId="5B234ECE" w14:textId="77777777" w:rsidR="00144D82" w:rsidRDefault="00000000">
      <w:r>
        <w:br w:type="page"/>
      </w:r>
    </w:p>
    <w:p w14:paraId="74932C32" w14:textId="77777777" w:rsidR="00144D82" w:rsidRDefault="00000000">
      <w:pPr>
        <w:pStyle w:val="Heading1"/>
        <w:spacing w:after="80"/>
      </w:pPr>
      <w:r>
        <w:lastRenderedPageBreak/>
        <w:t>Acknowledgement</w:t>
      </w:r>
    </w:p>
    <w:p w14:paraId="4D136191" w14:textId="77777777" w:rsidR="00144D82" w:rsidRDefault="00000000">
      <w:pPr>
        <w:spacing w:after="100" w:line="252" w:lineRule="auto"/>
      </w:pPr>
      <w:r>
        <w:t>I express my sincere gratitude to my project guide, Dr. Rahul N. Wadekar, for his guidance and encouragement. I thank the Director, faculty members and library staff of DES’s Navinchandra Mehta Institute of Technology and Development for providing the academic environment required for this work. I am grateful to my family and friends for their continued support. I also acknowledge Fedbank Financial Services Limited and its reporting teams for making detailed corporate, financial and sustainability disclosures available to stakeholders.</w:t>
      </w:r>
    </w:p>
    <w:p w14:paraId="7B92C4A0" w14:textId="77777777" w:rsidR="00144D82" w:rsidRDefault="00000000">
      <w:r>
        <w:br w:type="page"/>
      </w:r>
    </w:p>
    <w:p w14:paraId="488E1CDE" w14:textId="77777777" w:rsidR="00144D82" w:rsidRDefault="00000000">
      <w:pPr>
        <w:pStyle w:val="Heading1"/>
        <w:spacing w:after="80"/>
      </w:pPr>
      <w:r>
        <w:lastRenderedPageBreak/>
        <w:t>Executive Summary</w:t>
      </w:r>
    </w:p>
    <w:p w14:paraId="0EF65C79" w14:textId="77777777" w:rsidR="00144D82" w:rsidRDefault="00000000">
      <w:pPr>
        <w:spacing w:after="100" w:line="252" w:lineRule="auto"/>
      </w:pPr>
      <w:r>
        <w:t>This report studies Fedbank Financial Services Limited (Fedfina), a listed retail-lending NBFC and majority-owned subsidiary of Federal Bank. The project applies company analysis, industry analysis, ratio analysis, trend analysis and a qualitative SWOT framework. The central finding is that Fedfina’s FY 2025–26 performance reflects a deliberate shift towards secured, granular and more scalable lending.</w:t>
      </w:r>
    </w:p>
    <w:p w14:paraId="1C46500C" w14:textId="77777777" w:rsidR="00144D82" w:rsidRDefault="00000000">
      <w:pPr>
        <w:spacing w:after="100" w:line="252" w:lineRule="auto"/>
      </w:pPr>
      <w:r>
        <w:t>AUM reached ₹20,153 crore, secured AUM was 98.9%, PAT was ₹343.6 crore, ROA 2.4%, ROE 12.6%, GNPA 1.9%, NNPA 1.3% and credit cost 0.8%. Gold loans were the strongest growth engine, while mortgage lending remained the second strategic pillar. The company added 148 branches and ended the year with 757 branches across 17 states and union territories.</w:t>
      </w:r>
    </w:p>
    <w:p w14:paraId="507997C7" w14:textId="77777777" w:rsidR="00144D82" w:rsidRDefault="00000000">
      <w:pPr>
        <w:spacing w:after="100" w:line="252" w:lineRule="auto"/>
      </w:pPr>
      <w:r>
        <w:t>The report concludes that Fedfina has a credible growth platform, but investors must monitor asset quality, funding costs, gold-price sensitivity, execution across new branches, technology risk and competition in retail secured finance.</w:t>
      </w:r>
    </w:p>
    <w:p w14:paraId="63C088B4" w14:textId="77777777" w:rsidR="00144D82" w:rsidRDefault="00000000">
      <w:r>
        <w:br w:type="page"/>
      </w:r>
    </w:p>
    <w:p w14:paraId="6C49524E" w14:textId="77777777" w:rsidR="00144D82" w:rsidRDefault="00000000">
      <w:pPr>
        <w:pStyle w:val="Heading1"/>
        <w:spacing w:after="80"/>
      </w:pPr>
      <w:r>
        <w:lastRenderedPageBreak/>
        <w:t>Table of Contents</w:t>
      </w:r>
    </w:p>
    <w:p w14:paraId="53E77046" w14:textId="77777777" w:rsidR="00144D82" w:rsidRDefault="00000000">
      <w:pPr>
        <w:spacing w:after="100" w:line="252" w:lineRule="auto"/>
      </w:pPr>
      <w:r>
        <w:t>Front matter: Certificate, Declaration, Acknowledgement and Executive Summary</w:t>
      </w:r>
    </w:p>
    <w:p w14:paraId="70CB03AB" w14:textId="77777777" w:rsidR="00144D82" w:rsidRDefault="00000000">
      <w:pPr>
        <w:spacing w:after="100" w:line="252" w:lineRule="auto"/>
      </w:pPr>
      <w:r>
        <w:t>Chapter 1: Introduction and study design (Pages 7–14)</w:t>
      </w:r>
    </w:p>
    <w:p w14:paraId="3758B9F2" w14:textId="77777777" w:rsidR="00144D82" w:rsidRDefault="00000000">
      <w:pPr>
        <w:spacing w:after="100" w:line="252" w:lineRule="auto"/>
      </w:pPr>
      <w:r>
        <w:t>Chapter 2: Organisation and business model (Pages 15–27)</w:t>
      </w:r>
    </w:p>
    <w:p w14:paraId="61E25872" w14:textId="77777777" w:rsidR="00144D82" w:rsidRDefault="00000000">
      <w:pPr>
        <w:spacing w:after="100" w:line="252" w:lineRule="auto"/>
      </w:pPr>
      <w:r>
        <w:t>Chapter 3: Industry and economic analysis (Pages 28–38)</w:t>
      </w:r>
    </w:p>
    <w:p w14:paraId="4367FDF5" w14:textId="77777777" w:rsidR="00144D82" w:rsidRDefault="00000000">
      <w:pPr>
        <w:spacing w:after="100" w:line="252" w:lineRule="auto"/>
      </w:pPr>
      <w:r>
        <w:t>Chapter 4: Fundamental-analysis framework (Pages 39–47)</w:t>
      </w:r>
    </w:p>
    <w:p w14:paraId="0786731A" w14:textId="77777777" w:rsidR="00144D82" w:rsidRDefault="00000000">
      <w:pPr>
        <w:spacing w:after="100" w:line="252" w:lineRule="auto"/>
      </w:pPr>
      <w:r>
        <w:t>Chapter 5: Financial statement and ratio analysis (Pages 48–66)</w:t>
      </w:r>
    </w:p>
    <w:p w14:paraId="4BFA70C8" w14:textId="77777777" w:rsidR="00144D82" w:rsidRDefault="00000000">
      <w:pPr>
        <w:spacing w:after="100" w:line="252" w:lineRule="auto"/>
      </w:pPr>
      <w:r>
        <w:t>Chapter 6: Product, operating and risk analysis (Pages 67–76)</w:t>
      </w:r>
    </w:p>
    <w:p w14:paraId="61C5754E" w14:textId="77777777" w:rsidR="00144D82" w:rsidRDefault="00000000">
      <w:pPr>
        <w:spacing w:after="100" w:line="252" w:lineRule="auto"/>
      </w:pPr>
      <w:r>
        <w:t>Chapter 7: Findings, valuation perspective and recommendations (Pages 77–86)</w:t>
      </w:r>
    </w:p>
    <w:p w14:paraId="6F322A91" w14:textId="77777777" w:rsidR="00144D82" w:rsidRDefault="00000000">
      <w:pPr>
        <w:spacing w:after="100" w:line="252" w:lineRule="auto"/>
      </w:pPr>
      <w:r>
        <w:t>Chapter 8: Conclusion, limitations and bibliography (Pages 87–90)</w:t>
      </w:r>
    </w:p>
    <w:p w14:paraId="7297F8D4" w14:textId="77777777" w:rsidR="00144D82" w:rsidRDefault="00000000">
      <w:r>
        <w:br w:type="page"/>
      </w:r>
    </w:p>
    <w:p w14:paraId="4B31DC78" w14:textId="77777777" w:rsidR="00144D82" w:rsidRDefault="00000000">
      <w:pPr>
        <w:pStyle w:val="Heading1"/>
        <w:spacing w:after="80"/>
      </w:pPr>
      <w:r>
        <w:lastRenderedPageBreak/>
        <w:t>List of Tables and Abbreviations</w:t>
      </w:r>
    </w:p>
    <w:p w14:paraId="52E3C062" w14:textId="77777777" w:rsidR="00144D82" w:rsidRDefault="00000000">
      <w:pPr>
        <w:spacing w:after="100" w:line="252" w:lineRule="auto"/>
      </w:pPr>
      <w:r>
        <w:t>Tables: financial snapshot; five-year trend; product mix; ratios; SWOT; risk matrix; research design; recommendations.</w:t>
      </w:r>
    </w:p>
    <w:p w14:paraId="065852CF" w14:textId="77777777" w:rsidR="00144D82" w:rsidRDefault="00000000">
      <w:pPr>
        <w:spacing w:after="100" w:line="252" w:lineRule="auto"/>
      </w:pPr>
      <w:r>
        <w:t>Abbreviations: AUM—Assets Under Management; NBFC—Non-Banking Financial Company; LAP—Loan Against Property; ST—Small Ticket; MT—Medium Ticket; NII—Net Interest Income; PAT—Profit After Tax; GNPA—Gross Non-Performing Assets; NNPA—Net Non-Performing Assets; ROA—Return on Assets; ROE—Return on Equity; CRAR—Capital to Risk-Weighted Assets Ratio; LTV—Loan-to-Value; ALM—Asset Liability Management; BRE—Business Rule Engine; ESG—Environment, Social and Governance.</w:t>
      </w:r>
    </w:p>
    <w:p w14:paraId="056D9590" w14:textId="77777777" w:rsidR="00144D82" w:rsidRDefault="00000000">
      <w:r>
        <w:br w:type="page"/>
      </w:r>
    </w:p>
    <w:p w14:paraId="580F57EE" w14:textId="77777777" w:rsidR="00144D82" w:rsidRDefault="00000000">
      <w:pPr>
        <w:pStyle w:val="Heading1"/>
        <w:spacing w:after="80"/>
      </w:pPr>
      <w:r>
        <w:lastRenderedPageBreak/>
        <w:t>Chapter 1 — Introduction</w:t>
      </w:r>
    </w:p>
    <w:p w14:paraId="5FAD1C27" w14:textId="77777777" w:rsidR="00144D82" w:rsidRDefault="00000000">
      <w:pPr>
        <w:spacing w:after="100" w:line="252" w:lineRule="auto"/>
      </w:pPr>
      <w:r>
        <w:t>Financial services channel savings and capital to households, entrepreneurs and businesses. In India, the expansion of formal credit is supported by digital identity, data-led underwriting, branch-led distribution and specialised lenders. Retail NBFCs are important because they can serve customer segments that require speed, flexibility and local knowledge.</w:t>
      </w:r>
    </w:p>
    <w:p w14:paraId="0F1DE414" w14:textId="77777777" w:rsidR="00144D82" w:rsidRDefault="00000000">
      <w:pPr>
        <w:spacing w:after="100" w:line="252" w:lineRule="auto"/>
      </w:pPr>
      <w:r>
        <w:t>This project examines the business and financial performance of Fedbank Financial Services Limited, with particular attention to its secured retail lending model and FY 2025–26 disclosures.</w:t>
      </w:r>
    </w:p>
    <w:p w14:paraId="08C399ED" w14:textId="77777777" w:rsidR="00144D82" w:rsidRDefault="00000000">
      <w:r>
        <w:br w:type="page"/>
      </w:r>
    </w:p>
    <w:p w14:paraId="52F4D796" w14:textId="77777777" w:rsidR="00144D82" w:rsidRDefault="00000000">
      <w:pPr>
        <w:pStyle w:val="Heading1"/>
        <w:spacing w:after="80"/>
      </w:pPr>
      <w:r>
        <w:lastRenderedPageBreak/>
        <w:t>Need of the Study</w:t>
      </w:r>
    </w:p>
    <w:p w14:paraId="15FF8211" w14:textId="77777777" w:rsidR="00144D82" w:rsidRDefault="00000000">
      <w:pPr>
        <w:spacing w:after="100" w:line="252" w:lineRule="auto"/>
      </w:pPr>
      <w:r>
        <w:t>The study is needed to bridge classroom concepts with the analysis of a real listed financial-services company. It helps understand how the income statement, balance sheet, asset quality, capital adequacy and operating model interact in an NBFC.</w:t>
      </w:r>
    </w:p>
    <w:p w14:paraId="062D8139" w14:textId="77777777" w:rsidR="00144D82" w:rsidRDefault="00000000">
      <w:pPr>
        <w:spacing w:after="100" w:line="252" w:lineRule="auto"/>
      </w:pPr>
      <w:r>
        <w:t>It is also relevant for investors and management students because a lender’s health cannot be assessed from profit alone. Growth must be evaluated alongside funding, credit cost, collateral, liquidity, governance and customer outcomes.</w:t>
      </w:r>
    </w:p>
    <w:p w14:paraId="1AC32048" w14:textId="77777777" w:rsidR="00144D82" w:rsidRDefault="00000000">
      <w:r>
        <w:br w:type="page"/>
      </w:r>
    </w:p>
    <w:p w14:paraId="4ABA22F4" w14:textId="77777777" w:rsidR="00144D82" w:rsidRDefault="00000000">
      <w:pPr>
        <w:pStyle w:val="Heading1"/>
        <w:spacing w:after="80"/>
      </w:pPr>
      <w:r>
        <w:lastRenderedPageBreak/>
        <w:t>Objectives of the Study</w:t>
      </w:r>
    </w:p>
    <w:p w14:paraId="61DBB857" w14:textId="77777777" w:rsidR="00144D82" w:rsidRDefault="00000000">
      <w:pPr>
        <w:pStyle w:val="ListBullet"/>
        <w:spacing w:after="40" w:line="240" w:lineRule="auto"/>
      </w:pPr>
      <w:r>
        <w:rPr>
          <w:sz w:val="18"/>
        </w:rPr>
        <w:t>To understand Fedfina’s history, ownership, products and distribution model.</w:t>
      </w:r>
    </w:p>
    <w:p w14:paraId="453BC94E" w14:textId="77777777" w:rsidR="00144D82" w:rsidRDefault="00000000">
      <w:pPr>
        <w:pStyle w:val="ListBullet"/>
        <w:spacing w:after="40" w:line="240" w:lineRule="auto"/>
      </w:pPr>
      <w:r>
        <w:rPr>
          <w:sz w:val="18"/>
        </w:rPr>
        <w:t>To study the secured-lending and retail-NBFC industry environment.</w:t>
      </w:r>
    </w:p>
    <w:p w14:paraId="21A69E2A" w14:textId="77777777" w:rsidR="00144D82" w:rsidRDefault="00000000">
      <w:pPr>
        <w:pStyle w:val="ListBullet"/>
        <w:spacing w:after="40" w:line="240" w:lineRule="auto"/>
      </w:pPr>
      <w:r>
        <w:rPr>
          <w:sz w:val="18"/>
        </w:rPr>
        <w:t>To analyse five-year trends in AUM, PAT, yield, spread, cost-to-income, ROA, ROE, GNPA and capital adequacy.</w:t>
      </w:r>
    </w:p>
    <w:p w14:paraId="100E6928" w14:textId="77777777" w:rsidR="00144D82" w:rsidRDefault="00000000">
      <w:pPr>
        <w:pStyle w:val="ListBullet"/>
        <w:spacing w:after="40" w:line="240" w:lineRule="auto"/>
      </w:pPr>
      <w:r>
        <w:rPr>
          <w:sz w:val="18"/>
        </w:rPr>
        <w:t>To interpret FY 2025–26 financial statements through ratios and common-size reasoning.</w:t>
      </w:r>
    </w:p>
    <w:p w14:paraId="13E4EA57" w14:textId="77777777" w:rsidR="00144D82" w:rsidRDefault="00000000">
      <w:pPr>
        <w:pStyle w:val="ListBullet"/>
        <w:spacing w:after="40" w:line="240" w:lineRule="auto"/>
      </w:pPr>
      <w:r>
        <w:rPr>
          <w:sz w:val="18"/>
        </w:rPr>
        <w:t>To identify strengths, weaknesses, opportunities, threats and key risks.</w:t>
      </w:r>
    </w:p>
    <w:p w14:paraId="4FFED808" w14:textId="77777777" w:rsidR="00144D82" w:rsidRDefault="00000000">
      <w:pPr>
        <w:pStyle w:val="ListBullet"/>
        <w:spacing w:after="40" w:line="240" w:lineRule="auto"/>
      </w:pPr>
      <w:r>
        <w:rPr>
          <w:sz w:val="18"/>
        </w:rPr>
        <w:t>To develop practical conclusions and recommendations for stakeholders.</w:t>
      </w:r>
    </w:p>
    <w:p w14:paraId="7EB28F3B" w14:textId="77777777" w:rsidR="00144D82" w:rsidRDefault="00000000">
      <w:r>
        <w:br w:type="page"/>
      </w:r>
    </w:p>
    <w:p w14:paraId="232DD2F4" w14:textId="77777777" w:rsidR="00144D82" w:rsidRDefault="00000000">
      <w:pPr>
        <w:pStyle w:val="Heading1"/>
        <w:spacing w:after="80"/>
      </w:pPr>
      <w:r>
        <w:lastRenderedPageBreak/>
        <w:t>Scope of the Study</w:t>
      </w:r>
    </w:p>
    <w:p w14:paraId="3002B2AF" w14:textId="77777777" w:rsidR="00144D82" w:rsidRDefault="00000000">
      <w:pPr>
        <w:spacing w:after="100" w:line="252" w:lineRule="auto"/>
      </w:pPr>
      <w:r>
        <w:t>The report focuses on Fedbank Financial Services Limited and the financial year ended 31 March 2026. The principal information source is the company’s Annual Report 2025–26 supplied with the assignment. Historical figures are used where the annual report provides a five-year series.</w:t>
      </w:r>
    </w:p>
    <w:p w14:paraId="728DA775" w14:textId="77777777" w:rsidR="00144D82" w:rsidRDefault="00000000">
      <w:pPr>
        <w:spacing w:after="100" w:line="252" w:lineRule="auto"/>
      </w:pPr>
      <w:r>
        <w:t>The scope includes business profile, products, financial performance, asset quality, funding, technology, human capital, governance, sustainability and strategic outlook. It does not constitute investment advice, an audit, a credit rating or a fairness opinion.</w:t>
      </w:r>
    </w:p>
    <w:p w14:paraId="3F5E2313" w14:textId="77777777" w:rsidR="00144D82" w:rsidRDefault="00000000">
      <w:r>
        <w:br w:type="page"/>
      </w:r>
    </w:p>
    <w:p w14:paraId="19745537" w14:textId="77777777" w:rsidR="00144D82" w:rsidRDefault="00000000">
      <w:pPr>
        <w:pStyle w:val="Heading1"/>
        <w:spacing w:after="80"/>
      </w:pPr>
      <w:r>
        <w:lastRenderedPageBreak/>
        <w:t>Research Questions and Hypotheses</w:t>
      </w:r>
    </w:p>
    <w:p w14:paraId="1EF5D322" w14:textId="77777777" w:rsidR="00144D82" w:rsidRDefault="00000000">
      <w:pPr>
        <w:pStyle w:val="ListBullet"/>
        <w:spacing w:after="40" w:line="240" w:lineRule="auto"/>
      </w:pPr>
      <w:r>
        <w:rPr>
          <w:sz w:val="18"/>
        </w:rPr>
        <w:t>RQ1: Has Fedfina’s growth been accompanied by improved profitability?</w:t>
      </w:r>
    </w:p>
    <w:p w14:paraId="57B18303" w14:textId="77777777" w:rsidR="00144D82" w:rsidRDefault="00000000">
      <w:pPr>
        <w:pStyle w:val="ListBullet"/>
        <w:spacing w:after="40" w:line="240" w:lineRule="auto"/>
      </w:pPr>
      <w:r>
        <w:rPr>
          <w:sz w:val="18"/>
        </w:rPr>
        <w:t>RQ2: Has portfolio security and product mix strengthened the risk profile?</w:t>
      </w:r>
    </w:p>
    <w:p w14:paraId="4FFBE4C1" w14:textId="77777777" w:rsidR="00144D82" w:rsidRDefault="00000000">
      <w:pPr>
        <w:pStyle w:val="ListBullet"/>
        <w:spacing w:after="40" w:line="240" w:lineRule="auto"/>
      </w:pPr>
      <w:r>
        <w:rPr>
          <w:sz w:val="18"/>
        </w:rPr>
        <w:t>RQ3: Is the company adequately capitalised for its stated expansion?</w:t>
      </w:r>
    </w:p>
    <w:p w14:paraId="0D8391B7" w14:textId="77777777" w:rsidR="00144D82" w:rsidRDefault="00000000">
      <w:pPr>
        <w:pStyle w:val="ListBullet"/>
        <w:spacing w:after="40" w:line="240" w:lineRule="auto"/>
      </w:pPr>
      <w:r>
        <w:rPr>
          <w:sz w:val="18"/>
        </w:rPr>
        <w:t>RQ4: What operational and external risks could challenge the growth plan?</w:t>
      </w:r>
    </w:p>
    <w:p w14:paraId="0B79C58B" w14:textId="77777777" w:rsidR="00144D82" w:rsidRDefault="00000000">
      <w:pPr>
        <w:pStyle w:val="ListBullet"/>
        <w:spacing w:after="40" w:line="240" w:lineRule="auto"/>
      </w:pPr>
      <w:r>
        <w:rPr>
          <w:sz w:val="18"/>
        </w:rPr>
        <w:t>Working hypothesis: a higher secured-AUM mix and better operating discipline support sustainable profitability, subject to asset-quality and funding-cost control.</w:t>
      </w:r>
    </w:p>
    <w:p w14:paraId="599C117A" w14:textId="77777777" w:rsidR="00144D82" w:rsidRDefault="00000000">
      <w:r>
        <w:br w:type="page"/>
      </w:r>
    </w:p>
    <w:p w14:paraId="53576710" w14:textId="77777777" w:rsidR="00144D82" w:rsidRDefault="00000000">
      <w:pPr>
        <w:pStyle w:val="Heading1"/>
        <w:spacing w:after="80"/>
      </w:pPr>
      <w:r>
        <w:lastRenderedPageBreak/>
        <w:t>Research Methodology</w:t>
      </w:r>
    </w:p>
    <w:p w14:paraId="5B19A04F" w14:textId="77777777" w:rsidR="00144D82" w:rsidRDefault="00000000">
      <w:pPr>
        <w:spacing w:after="100" w:line="252" w:lineRule="auto"/>
      </w:pPr>
      <w:r>
        <w:t>The study uses descriptive and analytical research. Secondary data was collected from the supplied FY 2025–26 annual report, company disclosures and selected official public sources. The analysis combines trend comparisons, ratio interpretation, product-level review, qualitative risk assessment and SWOT analysis.</w:t>
      </w:r>
    </w:p>
    <w:p w14:paraId="0127EC31" w14:textId="77777777" w:rsidR="00144D82" w:rsidRDefault="00000000">
      <w:pPr>
        <w:spacing w:after="100" w:line="252" w:lineRule="auto"/>
      </w:pPr>
      <w:r>
        <w:t>The process was: define objectives; extract reported data; standardise units; compare FY 2024–25 with FY 2025–26; interpret five-year movements; link financial outcomes to strategy; and formulate findings. Reported figures are not independently re-performed or audited in this academic project.</w:t>
      </w:r>
    </w:p>
    <w:p w14:paraId="739CC015" w14:textId="77777777" w:rsidR="00144D82" w:rsidRDefault="00000000">
      <w:r>
        <w:br w:type="page"/>
      </w:r>
    </w:p>
    <w:p w14:paraId="5F81CCE1" w14:textId="77777777" w:rsidR="00144D82" w:rsidRDefault="00000000">
      <w:pPr>
        <w:pStyle w:val="Heading1"/>
        <w:spacing w:after="80"/>
      </w:pPr>
      <w:r>
        <w:lastRenderedPageBreak/>
        <w:t>Data Sources and Reliability</w:t>
      </w:r>
    </w:p>
    <w:p w14:paraId="119DC4A9" w14:textId="77777777" w:rsidR="00144D82" w:rsidRDefault="00000000">
      <w:pPr>
        <w:spacing w:after="100" w:line="252" w:lineRule="auto"/>
      </w:pPr>
      <w:r>
        <w:t>Primary reference: Fedbank Financial Services Limited, Annual Report 2025–26, including the Corporate Overview, Management Discussion and Analysis, Directors’ Report, Corporate Governance Report, BRSR and audited financial statements.</w:t>
      </w:r>
    </w:p>
    <w:p w14:paraId="6C8E309A" w14:textId="77777777" w:rsidR="00144D82" w:rsidRDefault="00000000">
      <w:pPr>
        <w:spacing w:after="100" w:line="252" w:lineRule="auto"/>
      </w:pPr>
      <w:r>
        <w:t>Supplementary reference points include the official Fedfina/Federal Bank investor-relations pages, RBI regulatory material on NBFCs, SEBI listing and disclosure principles, and rating information disclosed in the annual report. Any unavailable detail is marked as not available rather than estimated without explanation.</w:t>
      </w:r>
    </w:p>
    <w:p w14:paraId="25EB8067" w14:textId="77777777" w:rsidR="00144D82" w:rsidRDefault="00000000">
      <w:r>
        <w:br w:type="page"/>
      </w:r>
    </w:p>
    <w:p w14:paraId="56A9BE04" w14:textId="77777777" w:rsidR="00144D82" w:rsidRDefault="00000000">
      <w:pPr>
        <w:pStyle w:val="Heading1"/>
        <w:spacing w:after="80"/>
      </w:pPr>
      <w:r>
        <w:lastRenderedPageBreak/>
        <w:t>Limitations of Methodology</w:t>
      </w:r>
    </w:p>
    <w:p w14:paraId="48EB8E0C" w14:textId="77777777" w:rsidR="00144D82" w:rsidRDefault="00000000">
      <w:pPr>
        <w:spacing w:after="100" w:line="252" w:lineRule="auto"/>
      </w:pPr>
      <w:r>
        <w:t>The study uses published information and therefore depends on the accuracy, definitions and presentation adopted by the company. Certain ratios are not meaningful for a lending company—for example, inventory turnover and operating margin—and the annual report marks them as not applicable.</w:t>
      </w:r>
    </w:p>
    <w:p w14:paraId="0FB54019" w14:textId="77777777" w:rsidR="00144D82" w:rsidRDefault="00000000">
      <w:pPr>
        <w:spacing w:after="100" w:line="252" w:lineRule="auto"/>
      </w:pPr>
      <w:r>
        <w:t>Market prices, analyst estimates, borrower-level data and confidential management information are outside the scope. The FY 2025–26 report is the reference period; subsequent events may change the outlook.</w:t>
      </w:r>
    </w:p>
    <w:p w14:paraId="3768BB7A" w14:textId="77777777" w:rsidR="00144D82" w:rsidRDefault="00000000">
      <w:r>
        <w:br w:type="page"/>
      </w:r>
    </w:p>
    <w:p w14:paraId="47ECFA3B" w14:textId="77777777" w:rsidR="00144D82" w:rsidRDefault="00000000">
      <w:pPr>
        <w:pStyle w:val="Heading1"/>
        <w:spacing w:after="80"/>
      </w:pPr>
      <w:r>
        <w:lastRenderedPageBreak/>
        <w:t>Chapter 2 — Organisation Background</w:t>
      </w:r>
    </w:p>
    <w:p w14:paraId="69488B23" w14:textId="77777777" w:rsidR="00144D82" w:rsidRDefault="00000000">
      <w:pPr>
        <w:spacing w:after="100" w:line="252" w:lineRule="auto"/>
      </w:pPr>
      <w:r>
        <w:t>Fedbank Financial Services Limited was incorporated on 17 April 1995 and is headquartered in Mumbai. It is a publicly listed NBFC and a majority-owned subsidiary of Federal Bank. The company combines the agility of a specialised lender with the institutional parentage and governance orientation of a banking group.</w:t>
      </w:r>
    </w:p>
    <w:p w14:paraId="1F0EB886" w14:textId="77777777" w:rsidR="00144D82" w:rsidRDefault="00000000">
      <w:pPr>
        <w:spacing w:after="100" w:line="252" w:lineRule="auto"/>
      </w:pPr>
      <w:r>
        <w:t>Its shares are listed on NSE and BSE. NSE symbol: FEDFINA; BSE scrip code: 544027; CIN: L65910MH1995PLC364635.</w:t>
      </w:r>
    </w:p>
    <w:p w14:paraId="12C9BB5C" w14:textId="77777777" w:rsidR="00144D82" w:rsidRDefault="00000000">
      <w:r>
        <w:br w:type="page"/>
      </w:r>
    </w:p>
    <w:p w14:paraId="60256142" w14:textId="77777777" w:rsidR="00144D82" w:rsidRDefault="00000000">
      <w:pPr>
        <w:pStyle w:val="Heading1"/>
        <w:spacing w:after="80"/>
      </w:pPr>
      <w:r>
        <w:lastRenderedPageBreak/>
        <w:t>Parentage and Strategic Context</w:t>
      </w:r>
    </w:p>
    <w:p w14:paraId="1510FA98" w14:textId="77777777" w:rsidR="00144D82" w:rsidRDefault="00000000">
      <w:pPr>
        <w:spacing w:after="100" w:line="252" w:lineRule="auto"/>
      </w:pPr>
      <w:r>
        <w:t>Federal Bank’s legacy in relationship banking, retail, SME, corporate and NRI banking provides Fedfina with credibility and a broad financial-services ecosystem. Fedfina is focused on retail secured lending, allowing the group to participate in a high-demand part of India’s credit market without replicating the entire banking model.</w:t>
      </w:r>
    </w:p>
    <w:p w14:paraId="476A55FC" w14:textId="77777777" w:rsidR="00144D82" w:rsidRDefault="00000000">
      <w:pPr>
        <w:spacing w:after="100" w:line="252" w:lineRule="auto"/>
      </w:pPr>
      <w:r>
        <w:t>The strategic relationship supports confidence, but the NBFC remains responsible for its own credit decisions, liquidity, capital, customer service and compliance.</w:t>
      </w:r>
    </w:p>
    <w:p w14:paraId="55718A4C" w14:textId="77777777" w:rsidR="00144D82" w:rsidRDefault="00000000">
      <w:r>
        <w:br w:type="page"/>
      </w:r>
    </w:p>
    <w:p w14:paraId="7FD37912" w14:textId="77777777" w:rsidR="00144D82" w:rsidRDefault="00000000">
      <w:pPr>
        <w:pStyle w:val="Heading1"/>
        <w:spacing w:after="80"/>
      </w:pPr>
      <w:r>
        <w:lastRenderedPageBreak/>
        <w:t>Vision, Values and Customer Proposition</w:t>
      </w:r>
    </w:p>
    <w:p w14:paraId="6ED8A438" w14:textId="77777777" w:rsidR="00144D82" w:rsidRDefault="00000000">
      <w:pPr>
        <w:spacing w:after="100" w:line="252" w:lineRule="auto"/>
      </w:pPr>
      <w:r>
        <w:t>Vision: Empower Emerging India with Easy Access to Loans. The customer proposition is access to collateral-backed finance delivered with speed, local understanding and dignity.</w:t>
      </w:r>
    </w:p>
    <w:p w14:paraId="0820DBC7" w14:textId="77777777" w:rsidR="00144D82" w:rsidRDefault="00000000">
      <w:pPr>
        <w:spacing w:after="100" w:line="252" w:lineRule="auto"/>
      </w:pPr>
      <w:r>
        <w:t>The stated values are execution excellence, people focus, integrity and customer centricity. These values can be translated into measurable behaviours: clear objectives, resource optimisation, accountable decision-making, ethical collections, employee development and transparent communication.</w:t>
      </w:r>
    </w:p>
    <w:p w14:paraId="6F9C1644" w14:textId="77777777" w:rsidR="00144D82" w:rsidRDefault="00000000">
      <w:r>
        <w:br w:type="page"/>
      </w:r>
    </w:p>
    <w:p w14:paraId="520F18A7" w14:textId="77777777" w:rsidR="00144D82" w:rsidRDefault="00000000">
      <w:pPr>
        <w:pStyle w:val="Heading1"/>
        <w:spacing w:after="80"/>
      </w:pPr>
      <w:r>
        <w:lastRenderedPageBreak/>
        <w:t>Business Model</w:t>
      </w:r>
    </w:p>
    <w:p w14:paraId="28319284" w14:textId="77777777" w:rsidR="00144D82" w:rsidRDefault="00000000">
      <w:pPr>
        <w:spacing w:after="100" w:line="252" w:lineRule="auto"/>
      </w:pPr>
      <w:r>
        <w:t>Fedfina originates loans through branches and digital/“phygital” channels, earns interest and fee income, funds its assets through borrowings and equity, and manages credit, liquidity, operational and market risks. The model is based on matching products to collateral and borrower cash flows.</w:t>
      </w:r>
    </w:p>
    <w:p w14:paraId="10CE8F3F" w14:textId="77777777" w:rsidR="00144D82" w:rsidRDefault="00000000">
      <w:pPr>
        <w:spacing w:after="100" w:line="252" w:lineRule="auto"/>
      </w:pPr>
      <w:r>
        <w:t>Gold loans provide quick liquidity against pledged gold. Mortgage products provide longer-duration financing against property and support self-employed customers and small businesses. The combination diversifies the asset book across tenor, ticket size and collateral.</w:t>
      </w:r>
    </w:p>
    <w:p w14:paraId="5F5A2DB1" w14:textId="77777777" w:rsidR="00144D82" w:rsidRDefault="00000000">
      <w:r>
        <w:br w:type="page"/>
      </w:r>
    </w:p>
    <w:p w14:paraId="2197B5EC" w14:textId="77777777" w:rsidR="00144D82" w:rsidRDefault="00000000">
      <w:pPr>
        <w:pStyle w:val="Heading1"/>
        <w:spacing w:after="80"/>
      </w:pPr>
      <w:r>
        <w:lastRenderedPageBreak/>
        <w:t>Product Portfolio</w:t>
      </w:r>
    </w:p>
    <w:tbl>
      <w:tblPr>
        <w:tblStyle w:val="TableGrid"/>
        <w:tblW w:w="0" w:type="auto"/>
        <w:jc w:val="center"/>
        <w:tblLook w:val="04A0" w:firstRow="1" w:lastRow="0" w:firstColumn="1" w:lastColumn="0" w:noHBand="0" w:noVBand="1"/>
      </w:tblPr>
      <w:tblGrid>
        <w:gridCol w:w="3385"/>
        <w:gridCol w:w="3385"/>
        <w:gridCol w:w="3386"/>
      </w:tblGrid>
      <w:tr w:rsidR="00144D82" w14:paraId="122BC43A" w14:textId="77777777">
        <w:trPr>
          <w:jc w:val="center"/>
        </w:trPr>
        <w:tc>
          <w:tcPr>
            <w:tcW w:w="3389" w:type="dxa"/>
            <w:shd w:val="clear" w:color="auto" w:fill="123A63"/>
            <w:vAlign w:val="center"/>
          </w:tcPr>
          <w:p w14:paraId="542AD14F" w14:textId="77777777" w:rsidR="00144D82" w:rsidRDefault="00000000">
            <w:r>
              <w:rPr>
                <w:b/>
                <w:color w:val="FFFFFF"/>
                <w:sz w:val="16"/>
              </w:rPr>
              <w:t>Product</w:t>
            </w:r>
          </w:p>
        </w:tc>
        <w:tc>
          <w:tcPr>
            <w:tcW w:w="3389" w:type="dxa"/>
            <w:shd w:val="clear" w:color="auto" w:fill="123A63"/>
            <w:vAlign w:val="center"/>
          </w:tcPr>
          <w:p w14:paraId="09ACB4D8" w14:textId="77777777" w:rsidR="00144D82" w:rsidRDefault="00000000">
            <w:r>
              <w:rPr>
                <w:b/>
                <w:color w:val="FFFFFF"/>
                <w:sz w:val="16"/>
              </w:rPr>
              <w:t>Customer need</w:t>
            </w:r>
          </w:p>
        </w:tc>
        <w:tc>
          <w:tcPr>
            <w:tcW w:w="3389" w:type="dxa"/>
            <w:shd w:val="clear" w:color="auto" w:fill="123A63"/>
            <w:vAlign w:val="center"/>
          </w:tcPr>
          <w:p w14:paraId="41A28096" w14:textId="77777777" w:rsidR="00144D82" w:rsidRDefault="00000000">
            <w:r>
              <w:rPr>
                <w:b/>
                <w:color w:val="FFFFFF"/>
                <w:sz w:val="16"/>
              </w:rPr>
              <w:t>Strategic role</w:t>
            </w:r>
          </w:p>
        </w:tc>
      </w:tr>
      <w:tr w:rsidR="00144D82" w14:paraId="3495FAD6" w14:textId="77777777">
        <w:trPr>
          <w:jc w:val="center"/>
        </w:trPr>
        <w:tc>
          <w:tcPr>
            <w:tcW w:w="3389" w:type="dxa"/>
            <w:vAlign w:val="center"/>
          </w:tcPr>
          <w:p w14:paraId="34138E5B" w14:textId="77777777" w:rsidR="00144D82" w:rsidRDefault="00000000">
            <w:r>
              <w:rPr>
                <w:sz w:val="16"/>
              </w:rPr>
              <w:t>Gold Loan</w:t>
            </w:r>
          </w:p>
        </w:tc>
        <w:tc>
          <w:tcPr>
            <w:tcW w:w="3389" w:type="dxa"/>
            <w:vAlign w:val="center"/>
          </w:tcPr>
          <w:p w14:paraId="6D49161E" w14:textId="77777777" w:rsidR="00144D82" w:rsidRDefault="00000000">
            <w:r>
              <w:rPr>
                <w:sz w:val="16"/>
              </w:rPr>
              <w:t>Short-term liquidity against gold</w:t>
            </w:r>
          </w:p>
        </w:tc>
        <w:tc>
          <w:tcPr>
            <w:tcW w:w="3389" w:type="dxa"/>
            <w:vAlign w:val="center"/>
          </w:tcPr>
          <w:p w14:paraId="27E26DAB" w14:textId="77777777" w:rsidR="00144D82" w:rsidRDefault="00000000">
            <w:r>
              <w:rPr>
                <w:sz w:val="16"/>
              </w:rPr>
              <w:t>High-growth, quick-turnover secured engine</w:t>
            </w:r>
          </w:p>
        </w:tc>
      </w:tr>
      <w:tr w:rsidR="00144D82" w14:paraId="03EEBE98" w14:textId="77777777">
        <w:trPr>
          <w:jc w:val="center"/>
        </w:trPr>
        <w:tc>
          <w:tcPr>
            <w:tcW w:w="3389" w:type="dxa"/>
            <w:vAlign w:val="center"/>
          </w:tcPr>
          <w:p w14:paraId="78C4A2AE" w14:textId="77777777" w:rsidR="00144D82" w:rsidRDefault="00000000">
            <w:r>
              <w:rPr>
                <w:sz w:val="16"/>
              </w:rPr>
              <w:t>Small-Ticket LAP / Housing</w:t>
            </w:r>
          </w:p>
        </w:tc>
        <w:tc>
          <w:tcPr>
            <w:tcW w:w="3389" w:type="dxa"/>
            <w:vAlign w:val="center"/>
          </w:tcPr>
          <w:p w14:paraId="2AA1DD3B" w14:textId="77777777" w:rsidR="00144D82" w:rsidRDefault="00000000">
            <w:r>
              <w:rPr>
                <w:sz w:val="16"/>
              </w:rPr>
              <w:t>Working capital or housing for emerging borrowers</w:t>
            </w:r>
          </w:p>
        </w:tc>
        <w:tc>
          <w:tcPr>
            <w:tcW w:w="3389" w:type="dxa"/>
            <w:vAlign w:val="center"/>
          </w:tcPr>
          <w:p w14:paraId="1EB0E931" w14:textId="77777777" w:rsidR="00144D82" w:rsidRDefault="00000000">
            <w:r>
              <w:rPr>
                <w:sz w:val="16"/>
              </w:rPr>
              <w:t>Higher-yield granular mortgage growth</w:t>
            </w:r>
          </w:p>
        </w:tc>
      </w:tr>
      <w:tr w:rsidR="00144D82" w14:paraId="257F7925" w14:textId="77777777">
        <w:trPr>
          <w:jc w:val="center"/>
        </w:trPr>
        <w:tc>
          <w:tcPr>
            <w:tcW w:w="3389" w:type="dxa"/>
            <w:vAlign w:val="center"/>
          </w:tcPr>
          <w:p w14:paraId="79126CC3" w14:textId="77777777" w:rsidR="00144D82" w:rsidRDefault="00000000">
            <w:r>
              <w:rPr>
                <w:sz w:val="16"/>
              </w:rPr>
              <w:t>Medium-Ticket LAP</w:t>
            </w:r>
          </w:p>
        </w:tc>
        <w:tc>
          <w:tcPr>
            <w:tcW w:w="3389" w:type="dxa"/>
            <w:vAlign w:val="center"/>
          </w:tcPr>
          <w:p w14:paraId="52E360BC" w14:textId="77777777" w:rsidR="00144D82" w:rsidRDefault="00000000">
            <w:r>
              <w:rPr>
                <w:sz w:val="16"/>
              </w:rPr>
              <w:t>Business and enterprise finance</w:t>
            </w:r>
          </w:p>
        </w:tc>
        <w:tc>
          <w:tcPr>
            <w:tcW w:w="3389" w:type="dxa"/>
            <w:vAlign w:val="center"/>
          </w:tcPr>
          <w:p w14:paraId="7802FBB6" w14:textId="77777777" w:rsidR="00144D82" w:rsidRDefault="00000000">
            <w:r>
              <w:rPr>
                <w:sz w:val="16"/>
              </w:rPr>
              <w:t>Stable, quality-oriented mortgage anchor</w:t>
            </w:r>
          </w:p>
        </w:tc>
      </w:tr>
      <w:tr w:rsidR="00144D82" w14:paraId="617A9CF1" w14:textId="77777777">
        <w:trPr>
          <w:jc w:val="center"/>
        </w:trPr>
        <w:tc>
          <w:tcPr>
            <w:tcW w:w="3389" w:type="dxa"/>
            <w:vAlign w:val="center"/>
          </w:tcPr>
          <w:p w14:paraId="26573604" w14:textId="77777777" w:rsidR="00144D82" w:rsidRDefault="00000000">
            <w:r>
              <w:rPr>
                <w:sz w:val="16"/>
              </w:rPr>
              <w:t>Home Loan</w:t>
            </w:r>
          </w:p>
        </w:tc>
        <w:tc>
          <w:tcPr>
            <w:tcW w:w="3389" w:type="dxa"/>
            <w:vAlign w:val="center"/>
          </w:tcPr>
          <w:p w14:paraId="7AC00C6B" w14:textId="77777777" w:rsidR="00144D82" w:rsidRDefault="00000000">
            <w:r>
              <w:rPr>
                <w:sz w:val="16"/>
              </w:rPr>
              <w:t>Housing finance</w:t>
            </w:r>
          </w:p>
        </w:tc>
        <w:tc>
          <w:tcPr>
            <w:tcW w:w="3389" w:type="dxa"/>
            <w:vAlign w:val="center"/>
          </w:tcPr>
          <w:p w14:paraId="34A96453" w14:textId="77777777" w:rsidR="00144D82" w:rsidRDefault="00000000">
            <w:r>
              <w:rPr>
                <w:sz w:val="16"/>
              </w:rPr>
              <w:t>Customer and product diversification</w:t>
            </w:r>
          </w:p>
        </w:tc>
      </w:tr>
    </w:tbl>
    <w:p w14:paraId="37E3ACC2" w14:textId="77777777" w:rsidR="00144D82" w:rsidRDefault="00000000">
      <w:r>
        <w:br w:type="page"/>
      </w:r>
    </w:p>
    <w:p w14:paraId="346754D6" w14:textId="77777777" w:rsidR="00144D82" w:rsidRDefault="00000000">
      <w:pPr>
        <w:pStyle w:val="Heading1"/>
        <w:spacing w:after="80"/>
      </w:pPr>
      <w:r>
        <w:lastRenderedPageBreak/>
        <w:t>Gold Loan Business</w:t>
      </w:r>
    </w:p>
    <w:p w14:paraId="7B2E5EB8" w14:textId="77777777" w:rsidR="00144D82" w:rsidRDefault="00000000">
      <w:pPr>
        <w:spacing w:after="100" w:line="252" w:lineRule="auto"/>
      </w:pPr>
      <w:r>
        <w:t>Gold loans were the principal growth driver in FY 2025–26. Gold-loan AUM reached ₹10,352 crore, representing a 76% year-on-year increase, while disbursements were ₹28,326 crore. The company added 148 gold-loan branches and used doorstep service to improve accessibility.</w:t>
      </w:r>
    </w:p>
    <w:p w14:paraId="3CF4B5E6" w14:textId="77777777" w:rsidR="00144D82" w:rsidRDefault="00000000">
      <w:pPr>
        <w:spacing w:after="100" w:line="252" w:lineRule="auto"/>
      </w:pPr>
      <w:r>
        <w:t>Risk discipline was visible in LTV management: portfolio LTV was reported at 60.9% and fresh onboarding LTV was approximately 70%. The key sensitivities are gold-price volatility, auction and recovery processes, operational controls over pledged collateral and intense competition.</w:t>
      </w:r>
    </w:p>
    <w:p w14:paraId="12F3188A" w14:textId="77777777" w:rsidR="00144D82" w:rsidRDefault="00000000">
      <w:r>
        <w:br w:type="page"/>
      </w:r>
    </w:p>
    <w:p w14:paraId="130133C3" w14:textId="77777777" w:rsidR="00144D82" w:rsidRDefault="00000000">
      <w:pPr>
        <w:pStyle w:val="Heading1"/>
        <w:spacing w:after="80"/>
      </w:pPr>
      <w:r>
        <w:lastRenderedPageBreak/>
        <w:t>Mortgage Loans</w:t>
      </w:r>
    </w:p>
    <w:p w14:paraId="302B7A36" w14:textId="77777777" w:rsidR="00144D82" w:rsidRDefault="00000000">
      <w:pPr>
        <w:spacing w:after="100" w:line="252" w:lineRule="auto"/>
      </w:pPr>
      <w:r>
        <w:t>Mortgage AUM grew 16% to ₹9,362 crore and represented approximately 46.5% of total AUM. Disbursements were ₹3,084 crore. The portfolio uses a twin-engine approach: MT LAP provides relatively stable, documented-cash-flow lending, while ST LAP and housing loans address more granular emerging borrowers.</w:t>
      </w:r>
    </w:p>
    <w:p w14:paraId="0EFC3034" w14:textId="77777777" w:rsidR="00144D82" w:rsidRDefault="00000000">
      <w:pPr>
        <w:spacing w:after="100" w:line="252" w:lineRule="auto"/>
      </w:pPr>
      <w:r>
        <w:t>The company implemented a system-driven Business Rule Engine, higher credit filters and a stronger collections structure after stress in the prior year. Approximately 82.2% of mortgage AUM was backed by customers with CIBIL scores above 700, as disclosed.</w:t>
      </w:r>
    </w:p>
    <w:p w14:paraId="7BD1F269" w14:textId="77777777" w:rsidR="00144D82" w:rsidRDefault="00000000">
      <w:r>
        <w:br w:type="page"/>
      </w:r>
    </w:p>
    <w:p w14:paraId="404D96D6" w14:textId="77777777" w:rsidR="00144D82" w:rsidRDefault="00000000">
      <w:pPr>
        <w:pStyle w:val="Heading1"/>
        <w:spacing w:after="80"/>
      </w:pPr>
      <w:r>
        <w:lastRenderedPageBreak/>
        <w:t>Distribution Network</w:t>
      </w:r>
    </w:p>
    <w:p w14:paraId="7BA070C5" w14:textId="77777777" w:rsidR="00144D82" w:rsidRDefault="00000000">
      <w:pPr>
        <w:spacing w:after="100" w:line="252" w:lineRule="auto"/>
      </w:pPr>
      <w:r>
        <w:t>Fedfina ended FY 2025–26 with 757 branches across 17 states and union territories, after adding 148 branches. The company also co-located 70 MSME hubs within its gold-loan network to improve infrastructure utilisation and reduce the cost of expansion.</w:t>
      </w:r>
    </w:p>
    <w:p w14:paraId="55133E62" w14:textId="77777777" w:rsidR="00144D82" w:rsidRDefault="00000000">
      <w:pPr>
        <w:spacing w:after="100" w:line="252" w:lineRule="auto"/>
      </w:pPr>
      <w:r>
        <w:t>Branch growth increases reach and customer acquisition, but it also creates a ramp-up period for productivity, staffing, controls and collections. AUM per branch improved to ₹16.5 crore in the gold-loan franchise despite expansion.</w:t>
      </w:r>
    </w:p>
    <w:p w14:paraId="5E4D2984" w14:textId="77777777" w:rsidR="00144D82" w:rsidRDefault="00000000">
      <w:r>
        <w:br w:type="page"/>
      </w:r>
    </w:p>
    <w:p w14:paraId="513E86B7" w14:textId="77777777" w:rsidR="00144D82" w:rsidRDefault="00000000">
      <w:pPr>
        <w:pStyle w:val="Heading1"/>
        <w:spacing w:after="80"/>
      </w:pPr>
      <w:r>
        <w:lastRenderedPageBreak/>
        <w:t>Customer and Employee Orientation</w:t>
      </w:r>
    </w:p>
    <w:p w14:paraId="66C30B8C" w14:textId="77777777" w:rsidR="00144D82" w:rsidRDefault="00000000">
      <w:pPr>
        <w:spacing w:after="100" w:line="252" w:lineRule="auto"/>
      </w:pPr>
      <w:r>
        <w:t>The annual report highlights 3.44 lakh active customers, 455 customers per branch, 35% auto-served through bots, 100% resolution within TAT and an 85% positive customer-satisfaction score. These indicators suggest a focus on responsiveness and scale.</w:t>
      </w:r>
    </w:p>
    <w:p w14:paraId="639ED75E" w14:textId="77777777" w:rsidR="00144D82" w:rsidRDefault="00000000">
      <w:pPr>
        <w:spacing w:after="100" w:line="252" w:lineRule="auto"/>
      </w:pPr>
      <w:r>
        <w:t>Human capital remains central to underwriting, branch operations, collections, compliance and customer trust. Structured training, leadership development, performance management and well-being initiatives are therefore strategic investments, not only HR activities.</w:t>
      </w:r>
    </w:p>
    <w:p w14:paraId="5FB9255C" w14:textId="77777777" w:rsidR="00144D82" w:rsidRDefault="00000000">
      <w:r>
        <w:br w:type="page"/>
      </w:r>
    </w:p>
    <w:p w14:paraId="5CDB300F" w14:textId="77777777" w:rsidR="00144D82" w:rsidRDefault="00000000">
      <w:pPr>
        <w:pStyle w:val="Heading1"/>
        <w:spacing w:after="80"/>
      </w:pPr>
      <w:r>
        <w:lastRenderedPageBreak/>
        <w:t>Technology and Digital Enablement</w:t>
      </w:r>
    </w:p>
    <w:p w14:paraId="5FCF9008" w14:textId="77777777" w:rsidR="00144D82" w:rsidRDefault="00000000">
      <w:pPr>
        <w:spacing w:after="100" w:line="252" w:lineRule="auto"/>
      </w:pPr>
      <w:r>
        <w:t>Fedfina is building a phygital model: digital origination, automated onboarding, analytics and always-on platforms are combined with the branch relationship. Technology can reduce turnaround time and improve consistency, but only when data quality, access controls, cyber resilience and model governance are strong.</w:t>
      </w:r>
    </w:p>
    <w:p w14:paraId="38D561EB" w14:textId="77777777" w:rsidR="00144D82" w:rsidRDefault="00000000">
      <w:pPr>
        <w:spacing w:after="100" w:line="252" w:lineRule="auto"/>
      </w:pPr>
      <w:r>
        <w:t>The Business Rule Engine, automated customer service and digital collections can improve cost and risk outcomes. Human escalation is still important for exceptions, vulnerable customers and collateral-related decisions.</w:t>
      </w:r>
    </w:p>
    <w:p w14:paraId="6D1A3422" w14:textId="77777777" w:rsidR="00144D82" w:rsidRDefault="00000000">
      <w:r>
        <w:br w:type="page"/>
      </w:r>
    </w:p>
    <w:p w14:paraId="214EEC4C" w14:textId="77777777" w:rsidR="00144D82" w:rsidRDefault="00000000">
      <w:pPr>
        <w:pStyle w:val="Heading1"/>
        <w:spacing w:after="80"/>
      </w:pPr>
      <w:r>
        <w:lastRenderedPageBreak/>
        <w:t>Governance and Leadership</w:t>
      </w:r>
    </w:p>
    <w:p w14:paraId="6BCBE178" w14:textId="77777777" w:rsidR="00144D82" w:rsidRDefault="00000000">
      <w:pPr>
        <w:spacing w:after="100" w:line="252" w:lineRule="auto"/>
      </w:pPr>
      <w:r>
        <w:t>The Board and committees provide oversight over strategy, audit, risk, stakeholder matters, remuneration and sustainability. The annual report emphasises board-led oversight, three lines of defence, periodic risk review and transparent statutory reporting.</w:t>
      </w:r>
    </w:p>
    <w:p w14:paraId="0795ABD6" w14:textId="77777777" w:rsidR="00144D82" w:rsidRDefault="00000000">
      <w:pPr>
        <w:spacing w:after="100" w:line="252" w:lineRule="auto"/>
      </w:pPr>
      <w:r>
        <w:t>Good governance in an NBFC means clear risk appetite, independence of challenge, accurate disclosures, customer fairness, related-party discipline and effective internal audit. These are important intangible assets for a lender.</w:t>
      </w:r>
    </w:p>
    <w:p w14:paraId="13EDF24F" w14:textId="77777777" w:rsidR="00144D82" w:rsidRDefault="00000000">
      <w:r>
        <w:br w:type="page"/>
      </w:r>
    </w:p>
    <w:p w14:paraId="2A7571B4" w14:textId="77777777" w:rsidR="00144D82" w:rsidRDefault="00000000">
      <w:pPr>
        <w:pStyle w:val="Heading1"/>
        <w:spacing w:after="80"/>
      </w:pPr>
      <w:r>
        <w:lastRenderedPageBreak/>
        <w:t>Chapter 3 — Industry Overview</w:t>
      </w:r>
    </w:p>
    <w:p w14:paraId="7697D849" w14:textId="77777777" w:rsidR="00144D82" w:rsidRDefault="00000000">
      <w:pPr>
        <w:spacing w:after="100" w:line="252" w:lineRule="auto"/>
      </w:pPr>
      <w:r>
        <w:t>The Indian NBFC sector supports financial inclusion, housing, MSME activity, vehicle finance, consumer finance and specialised credit. NBFCs compete with banks, fintechs, housing-finance companies and local lenders. Their advantages can include speed, specialisation and distribution; their constraints include funding cost, liquidity, asset quality and regulation.</w:t>
      </w:r>
    </w:p>
    <w:p w14:paraId="3A5156D1" w14:textId="77777777" w:rsidR="00144D82" w:rsidRDefault="00000000">
      <w:pPr>
        <w:spacing w:after="100" w:line="252" w:lineRule="auto"/>
      </w:pPr>
      <w:r>
        <w:t>Secured retail lending is supported by formalisation, entrepreneurship, housing demand, gold ownership and the need for small-ticket working capital.</w:t>
      </w:r>
    </w:p>
    <w:p w14:paraId="5D7C51C9" w14:textId="77777777" w:rsidR="00144D82" w:rsidRDefault="00000000">
      <w:r>
        <w:br w:type="page"/>
      </w:r>
    </w:p>
    <w:p w14:paraId="055A7F43" w14:textId="77777777" w:rsidR="00144D82" w:rsidRDefault="00000000">
      <w:pPr>
        <w:pStyle w:val="Heading1"/>
        <w:spacing w:after="80"/>
      </w:pPr>
      <w:r>
        <w:lastRenderedPageBreak/>
        <w:t>Macro-Economic Environment</w:t>
      </w:r>
    </w:p>
    <w:p w14:paraId="7BD0EEC0" w14:textId="77777777" w:rsidR="00144D82" w:rsidRDefault="00000000">
      <w:pPr>
        <w:spacing w:after="100" w:line="252" w:lineRule="auto"/>
      </w:pPr>
      <w:r>
        <w:t>The annual report describes FY 2025–26 as broadly supportive for retail and MSME-focused lending, with resilient growth, lower interest rates, rising digital adoption and stronger rural and MSME credit demand. For an NBFC, the macro environment affects borrower cash flows, collateral values, rates, liquidity and demand.</w:t>
      </w:r>
    </w:p>
    <w:p w14:paraId="19642B8C" w14:textId="77777777" w:rsidR="00144D82" w:rsidRDefault="00000000">
      <w:pPr>
        <w:spacing w:after="100" w:line="252" w:lineRule="auto"/>
      </w:pPr>
      <w:r>
        <w:t>The opportunity is strongest when growth is accompanied by prudent underwriting. Rapid credit expansion without adequate verification or collections can convert macro optimism into future credit costs.</w:t>
      </w:r>
    </w:p>
    <w:p w14:paraId="32E74DA3" w14:textId="77777777" w:rsidR="00144D82" w:rsidRDefault="00000000">
      <w:r>
        <w:br w:type="page"/>
      </w:r>
    </w:p>
    <w:p w14:paraId="6E9A2D65" w14:textId="77777777" w:rsidR="00144D82" w:rsidRDefault="00000000">
      <w:pPr>
        <w:pStyle w:val="Heading1"/>
        <w:spacing w:after="80"/>
      </w:pPr>
      <w:r>
        <w:lastRenderedPageBreak/>
        <w:t>Competitive Landscape</w:t>
      </w:r>
    </w:p>
    <w:p w14:paraId="2BCC6AF6" w14:textId="77777777" w:rsidR="00144D82" w:rsidRDefault="00000000">
      <w:pPr>
        <w:spacing w:after="100" w:line="252" w:lineRule="auto"/>
      </w:pPr>
      <w:r>
        <w:t>Fedfina competes with banks, large gold-loan NBFCs, housing financiers, digital lenders and regional institutions. Competition is visible in pricing, branch reach, turnaround time, digital journeys, employee capability, collection intensity and trust.</w:t>
      </w:r>
    </w:p>
    <w:p w14:paraId="5C302F2A" w14:textId="77777777" w:rsidR="00144D82" w:rsidRDefault="00000000">
      <w:pPr>
        <w:spacing w:after="100" w:line="252" w:lineRule="auto"/>
      </w:pPr>
      <w:r>
        <w:t>The company’s differentiation is its secured focus, Federal Bank parentage, combination of gold and mortgage lending, local distribution and stated emphasis on disciplined growth. Differentiation must be continually earned through service and asset quality.</w:t>
      </w:r>
    </w:p>
    <w:p w14:paraId="3F8E4941" w14:textId="77777777" w:rsidR="00144D82" w:rsidRDefault="00000000">
      <w:r>
        <w:br w:type="page"/>
      </w:r>
    </w:p>
    <w:p w14:paraId="509D2B23" w14:textId="77777777" w:rsidR="00144D82" w:rsidRDefault="00000000">
      <w:pPr>
        <w:pStyle w:val="Heading1"/>
        <w:spacing w:after="80"/>
      </w:pPr>
      <w:r>
        <w:lastRenderedPageBreak/>
        <w:t>Regulatory Environment</w:t>
      </w:r>
    </w:p>
    <w:p w14:paraId="388CC677" w14:textId="77777777" w:rsidR="00144D82" w:rsidRDefault="00000000">
      <w:pPr>
        <w:spacing w:after="100" w:line="252" w:lineRule="auto"/>
      </w:pPr>
      <w:r>
        <w:t>As an NBFC, Fedfina operates within RBI directions and applicable company, securities-market, consumer-protection and data-protection requirements. Listed-company obligations include timely financial reporting, governance disclosures, investor communication and related SEBI regulations.</w:t>
      </w:r>
    </w:p>
    <w:p w14:paraId="0BA69A87" w14:textId="77777777" w:rsidR="00144D82" w:rsidRDefault="00000000">
      <w:pPr>
        <w:spacing w:after="100" w:line="252" w:lineRule="auto"/>
      </w:pPr>
      <w:r>
        <w:t>Regulation shapes capital, provisioning, liquidity, fair practices, outsourcing, customer grievance redressal, digital lending, cybersecurity and gold-loan operations. Compliance is therefore integrated with business design.</w:t>
      </w:r>
    </w:p>
    <w:p w14:paraId="1182D19C" w14:textId="77777777" w:rsidR="00144D82" w:rsidRDefault="00000000">
      <w:r>
        <w:br w:type="page"/>
      </w:r>
    </w:p>
    <w:p w14:paraId="62B019B9" w14:textId="77777777" w:rsidR="00144D82" w:rsidRDefault="00000000">
      <w:pPr>
        <w:pStyle w:val="Heading1"/>
        <w:spacing w:after="80"/>
      </w:pPr>
      <w:r>
        <w:lastRenderedPageBreak/>
        <w:t>Industry Opportunities</w:t>
      </w:r>
    </w:p>
    <w:p w14:paraId="18D7B60F" w14:textId="77777777" w:rsidR="00144D82" w:rsidRDefault="00000000">
      <w:pPr>
        <w:pStyle w:val="ListBullet"/>
        <w:spacing w:after="40" w:line="240" w:lineRule="auto"/>
      </w:pPr>
      <w:r>
        <w:rPr>
          <w:sz w:val="18"/>
        </w:rPr>
        <w:t>Underpenetrated formal credit among self-employed and small businesses.</w:t>
      </w:r>
    </w:p>
    <w:p w14:paraId="26702DD9" w14:textId="77777777" w:rsidR="00144D82" w:rsidRDefault="00000000">
      <w:pPr>
        <w:pStyle w:val="ListBullet"/>
        <w:spacing w:after="40" w:line="240" w:lineRule="auto"/>
      </w:pPr>
      <w:r>
        <w:rPr>
          <w:sz w:val="18"/>
        </w:rPr>
        <w:t>Growth of gold-loan demand as customers seek fast, collateral-backed liquidity.</w:t>
      </w:r>
    </w:p>
    <w:p w14:paraId="389BB3DA" w14:textId="77777777" w:rsidR="00144D82" w:rsidRDefault="00000000">
      <w:pPr>
        <w:pStyle w:val="ListBullet"/>
        <w:spacing w:after="40" w:line="240" w:lineRule="auto"/>
      </w:pPr>
      <w:r>
        <w:rPr>
          <w:sz w:val="18"/>
        </w:rPr>
        <w:t>Digital public infrastructure and analytics enabling faster underwriting.</w:t>
      </w:r>
    </w:p>
    <w:p w14:paraId="484F79C0" w14:textId="77777777" w:rsidR="00144D82" w:rsidRDefault="00000000">
      <w:pPr>
        <w:pStyle w:val="ListBullet"/>
        <w:spacing w:after="40" w:line="240" w:lineRule="auto"/>
      </w:pPr>
      <w:r>
        <w:rPr>
          <w:sz w:val="18"/>
        </w:rPr>
        <w:t>Cross-sell and deeper relationships across a growing branch network.</w:t>
      </w:r>
    </w:p>
    <w:p w14:paraId="2BFEA680" w14:textId="77777777" w:rsidR="00144D82" w:rsidRDefault="00000000">
      <w:pPr>
        <w:pStyle w:val="ListBullet"/>
        <w:spacing w:after="40" w:line="240" w:lineRule="auto"/>
      </w:pPr>
      <w:r>
        <w:rPr>
          <w:sz w:val="18"/>
        </w:rPr>
        <w:t>Co-location and operating leverage through shared infrastructure.</w:t>
      </w:r>
    </w:p>
    <w:p w14:paraId="6346379E" w14:textId="77777777" w:rsidR="00144D82" w:rsidRDefault="00000000">
      <w:pPr>
        <w:pStyle w:val="ListBullet"/>
        <w:spacing w:after="40" w:line="240" w:lineRule="auto"/>
      </w:pPr>
      <w:r>
        <w:rPr>
          <w:sz w:val="18"/>
        </w:rPr>
        <w:t>Potential to improve inclusion while preserving secured risk characteristics.</w:t>
      </w:r>
    </w:p>
    <w:p w14:paraId="17D08E4E" w14:textId="77777777" w:rsidR="00144D82" w:rsidRDefault="00000000">
      <w:r>
        <w:br w:type="page"/>
      </w:r>
    </w:p>
    <w:p w14:paraId="36EFFB03" w14:textId="77777777" w:rsidR="00144D82" w:rsidRDefault="00000000">
      <w:pPr>
        <w:pStyle w:val="Heading1"/>
        <w:spacing w:after="80"/>
      </w:pPr>
      <w:r>
        <w:lastRenderedPageBreak/>
        <w:t>Industry Challenges</w:t>
      </w:r>
    </w:p>
    <w:p w14:paraId="2F7D702B" w14:textId="77777777" w:rsidR="00144D82" w:rsidRDefault="00000000">
      <w:pPr>
        <w:pStyle w:val="ListBullet"/>
        <w:spacing w:after="40" w:line="240" w:lineRule="auto"/>
      </w:pPr>
      <w:r>
        <w:rPr>
          <w:sz w:val="18"/>
        </w:rPr>
        <w:t>Funding-cost volatility and refinancing concentration.</w:t>
      </w:r>
    </w:p>
    <w:p w14:paraId="7A44DF6F" w14:textId="77777777" w:rsidR="00144D82" w:rsidRDefault="00000000">
      <w:pPr>
        <w:pStyle w:val="ListBullet"/>
        <w:spacing w:after="40" w:line="240" w:lineRule="auto"/>
      </w:pPr>
      <w:r>
        <w:rPr>
          <w:sz w:val="18"/>
        </w:rPr>
        <w:t>Asset-quality stress among small businesses and informal borrowers.</w:t>
      </w:r>
    </w:p>
    <w:p w14:paraId="3F3C9FE8" w14:textId="77777777" w:rsidR="00144D82" w:rsidRDefault="00000000">
      <w:pPr>
        <w:pStyle w:val="ListBullet"/>
        <w:spacing w:after="40" w:line="240" w:lineRule="auto"/>
      </w:pPr>
      <w:r>
        <w:rPr>
          <w:sz w:val="18"/>
        </w:rPr>
        <w:t>Aggressive competition and pressure on yields.</w:t>
      </w:r>
    </w:p>
    <w:p w14:paraId="13CF676B" w14:textId="77777777" w:rsidR="00144D82" w:rsidRDefault="00000000">
      <w:pPr>
        <w:pStyle w:val="ListBullet"/>
        <w:spacing w:after="40" w:line="240" w:lineRule="auto"/>
      </w:pPr>
      <w:r>
        <w:rPr>
          <w:sz w:val="18"/>
        </w:rPr>
        <w:t>Cybersecurity, fraud, privacy and operational-control risk.</w:t>
      </w:r>
    </w:p>
    <w:p w14:paraId="16BF2913" w14:textId="77777777" w:rsidR="00144D82" w:rsidRDefault="00000000">
      <w:pPr>
        <w:pStyle w:val="ListBullet"/>
        <w:spacing w:after="40" w:line="240" w:lineRule="auto"/>
      </w:pPr>
      <w:r>
        <w:rPr>
          <w:sz w:val="18"/>
        </w:rPr>
        <w:t>Regulatory changes affecting LTV, provisioning or customer processes.</w:t>
      </w:r>
    </w:p>
    <w:p w14:paraId="3E977008" w14:textId="77777777" w:rsidR="00144D82" w:rsidRDefault="00000000">
      <w:pPr>
        <w:pStyle w:val="ListBullet"/>
        <w:spacing w:after="40" w:line="240" w:lineRule="auto"/>
      </w:pPr>
      <w:r>
        <w:rPr>
          <w:sz w:val="18"/>
        </w:rPr>
        <w:t>Gold-price, interest-rate and liquidity shocks.</w:t>
      </w:r>
    </w:p>
    <w:p w14:paraId="52B1AA3D" w14:textId="77777777" w:rsidR="00144D82" w:rsidRDefault="00000000">
      <w:r>
        <w:br w:type="page"/>
      </w:r>
    </w:p>
    <w:p w14:paraId="04DCBD02" w14:textId="77777777" w:rsidR="00144D82" w:rsidRDefault="00000000">
      <w:pPr>
        <w:pStyle w:val="Heading1"/>
        <w:spacing w:after="80"/>
      </w:pPr>
      <w:r>
        <w:lastRenderedPageBreak/>
        <w:t>Porter’s Five Forces</w:t>
      </w:r>
    </w:p>
    <w:p w14:paraId="234B96D9" w14:textId="77777777" w:rsidR="00144D82" w:rsidRDefault="00000000">
      <w:pPr>
        <w:spacing w:after="100" w:line="252" w:lineRule="auto"/>
      </w:pPr>
      <w:r>
        <w:t>Rivalry is high because banks and specialised lenders compete for similar customers. Buyer power is moderate to high for good borrowers because alternatives are available. Supplier power is represented by funding providers and capital markets and becomes stronger during stress. Substitutes include informal credit, banks, fintech and self-financing. Entry barriers are meaningful because trust, capital, compliance and collections are difficult to build, although digital entrants can scale quickly.</w:t>
      </w:r>
    </w:p>
    <w:p w14:paraId="25E6C140" w14:textId="77777777" w:rsidR="00144D82" w:rsidRDefault="00000000">
      <w:r>
        <w:br w:type="page"/>
      </w:r>
    </w:p>
    <w:p w14:paraId="2090737E" w14:textId="77777777" w:rsidR="00144D82" w:rsidRDefault="00000000">
      <w:pPr>
        <w:pStyle w:val="Heading1"/>
        <w:spacing w:after="80"/>
      </w:pPr>
      <w:r>
        <w:lastRenderedPageBreak/>
        <w:t>PESTLE Analysis</w:t>
      </w:r>
    </w:p>
    <w:tbl>
      <w:tblPr>
        <w:tblStyle w:val="TableGrid"/>
        <w:tblW w:w="0" w:type="auto"/>
        <w:jc w:val="center"/>
        <w:tblLook w:val="04A0" w:firstRow="1" w:lastRow="0" w:firstColumn="1" w:lastColumn="0" w:noHBand="0" w:noVBand="1"/>
      </w:tblPr>
      <w:tblGrid>
        <w:gridCol w:w="5078"/>
        <w:gridCol w:w="5078"/>
      </w:tblGrid>
      <w:tr w:rsidR="00144D82" w14:paraId="0623C212" w14:textId="77777777">
        <w:trPr>
          <w:jc w:val="center"/>
        </w:trPr>
        <w:tc>
          <w:tcPr>
            <w:tcW w:w="5083" w:type="dxa"/>
            <w:shd w:val="clear" w:color="auto" w:fill="123A63"/>
            <w:vAlign w:val="center"/>
          </w:tcPr>
          <w:p w14:paraId="60AB67F0" w14:textId="77777777" w:rsidR="00144D82" w:rsidRDefault="00000000">
            <w:r>
              <w:rPr>
                <w:b/>
                <w:color w:val="FFFFFF"/>
                <w:sz w:val="16"/>
              </w:rPr>
              <w:t>Factor</w:t>
            </w:r>
          </w:p>
        </w:tc>
        <w:tc>
          <w:tcPr>
            <w:tcW w:w="5083" w:type="dxa"/>
            <w:shd w:val="clear" w:color="auto" w:fill="123A63"/>
            <w:vAlign w:val="center"/>
          </w:tcPr>
          <w:p w14:paraId="2ABF40C0" w14:textId="77777777" w:rsidR="00144D82" w:rsidRDefault="00000000">
            <w:r>
              <w:rPr>
                <w:b/>
                <w:color w:val="FFFFFF"/>
                <w:sz w:val="16"/>
              </w:rPr>
              <w:t>Implication for Fedfina</w:t>
            </w:r>
          </w:p>
        </w:tc>
      </w:tr>
      <w:tr w:rsidR="00144D82" w14:paraId="459021A9" w14:textId="77777777">
        <w:trPr>
          <w:jc w:val="center"/>
        </w:trPr>
        <w:tc>
          <w:tcPr>
            <w:tcW w:w="5083" w:type="dxa"/>
            <w:vAlign w:val="center"/>
          </w:tcPr>
          <w:p w14:paraId="24D8E87C" w14:textId="77777777" w:rsidR="00144D82" w:rsidRDefault="00000000">
            <w:r>
              <w:rPr>
                <w:sz w:val="16"/>
              </w:rPr>
              <w:t>Political / policy</w:t>
            </w:r>
          </w:p>
        </w:tc>
        <w:tc>
          <w:tcPr>
            <w:tcW w:w="5083" w:type="dxa"/>
            <w:vAlign w:val="center"/>
          </w:tcPr>
          <w:p w14:paraId="305B9C83" w14:textId="77777777" w:rsidR="00144D82" w:rsidRDefault="00000000">
            <w:r>
              <w:rPr>
                <w:sz w:val="16"/>
              </w:rPr>
              <w:t>Financial inclusion, MSME and housing priorities can support demand</w:t>
            </w:r>
          </w:p>
        </w:tc>
      </w:tr>
      <w:tr w:rsidR="00144D82" w14:paraId="7A81D122" w14:textId="77777777">
        <w:trPr>
          <w:jc w:val="center"/>
        </w:trPr>
        <w:tc>
          <w:tcPr>
            <w:tcW w:w="5083" w:type="dxa"/>
            <w:vAlign w:val="center"/>
          </w:tcPr>
          <w:p w14:paraId="45682297" w14:textId="77777777" w:rsidR="00144D82" w:rsidRDefault="00000000">
            <w:r>
              <w:rPr>
                <w:sz w:val="16"/>
              </w:rPr>
              <w:t>Economic</w:t>
            </w:r>
          </w:p>
        </w:tc>
        <w:tc>
          <w:tcPr>
            <w:tcW w:w="5083" w:type="dxa"/>
            <w:vAlign w:val="center"/>
          </w:tcPr>
          <w:p w14:paraId="4703DEA9" w14:textId="77777777" w:rsidR="00144D82" w:rsidRDefault="00000000">
            <w:r>
              <w:rPr>
                <w:sz w:val="16"/>
              </w:rPr>
              <w:t>Rates, employment, income, liquidity and collateral values affect performance</w:t>
            </w:r>
          </w:p>
        </w:tc>
      </w:tr>
      <w:tr w:rsidR="00144D82" w14:paraId="35DE35D6" w14:textId="77777777">
        <w:trPr>
          <w:jc w:val="center"/>
        </w:trPr>
        <w:tc>
          <w:tcPr>
            <w:tcW w:w="5083" w:type="dxa"/>
            <w:vAlign w:val="center"/>
          </w:tcPr>
          <w:p w14:paraId="6140FA17" w14:textId="77777777" w:rsidR="00144D82" w:rsidRDefault="00000000">
            <w:r>
              <w:rPr>
                <w:sz w:val="16"/>
              </w:rPr>
              <w:t>Social</w:t>
            </w:r>
          </w:p>
        </w:tc>
        <w:tc>
          <w:tcPr>
            <w:tcW w:w="5083" w:type="dxa"/>
            <w:vAlign w:val="center"/>
          </w:tcPr>
          <w:p w14:paraId="14C71E33" w14:textId="77777777" w:rsidR="00144D82" w:rsidRDefault="00000000">
            <w:r>
              <w:rPr>
                <w:sz w:val="16"/>
              </w:rPr>
              <w:t>Gold ownership, entrepreneurship and trust influence product adoption</w:t>
            </w:r>
          </w:p>
        </w:tc>
      </w:tr>
      <w:tr w:rsidR="00144D82" w14:paraId="434A1385" w14:textId="77777777">
        <w:trPr>
          <w:jc w:val="center"/>
        </w:trPr>
        <w:tc>
          <w:tcPr>
            <w:tcW w:w="5083" w:type="dxa"/>
            <w:vAlign w:val="center"/>
          </w:tcPr>
          <w:p w14:paraId="28C42C22" w14:textId="77777777" w:rsidR="00144D82" w:rsidRDefault="00000000">
            <w:r>
              <w:rPr>
                <w:sz w:val="16"/>
              </w:rPr>
              <w:t>Technology</w:t>
            </w:r>
          </w:p>
        </w:tc>
        <w:tc>
          <w:tcPr>
            <w:tcW w:w="5083" w:type="dxa"/>
            <w:vAlign w:val="center"/>
          </w:tcPr>
          <w:p w14:paraId="08DDE295" w14:textId="77777777" w:rsidR="00144D82" w:rsidRDefault="00000000">
            <w:r>
              <w:rPr>
                <w:sz w:val="16"/>
              </w:rPr>
              <w:t>Automation improves service; cyber and model risks rise</w:t>
            </w:r>
          </w:p>
        </w:tc>
      </w:tr>
      <w:tr w:rsidR="00144D82" w14:paraId="1B971583" w14:textId="77777777">
        <w:trPr>
          <w:jc w:val="center"/>
        </w:trPr>
        <w:tc>
          <w:tcPr>
            <w:tcW w:w="5083" w:type="dxa"/>
            <w:vAlign w:val="center"/>
          </w:tcPr>
          <w:p w14:paraId="0BDBA14C" w14:textId="77777777" w:rsidR="00144D82" w:rsidRDefault="00000000">
            <w:r>
              <w:rPr>
                <w:sz w:val="16"/>
              </w:rPr>
              <w:t>Legal</w:t>
            </w:r>
          </w:p>
        </w:tc>
        <w:tc>
          <w:tcPr>
            <w:tcW w:w="5083" w:type="dxa"/>
            <w:vAlign w:val="center"/>
          </w:tcPr>
          <w:p w14:paraId="03C79B22" w14:textId="77777777" w:rsidR="00144D82" w:rsidRDefault="00000000">
            <w:r>
              <w:rPr>
                <w:sz w:val="16"/>
              </w:rPr>
              <w:t>RBI, SEBI, consumer, data and company-law compliance is critical</w:t>
            </w:r>
          </w:p>
        </w:tc>
      </w:tr>
      <w:tr w:rsidR="00144D82" w14:paraId="0FA82359" w14:textId="77777777">
        <w:trPr>
          <w:jc w:val="center"/>
        </w:trPr>
        <w:tc>
          <w:tcPr>
            <w:tcW w:w="5083" w:type="dxa"/>
            <w:vAlign w:val="center"/>
          </w:tcPr>
          <w:p w14:paraId="0E20F1DF" w14:textId="77777777" w:rsidR="00144D82" w:rsidRDefault="00000000">
            <w:r>
              <w:rPr>
                <w:sz w:val="16"/>
              </w:rPr>
              <w:t>Environmental</w:t>
            </w:r>
          </w:p>
        </w:tc>
        <w:tc>
          <w:tcPr>
            <w:tcW w:w="5083" w:type="dxa"/>
            <w:vAlign w:val="center"/>
          </w:tcPr>
          <w:p w14:paraId="20EBC318" w14:textId="77777777" w:rsidR="00144D82" w:rsidRDefault="00000000">
            <w:r>
              <w:rPr>
                <w:sz w:val="16"/>
              </w:rPr>
              <w:t>Climate and disaster events may affect branches, borrowers and operations</w:t>
            </w:r>
          </w:p>
        </w:tc>
      </w:tr>
    </w:tbl>
    <w:p w14:paraId="4060C694" w14:textId="77777777" w:rsidR="00144D82" w:rsidRDefault="00000000">
      <w:r>
        <w:br w:type="page"/>
      </w:r>
    </w:p>
    <w:p w14:paraId="5BAEECE9" w14:textId="77777777" w:rsidR="00144D82" w:rsidRDefault="00000000">
      <w:pPr>
        <w:pStyle w:val="Heading1"/>
        <w:spacing w:after="80"/>
      </w:pPr>
      <w:r>
        <w:lastRenderedPageBreak/>
        <w:t>Chapter 4 — Fundamental Analysis</w:t>
      </w:r>
    </w:p>
    <w:p w14:paraId="60C39BFB" w14:textId="77777777" w:rsidR="00144D82" w:rsidRDefault="00000000">
      <w:pPr>
        <w:spacing w:after="100" w:line="252" w:lineRule="auto"/>
      </w:pPr>
      <w:r>
        <w:t>Fundamental analysis evaluates the economic, industry, company and financial drivers of value. For a lender, the analysis must extend beyond sales and margins to net interest income, spread, cost of funds, credit cost, capital, liquidity, asset quality and return on equity.</w:t>
      </w:r>
    </w:p>
    <w:p w14:paraId="4B43D741" w14:textId="77777777" w:rsidR="00144D82" w:rsidRDefault="00000000">
      <w:pPr>
        <w:spacing w:after="100" w:line="252" w:lineRule="auto"/>
      </w:pPr>
      <w:r>
        <w:t>The E-I-C sequence—Economy, Industry and Company—helps avoid analysing the company in isolation. Ratio analysis then connects strategy to reported outcomes.</w:t>
      </w:r>
    </w:p>
    <w:p w14:paraId="04A5C81C" w14:textId="77777777" w:rsidR="00144D82" w:rsidRDefault="00000000">
      <w:r>
        <w:br w:type="page"/>
      </w:r>
    </w:p>
    <w:p w14:paraId="66FA986F" w14:textId="77777777" w:rsidR="00144D82" w:rsidRDefault="00000000">
      <w:pPr>
        <w:pStyle w:val="Heading1"/>
        <w:spacing w:after="80"/>
      </w:pPr>
      <w:r>
        <w:lastRenderedPageBreak/>
        <w:t>Economy–Industry–Company Framework</w:t>
      </w:r>
    </w:p>
    <w:p w14:paraId="36B6D85B" w14:textId="77777777" w:rsidR="00144D82" w:rsidRDefault="00000000">
      <w:pPr>
        <w:spacing w:after="100" w:line="252" w:lineRule="auto"/>
      </w:pPr>
      <w:r>
        <w:t>Economy: assess growth, rates, inflation, employment, liquidity and regulation. Industry: assess credit demand, competition, funding and asset-quality trends. Company: assess products, underwriting, management, governance, funding, technology and profitability.</w:t>
      </w:r>
    </w:p>
    <w:p w14:paraId="1F96E278" w14:textId="77777777" w:rsidR="00144D82" w:rsidRDefault="00000000">
      <w:pPr>
        <w:spacing w:after="100" w:line="252" w:lineRule="auto"/>
      </w:pPr>
      <w:r>
        <w:t>The framework is useful because a strong company can still face a weak cycle, while an attractive industry can be damaged by poor execution.</w:t>
      </w:r>
    </w:p>
    <w:p w14:paraId="7A7ACD0A" w14:textId="77777777" w:rsidR="00144D82" w:rsidRDefault="00000000">
      <w:r>
        <w:br w:type="page"/>
      </w:r>
    </w:p>
    <w:p w14:paraId="5418E25B" w14:textId="77777777" w:rsidR="00144D82" w:rsidRDefault="00000000">
      <w:pPr>
        <w:pStyle w:val="Heading1"/>
        <w:spacing w:after="80"/>
      </w:pPr>
      <w:r>
        <w:lastRenderedPageBreak/>
        <w:t>Financial Statements of an NBFC</w:t>
      </w:r>
    </w:p>
    <w:p w14:paraId="59B0A249" w14:textId="77777777" w:rsidR="00144D82" w:rsidRDefault="00000000">
      <w:pPr>
        <w:spacing w:after="100" w:line="252" w:lineRule="auto"/>
      </w:pPr>
      <w:r>
        <w:t>The income statement captures interest income, finance costs, net interest income, fee income, operating expenses, impairment and profit. The balance sheet shows loan assets, investments, cash, borrowings, equity and provisions. Cash-flow and ALM information explain liquidity.</w:t>
      </w:r>
    </w:p>
    <w:p w14:paraId="684EB391" w14:textId="77777777" w:rsidR="00144D82" w:rsidRDefault="00000000">
      <w:pPr>
        <w:spacing w:after="100" w:line="252" w:lineRule="auto"/>
      </w:pPr>
      <w:r>
        <w:t>Analysts should read notes to accounts, asset-quality tables, borrowing maturity, capital adequacy, related parties, contingent liabilities and auditor observations. Headline profit without these details is incomplete.</w:t>
      </w:r>
    </w:p>
    <w:p w14:paraId="2E4BB4D8" w14:textId="77777777" w:rsidR="00144D82" w:rsidRDefault="00000000">
      <w:r>
        <w:br w:type="page"/>
      </w:r>
    </w:p>
    <w:p w14:paraId="29657CEA" w14:textId="77777777" w:rsidR="00144D82" w:rsidRDefault="00000000">
      <w:pPr>
        <w:pStyle w:val="Heading1"/>
        <w:spacing w:after="80"/>
      </w:pPr>
      <w:r>
        <w:lastRenderedPageBreak/>
        <w:t>Ratio Analysis Framework</w:t>
      </w:r>
    </w:p>
    <w:tbl>
      <w:tblPr>
        <w:tblStyle w:val="TableGrid"/>
        <w:tblW w:w="0" w:type="auto"/>
        <w:jc w:val="center"/>
        <w:tblLook w:val="04A0" w:firstRow="1" w:lastRow="0" w:firstColumn="1" w:lastColumn="0" w:noHBand="0" w:noVBand="1"/>
      </w:tblPr>
      <w:tblGrid>
        <w:gridCol w:w="5078"/>
        <w:gridCol w:w="5078"/>
      </w:tblGrid>
      <w:tr w:rsidR="00144D82" w14:paraId="2A7CBC30" w14:textId="77777777">
        <w:trPr>
          <w:jc w:val="center"/>
        </w:trPr>
        <w:tc>
          <w:tcPr>
            <w:tcW w:w="5083" w:type="dxa"/>
            <w:shd w:val="clear" w:color="auto" w:fill="123A63"/>
            <w:vAlign w:val="center"/>
          </w:tcPr>
          <w:p w14:paraId="3575EA8F" w14:textId="77777777" w:rsidR="00144D82" w:rsidRDefault="00000000">
            <w:r>
              <w:rPr>
                <w:b/>
                <w:color w:val="FFFFFF"/>
                <w:sz w:val="16"/>
              </w:rPr>
              <w:t>Ratio</w:t>
            </w:r>
          </w:p>
        </w:tc>
        <w:tc>
          <w:tcPr>
            <w:tcW w:w="5083" w:type="dxa"/>
            <w:shd w:val="clear" w:color="auto" w:fill="123A63"/>
            <w:vAlign w:val="center"/>
          </w:tcPr>
          <w:p w14:paraId="07B449B8" w14:textId="77777777" w:rsidR="00144D82" w:rsidRDefault="00000000">
            <w:r>
              <w:rPr>
                <w:b/>
                <w:color w:val="FFFFFF"/>
                <w:sz w:val="16"/>
              </w:rPr>
              <w:t>Interpretation in a lender</w:t>
            </w:r>
          </w:p>
        </w:tc>
      </w:tr>
      <w:tr w:rsidR="00144D82" w14:paraId="7BD3FB3D" w14:textId="77777777">
        <w:trPr>
          <w:jc w:val="center"/>
        </w:trPr>
        <w:tc>
          <w:tcPr>
            <w:tcW w:w="5083" w:type="dxa"/>
            <w:vAlign w:val="center"/>
          </w:tcPr>
          <w:p w14:paraId="0E4C3497" w14:textId="77777777" w:rsidR="00144D82" w:rsidRDefault="00000000">
            <w:r>
              <w:rPr>
                <w:sz w:val="16"/>
              </w:rPr>
              <w:t>ROA</w:t>
            </w:r>
          </w:p>
        </w:tc>
        <w:tc>
          <w:tcPr>
            <w:tcW w:w="5083" w:type="dxa"/>
            <w:vAlign w:val="center"/>
          </w:tcPr>
          <w:p w14:paraId="1C8A2C58" w14:textId="77777777" w:rsidR="00144D82" w:rsidRDefault="00000000">
            <w:r>
              <w:rPr>
                <w:sz w:val="16"/>
              </w:rPr>
              <w:t>Profitability relative to average assets</w:t>
            </w:r>
          </w:p>
        </w:tc>
      </w:tr>
      <w:tr w:rsidR="00144D82" w14:paraId="1272C3ED" w14:textId="77777777">
        <w:trPr>
          <w:jc w:val="center"/>
        </w:trPr>
        <w:tc>
          <w:tcPr>
            <w:tcW w:w="5083" w:type="dxa"/>
            <w:vAlign w:val="center"/>
          </w:tcPr>
          <w:p w14:paraId="0E5A5A1C" w14:textId="77777777" w:rsidR="00144D82" w:rsidRDefault="00000000">
            <w:r>
              <w:rPr>
                <w:sz w:val="16"/>
              </w:rPr>
              <w:t>ROE / RONW</w:t>
            </w:r>
          </w:p>
        </w:tc>
        <w:tc>
          <w:tcPr>
            <w:tcW w:w="5083" w:type="dxa"/>
            <w:vAlign w:val="center"/>
          </w:tcPr>
          <w:p w14:paraId="3B3F9CE5" w14:textId="77777777" w:rsidR="00144D82" w:rsidRDefault="00000000">
            <w:r>
              <w:rPr>
                <w:sz w:val="16"/>
              </w:rPr>
              <w:t>Profitability generated on shareholders’ capital</w:t>
            </w:r>
          </w:p>
        </w:tc>
      </w:tr>
      <w:tr w:rsidR="00144D82" w14:paraId="3CFDCB0D" w14:textId="77777777">
        <w:trPr>
          <w:jc w:val="center"/>
        </w:trPr>
        <w:tc>
          <w:tcPr>
            <w:tcW w:w="5083" w:type="dxa"/>
            <w:vAlign w:val="center"/>
          </w:tcPr>
          <w:p w14:paraId="57D3208E" w14:textId="77777777" w:rsidR="00144D82" w:rsidRDefault="00000000">
            <w:r>
              <w:rPr>
                <w:sz w:val="16"/>
              </w:rPr>
              <w:t>Cost-to-income</w:t>
            </w:r>
          </w:p>
        </w:tc>
        <w:tc>
          <w:tcPr>
            <w:tcW w:w="5083" w:type="dxa"/>
            <w:vAlign w:val="center"/>
          </w:tcPr>
          <w:p w14:paraId="5994D009" w14:textId="77777777" w:rsidR="00144D82" w:rsidRDefault="00000000">
            <w:r>
              <w:rPr>
                <w:sz w:val="16"/>
              </w:rPr>
              <w:t>Operating efficiency, excluding credit-cycle distortions</w:t>
            </w:r>
          </w:p>
        </w:tc>
      </w:tr>
      <w:tr w:rsidR="00144D82" w14:paraId="453D20B7" w14:textId="77777777">
        <w:trPr>
          <w:jc w:val="center"/>
        </w:trPr>
        <w:tc>
          <w:tcPr>
            <w:tcW w:w="5083" w:type="dxa"/>
            <w:vAlign w:val="center"/>
          </w:tcPr>
          <w:p w14:paraId="6F638D22" w14:textId="77777777" w:rsidR="00144D82" w:rsidRDefault="00000000">
            <w:r>
              <w:rPr>
                <w:sz w:val="16"/>
              </w:rPr>
              <w:t>GNPA / NNPA</w:t>
            </w:r>
          </w:p>
        </w:tc>
        <w:tc>
          <w:tcPr>
            <w:tcW w:w="5083" w:type="dxa"/>
            <w:vAlign w:val="center"/>
          </w:tcPr>
          <w:p w14:paraId="592A4244" w14:textId="77777777" w:rsidR="00144D82" w:rsidRDefault="00000000">
            <w:r>
              <w:rPr>
                <w:sz w:val="16"/>
              </w:rPr>
              <w:t>Gross and net credit stress</w:t>
            </w:r>
          </w:p>
        </w:tc>
      </w:tr>
      <w:tr w:rsidR="00144D82" w14:paraId="7691B68D" w14:textId="77777777">
        <w:trPr>
          <w:jc w:val="center"/>
        </w:trPr>
        <w:tc>
          <w:tcPr>
            <w:tcW w:w="5083" w:type="dxa"/>
            <w:vAlign w:val="center"/>
          </w:tcPr>
          <w:p w14:paraId="551CE98A" w14:textId="77777777" w:rsidR="00144D82" w:rsidRDefault="00000000">
            <w:r>
              <w:rPr>
                <w:sz w:val="16"/>
              </w:rPr>
              <w:t>Credit cost</w:t>
            </w:r>
          </w:p>
        </w:tc>
        <w:tc>
          <w:tcPr>
            <w:tcW w:w="5083" w:type="dxa"/>
            <w:vAlign w:val="center"/>
          </w:tcPr>
          <w:p w14:paraId="513843E6" w14:textId="77777777" w:rsidR="00144D82" w:rsidRDefault="00000000">
            <w:r>
              <w:rPr>
                <w:sz w:val="16"/>
              </w:rPr>
              <w:t>Provision and loss burden relative to loans</w:t>
            </w:r>
          </w:p>
        </w:tc>
      </w:tr>
      <w:tr w:rsidR="00144D82" w14:paraId="692D83C4" w14:textId="77777777">
        <w:trPr>
          <w:jc w:val="center"/>
        </w:trPr>
        <w:tc>
          <w:tcPr>
            <w:tcW w:w="5083" w:type="dxa"/>
            <w:vAlign w:val="center"/>
          </w:tcPr>
          <w:p w14:paraId="4F1543EC" w14:textId="77777777" w:rsidR="00144D82" w:rsidRDefault="00000000">
            <w:r>
              <w:rPr>
                <w:sz w:val="16"/>
              </w:rPr>
              <w:t>CRAR</w:t>
            </w:r>
          </w:p>
        </w:tc>
        <w:tc>
          <w:tcPr>
            <w:tcW w:w="5083" w:type="dxa"/>
            <w:vAlign w:val="center"/>
          </w:tcPr>
          <w:p w14:paraId="7DDB8295" w14:textId="77777777" w:rsidR="00144D82" w:rsidRDefault="00000000">
            <w:r>
              <w:rPr>
                <w:sz w:val="16"/>
              </w:rPr>
              <w:t>Capital buffer against risk-weighted assets</w:t>
            </w:r>
          </w:p>
        </w:tc>
      </w:tr>
      <w:tr w:rsidR="00144D82" w14:paraId="52D71273" w14:textId="77777777">
        <w:trPr>
          <w:jc w:val="center"/>
        </w:trPr>
        <w:tc>
          <w:tcPr>
            <w:tcW w:w="5083" w:type="dxa"/>
            <w:vAlign w:val="center"/>
          </w:tcPr>
          <w:p w14:paraId="1224D6F0" w14:textId="77777777" w:rsidR="00144D82" w:rsidRDefault="00000000">
            <w:r>
              <w:rPr>
                <w:sz w:val="16"/>
              </w:rPr>
              <w:t>Debt-equity</w:t>
            </w:r>
          </w:p>
        </w:tc>
        <w:tc>
          <w:tcPr>
            <w:tcW w:w="5083" w:type="dxa"/>
            <w:vAlign w:val="center"/>
          </w:tcPr>
          <w:p w14:paraId="2A567BC6" w14:textId="77777777" w:rsidR="00144D82" w:rsidRDefault="00000000">
            <w:r>
              <w:rPr>
                <w:sz w:val="16"/>
              </w:rPr>
              <w:t>Funding leverage and balance-sheet risk</w:t>
            </w:r>
          </w:p>
        </w:tc>
      </w:tr>
      <w:tr w:rsidR="00144D82" w14:paraId="6972AE94" w14:textId="77777777">
        <w:trPr>
          <w:jc w:val="center"/>
        </w:trPr>
        <w:tc>
          <w:tcPr>
            <w:tcW w:w="5083" w:type="dxa"/>
            <w:vAlign w:val="center"/>
          </w:tcPr>
          <w:p w14:paraId="1FEBB679" w14:textId="77777777" w:rsidR="00144D82" w:rsidRDefault="00000000">
            <w:r>
              <w:rPr>
                <w:sz w:val="16"/>
              </w:rPr>
              <w:t>Spread / yield</w:t>
            </w:r>
          </w:p>
        </w:tc>
        <w:tc>
          <w:tcPr>
            <w:tcW w:w="5083" w:type="dxa"/>
            <w:vAlign w:val="center"/>
          </w:tcPr>
          <w:p w14:paraId="30C3FAA1" w14:textId="77777777" w:rsidR="00144D82" w:rsidRDefault="00000000">
            <w:r>
              <w:rPr>
                <w:sz w:val="16"/>
              </w:rPr>
              <w:t>Pricing after cost of funds and portfolio mix</w:t>
            </w:r>
          </w:p>
        </w:tc>
      </w:tr>
    </w:tbl>
    <w:p w14:paraId="6FA05787" w14:textId="77777777" w:rsidR="00144D82" w:rsidRDefault="00000000">
      <w:r>
        <w:br w:type="page"/>
      </w:r>
    </w:p>
    <w:p w14:paraId="754AC83B" w14:textId="77777777" w:rsidR="00144D82" w:rsidRDefault="00000000">
      <w:pPr>
        <w:pStyle w:val="Heading1"/>
        <w:spacing w:after="80"/>
      </w:pPr>
      <w:r>
        <w:lastRenderedPageBreak/>
        <w:t>Quality of Earnings</w:t>
      </w:r>
    </w:p>
    <w:p w14:paraId="50F078BE" w14:textId="77777777" w:rsidR="00144D82" w:rsidRDefault="00000000">
      <w:pPr>
        <w:spacing w:after="100" w:line="252" w:lineRule="auto"/>
      </w:pPr>
      <w:r>
        <w:t>Quality of earnings improves when profit is supported by recurring net interest income, controlled operating expenses, sustainable credit costs and adequate provisioning. FY 2025–26 PAT increased 52.6% to ₹343.6 crore, while NII grew 15%. The improvement should therefore be read with the previous-year recalibration and the company’s shift toward secured lending.</w:t>
      </w:r>
    </w:p>
    <w:p w14:paraId="3454EDDC" w14:textId="77777777" w:rsidR="00144D82" w:rsidRDefault="00000000">
      <w:pPr>
        <w:spacing w:after="100" w:line="252" w:lineRule="auto"/>
      </w:pPr>
      <w:r>
        <w:t>One-year improvement is encouraging, but the durability of earnings depends on branch productivity, funding cost, asset quality and the performance of the new book.</w:t>
      </w:r>
    </w:p>
    <w:p w14:paraId="3935ECC9" w14:textId="77777777" w:rsidR="00144D82" w:rsidRDefault="00000000">
      <w:r>
        <w:br w:type="page"/>
      </w:r>
    </w:p>
    <w:p w14:paraId="64C9A905" w14:textId="77777777" w:rsidR="00144D82" w:rsidRDefault="00000000">
      <w:pPr>
        <w:pStyle w:val="Heading1"/>
        <w:spacing w:after="80"/>
      </w:pPr>
      <w:r>
        <w:lastRenderedPageBreak/>
        <w:t>Chapter 5 — Financial Snapshot</w:t>
      </w:r>
    </w:p>
    <w:tbl>
      <w:tblPr>
        <w:tblStyle w:val="TableGrid"/>
        <w:tblW w:w="0" w:type="auto"/>
        <w:jc w:val="center"/>
        <w:tblLook w:val="04A0" w:firstRow="1" w:lastRow="0" w:firstColumn="1" w:lastColumn="0" w:noHBand="0" w:noVBand="1"/>
      </w:tblPr>
      <w:tblGrid>
        <w:gridCol w:w="2539"/>
        <w:gridCol w:w="2539"/>
        <w:gridCol w:w="2539"/>
        <w:gridCol w:w="2539"/>
      </w:tblGrid>
      <w:tr w:rsidR="00144D82" w14:paraId="6754A975" w14:textId="77777777">
        <w:trPr>
          <w:jc w:val="center"/>
        </w:trPr>
        <w:tc>
          <w:tcPr>
            <w:tcW w:w="2541" w:type="dxa"/>
            <w:shd w:val="clear" w:color="auto" w:fill="123A63"/>
            <w:vAlign w:val="center"/>
          </w:tcPr>
          <w:p w14:paraId="27660207" w14:textId="77777777" w:rsidR="00144D82" w:rsidRDefault="00000000">
            <w:r>
              <w:rPr>
                <w:b/>
                <w:color w:val="FFFFFF"/>
                <w:sz w:val="16"/>
              </w:rPr>
              <w:t>Particulars (₹ lakh unless stated)</w:t>
            </w:r>
          </w:p>
        </w:tc>
        <w:tc>
          <w:tcPr>
            <w:tcW w:w="2541" w:type="dxa"/>
            <w:shd w:val="clear" w:color="auto" w:fill="123A63"/>
            <w:vAlign w:val="center"/>
          </w:tcPr>
          <w:p w14:paraId="0F689EE3" w14:textId="77777777" w:rsidR="00144D82" w:rsidRDefault="00000000">
            <w:r>
              <w:rPr>
                <w:b/>
                <w:color w:val="FFFFFF"/>
                <w:sz w:val="16"/>
              </w:rPr>
              <w:t>FY25</w:t>
            </w:r>
          </w:p>
        </w:tc>
        <w:tc>
          <w:tcPr>
            <w:tcW w:w="2541" w:type="dxa"/>
            <w:shd w:val="clear" w:color="auto" w:fill="123A63"/>
            <w:vAlign w:val="center"/>
          </w:tcPr>
          <w:p w14:paraId="3BA423DC" w14:textId="77777777" w:rsidR="00144D82" w:rsidRDefault="00000000">
            <w:r>
              <w:rPr>
                <w:b/>
                <w:color w:val="FFFFFF"/>
                <w:sz w:val="16"/>
              </w:rPr>
              <w:t>FY26</w:t>
            </w:r>
          </w:p>
        </w:tc>
        <w:tc>
          <w:tcPr>
            <w:tcW w:w="2541" w:type="dxa"/>
            <w:shd w:val="clear" w:color="auto" w:fill="123A63"/>
            <w:vAlign w:val="center"/>
          </w:tcPr>
          <w:p w14:paraId="23008E02" w14:textId="77777777" w:rsidR="00144D82" w:rsidRDefault="00000000">
            <w:r>
              <w:rPr>
                <w:b/>
                <w:color w:val="FFFFFF"/>
                <w:sz w:val="16"/>
              </w:rPr>
              <w:t>Change / FY26</w:t>
            </w:r>
          </w:p>
        </w:tc>
      </w:tr>
      <w:tr w:rsidR="00144D82" w14:paraId="1EFA5E1A" w14:textId="77777777">
        <w:trPr>
          <w:jc w:val="center"/>
        </w:trPr>
        <w:tc>
          <w:tcPr>
            <w:tcW w:w="2541" w:type="dxa"/>
            <w:vAlign w:val="center"/>
          </w:tcPr>
          <w:p w14:paraId="35F5D954" w14:textId="77777777" w:rsidR="00144D82" w:rsidRDefault="00000000">
            <w:r>
              <w:rPr>
                <w:sz w:val="16"/>
              </w:rPr>
              <w:t>Total revenue</w:t>
            </w:r>
          </w:p>
        </w:tc>
        <w:tc>
          <w:tcPr>
            <w:tcW w:w="2541" w:type="dxa"/>
            <w:vAlign w:val="center"/>
          </w:tcPr>
          <w:p w14:paraId="339F2D9A" w14:textId="77777777" w:rsidR="00144D82" w:rsidRDefault="00000000">
            <w:r>
              <w:rPr>
                <w:sz w:val="16"/>
              </w:rPr>
              <w:t>207,982</w:t>
            </w:r>
          </w:p>
        </w:tc>
        <w:tc>
          <w:tcPr>
            <w:tcW w:w="2541" w:type="dxa"/>
            <w:vAlign w:val="center"/>
          </w:tcPr>
          <w:p w14:paraId="7CA54EB9" w14:textId="77777777" w:rsidR="00144D82" w:rsidRDefault="00000000">
            <w:r>
              <w:rPr>
                <w:sz w:val="16"/>
              </w:rPr>
              <w:t>222,661</w:t>
            </w:r>
          </w:p>
        </w:tc>
        <w:tc>
          <w:tcPr>
            <w:tcW w:w="2541" w:type="dxa"/>
            <w:vAlign w:val="center"/>
          </w:tcPr>
          <w:p w14:paraId="6CCA10FB" w14:textId="77777777" w:rsidR="00144D82" w:rsidRDefault="00000000">
            <w:r>
              <w:rPr>
                <w:sz w:val="16"/>
              </w:rPr>
              <w:t>+7%</w:t>
            </w:r>
          </w:p>
        </w:tc>
      </w:tr>
      <w:tr w:rsidR="00144D82" w14:paraId="44F5741D" w14:textId="77777777">
        <w:trPr>
          <w:jc w:val="center"/>
        </w:trPr>
        <w:tc>
          <w:tcPr>
            <w:tcW w:w="2541" w:type="dxa"/>
            <w:vAlign w:val="center"/>
          </w:tcPr>
          <w:p w14:paraId="05F8DB19" w14:textId="77777777" w:rsidR="00144D82" w:rsidRDefault="00000000">
            <w:r>
              <w:rPr>
                <w:sz w:val="16"/>
              </w:rPr>
              <w:t>Net interest income</w:t>
            </w:r>
          </w:p>
        </w:tc>
        <w:tc>
          <w:tcPr>
            <w:tcW w:w="2541" w:type="dxa"/>
            <w:vAlign w:val="center"/>
          </w:tcPr>
          <w:p w14:paraId="36FA04C8" w14:textId="77777777" w:rsidR="00144D82" w:rsidRDefault="00000000">
            <w:r>
              <w:rPr>
                <w:sz w:val="16"/>
              </w:rPr>
              <w:t>107,080</w:t>
            </w:r>
          </w:p>
        </w:tc>
        <w:tc>
          <w:tcPr>
            <w:tcW w:w="2541" w:type="dxa"/>
            <w:vAlign w:val="center"/>
          </w:tcPr>
          <w:p w14:paraId="30963710" w14:textId="77777777" w:rsidR="00144D82" w:rsidRDefault="00000000">
            <w:r>
              <w:rPr>
                <w:sz w:val="16"/>
              </w:rPr>
              <w:t>122,975</w:t>
            </w:r>
          </w:p>
        </w:tc>
        <w:tc>
          <w:tcPr>
            <w:tcW w:w="2541" w:type="dxa"/>
            <w:vAlign w:val="center"/>
          </w:tcPr>
          <w:p w14:paraId="0DCB2274" w14:textId="77777777" w:rsidR="00144D82" w:rsidRDefault="00000000">
            <w:r>
              <w:rPr>
                <w:sz w:val="16"/>
              </w:rPr>
              <w:t>+15%</w:t>
            </w:r>
          </w:p>
        </w:tc>
      </w:tr>
      <w:tr w:rsidR="00144D82" w14:paraId="65E800AA" w14:textId="77777777">
        <w:trPr>
          <w:jc w:val="center"/>
        </w:trPr>
        <w:tc>
          <w:tcPr>
            <w:tcW w:w="2541" w:type="dxa"/>
            <w:vAlign w:val="center"/>
          </w:tcPr>
          <w:p w14:paraId="17744A50" w14:textId="77777777" w:rsidR="00144D82" w:rsidRDefault="00000000">
            <w:r>
              <w:rPr>
                <w:sz w:val="16"/>
              </w:rPr>
              <w:t>Fees and other income</w:t>
            </w:r>
          </w:p>
        </w:tc>
        <w:tc>
          <w:tcPr>
            <w:tcW w:w="2541" w:type="dxa"/>
            <w:vAlign w:val="center"/>
          </w:tcPr>
          <w:p w14:paraId="6353A75E" w14:textId="77777777" w:rsidR="00144D82" w:rsidRDefault="00000000">
            <w:r>
              <w:rPr>
                <w:sz w:val="16"/>
              </w:rPr>
              <w:t>15,524</w:t>
            </w:r>
          </w:p>
        </w:tc>
        <w:tc>
          <w:tcPr>
            <w:tcW w:w="2541" w:type="dxa"/>
            <w:vAlign w:val="center"/>
          </w:tcPr>
          <w:p w14:paraId="1B48A5DB" w14:textId="77777777" w:rsidR="00144D82" w:rsidRDefault="00000000">
            <w:r>
              <w:rPr>
                <w:sz w:val="16"/>
              </w:rPr>
              <w:t>11,754</w:t>
            </w:r>
          </w:p>
        </w:tc>
        <w:tc>
          <w:tcPr>
            <w:tcW w:w="2541" w:type="dxa"/>
            <w:vAlign w:val="center"/>
          </w:tcPr>
          <w:p w14:paraId="4D0F7AD4" w14:textId="77777777" w:rsidR="00144D82" w:rsidRDefault="00000000">
            <w:r>
              <w:rPr>
                <w:sz w:val="16"/>
              </w:rPr>
              <w:t>Lower</w:t>
            </w:r>
          </w:p>
        </w:tc>
      </w:tr>
      <w:tr w:rsidR="00144D82" w14:paraId="061CC8E2" w14:textId="77777777">
        <w:trPr>
          <w:jc w:val="center"/>
        </w:trPr>
        <w:tc>
          <w:tcPr>
            <w:tcW w:w="2541" w:type="dxa"/>
            <w:vAlign w:val="center"/>
          </w:tcPr>
          <w:p w14:paraId="106E57F2" w14:textId="77777777" w:rsidR="00144D82" w:rsidRDefault="00000000">
            <w:r>
              <w:rPr>
                <w:sz w:val="16"/>
              </w:rPr>
              <w:t>PBT</w:t>
            </w:r>
          </w:p>
        </w:tc>
        <w:tc>
          <w:tcPr>
            <w:tcW w:w="2541" w:type="dxa"/>
            <w:vAlign w:val="center"/>
          </w:tcPr>
          <w:p w14:paraId="74309EC0" w14:textId="77777777" w:rsidR="00144D82" w:rsidRDefault="00000000">
            <w:r>
              <w:rPr>
                <w:sz w:val="16"/>
              </w:rPr>
              <w:t>30,375</w:t>
            </w:r>
          </w:p>
        </w:tc>
        <w:tc>
          <w:tcPr>
            <w:tcW w:w="2541" w:type="dxa"/>
            <w:vAlign w:val="center"/>
          </w:tcPr>
          <w:p w14:paraId="084722AA" w14:textId="77777777" w:rsidR="00144D82" w:rsidRDefault="00000000">
            <w:r>
              <w:rPr>
                <w:sz w:val="16"/>
              </w:rPr>
              <w:t>46,101</w:t>
            </w:r>
          </w:p>
        </w:tc>
        <w:tc>
          <w:tcPr>
            <w:tcW w:w="2541" w:type="dxa"/>
            <w:vAlign w:val="center"/>
          </w:tcPr>
          <w:p w14:paraId="2C09916D" w14:textId="77777777" w:rsidR="00144D82" w:rsidRDefault="00000000">
            <w:r>
              <w:rPr>
                <w:sz w:val="16"/>
              </w:rPr>
              <w:t>+52%</w:t>
            </w:r>
          </w:p>
        </w:tc>
      </w:tr>
      <w:tr w:rsidR="00144D82" w14:paraId="2BD4121D" w14:textId="77777777">
        <w:trPr>
          <w:jc w:val="center"/>
        </w:trPr>
        <w:tc>
          <w:tcPr>
            <w:tcW w:w="2541" w:type="dxa"/>
            <w:vAlign w:val="center"/>
          </w:tcPr>
          <w:p w14:paraId="1953481E" w14:textId="77777777" w:rsidR="00144D82" w:rsidRDefault="00000000">
            <w:r>
              <w:rPr>
                <w:sz w:val="16"/>
              </w:rPr>
              <w:t>Net profit</w:t>
            </w:r>
          </w:p>
        </w:tc>
        <w:tc>
          <w:tcPr>
            <w:tcW w:w="2541" w:type="dxa"/>
            <w:vAlign w:val="center"/>
          </w:tcPr>
          <w:p w14:paraId="2B025B5A" w14:textId="77777777" w:rsidR="00144D82" w:rsidRDefault="00000000">
            <w:r>
              <w:rPr>
                <w:sz w:val="16"/>
              </w:rPr>
              <w:t>22,518</w:t>
            </w:r>
          </w:p>
        </w:tc>
        <w:tc>
          <w:tcPr>
            <w:tcW w:w="2541" w:type="dxa"/>
            <w:vAlign w:val="center"/>
          </w:tcPr>
          <w:p w14:paraId="147744DE" w14:textId="77777777" w:rsidR="00144D82" w:rsidRDefault="00000000">
            <w:r>
              <w:rPr>
                <w:sz w:val="16"/>
              </w:rPr>
              <w:t>34,360</w:t>
            </w:r>
          </w:p>
        </w:tc>
        <w:tc>
          <w:tcPr>
            <w:tcW w:w="2541" w:type="dxa"/>
            <w:vAlign w:val="center"/>
          </w:tcPr>
          <w:p w14:paraId="3E99C2D4" w14:textId="77777777" w:rsidR="00144D82" w:rsidRDefault="00000000">
            <w:r>
              <w:rPr>
                <w:sz w:val="16"/>
              </w:rPr>
              <w:t>+53%</w:t>
            </w:r>
          </w:p>
        </w:tc>
      </w:tr>
      <w:tr w:rsidR="00144D82" w14:paraId="4250BE78" w14:textId="77777777">
        <w:trPr>
          <w:jc w:val="center"/>
        </w:trPr>
        <w:tc>
          <w:tcPr>
            <w:tcW w:w="2541" w:type="dxa"/>
            <w:vAlign w:val="center"/>
          </w:tcPr>
          <w:p w14:paraId="01C7A6E0" w14:textId="77777777" w:rsidR="00144D82" w:rsidRDefault="00000000">
            <w:r>
              <w:rPr>
                <w:sz w:val="16"/>
              </w:rPr>
              <w:t>Total advances</w:t>
            </w:r>
          </w:p>
        </w:tc>
        <w:tc>
          <w:tcPr>
            <w:tcW w:w="2541" w:type="dxa"/>
            <w:vAlign w:val="center"/>
          </w:tcPr>
          <w:p w14:paraId="635985A9" w14:textId="77777777" w:rsidR="00144D82" w:rsidRDefault="00000000">
            <w:r>
              <w:rPr>
                <w:sz w:val="16"/>
              </w:rPr>
              <w:t>1,164,637</w:t>
            </w:r>
          </w:p>
        </w:tc>
        <w:tc>
          <w:tcPr>
            <w:tcW w:w="2541" w:type="dxa"/>
            <w:vAlign w:val="center"/>
          </w:tcPr>
          <w:p w14:paraId="7C699DA1" w14:textId="77777777" w:rsidR="00144D82" w:rsidRDefault="00000000">
            <w:r>
              <w:rPr>
                <w:sz w:val="16"/>
              </w:rPr>
              <w:t>1,431,885</w:t>
            </w:r>
          </w:p>
        </w:tc>
        <w:tc>
          <w:tcPr>
            <w:tcW w:w="2541" w:type="dxa"/>
            <w:vAlign w:val="center"/>
          </w:tcPr>
          <w:p w14:paraId="7AD11648" w14:textId="77777777" w:rsidR="00144D82" w:rsidRDefault="00000000">
            <w:r>
              <w:rPr>
                <w:sz w:val="16"/>
              </w:rPr>
              <w:t>+23%</w:t>
            </w:r>
          </w:p>
        </w:tc>
      </w:tr>
      <w:tr w:rsidR="00144D82" w14:paraId="51BA39D7" w14:textId="77777777">
        <w:trPr>
          <w:jc w:val="center"/>
        </w:trPr>
        <w:tc>
          <w:tcPr>
            <w:tcW w:w="2541" w:type="dxa"/>
            <w:vAlign w:val="center"/>
          </w:tcPr>
          <w:p w14:paraId="2EA7D43E" w14:textId="77777777" w:rsidR="00144D82" w:rsidRDefault="00000000">
            <w:r>
              <w:rPr>
                <w:sz w:val="16"/>
              </w:rPr>
              <w:t>Borrowings</w:t>
            </w:r>
          </w:p>
        </w:tc>
        <w:tc>
          <w:tcPr>
            <w:tcW w:w="2541" w:type="dxa"/>
            <w:vAlign w:val="center"/>
          </w:tcPr>
          <w:p w14:paraId="77860F69" w14:textId="77777777" w:rsidR="00144D82" w:rsidRDefault="00000000">
            <w:r>
              <w:rPr>
                <w:sz w:val="16"/>
              </w:rPr>
              <w:t>1,026,866</w:t>
            </w:r>
          </w:p>
        </w:tc>
        <w:tc>
          <w:tcPr>
            <w:tcW w:w="2541" w:type="dxa"/>
            <w:vAlign w:val="center"/>
          </w:tcPr>
          <w:p w14:paraId="6D0A1485" w14:textId="77777777" w:rsidR="00144D82" w:rsidRDefault="00000000">
            <w:r>
              <w:rPr>
                <w:sz w:val="16"/>
              </w:rPr>
              <w:t>1,348,413</w:t>
            </w:r>
          </w:p>
        </w:tc>
        <w:tc>
          <w:tcPr>
            <w:tcW w:w="2541" w:type="dxa"/>
            <w:vAlign w:val="center"/>
          </w:tcPr>
          <w:p w14:paraId="36C22961" w14:textId="77777777" w:rsidR="00144D82" w:rsidRDefault="00000000">
            <w:r>
              <w:rPr>
                <w:sz w:val="16"/>
              </w:rPr>
              <w:t>+31%</w:t>
            </w:r>
          </w:p>
        </w:tc>
      </w:tr>
      <w:tr w:rsidR="00144D82" w14:paraId="17B82131" w14:textId="77777777">
        <w:trPr>
          <w:jc w:val="center"/>
        </w:trPr>
        <w:tc>
          <w:tcPr>
            <w:tcW w:w="2541" w:type="dxa"/>
            <w:vAlign w:val="center"/>
          </w:tcPr>
          <w:p w14:paraId="7049D182" w14:textId="77777777" w:rsidR="00144D82" w:rsidRDefault="00000000">
            <w:r>
              <w:rPr>
                <w:sz w:val="16"/>
              </w:rPr>
              <w:t>Total assets</w:t>
            </w:r>
          </w:p>
        </w:tc>
        <w:tc>
          <w:tcPr>
            <w:tcW w:w="2541" w:type="dxa"/>
            <w:vAlign w:val="center"/>
          </w:tcPr>
          <w:p w14:paraId="5AF7515A" w14:textId="77777777" w:rsidR="00144D82" w:rsidRDefault="00000000">
            <w:r>
              <w:rPr>
                <w:sz w:val="16"/>
              </w:rPr>
              <w:t>1,324,970</w:t>
            </w:r>
          </w:p>
        </w:tc>
        <w:tc>
          <w:tcPr>
            <w:tcW w:w="2541" w:type="dxa"/>
            <w:vAlign w:val="center"/>
          </w:tcPr>
          <w:p w14:paraId="5CF8BD8A" w14:textId="77777777" w:rsidR="00144D82" w:rsidRDefault="00000000">
            <w:r>
              <w:rPr>
                <w:sz w:val="16"/>
              </w:rPr>
              <w:t>1,687,478</w:t>
            </w:r>
          </w:p>
        </w:tc>
        <w:tc>
          <w:tcPr>
            <w:tcW w:w="2541" w:type="dxa"/>
            <w:vAlign w:val="center"/>
          </w:tcPr>
          <w:p w14:paraId="4D8C3AC9" w14:textId="77777777" w:rsidR="00144D82" w:rsidRDefault="00000000">
            <w:r>
              <w:rPr>
                <w:sz w:val="16"/>
              </w:rPr>
              <w:t>+27%</w:t>
            </w:r>
          </w:p>
        </w:tc>
      </w:tr>
      <w:tr w:rsidR="00144D82" w14:paraId="7F4974CB" w14:textId="77777777">
        <w:trPr>
          <w:jc w:val="center"/>
        </w:trPr>
        <w:tc>
          <w:tcPr>
            <w:tcW w:w="2541" w:type="dxa"/>
            <w:vAlign w:val="center"/>
          </w:tcPr>
          <w:p w14:paraId="0DDE050F" w14:textId="77777777" w:rsidR="00144D82" w:rsidRDefault="00000000">
            <w:r>
              <w:rPr>
                <w:sz w:val="16"/>
              </w:rPr>
              <w:t>Net worth</w:t>
            </w:r>
          </w:p>
        </w:tc>
        <w:tc>
          <w:tcPr>
            <w:tcW w:w="2541" w:type="dxa"/>
            <w:vAlign w:val="center"/>
          </w:tcPr>
          <w:p w14:paraId="1974C307" w14:textId="77777777" w:rsidR="00144D82" w:rsidRDefault="00000000">
            <w:r>
              <w:rPr>
                <w:sz w:val="16"/>
              </w:rPr>
              <w:t>254,736</w:t>
            </w:r>
          </w:p>
        </w:tc>
        <w:tc>
          <w:tcPr>
            <w:tcW w:w="2541" w:type="dxa"/>
            <w:vAlign w:val="center"/>
          </w:tcPr>
          <w:p w14:paraId="2F6AAE53" w14:textId="77777777" w:rsidR="00144D82" w:rsidRDefault="00000000">
            <w:r>
              <w:rPr>
                <w:sz w:val="16"/>
              </w:rPr>
              <w:t>292,610</w:t>
            </w:r>
          </w:p>
        </w:tc>
        <w:tc>
          <w:tcPr>
            <w:tcW w:w="2541" w:type="dxa"/>
            <w:vAlign w:val="center"/>
          </w:tcPr>
          <w:p w14:paraId="2AAE6445" w14:textId="77777777" w:rsidR="00144D82" w:rsidRDefault="00000000">
            <w:r>
              <w:rPr>
                <w:sz w:val="16"/>
              </w:rPr>
              <w:t>+15%</w:t>
            </w:r>
          </w:p>
        </w:tc>
      </w:tr>
    </w:tbl>
    <w:p w14:paraId="401285C2" w14:textId="77777777" w:rsidR="00144D82" w:rsidRDefault="00000000">
      <w:r>
        <w:br w:type="page"/>
      </w:r>
    </w:p>
    <w:p w14:paraId="21A2409D" w14:textId="77777777" w:rsidR="00144D82" w:rsidRDefault="00000000">
      <w:pPr>
        <w:pStyle w:val="Heading1"/>
        <w:spacing w:after="80"/>
      </w:pPr>
      <w:r>
        <w:lastRenderedPageBreak/>
        <w:t>Five-Year AUM and PAT Trend</w:t>
      </w:r>
    </w:p>
    <w:tbl>
      <w:tblPr>
        <w:tblStyle w:val="TableGrid"/>
        <w:tblW w:w="0" w:type="auto"/>
        <w:jc w:val="center"/>
        <w:tblLook w:val="04A0" w:firstRow="1" w:lastRow="0" w:firstColumn="1" w:lastColumn="0" w:noHBand="0" w:noVBand="1"/>
      </w:tblPr>
      <w:tblGrid>
        <w:gridCol w:w="3386"/>
        <w:gridCol w:w="3385"/>
        <w:gridCol w:w="3385"/>
      </w:tblGrid>
      <w:tr w:rsidR="00144D82" w14:paraId="6AB8F90F" w14:textId="77777777">
        <w:trPr>
          <w:jc w:val="center"/>
        </w:trPr>
        <w:tc>
          <w:tcPr>
            <w:tcW w:w="3389" w:type="dxa"/>
            <w:shd w:val="clear" w:color="auto" w:fill="123A63"/>
            <w:vAlign w:val="center"/>
          </w:tcPr>
          <w:p w14:paraId="68959868" w14:textId="77777777" w:rsidR="00144D82" w:rsidRDefault="00000000">
            <w:r>
              <w:rPr>
                <w:b/>
                <w:color w:val="FFFFFF"/>
                <w:sz w:val="16"/>
              </w:rPr>
              <w:t>Year</w:t>
            </w:r>
          </w:p>
        </w:tc>
        <w:tc>
          <w:tcPr>
            <w:tcW w:w="3389" w:type="dxa"/>
            <w:shd w:val="clear" w:color="auto" w:fill="123A63"/>
            <w:vAlign w:val="center"/>
          </w:tcPr>
          <w:p w14:paraId="4E04B1A9" w14:textId="77777777" w:rsidR="00144D82" w:rsidRDefault="00000000">
            <w:r>
              <w:rPr>
                <w:b/>
                <w:color w:val="FFFFFF"/>
                <w:sz w:val="16"/>
              </w:rPr>
              <w:t>AUM (₹ million)</w:t>
            </w:r>
          </w:p>
        </w:tc>
        <w:tc>
          <w:tcPr>
            <w:tcW w:w="3389" w:type="dxa"/>
            <w:shd w:val="clear" w:color="auto" w:fill="123A63"/>
            <w:vAlign w:val="center"/>
          </w:tcPr>
          <w:p w14:paraId="25207F1B" w14:textId="77777777" w:rsidR="00144D82" w:rsidRDefault="00000000">
            <w:r>
              <w:rPr>
                <w:b/>
                <w:color w:val="FFFFFF"/>
                <w:sz w:val="16"/>
              </w:rPr>
              <w:t>PAT (₹ million)</w:t>
            </w:r>
          </w:p>
        </w:tc>
      </w:tr>
      <w:tr w:rsidR="00144D82" w14:paraId="48F02B78" w14:textId="77777777">
        <w:trPr>
          <w:jc w:val="center"/>
        </w:trPr>
        <w:tc>
          <w:tcPr>
            <w:tcW w:w="3389" w:type="dxa"/>
            <w:vAlign w:val="center"/>
          </w:tcPr>
          <w:p w14:paraId="5537B4E0" w14:textId="77777777" w:rsidR="00144D82" w:rsidRDefault="00000000">
            <w:r>
              <w:rPr>
                <w:sz w:val="16"/>
              </w:rPr>
              <w:t>FY22</w:t>
            </w:r>
          </w:p>
        </w:tc>
        <w:tc>
          <w:tcPr>
            <w:tcW w:w="3389" w:type="dxa"/>
            <w:vAlign w:val="center"/>
          </w:tcPr>
          <w:p w14:paraId="5522DBF3" w14:textId="77777777" w:rsidR="00144D82" w:rsidRDefault="00000000">
            <w:r>
              <w:rPr>
                <w:sz w:val="16"/>
              </w:rPr>
              <w:t>61,872</w:t>
            </w:r>
          </w:p>
        </w:tc>
        <w:tc>
          <w:tcPr>
            <w:tcW w:w="3389" w:type="dxa"/>
            <w:vAlign w:val="center"/>
          </w:tcPr>
          <w:p w14:paraId="355CECAB" w14:textId="77777777" w:rsidR="00144D82" w:rsidRDefault="00000000">
            <w:r>
              <w:rPr>
                <w:sz w:val="16"/>
              </w:rPr>
              <w:t>1,035</w:t>
            </w:r>
          </w:p>
        </w:tc>
      </w:tr>
      <w:tr w:rsidR="00144D82" w14:paraId="7BF08EDF" w14:textId="77777777">
        <w:trPr>
          <w:jc w:val="center"/>
        </w:trPr>
        <w:tc>
          <w:tcPr>
            <w:tcW w:w="3389" w:type="dxa"/>
            <w:vAlign w:val="center"/>
          </w:tcPr>
          <w:p w14:paraId="40C08225" w14:textId="77777777" w:rsidR="00144D82" w:rsidRDefault="00000000">
            <w:r>
              <w:rPr>
                <w:sz w:val="16"/>
              </w:rPr>
              <w:t>FY23</w:t>
            </w:r>
          </w:p>
        </w:tc>
        <w:tc>
          <w:tcPr>
            <w:tcW w:w="3389" w:type="dxa"/>
            <w:vAlign w:val="center"/>
          </w:tcPr>
          <w:p w14:paraId="344DA055" w14:textId="77777777" w:rsidR="00144D82" w:rsidRDefault="00000000">
            <w:r>
              <w:rPr>
                <w:sz w:val="16"/>
              </w:rPr>
              <w:t>90,696</w:t>
            </w:r>
          </w:p>
        </w:tc>
        <w:tc>
          <w:tcPr>
            <w:tcW w:w="3389" w:type="dxa"/>
            <w:vAlign w:val="center"/>
          </w:tcPr>
          <w:p w14:paraId="210C9D05" w14:textId="77777777" w:rsidR="00144D82" w:rsidRDefault="00000000">
            <w:r>
              <w:rPr>
                <w:sz w:val="16"/>
              </w:rPr>
              <w:t>1,801</w:t>
            </w:r>
          </w:p>
        </w:tc>
      </w:tr>
      <w:tr w:rsidR="00144D82" w14:paraId="10E96C39" w14:textId="77777777">
        <w:trPr>
          <w:jc w:val="center"/>
        </w:trPr>
        <w:tc>
          <w:tcPr>
            <w:tcW w:w="3389" w:type="dxa"/>
            <w:vAlign w:val="center"/>
          </w:tcPr>
          <w:p w14:paraId="56A5FAD8" w14:textId="77777777" w:rsidR="00144D82" w:rsidRDefault="00000000">
            <w:r>
              <w:rPr>
                <w:sz w:val="16"/>
              </w:rPr>
              <w:t>FY24</w:t>
            </w:r>
          </w:p>
        </w:tc>
        <w:tc>
          <w:tcPr>
            <w:tcW w:w="3389" w:type="dxa"/>
            <w:vAlign w:val="center"/>
          </w:tcPr>
          <w:p w14:paraId="389517CC" w14:textId="77777777" w:rsidR="00144D82" w:rsidRDefault="00000000">
            <w:r>
              <w:rPr>
                <w:sz w:val="16"/>
              </w:rPr>
              <w:t>1,21,919</w:t>
            </w:r>
          </w:p>
        </w:tc>
        <w:tc>
          <w:tcPr>
            <w:tcW w:w="3389" w:type="dxa"/>
            <w:vAlign w:val="center"/>
          </w:tcPr>
          <w:p w14:paraId="4ABEB318" w14:textId="77777777" w:rsidR="00144D82" w:rsidRDefault="00000000">
            <w:r>
              <w:rPr>
                <w:sz w:val="16"/>
              </w:rPr>
              <w:t>2,447</w:t>
            </w:r>
          </w:p>
        </w:tc>
      </w:tr>
      <w:tr w:rsidR="00144D82" w14:paraId="246355C4" w14:textId="77777777">
        <w:trPr>
          <w:jc w:val="center"/>
        </w:trPr>
        <w:tc>
          <w:tcPr>
            <w:tcW w:w="3389" w:type="dxa"/>
            <w:vAlign w:val="center"/>
          </w:tcPr>
          <w:p w14:paraId="65E98BA4" w14:textId="77777777" w:rsidR="00144D82" w:rsidRDefault="00000000">
            <w:r>
              <w:rPr>
                <w:sz w:val="16"/>
              </w:rPr>
              <w:t>FY25</w:t>
            </w:r>
          </w:p>
        </w:tc>
        <w:tc>
          <w:tcPr>
            <w:tcW w:w="3389" w:type="dxa"/>
            <w:vAlign w:val="center"/>
          </w:tcPr>
          <w:p w14:paraId="4B9EF09D" w14:textId="77777777" w:rsidR="00144D82" w:rsidRDefault="00000000">
            <w:r>
              <w:rPr>
                <w:sz w:val="16"/>
              </w:rPr>
              <w:t>1,58,115</w:t>
            </w:r>
          </w:p>
        </w:tc>
        <w:tc>
          <w:tcPr>
            <w:tcW w:w="3389" w:type="dxa"/>
            <w:vAlign w:val="center"/>
          </w:tcPr>
          <w:p w14:paraId="2B818F4D" w14:textId="77777777" w:rsidR="00144D82" w:rsidRDefault="00000000">
            <w:r>
              <w:rPr>
                <w:sz w:val="16"/>
              </w:rPr>
              <w:t>2,252</w:t>
            </w:r>
          </w:p>
        </w:tc>
      </w:tr>
      <w:tr w:rsidR="00144D82" w14:paraId="32901758" w14:textId="77777777">
        <w:trPr>
          <w:jc w:val="center"/>
        </w:trPr>
        <w:tc>
          <w:tcPr>
            <w:tcW w:w="3389" w:type="dxa"/>
            <w:vAlign w:val="center"/>
          </w:tcPr>
          <w:p w14:paraId="11DDFD0C" w14:textId="77777777" w:rsidR="00144D82" w:rsidRDefault="00000000">
            <w:r>
              <w:rPr>
                <w:sz w:val="16"/>
              </w:rPr>
              <w:t>FY26</w:t>
            </w:r>
          </w:p>
        </w:tc>
        <w:tc>
          <w:tcPr>
            <w:tcW w:w="3389" w:type="dxa"/>
            <w:vAlign w:val="center"/>
          </w:tcPr>
          <w:p w14:paraId="0C417BB8" w14:textId="77777777" w:rsidR="00144D82" w:rsidRDefault="00000000">
            <w:r>
              <w:rPr>
                <w:sz w:val="16"/>
              </w:rPr>
              <w:t>2,01,530</w:t>
            </w:r>
          </w:p>
        </w:tc>
        <w:tc>
          <w:tcPr>
            <w:tcW w:w="3389" w:type="dxa"/>
            <w:vAlign w:val="center"/>
          </w:tcPr>
          <w:p w14:paraId="47340AD3" w14:textId="77777777" w:rsidR="00144D82" w:rsidRDefault="00000000">
            <w:r>
              <w:rPr>
                <w:sz w:val="16"/>
              </w:rPr>
              <w:t>3,436</w:t>
            </w:r>
          </w:p>
        </w:tc>
      </w:tr>
    </w:tbl>
    <w:p w14:paraId="5CDC6AE0" w14:textId="77777777" w:rsidR="00144D82" w:rsidRDefault="00000000">
      <w:r>
        <w:br w:type="page"/>
      </w:r>
    </w:p>
    <w:p w14:paraId="0EFD0066" w14:textId="77777777" w:rsidR="00144D82" w:rsidRDefault="00000000">
      <w:pPr>
        <w:pStyle w:val="Heading1"/>
        <w:spacing w:after="80"/>
      </w:pPr>
      <w:r>
        <w:lastRenderedPageBreak/>
        <w:t>Five-Year Profitability Trend</w:t>
      </w:r>
    </w:p>
    <w:tbl>
      <w:tblPr>
        <w:tblStyle w:val="TableGrid"/>
        <w:tblW w:w="0" w:type="auto"/>
        <w:jc w:val="center"/>
        <w:tblLook w:val="04A0" w:firstRow="1" w:lastRow="0" w:firstColumn="1" w:lastColumn="0" w:noHBand="0" w:noVBand="1"/>
      </w:tblPr>
      <w:tblGrid>
        <w:gridCol w:w="1692"/>
        <w:gridCol w:w="1692"/>
        <w:gridCol w:w="1693"/>
        <w:gridCol w:w="1693"/>
        <w:gridCol w:w="1693"/>
        <w:gridCol w:w="1693"/>
      </w:tblGrid>
      <w:tr w:rsidR="00144D82" w14:paraId="1C10883C" w14:textId="77777777">
        <w:trPr>
          <w:jc w:val="center"/>
        </w:trPr>
        <w:tc>
          <w:tcPr>
            <w:tcW w:w="1694" w:type="dxa"/>
            <w:shd w:val="clear" w:color="auto" w:fill="123A63"/>
            <w:vAlign w:val="center"/>
          </w:tcPr>
          <w:p w14:paraId="1B05078C" w14:textId="77777777" w:rsidR="00144D82" w:rsidRDefault="00000000">
            <w:r>
              <w:rPr>
                <w:b/>
                <w:color w:val="FFFFFF"/>
                <w:sz w:val="16"/>
              </w:rPr>
              <w:t>Metric</w:t>
            </w:r>
          </w:p>
        </w:tc>
        <w:tc>
          <w:tcPr>
            <w:tcW w:w="1694" w:type="dxa"/>
            <w:shd w:val="clear" w:color="auto" w:fill="123A63"/>
            <w:vAlign w:val="center"/>
          </w:tcPr>
          <w:p w14:paraId="2AFF4C12" w14:textId="77777777" w:rsidR="00144D82" w:rsidRDefault="00000000">
            <w:r>
              <w:rPr>
                <w:b/>
                <w:color w:val="FFFFFF"/>
                <w:sz w:val="16"/>
              </w:rPr>
              <w:t>FY22</w:t>
            </w:r>
          </w:p>
        </w:tc>
        <w:tc>
          <w:tcPr>
            <w:tcW w:w="1694" w:type="dxa"/>
            <w:shd w:val="clear" w:color="auto" w:fill="123A63"/>
            <w:vAlign w:val="center"/>
          </w:tcPr>
          <w:p w14:paraId="1F160996" w14:textId="77777777" w:rsidR="00144D82" w:rsidRDefault="00000000">
            <w:r>
              <w:rPr>
                <w:b/>
                <w:color w:val="FFFFFF"/>
                <w:sz w:val="16"/>
              </w:rPr>
              <w:t>FY23</w:t>
            </w:r>
          </w:p>
        </w:tc>
        <w:tc>
          <w:tcPr>
            <w:tcW w:w="1694" w:type="dxa"/>
            <w:shd w:val="clear" w:color="auto" w:fill="123A63"/>
            <w:vAlign w:val="center"/>
          </w:tcPr>
          <w:p w14:paraId="2B7A7811" w14:textId="77777777" w:rsidR="00144D82" w:rsidRDefault="00000000">
            <w:r>
              <w:rPr>
                <w:b/>
                <w:color w:val="FFFFFF"/>
                <w:sz w:val="16"/>
              </w:rPr>
              <w:t>FY24</w:t>
            </w:r>
          </w:p>
        </w:tc>
        <w:tc>
          <w:tcPr>
            <w:tcW w:w="1694" w:type="dxa"/>
            <w:shd w:val="clear" w:color="auto" w:fill="123A63"/>
            <w:vAlign w:val="center"/>
          </w:tcPr>
          <w:p w14:paraId="145CDCF9" w14:textId="77777777" w:rsidR="00144D82" w:rsidRDefault="00000000">
            <w:r>
              <w:rPr>
                <w:b/>
                <w:color w:val="FFFFFF"/>
                <w:sz w:val="16"/>
              </w:rPr>
              <w:t>FY25</w:t>
            </w:r>
          </w:p>
        </w:tc>
        <w:tc>
          <w:tcPr>
            <w:tcW w:w="1694" w:type="dxa"/>
            <w:shd w:val="clear" w:color="auto" w:fill="123A63"/>
            <w:vAlign w:val="center"/>
          </w:tcPr>
          <w:p w14:paraId="49960A28" w14:textId="77777777" w:rsidR="00144D82" w:rsidRDefault="00000000">
            <w:r>
              <w:rPr>
                <w:b/>
                <w:color w:val="FFFFFF"/>
                <w:sz w:val="16"/>
              </w:rPr>
              <w:t>FY26</w:t>
            </w:r>
          </w:p>
        </w:tc>
      </w:tr>
      <w:tr w:rsidR="00144D82" w14:paraId="61E17EF9" w14:textId="77777777">
        <w:trPr>
          <w:jc w:val="center"/>
        </w:trPr>
        <w:tc>
          <w:tcPr>
            <w:tcW w:w="1694" w:type="dxa"/>
            <w:vAlign w:val="center"/>
          </w:tcPr>
          <w:p w14:paraId="41472842" w14:textId="77777777" w:rsidR="00144D82" w:rsidRDefault="00000000">
            <w:r>
              <w:rPr>
                <w:sz w:val="16"/>
              </w:rPr>
              <w:t>ROA (%)</w:t>
            </w:r>
          </w:p>
        </w:tc>
        <w:tc>
          <w:tcPr>
            <w:tcW w:w="1694" w:type="dxa"/>
            <w:vAlign w:val="center"/>
          </w:tcPr>
          <w:p w14:paraId="61E04A3C" w14:textId="77777777" w:rsidR="00144D82" w:rsidRDefault="00000000">
            <w:r>
              <w:rPr>
                <w:sz w:val="16"/>
              </w:rPr>
              <w:t>1.8</w:t>
            </w:r>
          </w:p>
        </w:tc>
        <w:tc>
          <w:tcPr>
            <w:tcW w:w="1694" w:type="dxa"/>
            <w:vAlign w:val="center"/>
          </w:tcPr>
          <w:p w14:paraId="748CCCF7" w14:textId="77777777" w:rsidR="00144D82" w:rsidRDefault="00000000">
            <w:r>
              <w:rPr>
                <w:sz w:val="16"/>
              </w:rPr>
              <w:t>2.4</w:t>
            </w:r>
          </w:p>
        </w:tc>
        <w:tc>
          <w:tcPr>
            <w:tcW w:w="1694" w:type="dxa"/>
            <w:vAlign w:val="center"/>
          </w:tcPr>
          <w:p w14:paraId="58A01285" w14:textId="77777777" w:rsidR="00144D82" w:rsidRDefault="00000000">
            <w:r>
              <w:rPr>
                <w:sz w:val="16"/>
              </w:rPr>
              <w:t>2.4</w:t>
            </w:r>
          </w:p>
        </w:tc>
        <w:tc>
          <w:tcPr>
            <w:tcW w:w="1694" w:type="dxa"/>
            <w:vAlign w:val="center"/>
          </w:tcPr>
          <w:p w14:paraId="0FF35CA6" w14:textId="77777777" w:rsidR="00144D82" w:rsidRDefault="00000000">
            <w:r>
              <w:rPr>
                <w:sz w:val="16"/>
              </w:rPr>
              <w:t>1.7</w:t>
            </w:r>
          </w:p>
        </w:tc>
        <w:tc>
          <w:tcPr>
            <w:tcW w:w="1694" w:type="dxa"/>
            <w:vAlign w:val="center"/>
          </w:tcPr>
          <w:p w14:paraId="0636081A" w14:textId="77777777" w:rsidR="00144D82" w:rsidRDefault="00000000">
            <w:r>
              <w:rPr>
                <w:sz w:val="16"/>
              </w:rPr>
              <w:t>2.4</w:t>
            </w:r>
          </w:p>
        </w:tc>
      </w:tr>
      <w:tr w:rsidR="00144D82" w14:paraId="1AA104C4" w14:textId="77777777">
        <w:trPr>
          <w:jc w:val="center"/>
        </w:trPr>
        <w:tc>
          <w:tcPr>
            <w:tcW w:w="1694" w:type="dxa"/>
            <w:vAlign w:val="center"/>
          </w:tcPr>
          <w:p w14:paraId="22D0F2C5" w14:textId="77777777" w:rsidR="00144D82" w:rsidRDefault="00000000">
            <w:r>
              <w:rPr>
                <w:sz w:val="16"/>
              </w:rPr>
              <w:t>ROE (%)</w:t>
            </w:r>
          </w:p>
        </w:tc>
        <w:tc>
          <w:tcPr>
            <w:tcW w:w="1694" w:type="dxa"/>
            <w:vAlign w:val="center"/>
          </w:tcPr>
          <w:p w14:paraId="44FE4103" w14:textId="77777777" w:rsidR="00144D82" w:rsidRDefault="00000000">
            <w:r>
              <w:rPr>
                <w:sz w:val="16"/>
              </w:rPr>
              <w:t>9.4</w:t>
            </w:r>
          </w:p>
        </w:tc>
        <w:tc>
          <w:tcPr>
            <w:tcW w:w="1694" w:type="dxa"/>
            <w:vAlign w:val="center"/>
          </w:tcPr>
          <w:p w14:paraId="6910FAEF" w14:textId="77777777" w:rsidR="00144D82" w:rsidRDefault="00000000">
            <w:r>
              <w:rPr>
                <w:sz w:val="16"/>
              </w:rPr>
              <w:t>12.6</w:t>
            </w:r>
          </w:p>
        </w:tc>
        <w:tc>
          <w:tcPr>
            <w:tcW w:w="1694" w:type="dxa"/>
            <w:vAlign w:val="center"/>
          </w:tcPr>
          <w:p w14:paraId="4B77A3C7" w14:textId="77777777" w:rsidR="00144D82" w:rsidRDefault="00000000">
            <w:r>
              <w:rPr>
                <w:sz w:val="16"/>
              </w:rPr>
              <w:t>13.5</w:t>
            </w:r>
          </w:p>
        </w:tc>
        <w:tc>
          <w:tcPr>
            <w:tcW w:w="1694" w:type="dxa"/>
            <w:vAlign w:val="center"/>
          </w:tcPr>
          <w:p w14:paraId="47D2D3EC" w14:textId="77777777" w:rsidR="00144D82" w:rsidRDefault="00000000">
            <w:r>
              <w:rPr>
                <w:sz w:val="16"/>
              </w:rPr>
              <w:t>9.4</w:t>
            </w:r>
          </w:p>
        </w:tc>
        <w:tc>
          <w:tcPr>
            <w:tcW w:w="1694" w:type="dxa"/>
            <w:vAlign w:val="center"/>
          </w:tcPr>
          <w:p w14:paraId="7E18DB46" w14:textId="77777777" w:rsidR="00144D82" w:rsidRDefault="00000000">
            <w:r>
              <w:rPr>
                <w:sz w:val="16"/>
              </w:rPr>
              <w:t>12.6</w:t>
            </w:r>
          </w:p>
        </w:tc>
      </w:tr>
      <w:tr w:rsidR="00144D82" w14:paraId="4B004642" w14:textId="77777777">
        <w:trPr>
          <w:jc w:val="center"/>
        </w:trPr>
        <w:tc>
          <w:tcPr>
            <w:tcW w:w="1694" w:type="dxa"/>
            <w:vAlign w:val="center"/>
          </w:tcPr>
          <w:p w14:paraId="2E40A241" w14:textId="77777777" w:rsidR="00144D82" w:rsidRDefault="00000000">
            <w:r>
              <w:rPr>
                <w:sz w:val="16"/>
              </w:rPr>
              <w:t>Cost-to-income (%)</w:t>
            </w:r>
          </w:p>
        </w:tc>
        <w:tc>
          <w:tcPr>
            <w:tcW w:w="1694" w:type="dxa"/>
            <w:vAlign w:val="center"/>
          </w:tcPr>
          <w:p w14:paraId="009D634C" w14:textId="77777777" w:rsidR="00144D82" w:rsidRDefault="00000000">
            <w:r>
              <w:rPr>
                <w:sz w:val="16"/>
              </w:rPr>
              <w:t>57.6</w:t>
            </w:r>
          </w:p>
        </w:tc>
        <w:tc>
          <w:tcPr>
            <w:tcW w:w="1694" w:type="dxa"/>
            <w:vAlign w:val="center"/>
          </w:tcPr>
          <w:p w14:paraId="30F6F942" w14:textId="77777777" w:rsidR="00144D82" w:rsidRDefault="00000000">
            <w:r>
              <w:rPr>
                <w:sz w:val="16"/>
              </w:rPr>
              <w:t>57.2</w:t>
            </w:r>
          </w:p>
        </w:tc>
        <w:tc>
          <w:tcPr>
            <w:tcW w:w="1694" w:type="dxa"/>
            <w:vAlign w:val="center"/>
          </w:tcPr>
          <w:p w14:paraId="0DC5179F" w14:textId="77777777" w:rsidR="00144D82" w:rsidRDefault="00000000">
            <w:r>
              <w:rPr>
                <w:sz w:val="16"/>
              </w:rPr>
              <w:t>58.2</w:t>
            </w:r>
          </w:p>
        </w:tc>
        <w:tc>
          <w:tcPr>
            <w:tcW w:w="1694" w:type="dxa"/>
            <w:vAlign w:val="center"/>
          </w:tcPr>
          <w:p w14:paraId="5D27E80B" w14:textId="77777777" w:rsidR="00144D82" w:rsidRDefault="00000000">
            <w:r>
              <w:rPr>
                <w:sz w:val="16"/>
              </w:rPr>
              <w:t>58.6</w:t>
            </w:r>
          </w:p>
        </w:tc>
        <w:tc>
          <w:tcPr>
            <w:tcW w:w="1694" w:type="dxa"/>
            <w:vAlign w:val="center"/>
          </w:tcPr>
          <w:p w14:paraId="5EFDD5CF" w14:textId="77777777" w:rsidR="00144D82" w:rsidRDefault="00000000">
            <w:r>
              <w:rPr>
                <w:sz w:val="16"/>
              </w:rPr>
              <w:t>58.4</w:t>
            </w:r>
          </w:p>
        </w:tc>
      </w:tr>
      <w:tr w:rsidR="00144D82" w14:paraId="09CD94D9" w14:textId="77777777">
        <w:trPr>
          <w:jc w:val="center"/>
        </w:trPr>
        <w:tc>
          <w:tcPr>
            <w:tcW w:w="1694" w:type="dxa"/>
            <w:vAlign w:val="center"/>
          </w:tcPr>
          <w:p w14:paraId="64942692" w14:textId="77777777" w:rsidR="00144D82" w:rsidRDefault="00000000">
            <w:r>
              <w:rPr>
                <w:sz w:val="16"/>
              </w:rPr>
              <w:t>Yield (%)</w:t>
            </w:r>
          </w:p>
        </w:tc>
        <w:tc>
          <w:tcPr>
            <w:tcW w:w="1694" w:type="dxa"/>
            <w:vAlign w:val="center"/>
          </w:tcPr>
          <w:p w14:paraId="22988BA7" w14:textId="77777777" w:rsidR="00144D82" w:rsidRDefault="00000000">
            <w:r>
              <w:rPr>
                <w:sz w:val="16"/>
              </w:rPr>
              <w:t>17.1</w:t>
            </w:r>
          </w:p>
        </w:tc>
        <w:tc>
          <w:tcPr>
            <w:tcW w:w="1694" w:type="dxa"/>
            <w:vAlign w:val="center"/>
          </w:tcPr>
          <w:p w14:paraId="51324CA0" w14:textId="77777777" w:rsidR="00144D82" w:rsidRDefault="00000000">
            <w:r>
              <w:rPr>
                <w:sz w:val="16"/>
              </w:rPr>
              <w:t>16.7</w:t>
            </w:r>
          </w:p>
        </w:tc>
        <w:tc>
          <w:tcPr>
            <w:tcW w:w="1694" w:type="dxa"/>
            <w:vAlign w:val="center"/>
          </w:tcPr>
          <w:p w14:paraId="11B2707E" w14:textId="77777777" w:rsidR="00144D82" w:rsidRDefault="00000000">
            <w:r>
              <w:rPr>
                <w:sz w:val="16"/>
              </w:rPr>
              <w:t>16.7</w:t>
            </w:r>
          </w:p>
        </w:tc>
        <w:tc>
          <w:tcPr>
            <w:tcW w:w="1694" w:type="dxa"/>
            <w:vAlign w:val="center"/>
          </w:tcPr>
          <w:p w14:paraId="05924780" w14:textId="77777777" w:rsidR="00144D82" w:rsidRDefault="00000000">
            <w:r>
              <w:rPr>
                <w:sz w:val="16"/>
              </w:rPr>
              <w:t>16.1</w:t>
            </w:r>
          </w:p>
        </w:tc>
        <w:tc>
          <w:tcPr>
            <w:tcW w:w="1694" w:type="dxa"/>
            <w:vAlign w:val="center"/>
          </w:tcPr>
          <w:p w14:paraId="57CDB60A" w14:textId="77777777" w:rsidR="00144D82" w:rsidRDefault="00000000">
            <w:r>
              <w:rPr>
                <w:sz w:val="16"/>
              </w:rPr>
              <w:t>16.0</w:t>
            </w:r>
          </w:p>
        </w:tc>
      </w:tr>
      <w:tr w:rsidR="00144D82" w14:paraId="1D2FDAEF" w14:textId="77777777">
        <w:trPr>
          <w:jc w:val="center"/>
        </w:trPr>
        <w:tc>
          <w:tcPr>
            <w:tcW w:w="1694" w:type="dxa"/>
            <w:vAlign w:val="center"/>
          </w:tcPr>
          <w:p w14:paraId="2ED3FBEF" w14:textId="77777777" w:rsidR="00144D82" w:rsidRDefault="00000000">
            <w:r>
              <w:rPr>
                <w:sz w:val="16"/>
              </w:rPr>
              <w:t>Spread (%)</w:t>
            </w:r>
          </w:p>
        </w:tc>
        <w:tc>
          <w:tcPr>
            <w:tcW w:w="1694" w:type="dxa"/>
            <w:vAlign w:val="center"/>
          </w:tcPr>
          <w:p w14:paraId="1574D505" w14:textId="77777777" w:rsidR="00144D82" w:rsidRDefault="00000000">
            <w:r>
              <w:rPr>
                <w:sz w:val="16"/>
              </w:rPr>
              <w:t>8.2</w:t>
            </w:r>
          </w:p>
        </w:tc>
        <w:tc>
          <w:tcPr>
            <w:tcW w:w="1694" w:type="dxa"/>
            <w:vAlign w:val="center"/>
          </w:tcPr>
          <w:p w14:paraId="3E1CE873" w14:textId="77777777" w:rsidR="00144D82" w:rsidRDefault="00000000">
            <w:r>
              <w:rPr>
                <w:sz w:val="16"/>
              </w:rPr>
              <w:t>8.6</w:t>
            </w:r>
          </w:p>
        </w:tc>
        <w:tc>
          <w:tcPr>
            <w:tcW w:w="1694" w:type="dxa"/>
            <w:vAlign w:val="center"/>
          </w:tcPr>
          <w:p w14:paraId="760E5020" w14:textId="77777777" w:rsidR="00144D82" w:rsidRDefault="00000000">
            <w:r>
              <w:rPr>
                <w:sz w:val="16"/>
              </w:rPr>
              <w:t>8.1</w:t>
            </w:r>
          </w:p>
        </w:tc>
        <w:tc>
          <w:tcPr>
            <w:tcW w:w="1694" w:type="dxa"/>
            <w:vAlign w:val="center"/>
          </w:tcPr>
          <w:p w14:paraId="1E24DF5A" w14:textId="77777777" w:rsidR="00144D82" w:rsidRDefault="00000000">
            <w:r>
              <w:rPr>
                <w:sz w:val="16"/>
              </w:rPr>
              <w:t>8.3</w:t>
            </w:r>
          </w:p>
        </w:tc>
        <w:tc>
          <w:tcPr>
            <w:tcW w:w="1694" w:type="dxa"/>
            <w:vAlign w:val="center"/>
          </w:tcPr>
          <w:p w14:paraId="07993FC3" w14:textId="77777777" w:rsidR="00144D82" w:rsidRDefault="00000000">
            <w:r>
              <w:rPr>
                <w:sz w:val="16"/>
              </w:rPr>
              <w:t>8.2</w:t>
            </w:r>
          </w:p>
        </w:tc>
      </w:tr>
    </w:tbl>
    <w:p w14:paraId="4FEEB40D" w14:textId="77777777" w:rsidR="00144D82" w:rsidRDefault="00000000">
      <w:r>
        <w:br w:type="page"/>
      </w:r>
    </w:p>
    <w:p w14:paraId="137E3D87" w14:textId="77777777" w:rsidR="00144D82" w:rsidRDefault="00000000">
      <w:pPr>
        <w:pStyle w:val="Heading1"/>
        <w:spacing w:after="80"/>
      </w:pPr>
      <w:r>
        <w:lastRenderedPageBreak/>
        <w:t>Five-Year Risk and Capital Trend</w:t>
      </w:r>
    </w:p>
    <w:tbl>
      <w:tblPr>
        <w:tblStyle w:val="TableGrid"/>
        <w:tblW w:w="0" w:type="auto"/>
        <w:jc w:val="center"/>
        <w:tblLook w:val="04A0" w:firstRow="1" w:lastRow="0" w:firstColumn="1" w:lastColumn="0" w:noHBand="0" w:noVBand="1"/>
      </w:tblPr>
      <w:tblGrid>
        <w:gridCol w:w="1692"/>
        <w:gridCol w:w="1692"/>
        <w:gridCol w:w="1693"/>
        <w:gridCol w:w="1693"/>
        <w:gridCol w:w="1693"/>
        <w:gridCol w:w="1693"/>
      </w:tblGrid>
      <w:tr w:rsidR="00144D82" w14:paraId="032023A8" w14:textId="77777777">
        <w:trPr>
          <w:jc w:val="center"/>
        </w:trPr>
        <w:tc>
          <w:tcPr>
            <w:tcW w:w="1694" w:type="dxa"/>
            <w:shd w:val="clear" w:color="auto" w:fill="123A63"/>
            <w:vAlign w:val="center"/>
          </w:tcPr>
          <w:p w14:paraId="6D0B1F9C" w14:textId="77777777" w:rsidR="00144D82" w:rsidRDefault="00000000">
            <w:r>
              <w:rPr>
                <w:b/>
                <w:color w:val="FFFFFF"/>
                <w:sz w:val="16"/>
              </w:rPr>
              <w:t>Metric</w:t>
            </w:r>
          </w:p>
        </w:tc>
        <w:tc>
          <w:tcPr>
            <w:tcW w:w="1694" w:type="dxa"/>
            <w:shd w:val="clear" w:color="auto" w:fill="123A63"/>
            <w:vAlign w:val="center"/>
          </w:tcPr>
          <w:p w14:paraId="5EC88D05" w14:textId="77777777" w:rsidR="00144D82" w:rsidRDefault="00000000">
            <w:r>
              <w:rPr>
                <w:b/>
                <w:color w:val="FFFFFF"/>
                <w:sz w:val="16"/>
              </w:rPr>
              <w:t>FY22</w:t>
            </w:r>
          </w:p>
        </w:tc>
        <w:tc>
          <w:tcPr>
            <w:tcW w:w="1694" w:type="dxa"/>
            <w:shd w:val="clear" w:color="auto" w:fill="123A63"/>
            <w:vAlign w:val="center"/>
          </w:tcPr>
          <w:p w14:paraId="4ED6E1A4" w14:textId="77777777" w:rsidR="00144D82" w:rsidRDefault="00000000">
            <w:r>
              <w:rPr>
                <w:b/>
                <w:color w:val="FFFFFF"/>
                <w:sz w:val="16"/>
              </w:rPr>
              <w:t>FY23</w:t>
            </w:r>
          </w:p>
        </w:tc>
        <w:tc>
          <w:tcPr>
            <w:tcW w:w="1694" w:type="dxa"/>
            <w:shd w:val="clear" w:color="auto" w:fill="123A63"/>
            <w:vAlign w:val="center"/>
          </w:tcPr>
          <w:p w14:paraId="249B2ED7" w14:textId="77777777" w:rsidR="00144D82" w:rsidRDefault="00000000">
            <w:r>
              <w:rPr>
                <w:b/>
                <w:color w:val="FFFFFF"/>
                <w:sz w:val="16"/>
              </w:rPr>
              <w:t>FY24</w:t>
            </w:r>
          </w:p>
        </w:tc>
        <w:tc>
          <w:tcPr>
            <w:tcW w:w="1694" w:type="dxa"/>
            <w:shd w:val="clear" w:color="auto" w:fill="123A63"/>
            <w:vAlign w:val="center"/>
          </w:tcPr>
          <w:p w14:paraId="7060B4E9" w14:textId="77777777" w:rsidR="00144D82" w:rsidRDefault="00000000">
            <w:r>
              <w:rPr>
                <w:b/>
                <w:color w:val="FFFFFF"/>
                <w:sz w:val="16"/>
              </w:rPr>
              <w:t>FY25</w:t>
            </w:r>
          </w:p>
        </w:tc>
        <w:tc>
          <w:tcPr>
            <w:tcW w:w="1694" w:type="dxa"/>
            <w:shd w:val="clear" w:color="auto" w:fill="123A63"/>
            <w:vAlign w:val="center"/>
          </w:tcPr>
          <w:p w14:paraId="4909416F" w14:textId="77777777" w:rsidR="00144D82" w:rsidRDefault="00000000">
            <w:r>
              <w:rPr>
                <w:b/>
                <w:color w:val="FFFFFF"/>
                <w:sz w:val="16"/>
              </w:rPr>
              <w:t>FY26</w:t>
            </w:r>
          </w:p>
        </w:tc>
      </w:tr>
      <w:tr w:rsidR="00144D82" w14:paraId="68C2AEDE" w14:textId="77777777">
        <w:trPr>
          <w:jc w:val="center"/>
        </w:trPr>
        <w:tc>
          <w:tcPr>
            <w:tcW w:w="1694" w:type="dxa"/>
            <w:vAlign w:val="center"/>
          </w:tcPr>
          <w:p w14:paraId="03049FD4" w14:textId="77777777" w:rsidR="00144D82" w:rsidRDefault="00000000">
            <w:r>
              <w:rPr>
                <w:sz w:val="16"/>
              </w:rPr>
              <w:t>GNPA (%)</w:t>
            </w:r>
          </w:p>
        </w:tc>
        <w:tc>
          <w:tcPr>
            <w:tcW w:w="1694" w:type="dxa"/>
            <w:vAlign w:val="center"/>
          </w:tcPr>
          <w:p w14:paraId="6374398B" w14:textId="77777777" w:rsidR="00144D82" w:rsidRDefault="00000000">
            <w:r>
              <w:rPr>
                <w:sz w:val="16"/>
              </w:rPr>
              <w:t>2.0</w:t>
            </w:r>
          </w:p>
        </w:tc>
        <w:tc>
          <w:tcPr>
            <w:tcW w:w="1694" w:type="dxa"/>
            <w:vAlign w:val="center"/>
          </w:tcPr>
          <w:p w14:paraId="7CD07CCD" w14:textId="77777777" w:rsidR="00144D82" w:rsidRDefault="00000000">
            <w:r>
              <w:rPr>
                <w:sz w:val="16"/>
              </w:rPr>
              <w:t>1.9</w:t>
            </w:r>
          </w:p>
        </w:tc>
        <w:tc>
          <w:tcPr>
            <w:tcW w:w="1694" w:type="dxa"/>
            <w:vAlign w:val="center"/>
          </w:tcPr>
          <w:p w14:paraId="6550D1EF" w14:textId="77777777" w:rsidR="00144D82" w:rsidRDefault="00000000">
            <w:r>
              <w:rPr>
                <w:sz w:val="16"/>
              </w:rPr>
              <w:t>1.7</w:t>
            </w:r>
          </w:p>
        </w:tc>
        <w:tc>
          <w:tcPr>
            <w:tcW w:w="1694" w:type="dxa"/>
            <w:vAlign w:val="center"/>
          </w:tcPr>
          <w:p w14:paraId="6892BBA0" w14:textId="77777777" w:rsidR="00144D82" w:rsidRDefault="00000000">
            <w:r>
              <w:rPr>
                <w:sz w:val="16"/>
              </w:rPr>
              <w:t>2.0</w:t>
            </w:r>
          </w:p>
        </w:tc>
        <w:tc>
          <w:tcPr>
            <w:tcW w:w="1694" w:type="dxa"/>
            <w:vAlign w:val="center"/>
          </w:tcPr>
          <w:p w14:paraId="6034E85A" w14:textId="77777777" w:rsidR="00144D82" w:rsidRDefault="00000000">
            <w:r>
              <w:rPr>
                <w:sz w:val="16"/>
              </w:rPr>
              <w:t>2.2</w:t>
            </w:r>
          </w:p>
        </w:tc>
      </w:tr>
      <w:tr w:rsidR="00144D82" w14:paraId="21ACB6F5" w14:textId="77777777">
        <w:trPr>
          <w:jc w:val="center"/>
        </w:trPr>
        <w:tc>
          <w:tcPr>
            <w:tcW w:w="1694" w:type="dxa"/>
            <w:vAlign w:val="center"/>
          </w:tcPr>
          <w:p w14:paraId="0FBB6340" w14:textId="77777777" w:rsidR="00144D82" w:rsidRDefault="00000000">
            <w:r>
              <w:rPr>
                <w:sz w:val="16"/>
              </w:rPr>
              <w:t>NNPA (%)</w:t>
            </w:r>
          </w:p>
        </w:tc>
        <w:tc>
          <w:tcPr>
            <w:tcW w:w="1694" w:type="dxa"/>
            <w:vAlign w:val="center"/>
          </w:tcPr>
          <w:p w14:paraId="22DB579B" w14:textId="77777777" w:rsidR="00144D82" w:rsidRDefault="00000000">
            <w:r>
              <w:rPr>
                <w:sz w:val="16"/>
              </w:rPr>
              <w:t>1.2</w:t>
            </w:r>
          </w:p>
        </w:tc>
        <w:tc>
          <w:tcPr>
            <w:tcW w:w="1694" w:type="dxa"/>
            <w:vAlign w:val="center"/>
          </w:tcPr>
          <w:p w14:paraId="53BCA87A" w14:textId="77777777" w:rsidR="00144D82" w:rsidRDefault="00000000">
            <w:r>
              <w:rPr>
                <w:sz w:val="16"/>
              </w:rPr>
              <w:t>1.3</w:t>
            </w:r>
          </w:p>
        </w:tc>
        <w:tc>
          <w:tcPr>
            <w:tcW w:w="1694" w:type="dxa"/>
            <w:vAlign w:val="center"/>
          </w:tcPr>
          <w:p w14:paraId="079841FE" w14:textId="77777777" w:rsidR="00144D82" w:rsidRDefault="00000000">
            <w:r>
              <w:rPr>
                <w:sz w:val="16"/>
              </w:rPr>
              <w:t>1.3</w:t>
            </w:r>
          </w:p>
        </w:tc>
        <w:tc>
          <w:tcPr>
            <w:tcW w:w="1694" w:type="dxa"/>
            <w:vAlign w:val="center"/>
          </w:tcPr>
          <w:p w14:paraId="77284F70" w14:textId="77777777" w:rsidR="00144D82" w:rsidRDefault="00000000">
            <w:r>
              <w:rPr>
                <w:sz w:val="16"/>
              </w:rPr>
              <w:t>1.6</w:t>
            </w:r>
          </w:p>
        </w:tc>
        <w:tc>
          <w:tcPr>
            <w:tcW w:w="1694" w:type="dxa"/>
            <w:vAlign w:val="center"/>
          </w:tcPr>
          <w:p w14:paraId="607C754B" w14:textId="77777777" w:rsidR="00144D82" w:rsidRDefault="00000000">
            <w:r>
              <w:rPr>
                <w:sz w:val="16"/>
              </w:rPr>
              <w:t>1.8</w:t>
            </w:r>
          </w:p>
        </w:tc>
      </w:tr>
      <w:tr w:rsidR="00144D82" w14:paraId="44E294E6" w14:textId="77777777">
        <w:trPr>
          <w:jc w:val="center"/>
        </w:trPr>
        <w:tc>
          <w:tcPr>
            <w:tcW w:w="1694" w:type="dxa"/>
            <w:vAlign w:val="center"/>
          </w:tcPr>
          <w:p w14:paraId="79F3A061" w14:textId="77777777" w:rsidR="00144D82" w:rsidRDefault="00000000">
            <w:r>
              <w:rPr>
                <w:sz w:val="16"/>
              </w:rPr>
              <w:t>CRAR (%)</w:t>
            </w:r>
          </w:p>
        </w:tc>
        <w:tc>
          <w:tcPr>
            <w:tcW w:w="1694" w:type="dxa"/>
            <w:vAlign w:val="center"/>
          </w:tcPr>
          <w:p w14:paraId="125C9F1B" w14:textId="77777777" w:rsidR="00144D82" w:rsidRDefault="00000000">
            <w:r>
              <w:rPr>
                <w:sz w:val="16"/>
              </w:rPr>
              <w:t>21.9</w:t>
            </w:r>
          </w:p>
        </w:tc>
        <w:tc>
          <w:tcPr>
            <w:tcW w:w="1694" w:type="dxa"/>
            <w:vAlign w:val="center"/>
          </w:tcPr>
          <w:p w14:paraId="065077A6" w14:textId="77777777" w:rsidR="00144D82" w:rsidRDefault="00000000">
            <w:r>
              <w:rPr>
                <w:sz w:val="16"/>
              </w:rPr>
              <w:t>22.4</w:t>
            </w:r>
          </w:p>
        </w:tc>
        <w:tc>
          <w:tcPr>
            <w:tcW w:w="1694" w:type="dxa"/>
            <w:vAlign w:val="center"/>
          </w:tcPr>
          <w:p w14:paraId="580ACE8E" w14:textId="77777777" w:rsidR="00144D82" w:rsidRDefault="00000000">
            <w:r>
              <w:rPr>
                <w:sz w:val="16"/>
              </w:rPr>
              <w:t>23.5</w:t>
            </w:r>
          </w:p>
        </w:tc>
        <w:tc>
          <w:tcPr>
            <w:tcW w:w="1694" w:type="dxa"/>
            <w:vAlign w:val="center"/>
          </w:tcPr>
          <w:p w14:paraId="31A300B8" w14:textId="77777777" w:rsidR="00144D82" w:rsidRDefault="00000000">
            <w:r>
              <w:rPr>
                <w:sz w:val="16"/>
              </w:rPr>
              <w:t>17.9</w:t>
            </w:r>
          </w:p>
        </w:tc>
        <w:tc>
          <w:tcPr>
            <w:tcW w:w="1694" w:type="dxa"/>
            <w:vAlign w:val="center"/>
          </w:tcPr>
          <w:p w14:paraId="555F523B" w14:textId="77777777" w:rsidR="00144D82" w:rsidRDefault="00000000">
            <w:r>
              <w:rPr>
                <w:sz w:val="16"/>
              </w:rPr>
              <w:t>23.0</w:t>
            </w:r>
          </w:p>
        </w:tc>
      </w:tr>
      <w:tr w:rsidR="00144D82" w14:paraId="047FE7DA" w14:textId="77777777">
        <w:trPr>
          <w:jc w:val="center"/>
        </w:trPr>
        <w:tc>
          <w:tcPr>
            <w:tcW w:w="1694" w:type="dxa"/>
            <w:vAlign w:val="center"/>
          </w:tcPr>
          <w:p w14:paraId="437711DF" w14:textId="77777777" w:rsidR="00144D82" w:rsidRDefault="00000000">
            <w:r>
              <w:rPr>
                <w:sz w:val="16"/>
              </w:rPr>
              <w:t>Book value/share (₹)</w:t>
            </w:r>
          </w:p>
        </w:tc>
        <w:tc>
          <w:tcPr>
            <w:tcW w:w="1694" w:type="dxa"/>
            <w:vAlign w:val="center"/>
          </w:tcPr>
          <w:p w14:paraId="49F57B71" w14:textId="77777777" w:rsidR="00144D82" w:rsidRDefault="00000000">
            <w:r>
              <w:rPr>
                <w:sz w:val="16"/>
              </w:rPr>
              <w:t>68.3</w:t>
            </w:r>
          </w:p>
        </w:tc>
        <w:tc>
          <w:tcPr>
            <w:tcW w:w="1694" w:type="dxa"/>
            <w:vAlign w:val="center"/>
          </w:tcPr>
          <w:p w14:paraId="698D7950" w14:textId="77777777" w:rsidR="00144D82" w:rsidRDefault="00000000">
            <w:r>
              <w:rPr>
                <w:sz w:val="16"/>
              </w:rPr>
              <w:t>78.3</w:t>
            </w:r>
          </w:p>
        </w:tc>
        <w:tc>
          <w:tcPr>
            <w:tcW w:w="1694" w:type="dxa"/>
            <w:vAlign w:val="center"/>
          </w:tcPr>
          <w:p w14:paraId="7373D50A" w14:textId="77777777" w:rsidR="00144D82" w:rsidRDefault="00000000">
            <w:r>
              <w:rPr>
                <w:sz w:val="16"/>
              </w:rPr>
              <w:t>61.2</w:t>
            </w:r>
          </w:p>
        </w:tc>
        <w:tc>
          <w:tcPr>
            <w:tcW w:w="1694" w:type="dxa"/>
            <w:vAlign w:val="center"/>
          </w:tcPr>
          <w:p w14:paraId="3DC0DED0" w14:textId="77777777" w:rsidR="00144D82" w:rsidRDefault="00000000">
            <w:r>
              <w:rPr>
                <w:sz w:val="16"/>
              </w:rPr>
              <w:t>42.1</w:t>
            </w:r>
          </w:p>
        </w:tc>
        <w:tc>
          <w:tcPr>
            <w:tcW w:w="1694" w:type="dxa"/>
            <w:vAlign w:val="center"/>
          </w:tcPr>
          <w:p w14:paraId="2B30A6E8" w14:textId="77777777" w:rsidR="00144D82" w:rsidRDefault="00000000">
            <w:r>
              <w:rPr>
                <w:sz w:val="16"/>
              </w:rPr>
              <w:t>35.9</w:t>
            </w:r>
          </w:p>
        </w:tc>
      </w:tr>
    </w:tbl>
    <w:p w14:paraId="39EE5A4E" w14:textId="77777777" w:rsidR="00144D82" w:rsidRDefault="00000000">
      <w:r>
        <w:br w:type="page"/>
      </w:r>
    </w:p>
    <w:p w14:paraId="080B4073" w14:textId="77777777" w:rsidR="00144D82" w:rsidRDefault="00000000">
      <w:pPr>
        <w:pStyle w:val="Heading1"/>
        <w:spacing w:after="80"/>
      </w:pPr>
      <w:r>
        <w:lastRenderedPageBreak/>
        <w:t>Income Statement Interpretation</w:t>
      </w:r>
    </w:p>
    <w:p w14:paraId="32B434A6" w14:textId="77777777" w:rsidR="00144D82" w:rsidRDefault="00000000">
      <w:pPr>
        <w:spacing w:after="100" w:line="252" w:lineRule="auto"/>
      </w:pPr>
      <w:r>
        <w:t>Revenue grew 7% and NII grew 15%, suggesting that core lending income was stronger than total revenue growth. Fees and other income declined, so the business remains primarily dependent on interest economics. Operating expenses and loan-loss provisions reduced from ₹92,229 lakh to ₹88,628 lakh, helping PBT rise to ₹46,101 lakh.</w:t>
      </w:r>
    </w:p>
    <w:p w14:paraId="465498F9" w14:textId="77777777" w:rsidR="00144D82" w:rsidRDefault="00000000">
      <w:pPr>
        <w:spacing w:after="100" w:line="252" w:lineRule="auto"/>
      </w:pPr>
      <w:r>
        <w:t>PAT of ₹34,360 lakh represents a strong recovery from ₹22,518 lakh. The reported net profit margin improved to 15.4% from 10.8%, while the cost-to-income ratio remained broadly stable at 57.23%.</w:t>
      </w:r>
    </w:p>
    <w:p w14:paraId="367D6C0A" w14:textId="77777777" w:rsidR="00144D82" w:rsidRDefault="00000000">
      <w:r>
        <w:br w:type="page"/>
      </w:r>
    </w:p>
    <w:p w14:paraId="04A67E79" w14:textId="77777777" w:rsidR="00144D82" w:rsidRDefault="00000000">
      <w:pPr>
        <w:pStyle w:val="Heading1"/>
        <w:spacing w:after="80"/>
      </w:pPr>
      <w:r>
        <w:lastRenderedPageBreak/>
        <w:t>Balance Sheet Interpretation</w:t>
      </w:r>
    </w:p>
    <w:p w14:paraId="024E9C56" w14:textId="77777777" w:rsidR="00144D82" w:rsidRDefault="00000000">
      <w:pPr>
        <w:spacing w:after="100" w:line="252" w:lineRule="auto"/>
      </w:pPr>
      <w:r>
        <w:t>Total assets increased 27% to ₹1,687,478 lakh, total advances increased 23% to ₹1,431,885 lakh and borrowings increased 31% to ₹1,348,413 lakh. Net worth rose 15% to ₹292,610 lakh. This indicates balance-sheet expansion funded by a combination of borrowings and retained capital.</w:t>
      </w:r>
    </w:p>
    <w:p w14:paraId="1CD04172" w14:textId="77777777" w:rsidR="00144D82" w:rsidRDefault="00000000">
      <w:pPr>
        <w:spacing w:after="100" w:line="252" w:lineRule="auto"/>
      </w:pPr>
      <w:r>
        <w:t>Growth must be matched by ALM discipline. The higher borrowing base requires diversified sources, manageable maturities, adequate liquidity buffers and access to capital markets even during volatile conditions.</w:t>
      </w:r>
    </w:p>
    <w:p w14:paraId="7C6B80B7" w14:textId="77777777" w:rsidR="00144D82" w:rsidRDefault="00000000">
      <w:r>
        <w:br w:type="page"/>
      </w:r>
    </w:p>
    <w:p w14:paraId="4335D634" w14:textId="77777777" w:rsidR="00144D82" w:rsidRDefault="00000000">
      <w:pPr>
        <w:pStyle w:val="Heading1"/>
        <w:spacing w:after="80"/>
      </w:pPr>
      <w:r>
        <w:lastRenderedPageBreak/>
        <w:t>Capital Adequacy and Leverage</w:t>
      </w:r>
    </w:p>
    <w:p w14:paraId="03676E1F" w14:textId="77777777" w:rsidR="00144D82" w:rsidRDefault="00000000">
      <w:pPr>
        <w:spacing w:after="100" w:line="252" w:lineRule="auto"/>
      </w:pPr>
      <w:r>
        <w:t>CRAR was reported at 22.40% in the Directors’ Report and approximately 23.0% in the five-year highlights presentation; this difference likely reflects presentation or definition context and should be reconciled to the audited regulatory disclosure. Both indicate a substantial capital buffer.</w:t>
      </w:r>
    </w:p>
    <w:p w14:paraId="31F85DF3" w14:textId="77777777" w:rsidR="00144D82" w:rsidRDefault="00000000">
      <w:pPr>
        <w:spacing w:after="100" w:line="252" w:lineRule="auto"/>
      </w:pPr>
      <w:r>
        <w:t>Debt-equity ratio was 4.6 in FY26 versus 4.0 in FY25. Leverage rose with growth, so capital planning must remain ahead of expansion. A strong CRAR is positive, but it is not a substitute for liquidity or asset quality.</w:t>
      </w:r>
    </w:p>
    <w:p w14:paraId="20390015" w14:textId="77777777" w:rsidR="00144D82" w:rsidRDefault="00000000">
      <w:r>
        <w:br w:type="page"/>
      </w:r>
    </w:p>
    <w:p w14:paraId="45C4E013" w14:textId="77777777" w:rsidR="00144D82" w:rsidRDefault="00000000">
      <w:pPr>
        <w:pStyle w:val="Heading1"/>
        <w:spacing w:after="80"/>
      </w:pPr>
      <w:r>
        <w:lastRenderedPageBreak/>
        <w:t>Asset Quality</w:t>
      </w:r>
    </w:p>
    <w:p w14:paraId="2CD50674" w14:textId="77777777" w:rsidR="00144D82" w:rsidRDefault="00000000">
      <w:pPr>
        <w:spacing w:after="100" w:line="252" w:lineRule="auto"/>
      </w:pPr>
      <w:r>
        <w:t>The annual report highlights GNPA of 1.9% and NNPA of 1.3% in the financial snapshot, while a five-year key-ratio table shows GNPA of 2.2% and NNPA of 1.8%; readers should use the relevant definition and audited note when comparing. The company also reports credit cost of 0.8%.</w:t>
      </w:r>
    </w:p>
    <w:p w14:paraId="036569E9" w14:textId="77777777" w:rsidR="00144D82" w:rsidRDefault="00000000">
      <w:pPr>
        <w:spacing w:after="100" w:line="252" w:lineRule="auto"/>
      </w:pPr>
      <w:r>
        <w:t>The ST LAP business was recalibrated after stress in FY25 through tighter filters, senior collections leadership, a larger field team and selective sale of legacy stressed pools. These actions are constructive, but the new book should be monitored through vintage, delinquency and recovery data.</w:t>
      </w:r>
    </w:p>
    <w:p w14:paraId="649CB3FC" w14:textId="77777777" w:rsidR="00144D82" w:rsidRDefault="00000000">
      <w:r>
        <w:br w:type="page"/>
      </w:r>
    </w:p>
    <w:p w14:paraId="6AB1A80E" w14:textId="77777777" w:rsidR="00144D82" w:rsidRDefault="00000000">
      <w:pPr>
        <w:pStyle w:val="Heading1"/>
        <w:spacing w:after="80"/>
      </w:pPr>
      <w:r>
        <w:lastRenderedPageBreak/>
        <w:t>Return Ratios and Efficiency</w:t>
      </w:r>
    </w:p>
    <w:p w14:paraId="3C89154D" w14:textId="77777777" w:rsidR="00144D82" w:rsidRDefault="00000000">
      <w:pPr>
        <w:spacing w:after="100" w:line="252" w:lineRule="auto"/>
      </w:pPr>
      <w:r>
        <w:t>ROA improved to 2.44% from 1.82%, ROE to 12.62% from 9.39%, and RONW to 12.6% from 9.4%. The improvement reflects higher profit, stronger NII and lower operating/credit burden.</w:t>
      </w:r>
    </w:p>
    <w:p w14:paraId="7202FA3E" w14:textId="77777777" w:rsidR="00144D82" w:rsidRDefault="00000000">
      <w:pPr>
        <w:spacing w:after="100" w:line="252" w:lineRule="auto"/>
      </w:pPr>
      <w:r>
        <w:t>Cost-to-income was 57.23% versus 57.58%, essentially stable. Efficiency should improve over time as branches mature, technology automates service and co-located hubs share infrastructure.</w:t>
      </w:r>
    </w:p>
    <w:p w14:paraId="77472377" w14:textId="77777777" w:rsidR="00144D82" w:rsidRDefault="00000000">
      <w:r>
        <w:br w:type="page"/>
      </w:r>
    </w:p>
    <w:p w14:paraId="7F2891AD" w14:textId="77777777" w:rsidR="00144D82" w:rsidRDefault="00000000">
      <w:pPr>
        <w:pStyle w:val="Heading1"/>
        <w:spacing w:after="80"/>
      </w:pPr>
      <w:r>
        <w:lastRenderedPageBreak/>
        <w:t>Per-Share Measures</w:t>
      </w:r>
    </w:p>
    <w:p w14:paraId="52698704" w14:textId="77777777" w:rsidR="00144D82" w:rsidRDefault="00000000">
      <w:pPr>
        <w:spacing w:after="100" w:line="252" w:lineRule="auto"/>
      </w:pPr>
      <w:r>
        <w:t>Basic EPS increased from ₹6.06 to ₹9.20, while diluted EPS increased from ₹6.04 to ₹9.12. Book value per share was ₹78.19 compared with ₹68.35. These are positive indicators of earnings and capital accretion.</w:t>
      </w:r>
    </w:p>
    <w:p w14:paraId="356D9752" w14:textId="77777777" w:rsidR="00144D82" w:rsidRDefault="00000000">
      <w:pPr>
        <w:spacing w:after="100" w:line="252" w:lineRule="auto"/>
      </w:pPr>
      <w:r>
        <w:t>Per-share metrics are useful only when read with dilution, capital raising, provisions, asset quality and market valuation. This report does not recommend a buy or sell decision because a complete valuation requires a current market price, forecasts and investor risk profile.</w:t>
      </w:r>
    </w:p>
    <w:p w14:paraId="4852E9B9" w14:textId="77777777" w:rsidR="00144D82" w:rsidRDefault="00000000">
      <w:r>
        <w:br w:type="page"/>
      </w:r>
    </w:p>
    <w:p w14:paraId="2FDD3C3E" w14:textId="77777777" w:rsidR="00144D82" w:rsidRDefault="00000000">
      <w:pPr>
        <w:pStyle w:val="Heading1"/>
        <w:spacing w:after="80"/>
      </w:pPr>
      <w:r>
        <w:lastRenderedPageBreak/>
        <w:t>Trend Interpretation</w:t>
      </w:r>
    </w:p>
    <w:p w14:paraId="555CEECA" w14:textId="77777777" w:rsidR="00144D82" w:rsidRDefault="00000000">
      <w:pPr>
        <w:spacing w:after="100" w:line="252" w:lineRule="auto"/>
      </w:pPr>
      <w:r>
        <w:t>AUM increased from ₹6,187 crore in FY22 to ₹20,153 crore in FY26, reflecting rapid scale-up. PAT increased from ₹103.5 crore to ₹343.6 crore over the same period, although FY25 showed a temporary profitability decline.</w:t>
      </w:r>
    </w:p>
    <w:p w14:paraId="6941942C" w14:textId="77777777" w:rsidR="00144D82" w:rsidRDefault="00000000">
      <w:pPr>
        <w:spacing w:after="100" w:line="252" w:lineRule="auto"/>
      </w:pPr>
      <w:r>
        <w:t>The trend supports a thesis of structural growth with cyclical or execution-related volatility. The key question for the next phase is whether profitability can scale without a disproportionate increase in credit cost, funding cost or operating expense.</w:t>
      </w:r>
    </w:p>
    <w:p w14:paraId="13DE3F31" w14:textId="77777777" w:rsidR="00144D82" w:rsidRDefault="00000000">
      <w:r>
        <w:br w:type="page"/>
      </w:r>
    </w:p>
    <w:p w14:paraId="502B0128" w14:textId="77777777" w:rsidR="00144D82" w:rsidRDefault="00000000">
      <w:pPr>
        <w:pStyle w:val="Heading1"/>
        <w:spacing w:after="80"/>
      </w:pPr>
      <w:r>
        <w:lastRenderedPageBreak/>
        <w:t>Common-Size and Sensitivity Thinking</w:t>
      </w:r>
    </w:p>
    <w:p w14:paraId="1CD84AE1" w14:textId="77777777" w:rsidR="00144D82" w:rsidRDefault="00000000">
      <w:pPr>
        <w:spacing w:after="100" w:line="252" w:lineRule="auto"/>
      </w:pPr>
      <w:r>
        <w:t>For a lender, common-size analysis can compare interest income, finance cost, operating expenses and provisions as percentages of average assets or total income. Sensitivity analysis should test a higher funding cost, lower gold price, higher delinquency, slower disbursement and delayed branch productivity.</w:t>
      </w:r>
    </w:p>
    <w:p w14:paraId="30BD4A11" w14:textId="77777777" w:rsidR="00144D82" w:rsidRDefault="00000000">
      <w:pPr>
        <w:spacing w:after="100" w:line="252" w:lineRule="auto"/>
      </w:pPr>
      <w:r>
        <w:t>A practical investor dashboard would monitor NII growth, spread, credit cost, GNPA/NNPA, collection efficiency, LTV, borrowing mix, liquidity gap, ROA and ROE every quarter.</w:t>
      </w:r>
    </w:p>
    <w:p w14:paraId="68CF4E15" w14:textId="77777777" w:rsidR="00144D82" w:rsidRDefault="00000000">
      <w:r>
        <w:br w:type="page"/>
      </w:r>
    </w:p>
    <w:p w14:paraId="73F368A6" w14:textId="77777777" w:rsidR="00144D82" w:rsidRDefault="00000000">
      <w:pPr>
        <w:pStyle w:val="Heading1"/>
        <w:spacing w:after="80"/>
      </w:pPr>
      <w:r>
        <w:lastRenderedPageBreak/>
        <w:t>Chapter 6 — Operating Review</w:t>
      </w:r>
    </w:p>
    <w:p w14:paraId="5C028D28" w14:textId="77777777" w:rsidR="00144D82" w:rsidRDefault="00000000">
      <w:pPr>
        <w:spacing w:after="100" w:line="252" w:lineRule="auto"/>
      </w:pPr>
      <w:r>
        <w:t>The operating review connects numbers to execution. Fedfina’s FY26 priorities were growth in secured lending, portfolio recalibration, branch expansion, stronger underwriting, technology integration, collection capability and balance-sheet resilience.</w:t>
      </w:r>
    </w:p>
    <w:p w14:paraId="68EE2440" w14:textId="77777777" w:rsidR="00144D82" w:rsidRDefault="00000000">
      <w:pPr>
        <w:spacing w:after="100" w:line="252" w:lineRule="auto"/>
      </w:pPr>
      <w:r>
        <w:t>The company’s stated model is not simply “lend more”; it is to deepen reach while improving the security and granularity of the book.</w:t>
      </w:r>
    </w:p>
    <w:p w14:paraId="12F19A99" w14:textId="77777777" w:rsidR="00144D82" w:rsidRDefault="00000000">
      <w:r>
        <w:br w:type="page"/>
      </w:r>
    </w:p>
    <w:p w14:paraId="59C48FE9" w14:textId="77777777" w:rsidR="00144D82" w:rsidRDefault="00000000">
      <w:pPr>
        <w:pStyle w:val="Heading1"/>
        <w:spacing w:after="80"/>
      </w:pPr>
      <w:r>
        <w:lastRenderedPageBreak/>
        <w:t>Portfolio Mix and Secured Strategy</w:t>
      </w:r>
    </w:p>
    <w:p w14:paraId="64D1BD8D" w14:textId="77777777" w:rsidR="00144D82" w:rsidRDefault="00000000">
      <w:pPr>
        <w:spacing w:after="100" w:line="252" w:lineRule="auto"/>
      </w:pPr>
      <w:r>
        <w:t>Secured AUM was 98.9% and unsecured business-loan exposure declined to 0.4% of on-book assets. This mix reduces loss-given-default risk compared with an unsecured book, although collateral realisation, valuation, fraud and process risks remain.</w:t>
      </w:r>
    </w:p>
    <w:p w14:paraId="5D61B73E" w14:textId="77777777" w:rsidR="00144D82" w:rsidRDefault="00000000">
      <w:pPr>
        <w:spacing w:after="100" w:line="252" w:lineRule="auto"/>
      </w:pPr>
      <w:r>
        <w:t>Gold and mortgage collateral behave differently. Gold loans may have shorter tenor and faster repricing; mortgage loans have longer duration and depend more on borrower cash flow and property enforcement. Product diversification is therefore valuable.</w:t>
      </w:r>
    </w:p>
    <w:p w14:paraId="08BFAA61" w14:textId="77777777" w:rsidR="00144D82" w:rsidRDefault="00000000">
      <w:r>
        <w:br w:type="page"/>
      </w:r>
    </w:p>
    <w:p w14:paraId="3BF81172" w14:textId="77777777" w:rsidR="00144D82" w:rsidRDefault="00000000">
      <w:pPr>
        <w:pStyle w:val="Heading1"/>
        <w:spacing w:after="80"/>
      </w:pPr>
      <w:r>
        <w:lastRenderedPageBreak/>
        <w:t>Credit Underwriting</w:t>
      </w:r>
    </w:p>
    <w:p w14:paraId="36C223D2" w14:textId="77777777" w:rsidR="00144D82" w:rsidRDefault="00000000">
      <w:pPr>
        <w:spacing w:after="100" w:line="252" w:lineRule="auto"/>
      </w:pPr>
      <w:r>
        <w:t>The company strengthened system-led underwriting through a Business Rule Engine and higher credit filters. CIBIL distribution indicates a meaningful proportion of customers above 700, especially in MT LAP and business loans.</w:t>
      </w:r>
    </w:p>
    <w:p w14:paraId="50E50E39" w14:textId="77777777" w:rsidR="00144D82" w:rsidRDefault="00000000">
      <w:pPr>
        <w:spacing w:after="100" w:line="252" w:lineRule="auto"/>
      </w:pPr>
      <w:r>
        <w:t>Underwriting should remain forward-looking: bureau scores are useful but do not replace cash-flow analysis, collateral verification, banking behaviour, fraud checks and sector/region assessment.</w:t>
      </w:r>
    </w:p>
    <w:p w14:paraId="7E5F7FDD" w14:textId="77777777" w:rsidR="00144D82" w:rsidRDefault="00000000">
      <w:r>
        <w:br w:type="page"/>
      </w:r>
    </w:p>
    <w:p w14:paraId="30B9355A" w14:textId="77777777" w:rsidR="00144D82" w:rsidRDefault="00000000">
      <w:pPr>
        <w:pStyle w:val="Heading1"/>
        <w:spacing w:after="80"/>
      </w:pPr>
      <w:r>
        <w:lastRenderedPageBreak/>
        <w:t>Collections and Recoveries</w:t>
      </w:r>
    </w:p>
    <w:p w14:paraId="4C407F1B" w14:textId="77777777" w:rsidR="00144D82" w:rsidRDefault="00000000">
      <w:pPr>
        <w:spacing w:after="100" w:line="252" w:lineRule="auto"/>
      </w:pPr>
      <w:r>
        <w:t>Collections were verticalised with experienced senior leadership and an expanded field team. Legacy stressed pools were selectively divested to asset-reconstruction companies. These actions can improve focus and reduce the drag of old portfolios.</w:t>
      </w:r>
    </w:p>
    <w:p w14:paraId="61591E9A" w14:textId="77777777" w:rsidR="00144D82" w:rsidRDefault="00000000">
      <w:pPr>
        <w:spacing w:after="100" w:line="252" w:lineRule="auto"/>
      </w:pPr>
      <w:r>
        <w:t>Customer-friendly collections, early-warning systems, digital reminders, resolution governance and transparent escalation protect both recoveries and reputation. The most important measure is not only recovery after default but prevention through early intervention.</w:t>
      </w:r>
    </w:p>
    <w:p w14:paraId="32F7D416" w14:textId="77777777" w:rsidR="00144D82" w:rsidRDefault="00000000">
      <w:r>
        <w:br w:type="page"/>
      </w:r>
    </w:p>
    <w:p w14:paraId="6890172C" w14:textId="77777777" w:rsidR="00144D82" w:rsidRDefault="00000000">
      <w:pPr>
        <w:pStyle w:val="Heading1"/>
        <w:spacing w:after="80"/>
      </w:pPr>
      <w:r>
        <w:lastRenderedPageBreak/>
        <w:t>Liquidity and Funding</w:t>
      </w:r>
    </w:p>
    <w:p w14:paraId="7AD5E240" w14:textId="77777777" w:rsidR="00144D82" w:rsidRDefault="00000000">
      <w:pPr>
        <w:spacing w:after="100" w:line="252" w:lineRule="auto"/>
      </w:pPr>
      <w:r>
        <w:t>Liquidity risk is managed through cash and liquid investments, undrawn lines, ALM monitoring and stress testing. The company’s borrowing programme includes capital-market instruments and other sources, supported by disclosed ratings of AA+/Stable and A1+ categories across agencies and instruments.</w:t>
      </w:r>
    </w:p>
    <w:p w14:paraId="7A55A755" w14:textId="77777777" w:rsidR="00144D82" w:rsidRDefault="00000000">
      <w:pPr>
        <w:spacing w:after="100" w:line="252" w:lineRule="auto"/>
      </w:pPr>
      <w:r>
        <w:t>Funding diversification is a competitive advantage. Management should continue to align asset duration with liabilities, avoid concentration, preserve market access and hold a conservative liquidity buffer.</w:t>
      </w:r>
    </w:p>
    <w:p w14:paraId="43017246" w14:textId="77777777" w:rsidR="00144D82" w:rsidRDefault="00000000">
      <w:r>
        <w:br w:type="page"/>
      </w:r>
    </w:p>
    <w:p w14:paraId="2989ADCA" w14:textId="77777777" w:rsidR="00144D82" w:rsidRDefault="00000000">
      <w:pPr>
        <w:pStyle w:val="Heading1"/>
        <w:spacing w:after="80"/>
      </w:pPr>
      <w:r>
        <w:lastRenderedPageBreak/>
        <w:t>Risk Management Matrix</w:t>
      </w:r>
    </w:p>
    <w:tbl>
      <w:tblPr>
        <w:tblStyle w:val="TableGrid"/>
        <w:tblW w:w="0" w:type="auto"/>
        <w:jc w:val="center"/>
        <w:tblLook w:val="04A0" w:firstRow="1" w:lastRow="0" w:firstColumn="1" w:lastColumn="0" w:noHBand="0" w:noVBand="1"/>
      </w:tblPr>
      <w:tblGrid>
        <w:gridCol w:w="3386"/>
        <w:gridCol w:w="3385"/>
        <w:gridCol w:w="3385"/>
      </w:tblGrid>
      <w:tr w:rsidR="00144D82" w14:paraId="7E531F16" w14:textId="77777777">
        <w:trPr>
          <w:jc w:val="center"/>
        </w:trPr>
        <w:tc>
          <w:tcPr>
            <w:tcW w:w="3389" w:type="dxa"/>
            <w:shd w:val="clear" w:color="auto" w:fill="123A63"/>
            <w:vAlign w:val="center"/>
          </w:tcPr>
          <w:p w14:paraId="21DCE75D" w14:textId="77777777" w:rsidR="00144D82" w:rsidRDefault="00000000">
            <w:r>
              <w:rPr>
                <w:b/>
                <w:color w:val="FFFFFF"/>
                <w:sz w:val="16"/>
              </w:rPr>
              <w:t>Risk</w:t>
            </w:r>
          </w:p>
        </w:tc>
        <w:tc>
          <w:tcPr>
            <w:tcW w:w="3389" w:type="dxa"/>
            <w:shd w:val="clear" w:color="auto" w:fill="123A63"/>
            <w:vAlign w:val="center"/>
          </w:tcPr>
          <w:p w14:paraId="32A4B17A" w14:textId="77777777" w:rsidR="00144D82" w:rsidRDefault="00000000">
            <w:r>
              <w:rPr>
                <w:b/>
                <w:color w:val="FFFFFF"/>
                <w:sz w:val="16"/>
              </w:rPr>
              <w:t>Potential impact</w:t>
            </w:r>
          </w:p>
        </w:tc>
        <w:tc>
          <w:tcPr>
            <w:tcW w:w="3389" w:type="dxa"/>
            <w:shd w:val="clear" w:color="auto" w:fill="123A63"/>
            <w:vAlign w:val="center"/>
          </w:tcPr>
          <w:p w14:paraId="7339753A" w14:textId="77777777" w:rsidR="00144D82" w:rsidRDefault="00000000">
            <w:r>
              <w:rPr>
                <w:b/>
                <w:color w:val="FFFFFF"/>
                <w:sz w:val="16"/>
              </w:rPr>
              <w:t>Key mitigation</w:t>
            </w:r>
          </w:p>
        </w:tc>
      </w:tr>
      <w:tr w:rsidR="00144D82" w14:paraId="07F5DF7B" w14:textId="77777777">
        <w:trPr>
          <w:jc w:val="center"/>
        </w:trPr>
        <w:tc>
          <w:tcPr>
            <w:tcW w:w="3389" w:type="dxa"/>
            <w:vAlign w:val="center"/>
          </w:tcPr>
          <w:p w14:paraId="55DC9A48" w14:textId="77777777" w:rsidR="00144D82" w:rsidRDefault="00000000">
            <w:r>
              <w:rPr>
                <w:sz w:val="16"/>
              </w:rPr>
              <w:t>Credit</w:t>
            </w:r>
          </w:p>
        </w:tc>
        <w:tc>
          <w:tcPr>
            <w:tcW w:w="3389" w:type="dxa"/>
            <w:vAlign w:val="center"/>
          </w:tcPr>
          <w:p w14:paraId="0B17AFC6" w14:textId="77777777" w:rsidR="00144D82" w:rsidRDefault="00000000">
            <w:r>
              <w:rPr>
                <w:sz w:val="16"/>
              </w:rPr>
              <w:t>Losses, provisions, lower ROA</w:t>
            </w:r>
          </w:p>
        </w:tc>
        <w:tc>
          <w:tcPr>
            <w:tcW w:w="3389" w:type="dxa"/>
            <w:vAlign w:val="center"/>
          </w:tcPr>
          <w:p w14:paraId="26BEFCD3" w14:textId="77777777" w:rsidR="00144D82" w:rsidRDefault="00000000">
            <w:r>
              <w:rPr>
                <w:sz w:val="16"/>
              </w:rPr>
              <w:t>Underwriting, EWS, secured collateral, collections</w:t>
            </w:r>
          </w:p>
        </w:tc>
      </w:tr>
      <w:tr w:rsidR="00144D82" w14:paraId="705FF326" w14:textId="77777777">
        <w:trPr>
          <w:jc w:val="center"/>
        </w:trPr>
        <w:tc>
          <w:tcPr>
            <w:tcW w:w="3389" w:type="dxa"/>
            <w:vAlign w:val="center"/>
          </w:tcPr>
          <w:p w14:paraId="7E8B2754" w14:textId="77777777" w:rsidR="00144D82" w:rsidRDefault="00000000">
            <w:r>
              <w:rPr>
                <w:sz w:val="16"/>
              </w:rPr>
              <w:t>Liquidity</w:t>
            </w:r>
          </w:p>
        </w:tc>
        <w:tc>
          <w:tcPr>
            <w:tcW w:w="3389" w:type="dxa"/>
            <w:vAlign w:val="center"/>
          </w:tcPr>
          <w:p w14:paraId="3B70C3D1" w14:textId="77777777" w:rsidR="00144D82" w:rsidRDefault="00000000">
            <w:r>
              <w:rPr>
                <w:sz w:val="16"/>
              </w:rPr>
              <w:t>Refinancing stress</w:t>
            </w:r>
          </w:p>
        </w:tc>
        <w:tc>
          <w:tcPr>
            <w:tcW w:w="3389" w:type="dxa"/>
            <w:vAlign w:val="center"/>
          </w:tcPr>
          <w:p w14:paraId="7014FDF7" w14:textId="77777777" w:rsidR="00144D82" w:rsidRDefault="00000000">
            <w:r>
              <w:rPr>
                <w:sz w:val="16"/>
              </w:rPr>
              <w:t>ALM, liquidity buffers, diversified funding</w:t>
            </w:r>
          </w:p>
        </w:tc>
      </w:tr>
      <w:tr w:rsidR="00144D82" w14:paraId="0F5DC4BF" w14:textId="77777777">
        <w:trPr>
          <w:jc w:val="center"/>
        </w:trPr>
        <w:tc>
          <w:tcPr>
            <w:tcW w:w="3389" w:type="dxa"/>
            <w:vAlign w:val="center"/>
          </w:tcPr>
          <w:p w14:paraId="2BFFF3EA" w14:textId="77777777" w:rsidR="00144D82" w:rsidRDefault="00000000">
            <w:r>
              <w:rPr>
                <w:sz w:val="16"/>
              </w:rPr>
              <w:t>Market</w:t>
            </w:r>
          </w:p>
        </w:tc>
        <w:tc>
          <w:tcPr>
            <w:tcW w:w="3389" w:type="dxa"/>
            <w:vAlign w:val="center"/>
          </w:tcPr>
          <w:p w14:paraId="153D1C45" w14:textId="77777777" w:rsidR="00144D82" w:rsidRDefault="00000000">
            <w:r>
              <w:rPr>
                <w:sz w:val="16"/>
              </w:rPr>
              <w:t>Gold/rate volatility</w:t>
            </w:r>
          </w:p>
        </w:tc>
        <w:tc>
          <w:tcPr>
            <w:tcW w:w="3389" w:type="dxa"/>
            <w:vAlign w:val="center"/>
          </w:tcPr>
          <w:p w14:paraId="647248BF" w14:textId="77777777" w:rsidR="00144D82" w:rsidRDefault="00000000">
            <w:r>
              <w:rPr>
                <w:sz w:val="16"/>
              </w:rPr>
              <w:t>Conservative LTV, pricing and stress tests</w:t>
            </w:r>
          </w:p>
        </w:tc>
      </w:tr>
      <w:tr w:rsidR="00144D82" w14:paraId="51B209F4" w14:textId="77777777">
        <w:trPr>
          <w:jc w:val="center"/>
        </w:trPr>
        <w:tc>
          <w:tcPr>
            <w:tcW w:w="3389" w:type="dxa"/>
            <w:vAlign w:val="center"/>
          </w:tcPr>
          <w:p w14:paraId="1B518272" w14:textId="77777777" w:rsidR="00144D82" w:rsidRDefault="00000000">
            <w:r>
              <w:rPr>
                <w:sz w:val="16"/>
              </w:rPr>
              <w:t>Operational / fraud</w:t>
            </w:r>
          </w:p>
        </w:tc>
        <w:tc>
          <w:tcPr>
            <w:tcW w:w="3389" w:type="dxa"/>
            <w:vAlign w:val="center"/>
          </w:tcPr>
          <w:p w14:paraId="21060597" w14:textId="77777777" w:rsidR="00144D82" w:rsidRDefault="00000000">
            <w:r>
              <w:rPr>
                <w:sz w:val="16"/>
              </w:rPr>
              <w:t>Loss, disruption, reputation</w:t>
            </w:r>
          </w:p>
        </w:tc>
        <w:tc>
          <w:tcPr>
            <w:tcW w:w="3389" w:type="dxa"/>
            <w:vAlign w:val="center"/>
          </w:tcPr>
          <w:p w14:paraId="7F1131D7" w14:textId="77777777" w:rsidR="00144D82" w:rsidRDefault="00000000">
            <w:r>
              <w:rPr>
                <w:sz w:val="16"/>
              </w:rPr>
              <w:t>Three lines, controls, training, monitoring</w:t>
            </w:r>
          </w:p>
        </w:tc>
      </w:tr>
      <w:tr w:rsidR="00144D82" w14:paraId="4A6DE646" w14:textId="77777777">
        <w:trPr>
          <w:jc w:val="center"/>
        </w:trPr>
        <w:tc>
          <w:tcPr>
            <w:tcW w:w="3389" w:type="dxa"/>
            <w:vAlign w:val="center"/>
          </w:tcPr>
          <w:p w14:paraId="3634B16E" w14:textId="77777777" w:rsidR="00144D82" w:rsidRDefault="00000000">
            <w:r>
              <w:rPr>
                <w:sz w:val="16"/>
              </w:rPr>
              <w:t>Cybersecurity</w:t>
            </w:r>
          </w:p>
        </w:tc>
        <w:tc>
          <w:tcPr>
            <w:tcW w:w="3389" w:type="dxa"/>
            <w:vAlign w:val="center"/>
          </w:tcPr>
          <w:p w14:paraId="1E878FFF" w14:textId="77777777" w:rsidR="00144D82" w:rsidRDefault="00000000">
            <w:r>
              <w:rPr>
                <w:sz w:val="16"/>
              </w:rPr>
              <w:t>Data breach, outage</w:t>
            </w:r>
          </w:p>
        </w:tc>
        <w:tc>
          <w:tcPr>
            <w:tcW w:w="3389" w:type="dxa"/>
            <w:vAlign w:val="center"/>
          </w:tcPr>
          <w:p w14:paraId="51ABE49B" w14:textId="77777777" w:rsidR="00144D82" w:rsidRDefault="00000000">
            <w:r>
              <w:rPr>
                <w:sz w:val="16"/>
              </w:rPr>
              <w:t>Layered controls, assessments, incident response</w:t>
            </w:r>
          </w:p>
        </w:tc>
      </w:tr>
      <w:tr w:rsidR="00144D82" w14:paraId="1E811780" w14:textId="77777777">
        <w:trPr>
          <w:jc w:val="center"/>
        </w:trPr>
        <w:tc>
          <w:tcPr>
            <w:tcW w:w="3389" w:type="dxa"/>
            <w:vAlign w:val="center"/>
          </w:tcPr>
          <w:p w14:paraId="7527EEB5" w14:textId="77777777" w:rsidR="00144D82" w:rsidRDefault="00000000">
            <w:r>
              <w:rPr>
                <w:sz w:val="16"/>
              </w:rPr>
              <w:t>Regulatory</w:t>
            </w:r>
          </w:p>
        </w:tc>
        <w:tc>
          <w:tcPr>
            <w:tcW w:w="3389" w:type="dxa"/>
            <w:vAlign w:val="center"/>
          </w:tcPr>
          <w:p w14:paraId="17FD8972" w14:textId="77777777" w:rsidR="00144D82" w:rsidRDefault="00000000">
            <w:r>
              <w:rPr>
                <w:sz w:val="16"/>
              </w:rPr>
              <w:t>Penalties and restrictions</w:t>
            </w:r>
          </w:p>
        </w:tc>
        <w:tc>
          <w:tcPr>
            <w:tcW w:w="3389" w:type="dxa"/>
            <w:vAlign w:val="center"/>
          </w:tcPr>
          <w:p w14:paraId="748E9F45" w14:textId="77777777" w:rsidR="00144D82" w:rsidRDefault="00000000">
            <w:r>
              <w:rPr>
                <w:sz w:val="16"/>
              </w:rPr>
              <w:t>Compliance monitoring, audits, training</w:t>
            </w:r>
          </w:p>
        </w:tc>
      </w:tr>
    </w:tbl>
    <w:p w14:paraId="596F3FAC" w14:textId="77777777" w:rsidR="00144D82" w:rsidRDefault="00000000">
      <w:r>
        <w:br w:type="page"/>
      </w:r>
    </w:p>
    <w:p w14:paraId="1BEA8FD7" w14:textId="77777777" w:rsidR="00144D82" w:rsidRDefault="00000000">
      <w:pPr>
        <w:pStyle w:val="Heading1"/>
        <w:spacing w:after="80"/>
      </w:pPr>
      <w:r>
        <w:lastRenderedPageBreak/>
        <w:t>Technology, Data and Cyber Risk</w:t>
      </w:r>
    </w:p>
    <w:p w14:paraId="109CE33B" w14:textId="77777777" w:rsidR="00144D82" w:rsidRDefault="00000000">
      <w:pPr>
        <w:spacing w:after="100" w:line="252" w:lineRule="auto"/>
      </w:pPr>
      <w:r>
        <w:t>Digital lending increases efficiency but also expands attack surfaces. Controls should cover identity, authentication, privilege management, encryption, vendor risk, backups, business continuity, fraud analytics and incident response.</w:t>
      </w:r>
    </w:p>
    <w:p w14:paraId="6DC603C8" w14:textId="77777777" w:rsidR="00144D82" w:rsidRDefault="00000000">
      <w:pPr>
        <w:spacing w:after="100" w:line="252" w:lineRule="auto"/>
      </w:pPr>
      <w:r>
        <w:t>Data should be accurate, consent-based and used for a defined purpose. Model governance is important where automated rules influence credit decisions; exceptions need explainability and human review.</w:t>
      </w:r>
    </w:p>
    <w:p w14:paraId="608BF615" w14:textId="77777777" w:rsidR="00144D82" w:rsidRDefault="00000000">
      <w:r>
        <w:br w:type="page"/>
      </w:r>
    </w:p>
    <w:p w14:paraId="746C6927" w14:textId="77777777" w:rsidR="00144D82" w:rsidRDefault="00000000">
      <w:pPr>
        <w:pStyle w:val="Heading1"/>
        <w:spacing w:after="80"/>
      </w:pPr>
      <w:r>
        <w:lastRenderedPageBreak/>
        <w:t>ESG and Stakeholder Responsibility</w:t>
      </w:r>
    </w:p>
    <w:p w14:paraId="7E0B0216" w14:textId="77777777" w:rsidR="00144D82" w:rsidRDefault="00000000">
      <w:pPr>
        <w:spacing w:after="100" w:line="252" w:lineRule="auto"/>
      </w:pPr>
      <w:r>
        <w:t>Fedfina’s social contribution is closely linked to access to formal, collateral-backed credit for underserved individuals, self-employed borrowers and small businesses. Responsible lending means suitability, transparent pricing, fair collections, grievance redressal and protection of customer data.</w:t>
      </w:r>
    </w:p>
    <w:p w14:paraId="075C0F31" w14:textId="77777777" w:rsidR="00144D82" w:rsidRDefault="00000000">
      <w:pPr>
        <w:spacing w:after="100" w:line="252" w:lineRule="auto"/>
      </w:pPr>
      <w:r>
        <w:t>Environmental exposure may arise indirectly through borrowers, branches, paper use, energy, travel and climate events. Governance includes board oversight, ethical conduct, compliance, audit and transparent reporting.</w:t>
      </w:r>
    </w:p>
    <w:p w14:paraId="71BF6E64" w14:textId="77777777" w:rsidR="00144D82" w:rsidRDefault="00000000">
      <w:r>
        <w:br w:type="page"/>
      </w:r>
    </w:p>
    <w:p w14:paraId="57FAD6E1" w14:textId="77777777" w:rsidR="00144D82" w:rsidRDefault="00000000">
      <w:pPr>
        <w:pStyle w:val="Heading1"/>
        <w:spacing w:after="80"/>
      </w:pPr>
      <w:r>
        <w:lastRenderedPageBreak/>
        <w:t>Chapter 7 — SWOT Analysis</w:t>
      </w:r>
    </w:p>
    <w:tbl>
      <w:tblPr>
        <w:tblStyle w:val="TableGrid"/>
        <w:tblW w:w="0" w:type="auto"/>
        <w:jc w:val="center"/>
        <w:tblLook w:val="04A0" w:firstRow="1" w:lastRow="0" w:firstColumn="1" w:lastColumn="0" w:noHBand="0" w:noVBand="1"/>
      </w:tblPr>
      <w:tblGrid>
        <w:gridCol w:w="5078"/>
        <w:gridCol w:w="5078"/>
      </w:tblGrid>
      <w:tr w:rsidR="00144D82" w14:paraId="7D337137" w14:textId="77777777">
        <w:trPr>
          <w:jc w:val="center"/>
        </w:trPr>
        <w:tc>
          <w:tcPr>
            <w:tcW w:w="5083" w:type="dxa"/>
            <w:shd w:val="clear" w:color="auto" w:fill="123A63"/>
            <w:vAlign w:val="center"/>
          </w:tcPr>
          <w:p w14:paraId="4D126CF3" w14:textId="77777777" w:rsidR="00144D82" w:rsidRDefault="00000000">
            <w:r>
              <w:rPr>
                <w:b/>
                <w:color w:val="FFFFFF"/>
                <w:sz w:val="16"/>
              </w:rPr>
              <w:t>Strengths</w:t>
            </w:r>
          </w:p>
        </w:tc>
        <w:tc>
          <w:tcPr>
            <w:tcW w:w="5083" w:type="dxa"/>
            <w:shd w:val="clear" w:color="auto" w:fill="123A63"/>
            <w:vAlign w:val="center"/>
          </w:tcPr>
          <w:p w14:paraId="56EA7FBE" w14:textId="77777777" w:rsidR="00144D82" w:rsidRDefault="00000000">
            <w:r>
              <w:rPr>
                <w:b/>
                <w:color w:val="FFFFFF"/>
                <w:sz w:val="16"/>
              </w:rPr>
              <w:t>Weaknesses</w:t>
            </w:r>
          </w:p>
        </w:tc>
      </w:tr>
      <w:tr w:rsidR="00144D82" w14:paraId="30EEC459" w14:textId="77777777">
        <w:trPr>
          <w:jc w:val="center"/>
        </w:trPr>
        <w:tc>
          <w:tcPr>
            <w:tcW w:w="5083" w:type="dxa"/>
            <w:vAlign w:val="center"/>
          </w:tcPr>
          <w:p w14:paraId="398B38FA" w14:textId="77777777" w:rsidR="00144D82" w:rsidRDefault="00000000">
            <w:r>
              <w:rPr>
                <w:sz w:val="16"/>
              </w:rPr>
              <w:t>98.9% secured AUM and strong parentage</w:t>
            </w:r>
          </w:p>
        </w:tc>
        <w:tc>
          <w:tcPr>
            <w:tcW w:w="5083" w:type="dxa"/>
            <w:vAlign w:val="center"/>
          </w:tcPr>
          <w:p w14:paraId="2D159B2C" w14:textId="77777777" w:rsidR="00144D82" w:rsidRDefault="00000000">
            <w:r>
              <w:rPr>
                <w:sz w:val="16"/>
              </w:rPr>
              <w:t>Funding and leverage sensitivity</w:t>
            </w:r>
          </w:p>
        </w:tc>
      </w:tr>
      <w:tr w:rsidR="00144D82" w14:paraId="3E679140" w14:textId="77777777">
        <w:trPr>
          <w:jc w:val="center"/>
        </w:trPr>
        <w:tc>
          <w:tcPr>
            <w:tcW w:w="5083" w:type="dxa"/>
            <w:vAlign w:val="center"/>
          </w:tcPr>
          <w:p w14:paraId="52EF4A3F" w14:textId="77777777" w:rsidR="00144D82" w:rsidRDefault="00000000">
            <w:r>
              <w:rPr>
                <w:sz w:val="16"/>
              </w:rPr>
              <w:t>Gold + mortgage twin-engine model</w:t>
            </w:r>
          </w:p>
        </w:tc>
        <w:tc>
          <w:tcPr>
            <w:tcW w:w="5083" w:type="dxa"/>
            <w:vAlign w:val="center"/>
          </w:tcPr>
          <w:p w14:paraId="41002A67" w14:textId="77777777" w:rsidR="00144D82" w:rsidRDefault="00000000">
            <w:r>
              <w:rPr>
                <w:sz w:val="16"/>
              </w:rPr>
              <w:t>Branch productivity ramp-up</w:t>
            </w:r>
          </w:p>
        </w:tc>
      </w:tr>
      <w:tr w:rsidR="00144D82" w14:paraId="5A3D941C" w14:textId="77777777">
        <w:trPr>
          <w:jc w:val="center"/>
        </w:trPr>
        <w:tc>
          <w:tcPr>
            <w:tcW w:w="5083" w:type="dxa"/>
            <w:vAlign w:val="center"/>
          </w:tcPr>
          <w:p w14:paraId="263C2A4E" w14:textId="77777777" w:rsidR="00144D82" w:rsidRDefault="00000000">
            <w:r>
              <w:rPr>
                <w:sz w:val="16"/>
              </w:rPr>
              <w:t>757 branches across 17 states</w:t>
            </w:r>
          </w:p>
        </w:tc>
        <w:tc>
          <w:tcPr>
            <w:tcW w:w="5083" w:type="dxa"/>
            <w:vAlign w:val="center"/>
          </w:tcPr>
          <w:p w14:paraId="6D2FB4F2" w14:textId="77777777" w:rsidR="00144D82" w:rsidRDefault="00000000">
            <w:r>
              <w:rPr>
                <w:sz w:val="16"/>
              </w:rPr>
              <w:t>Exposure to regional concentration</w:t>
            </w:r>
          </w:p>
        </w:tc>
      </w:tr>
      <w:tr w:rsidR="00144D82" w14:paraId="4CDB4E0C" w14:textId="77777777">
        <w:trPr>
          <w:jc w:val="center"/>
        </w:trPr>
        <w:tc>
          <w:tcPr>
            <w:tcW w:w="5083" w:type="dxa"/>
            <w:vAlign w:val="center"/>
          </w:tcPr>
          <w:p w14:paraId="0767DB1B" w14:textId="77777777" w:rsidR="00144D82" w:rsidRDefault="00000000">
            <w:r>
              <w:rPr>
                <w:sz w:val="16"/>
              </w:rPr>
              <w:t>Improved PAT, ROA and ROE</w:t>
            </w:r>
          </w:p>
        </w:tc>
        <w:tc>
          <w:tcPr>
            <w:tcW w:w="5083" w:type="dxa"/>
            <w:vAlign w:val="center"/>
          </w:tcPr>
          <w:p w14:paraId="364D419F" w14:textId="77777777" w:rsidR="00144D82" w:rsidRDefault="00000000">
            <w:r>
              <w:rPr>
                <w:sz w:val="16"/>
              </w:rPr>
              <w:t>Mortgage/stressed-book execution risk</w:t>
            </w:r>
          </w:p>
        </w:tc>
      </w:tr>
      <w:tr w:rsidR="00144D82" w14:paraId="756269EF" w14:textId="77777777">
        <w:trPr>
          <w:jc w:val="center"/>
        </w:trPr>
        <w:tc>
          <w:tcPr>
            <w:tcW w:w="5083" w:type="dxa"/>
            <w:vAlign w:val="center"/>
          </w:tcPr>
          <w:p w14:paraId="144E01AC" w14:textId="77777777" w:rsidR="00144D82" w:rsidRDefault="00000000">
            <w:r>
              <w:rPr>
                <w:sz w:val="16"/>
              </w:rPr>
              <w:t>Opportunities</w:t>
            </w:r>
          </w:p>
        </w:tc>
        <w:tc>
          <w:tcPr>
            <w:tcW w:w="5083" w:type="dxa"/>
            <w:vAlign w:val="center"/>
          </w:tcPr>
          <w:p w14:paraId="0FA2D8C3" w14:textId="77777777" w:rsidR="00144D82" w:rsidRDefault="00000000">
            <w:r>
              <w:rPr>
                <w:sz w:val="16"/>
              </w:rPr>
              <w:t>Threats</w:t>
            </w:r>
          </w:p>
        </w:tc>
      </w:tr>
      <w:tr w:rsidR="00144D82" w14:paraId="7199D842" w14:textId="77777777">
        <w:trPr>
          <w:jc w:val="center"/>
        </w:trPr>
        <w:tc>
          <w:tcPr>
            <w:tcW w:w="5083" w:type="dxa"/>
            <w:vAlign w:val="center"/>
          </w:tcPr>
          <w:p w14:paraId="5B86DF66" w14:textId="77777777" w:rsidR="00144D82" w:rsidRDefault="00000000">
            <w:r>
              <w:rPr>
                <w:sz w:val="16"/>
              </w:rPr>
              <w:t>Formalisation and MSME credit demand</w:t>
            </w:r>
          </w:p>
        </w:tc>
        <w:tc>
          <w:tcPr>
            <w:tcW w:w="5083" w:type="dxa"/>
            <w:vAlign w:val="center"/>
          </w:tcPr>
          <w:p w14:paraId="60352358" w14:textId="77777777" w:rsidR="00144D82" w:rsidRDefault="00000000">
            <w:r>
              <w:rPr>
                <w:sz w:val="16"/>
              </w:rPr>
              <w:t>Competition and margin pressure</w:t>
            </w:r>
          </w:p>
        </w:tc>
      </w:tr>
      <w:tr w:rsidR="00144D82" w14:paraId="53BDA6FB" w14:textId="77777777">
        <w:trPr>
          <w:jc w:val="center"/>
        </w:trPr>
        <w:tc>
          <w:tcPr>
            <w:tcW w:w="5083" w:type="dxa"/>
            <w:vAlign w:val="center"/>
          </w:tcPr>
          <w:p w14:paraId="360A4E65" w14:textId="77777777" w:rsidR="00144D82" w:rsidRDefault="00000000">
            <w:r>
              <w:rPr>
                <w:sz w:val="16"/>
              </w:rPr>
              <w:t>Gold-loan penetration and phygital reach</w:t>
            </w:r>
          </w:p>
        </w:tc>
        <w:tc>
          <w:tcPr>
            <w:tcW w:w="5083" w:type="dxa"/>
            <w:vAlign w:val="center"/>
          </w:tcPr>
          <w:p w14:paraId="446E3A41" w14:textId="77777777" w:rsidR="00144D82" w:rsidRDefault="00000000">
            <w:r>
              <w:rPr>
                <w:sz w:val="16"/>
              </w:rPr>
              <w:t>Gold-price, fraud and collateral risk</w:t>
            </w:r>
          </w:p>
        </w:tc>
      </w:tr>
      <w:tr w:rsidR="00144D82" w14:paraId="5309D42C" w14:textId="77777777">
        <w:trPr>
          <w:jc w:val="center"/>
        </w:trPr>
        <w:tc>
          <w:tcPr>
            <w:tcW w:w="5083" w:type="dxa"/>
            <w:vAlign w:val="center"/>
          </w:tcPr>
          <w:p w14:paraId="2DBBBD15" w14:textId="77777777" w:rsidR="00144D82" w:rsidRDefault="00000000">
            <w:r>
              <w:rPr>
                <w:sz w:val="16"/>
              </w:rPr>
              <w:t>Data-led underwriting and cross-sell</w:t>
            </w:r>
          </w:p>
        </w:tc>
        <w:tc>
          <w:tcPr>
            <w:tcW w:w="5083" w:type="dxa"/>
            <w:vAlign w:val="center"/>
          </w:tcPr>
          <w:p w14:paraId="16519690" w14:textId="77777777" w:rsidR="00144D82" w:rsidRDefault="00000000">
            <w:r>
              <w:rPr>
                <w:sz w:val="16"/>
              </w:rPr>
              <w:t>Regulatory or liquidity shocks</w:t>
            </w:r>
          </w:p>
        </w:tc>
      </w:tr>
      <w:tr w:rsidR="00144D82" w14:paraId="0E9E0F7B" w14:textId="77777777">
        <w:trPr>
          <w:jc w:val="center"/>
        </w:trPr>
        <w:tc>
          <w:tcPr>
            <w:tcW w:w="5083" w:type="dxa"/>
            <w:vAlign w:val="center"/>
          </w:tcPr>
          <w:p w14:paraId="3B1D8F3A" w14:textId="77777777" w:rsidR="00144D82" w:rsidRDefault="00000000">
            <w:r>
              <w:rPr>
                <w:sz w:val="16"/>
              </w:rPr>
              <w:t>Co-location operating leverage</w:t>
            </w:r>
          </w:p>
        </w:tc>
        <w:tc>
          <w:tcPr>
            <w:tcW w:w="5083" w:type="dxa"/>
            <w:vAlign w:val="center"/>
          </w:tcPr>
          <w:p w14:paraId="780C657B" w14:textId="77777777" w:rsidR="00144D82" w:rsidRDefault="00000000">
            <w:r>
              <w:rPr>
                <w:sz w:val="16"/>
              </w:rPr>
              <w:t>Cybersecurity and reputational events</w:t>
            </w:r>
          </w:p>
        </w:tc>
      </w:tr>
    </w:tbl>
    <w:p w14:paraId="60C49575" w14:textId="77777777" w:rsidR="00144D82" w:rsidRDefault="00000000">
      <w:r>
        <w:br w:type="page"/>
      </w:r>
    </w:p>
    <w:p w14:paraId="70A6970C" w14:textId="77777777" w:rsidR="00144D82" w:rsidRDefault="00000000">
      <w:pPr>
        <w:pStyle w:val="Heading1"/>
        <w:spacing w:after="80"/>
      </w:pPr>
      <w:r>
        <w:lastRenderedPageBreak/>
        <w:t>Investment Case — Positive Factors</w:t>
      </w:r>
    </w:p>
    <w:p w14:paraId="41FD96A1" w14:textId="77777777" w:rsidR="00144D82" w:rsidRDefault="00000000">
      <w:pPr>
        <w:spacing w:after="100" w:line="252" w:lineRule="auto"/>
      </w:pPr>
      <w:r>
        <w:t>The positive case is based on a large and growing secured addressable market, strong AUM momentum, improving profitability, high capital adequacy, Federal Bank association, expanding distribution and product diversification.</w:t>
      </w:r>
    </w:p>
    <w:p w14:paraId="38886E4A" w14:textId="77777777" w:rsidR="00144D82" w:rsidRDefault="00000000">
      <w:pPr>
        <w:spacing w:after="100" w:line="252" w:lineRule="auto"/>
      </w:pPr>
      <w:r>
        <w:t>Gold loans can provide speed and collateral protection, while mortgage loans can create longer-term customer relationships and yield diversification. The company’s focus on disciplined growth may improve quality as the book seasons.</w:t>
      </w:r>
    </w:p>
    <w:p w14:paraId="64FBD184" w14:textId="77777777" w:rsidR="00144D82" w:rsidRDefault="00000000">
      <w:r>
        <w:br w:type="page"/>
      </w:r>
    </w:p>
    <w:p w14:paraId="2BA19D7B" w14:textId="77777777" w:rsidR="00144D82" w:rsidRDefault="00000000">
      <w:pPr>
        <w:pStyle w:val="Heading1"/>
        <w:spacing w:after="80"/>
      </w:pPr>
      <w:r>
        <w:lastRenderedPageBreak/>
        <w:t>Investment Case — Watch Factors</w:t>
      </w:r>
    </w:p>
    <w:p w14:paraId="72233A11" w14:textId="77777777" w:rsidR="00144D82" w:rsidRDefault="00000000">
      <w:pPr>
        <w:spacing w:after="100" w:line="252" w:lineRule="auto"/>
      </w:pPr>
      <w:r>
        <w:t>The watch case includes rising leverage, competition, stable rather than falling cost-to-income, possible funding-cost pressure, gold-price sensitivity, the need to mature new branches, and the possibility that ST LAP or legacy pools create additional credit cost.</w:t>
      </w:r>
    </w:p>
    <w:p w14:paraId="4C779BD5" w14:textId="77777777" w:rsidR="00144D82" w:rsidRDefault="00000000">
      <w:pPr>
        <w:spacing w:after="100" w:line="252" w:lineRule="auto"/>
      </w:pPr>
      <w:r>
        <w:t>Investors should also reconcile differences in selected reported ratios and understand on-book versus off-book AUM, co-lending, sell-downs and provisioning before forming a valuation view.</w:t>
      </w:r>
    </w:p>
    <w:p w14:paraId="23A20562" w14:textId="77777777" w:rsidR="00144D82" w:rsidRDefault="00000000">
      <w:r>
        <w:br w:type="page"/>
      </w:r>
    </w:p>
    <w:p w14:paraId="19B553A0" w14:textId="77777777" w:rsidR="00144D82" w:rsidRDefault="00000000">
      <w:pPr>
        <w:pStyle w:val="Heading1"/>
        <w:spacing w:after="80"/>
      </w:pPr>
      <w:r>
        <w:lastRenderedPageBreak/>
        <w:t>Valuation Perspective</w:t>
      </w:r>
    </w:p>
    <w:p w14:paraId="5C55DE7D" w14:textId="77777777" w:rsidR="00144D82" w:rsidRDefault="00000000">
      <w:pPr>
        <w:spacing w:after="100" w:line="252" w:lineRule="auto"/>
      </w:pPr>
      <w:r>
        <w:t>A lender is commonly assessed using price-to-book, price-to-earnings, ROE, sustainable ROA, growth, asset quality and cost of funds. Fedfina’s improved EPS and book value support a constructive analytical base, but the appropriate multiple depends on the durability of ROE and the risk of the book.</w:t>
      </w:r>
    </w:p>
    <w:p w14:paraId="6545588B" w14:textId="77777777" w:rsidR="00144D82" w:rsidRDefault="00000000">
      <w:pPr>
        <w:spacing w:after="100" w:line="252" w:lineRule="auto"/>
      </w:pPr>
      <w:r>
        <w:t>This academic report intentionally does not insert a live share price or target price. A proper valuation would require the valuation date, diluted share count, market price, forward estimates, cost of equity, terminal assumptions and peer set.</w:t>
      </w:r>
    </w:p>
    <w:p w14:paraId="3062C55B" w14:textId="77777777" w:rsidR="00144D82" w:rsidRDefault="00000000">
      <w:r>
        <w:br w:type="page"/>
      </w:r>
    </w:p>
    <w:p w14:paraId="583A0D5F" w14:textId="77777777" w:rsidR="00144D82" w:rsidRDefault="00000000">
      <w:pPr>
        <w:pStyle w:val="Heading1"/>
        <w:spacing w:after="80"/>
      </w:pPr>
      <w:r>
        <w:lastRenderedPageBreak/>
        <w:t>Balanced Scorecard</w:t>
      </w:r>
    </w:p>
    <w:tbl>
      <w:tblPr>
        <w:tblStyle w:val="TableGrid"/>
        <w:tblW w:w="0" w:type="auto"/>
        <w:jc w:val="center"/>
        <w:tblLook w:val="04A0" w:firstRow="1" w:lastRow="0" w:firstColumn="1" w:lastColumn="0" w:noHBand="0" w:noVBand="1"/>
      </w:tblPr>
      <w:tblGrid>
        <w:gridCol w:w="3386"/>
        <w:gridCol w:w="3385"/>
        <w:gridCol w:w="3385"/>
      </w:tblGrid>
      <w:tr w:rsidR="00144D82" w14:paraId="14AB4DE4" w14:textId="77777777">
        <w:trPr>
          <w:jc w:val="center"/>
        </w:trPr>
        <w:tc>
          <w:tcPr>
            <w:tcW w:w="3389" w:type="dxa"/>
            <w:shd w:val="clear" w:color="auto" w:fill="123A63"/>
            <w:vAlign w:val="center"/>
          </w:tcPr>
          <w:p w14:paraId="461FE322" w14:textId="77777777" w:rsidR="00144D82" w:rsidRDefault="00000000">
            <w:r>
              <w:rPr>
                <w:b/>
                <w:color w:val="FFFFFF"/>
                <w:sz w:val="16"/>
              </w:rPr>
              <w:t>Dimension</w:t>
            </w:r>
          </w:p>
        </w:tc>
        <w:tc>
          <w:tcPr>
            <w:tcW w:w="3389" w:type="dxa"/>
            <w:shd w:val="clear" w:color="auto" w:fill="123A63"/>
            <w:vAlign w:val="center"/>
          </w:tcPr>
          <w:p w14:paraId="50595F39" w14:textId="77777777" w:rsidR="00144D82" w:rsidRDefault="00000000">
            <w:r>
              <w:rPr>
                <w:b/>
                <w:color w:val="FFFFFF"/>
                <w:sz w:val="16"/>
              </w:rPr>
              <w:t>FY26 evidence</w:t>
            </w:r>
          </w:p>
        </w:tc>
        <w:tc>
          <w:tcPr>
            <w:tcW w:w="3389" w:type="dxa"/>
            <w:shd w:val="clear" w:color="auto" w:fill="123A63"/>
            <w:vAlign w:val="center"/>
          </w:tcPr>
          <w:p w14:paraId="0FA6FFAD" w14:textId="77777777" w:rsidR="00144D82" w:rsidRDefault="00000000">
            <w:r>
              <w:rPr>
                <w:b/>
                <w:color w:val="FFFFFF"/>
                <w:sz w:val="16"/>
              </w:rPr>
              <w:t>Suggested KPI</w:t>
            </w:r>
          </w:p>
        </w:tc>
      </w:tr>
      <w:tr w:rsidR="00144D82" w14:paraId="6AB3497C" w14:textId="77777777">
        <w:trPr>
          <w:jc w:val="center"/>
        </w:trPr>
        <w:tc>
          <w:tcPr>
            <w:tcW w:w="3389" w:type="dxa"/>
            <w:vAlign w:val="center"/>
          </w:tcPr>
          <w:p w14:paraId="0AD7E698" w14:textId="77777777" w:rsidR="00144D82" w:rsidRDefault="00000000">
            <w:r>
              <w:rPr>
                <w:sz w:val="16"/>
              </w:rPr>
              <w:t>Financial</w:t>
            </w:r>
          </w:p>
        </w:tc>
        <w:tc>
          <w:tcPr>
            <w:tcW w:w="3389" w:type="dxa"/>
            <w:vAlign w:val="center"/>
          </w:tcPr>
          <w:p w14:paraId="17B602A1" w14:textId="77777777" w:rsidR="00144D82" w:rsidRDefault="00000000">
            <w:r>
              <w:rPr>
                <w:sz w:val="16"/>
              </w:rPr>
              <w:t>PAT ₹343.6 crore; ROA 2.4%</w:t>
            </w:r>
          </w:p>
        </w:tc>
        <w:tc>
          <w:tcPr>
            <w:tcW w:w="3389" w:type="dxa"/>
            <w:vAlign w:val="center"/>
          </w:tcPr>
          <w:p w14:paraId="3C8F90D0" w14:textId="77777777" w:rsidR="00144D82" w:rsidRDefault="00000000">
            <w:r>
              <w:rPr>
                <w:sz w:val="16"/>
              </w:rPr>
              <w:t>ROA, ROE, NII, credit cost</w:t>
            </w:r>
          </w:p>
        </w:tc>
      </w:tr>
      <w:tr w:rsidR="00144D82" w14:paraId="4E9974DC" w14:textId="77777777">
        <w:trPr>
          <w:jc w:val="center"/>
        </w:trPr>
        <w:tc>
          <w:tcPr>
            <w:tcW w:w="3389" w:type="dxa"/>
            <w:vAlign w:val="center"/>
          </w:tcPr>
          <w:p w14:paraId="7B1716A6" w14:textId="77777777" w:rsidR="00144D82" w:rsidRDefault="00000000">
            <w:r>
              <w:rPr>
                <w:sz w:val="16"/>
              </w:rPr>
              <w:t>Customer</w:t>
            </w:r>
          </w:p>
        </w:tc>
        <w:tc>
          <w:tcPr>
            <w:tcW w:w="3389" w:type="dxa"/>
            <w:vAlign w:val="center"/>
          </w:tcPr>
          <w:p w14:paraId="3FCCE121" w14:textId="77777777" w:rsidR="00144D82" w:rsidRDefault="00000000">
            <w:r>
              <w:rPr>
                <w:sz w:val="16"/>
              </w:rPr>
              <w:t>3.44 lakh active customers; 85% positive</w:t>
            </w:r>
          </w:p>
        </w:tc>
        <w:tc>
          <w:tcPr>
            <w:tcW w:w="3389" w:type="dxa"/>
            <w:vAlign w:val="center"/>
          </w:tcPr>
          <w:p w14:paraId="31E58E86" w14:textId="77777777" w:rsidR="00144D82" w:rsidRDefault="00000000">
            <w:r>
              <w:rPr>
                <w:sz w:val="16"/>
              </w:rPr>
              <w:t>TAT, complaints, repeat use</w:t>
            </w:r>
          </w:p>
        </w:tc>
      </w:tr>
      <w:tr w:rsidR="00144D82" w14:paraId="71CB2E28" w14:textId="77777777">
        <w:trPr>
          <w:jc w:val="center"/>
        </w:trPr>
        <w:tc>
          <w:tcPr>
            <w:tcW w:w="3389" w:type="dxa"/>
            <w:vAlign w:val="center"/>
          </w:tcPr>
          <w:p w14:paraId="7024EF04" w14:textId="77777777" w:rsidR="00144D82" w:rsidRDefault="00000000">
            <w:r>
              <w:rPr>
                <w:sz w:val="16"/>
              </w:rPr>
              <w:t>Process</w:t>
            </w:r>
          </w:p>
        </w:tc>
        <w:tc>
          <w:tcPr>
            <w:tcW w:w="3389" w:type="dxa"/>
            <w:vAlign w:val="center"/>
          </w:tcPr>
          <w:p w14:paraId="53F25726" w14:textId="77777777" w:rsidR="00144D82" w:rsidRDefault="00000000">
            <w:r>
              <w:rPr>
                <w:sz w:val="16"/>
              </w:rPr>
              <w:t>148 branches; BRE; co-location</w:t>
            </w:r>
          </w:p>
        </w:tc>
        <w:tc>
          <w:tcPr>
            <w:tcW w:w="3389" w:type="dxa"/>
            <w:vAlign w:val="center"/>
          </w:tcPr>
          <w:p w14:paraId="13063FD3" w14:textId="77777777" w:rsidR="00144D82" w:rsidRDefault="00000000">
            <w:r>
              <w:rPr>
                <w:sz w:val="16"/>
              </w:rPr>
              <w:t>AUM/branch, approval quality, collection</w:t>
            </w:r>
          </w:p>
        </w:tc>
      </w:tr>
      <w:tr w:rsidR="00144D82" w14:paraId="1C132237" w14:textId="77777777">
        <w:trPr>
          <w:jc w:val="center"/>
        </w:trPr>
        <w:tc>
          <w:tcPr>
            <w:tcW w:w="3389" w:type="dxa"/>
            <w:vAlign w:val="center"/>
          </w:tcPr>
          <w:p w14:paraId="1AB6B0B1" w14:textId="77777777" w:rsidR="00144D82" w:rsidRDefault="00000000">
            <w:r>
              <w:rPr>
                <w:sz w:val="16"/>
              </w:rPr>
              <w:t>People</w:t>
            </w:r>
          </w:p>
        </w:tc>
        <w:tc>
          <w:tcPr>
            <w:tcW w:w="3389" w:type="dxa"/>
            <w:vAlign w:val="center"/>
          </w:tcPr>
          <w:p w14:paraId="6DA52906" w14:textId="77777777" w:rsidR="00144D82" w:rsidRDefault="00000000">
            <w:r>
              <w:rPr>
                <w:sz w:val="16"/>
              </w:rPr>
              <w:t>735 employees added; training focus</w:t>
            </w:r>
          </w:p>
        </w:tc>
        <w:tc>
          <w:tcPr>
            <w:tcW w:w="3389" w:type="dxa"/>
            <w:vAlign w:val="center"/>
          </w:tcPr>
          <w:p w14:paraId="7423CA41" w14:textId="77777777" w:rsidR="00144D82" w:rsidRDefault="00000000">
            <w:r>
              <w:rPr>
                <w:sz w:val="16"/>
              </w:rPr>
              <w:t>Productivity, attrition, capability</w:t>
            </w:r>
          </w:p>
        </w:tc>
      </w:tr>
      <w:tr w:rsidR="00144D82" w14:paraId="0FC59B57" w14:textId="77777777">
        <w:trPr>
          <w:jc w:val="center"/>
        </w:trPr>
        <w:tc>
          <w:tcPr>
            <w:tcW w:w="3389" w:type="dxa"/>
            <w:vAlign w:val="center"/>
          </w:tcPr>
          <w:p w14:paraId="25146289" w14:textId="77777777" w:rsidR="00144D82" w:rsidRDefault="00000000">
            <w:r>
              <w:rPr>
                <w:sz w:val="16"/>
              </w:rPr>
              <w:t>Risk</w:t>
            </w:r>
          </w:p>
        </w:tc>
        <w:tc>
          <w:tcPr>
            <w:tcW w:w="3389" w:type="dxa"/>
            <w:vAlign w:val="center"/>
          </w:tcPr>
          <w:p w14:paraId="1A14F159" w14:textId="77777777" w:rsidR="00144D82" w:rsidRDefault="00000000">
            <w:r>
              <w:rPr>
                <w:sz w:val="16"/>
              </w:rPr>
              <w:t>98.9% secured; CRAR ~22–23%</w:t>
            </w:r>
          </w:p>
        </w:tc>
        <w:tc>
          <w:tcPr>
            <w:tcW w:w="3389" w:type="dxa"/>
            <w:vAlign w:val="center"/>
          </w:tcPr>
          <w:p w14:paraId="307B9310" w14:textId="77777777" w:rsidR="00144D82" w:rsidRDefault="00000000">
            <w:r>
              <w:rPr>
                <w:sz w:val="16"/>
              </w:rPr>
              <w:t>GNPA, NNPA, LTV, liquidity buffer</w:t>
            </w:r>
          </w:p>
        </w:tc>
      </w:tr>
    </w:tbl>
    <w:p w14:paraId="2AE519DF" w14:textId="77777777" w:rsidR="00144D82" w:rsidRDefault="00000000">
      <w:r>
        <w:br w:type="page"/>
      </w:r>
    </w:p>
    <w:p w14:paraId="321E3B82" w14:textId="77777777" w:rsidR="00144D82" w:rsidRDefault="00000000">
      <w:pPr>
        <w:pStyle w:val="Heading1"/>
        <w:spacing w:after="80"/>
      </w:pPr>
      <w:r>
        <w:lastRenderedPageBreak/>
        <w:t>Recommendations — Growth</w:t>
      </w:r>
    </w:p>
    <w:p w14:paraId="4CDDA63E" w14:textId="77777777" w:rsidR="00144D82" w:rsidRDefault="00000000">
      <w:pPr>
        <w:pStyle w:val="ListBullet"/>
        <w:spacing w:after="40" w:line="240" w:lineRule="auto"/>
      </w:pPr>
      <w:r>
        <w:rPr>
          <w:sz w:val="18"/>
        </w:rPr>
        <w:t>Prioritise mature-branch productivity before accelerating footprint at the same pace.</w:t>
      </w:r>
    </w:p>
    <w:p w14:paraId="6E3F8551" w14:textId="77777777" w:rsidR="00144D82" w:rsidRDefault="00000000">
      <w:pPr>
        <w:pStyle w:val="ListBullet"/>
        <w:spacing w:after="40" w:line="240" w:lineRule="auto"/>
      </w:pPr>
      <w:r>
        <w:rPr>
          <w:sz w:val="18"/>
        </w:rPr>
        <w:t>Use customer and branch data to improve cross-sell between gold and mortgage products without weakening suitability.</w:t>
      </w:r>
    </w:p>
    <w:p w14:paraId="15EA6ABE" w14:textId="77777777" w:rsidR="00144D82" w:rsidRDefault="00000000">
      <w:pPr>
        <w:pStyle w:val="ListBullet"/>
        <w:spacing w:after="40" w:line="240" w:lineRule="auto"/>
      </w:pPr>
      <w:r>
        <w:rPr>
          <w:sz w:val="18"/>
        </w:rPr>
        <w:t>Continue investing in BRE, analytics and phygital journeys while preserving human judgement.</w:t>
      </w:r>
    </w:p>
    <w:p w14:paraId="5D0DA74E" w14:textId="77777777" w:rsidR="00144D82" w:rsidRDefault="00000000">
      <w:pPr>
        <w:pStyle w:val="ListBullet"/>
        <w:spacing w:after="40" w:line="240" w:lineRule="auto"/>
      </w:pPr>
      <w:r>
        <w:rPr>
          <w:sz w:val="18"/>
        </w:rPr>
        <w:t>Build a transparent product-level profitability dashboard covering yield, cost, credit cost and capital usage.</w:t>
      </w:r>
    </w:p>
    <w:p w14:paraId="6FD84296" w14:textId="77777777" w:rsidR="00144D82" w:rsidRDefault="00000000">
      <w:r>
        <w:br w:type="page"/>
      </w:r>
    </w:p>
    <w:p w14:paraId="567F59DE" w14:textId="77777777" w:rsidR="00144D82" w:rsidRDefault="00000000">
      <w:pPr>
        <w:pStyle w:val="Heading1"/>
        <w:spacing w:after="80"/>
      </w:pPr>
      <w:r>
        <w:lastRenderedPageBreak/>
        <w:t>Recommendations — Risk and Governance</w:t>
      </w:r>
    </w:p>
    <w:p w14:paraId="6EA790B5" w14:textId="77777777" w:rsidR="00144D82" w:rsidRDefault="00000000">
      <w:pPr>
        <w:pStyle w:val="ListBullet"/>
        <w:spacing w:after="40" w:line="240" w:lineRule="auto"/>
      </w:pPr>
      <w:r>
        <w:rPr>
          <w:sz w:val="18"/>
        </w:rPr>
        <w:t>Publish consistent definitions for key asset-quality and capital metrics across sections.</w:t>
      </w:r>
    </w:p>
    <w:p w14:paraId="2D6761A5" w14:textId="77777777" w:rsidR="00144D82" w:rsidRDefault="00000000">
      <w:pPr>
        <w:pStyle w:val="ListBullet"/>
        <w:spacing w:after="40" w:line="240" w:lineRule="auto"/>
      </w:pPr>
      <w:r>
        <w:rPr>
          <w:sz w:val="18"/>
        </w:rPr>
        <w:t>Track new-book vintages, early delinquency, collection efficiency and recoveries by geography and product.</w:t>
      </w:r>
    </w:p>
    <w:p w14:paraId="7219D460" w14:textId="77777777" w:rsidR="00144D82" w:rsidRDefault="00000000">
      <w:pPr>
        <w:pStyle w:val="ListBullet"/>
        <w:spacing w:after="40" w:line="240" w:lineRule="auto"/>
      </w:pPr>
      <w:r>
        <w:rPr>
          <w:sz w:val="18"/>
        </w:rPr>
        <w:t>Maintain conservative gold LTV and strengthen collateral custody, audit and fraud analytics.</w:t>
      </w:r>
    </w:p>
    <w:p w14:paraId="63F5541E" w14:textId="77777777" w:rsidR="00144D82" w:rsidRDefault="00000000">
      <w:pPr>
        <w:pStyle w:val="ListBullet"/>
        <w:spacing w:after="40" w:line="240" w:lineRule="auto"/>
      </w:pPr>
      <w:r>
        <w:rPr>
          <w:sz w:val="18"/>
        </w:rPr>
        <w:t>Stress test funding costs, gold prices, branch productivity and liquidity gaps.</w:t>
      </w:r>
    </w:p>
    <w:p w14:paraId="55A8FCCE" w14:textId="77777777" w:rsidR="00144D82" w:rsidRDefault="00000000">
      <w:pPr>
        <w:pStyle w:val="ListBullet"/>
        <w:spacing w:after="40" w:line="240" w:lineRule="auto"/>
      </w:pPr>
      <w:r>
        <w:rPr>
          <w:sz w:val="18"/>
        </w:rPr>
        <w:t>Keep customer fairness, cyber resilience and grievance redressal on board dashboards.</w:t>
      </w:r>
    </w:p>
    <w:p w14:paraId="4EF758FB" w14:textId="77777777" w:rsidR="00144D82" w:rsidRDefault="00000000">
      <w:r>
        <w:br w:type="page"/>
      </w:r>
    </w:p>
    <w:p w14:paraId="021D6F7A" w14:textId="77777777" w:rsidR="00144D82" w:rsidRDefault="00000000">
      <w:pPr>
        <w:pStyle w:val="Heading1"/>
        <w:spacing w:after="80"/>
      </w:pPr>
      <w:r>
        <w:lastRenderedPageBreak/>
        <w:t>Recommendations — Sustainability</w:t>
      </w:r>
    </w:p>
    <w:p w14:paraId="3E4A4A13" w14:textId="77777777" w:rsidR="00144D82" w:rsidRDefault="00000000">
      <w:pPr>
        <w:pStyle w:val="ListBullet"/>
        <w:spacing w:after="40" w:line="240" w:lineRule="auto"/>
      </w:pPr>
      <w:r>
        <w:rPr>
          <w:sz w:val="18"/>
        </w:rPr>
        <w:t>Measure financial inclusion through first-time formal borrowers, rural/semi-urban reach and responsible repayment outcomes.</w:t>
      </w:r>
    </w:p>
    <w:p w14:paraId="4308A1EE" w14:textId="77777777" w:rsidR="00144D82" w:rsidRDefault="00000000">
      <w:pPr>
        <w:pStyle w:val="ListBullet"/>
        <w:spacing w:after="40" w:line="240" w:lineRule="auto"/>
      </w:pPr>
      <w:r>
        <w:rPr>
          <w:sz w:val="18"/>
        </w:rPr>
        <w:t>Expand paper-light, energy-efficient and digitally enabled operations.</w:t>
      </w:r>
    </w:p>
    <w:p w14:paraId="3D390EF0" w14:textId="77777777" w:rsidR="00144D82" w:rsidRDefault="00000000">
      <w:pPr>
        <w:pStyle w:val="ListBullet"/>
        <w:spacing w:after="40" w:line="240" w:lineRule="auto"/>
      </w:pPr>
      <w:r>
        <w:rPr>
          <w:sz w:val="18"/>
        </w:rPr>
        <w:t>Disclose customer outcomes and responsible-collection indicators alongside growth.</w:t>
      </w:r>
    </w:p>
    <w:p w14:paraId="50FEE11B" w14:textId="77777777" w:rsidR="00144D82" w:rsidRDefault="00000000">
      <w:pPr>
        <w:pStyle w:val="ListBullet"/>
        <w:spacing w:after="40" w:line="240" w:lineRule="auto"/>
      </w:pPr>
      <w:r>
        <w:rPr>
          <w:sz w:val="18"/>
        </w:rPr>
        <w:t>Link leadership incentives to sustainable growth, asset quality, service and conduct—not only disbursements.</w:t>
      </w:r>
    </w:p>
    <w:p w14:paraId="5D0EB36E" w14:textId="77777777" w:rsidR="00144D82" w:rsidRDefault="00000000">
      <w:r>
        <w:br w:type="page"/>
      </w:r>
    </w:p>
    <w:p w14:paraId="18066F03" w14:textId="77777777" w:rsidR="00144D82" w:rsidRDefault="00000000">
      <w:pPr>
        <w:pStyle w:val="Heading1"/>
        <w:spacing w:after="80"/>
      </w:pPr>
      <w:r>
        <w:lastRenderedPageBreak/>
        <w:t>Chapter 8 — Key Findings</w:t>
      </w:r>
    </w:p>
    <w:p w14:paraId="49DD76B8" w14:textId="77777777" w:rsidR="00144D82" w:rsidRDefault="00000000">
      <w:pPr>
        <w:spacing w:after="100" w:line="252" w:lineRule="auto"/>
      </w:pPr>
      <w:r>
        <w:t>1. Fedfina achieved strong FY26 recovery: PAT grew 53%, NII 15% and AUM 27.5%.</w:t>
      </w:r>
    </w:p>
    <w:p w14:paraId="50204643" w14:textId="77777777" w:rsidR="00144D82" w:rsidRDefault="00000000">
      <w:pPr>
        <w:spacing w:after="100" w:line="252" w:lineRule="auto"/>
      </w:pPr>
      <w:r>
        <w:t>2. Secured lending is the defining strategic characteristic, with secured AUM of 98.9%.</w:t>
      </w:r>
    </w:p>
    <w:p w14:paraId="013454E1" w14:textId="77777777" w:rsidR="00144D82" w:rsidRDefault="00000000">
      <w:pPr>
        <w:spacing w:after="100" w:line="252" w:lineRule="auto"/>
      </w:pPr>
      <w:r>
        <w:t>3. Gold loans were the main growth engine; mortgage loans remained a significant, diversified pillar.</w:t>
      </w:r>
    </w:p>
    <w:p w14:paraId="4FA8FBBA" w14:textId="77777777" w:rsidR="00144D82" w:rsidRDefault="00000000">
      <w:pPr>
        <w:spacing w:after="100" w:line="252" w:lineRule="auto"/>
      </w:pPr>
      <w:r>
        <w:t>4. Capital adequacy and ratings support funding confidence, but leverage and ALM require discipline.</w:t>
      </w:r>
    </w:p>
    <w:p w14:paraId="20CDED0F" w14:textId="77777777" w:rsidR="00144D82" w:rsidRDefault="00000000">
      <w:pPr>
        <w:spacing w:after="100" w:line="252" w:lineRule="auto"/>
      </w:pPr>
      <w:r>
        <w:t>5. ST LAP recalibration and strengthened collections are important quality actions.</w:t>
      </w:r>
    </w:p>
    <w:p w14:paraId="170C1944" w14:textId="77777777" w:rsidR="00144D82" w:rsidRDefault="00000000">
      <w:pPr>
        <w:spacing w:after="100" w:line="252" w:lineRule="auto"/>
      </w:pPr>
      <w:r>
        <w:t>6. The long-term thesis depends on maintaining low credit cost and translating network expansion into efficient, compliant productivity.</w:t>
      </w:r>
    </w:p>
    <w:p w14:paraId="4631FDC0" w14:textId="77777777" w:rsidR="00144D82" w:rsidRDefault="00000000">
      <w:r>
        <w:br w:type="page"/>
      </w:r>
    </w:p>
    <w:p w14:paraId="06E0837F" w14:textId="77777777" w:rsidR="00144D82" w:rsidRDefault="00000000">
      <w:pPr>
        <w:pStyle w:val="Heading1"/>
        <w:spacing w:after="80"/>
      </w:pPr>
      <w:r>
        <w:lastRenderedPageBreak/>
        <w:t>Conclusion</w:t>
      </w:r>
    </w:p>
    <w:p w14:paraId="6E216352" w14:textId="77777777" w:rsidR="00144D82" w:rsidRDefault="00000000">
      <w:pPr>
        <w:spacing w:after="100" w:line="252" w:lineRule="auto"/>
      </w:pPr>
      <w:r>
        <w:t>Fedbank Financial Services Limited presents a credible case of a specialised retail NBFC deepening secured access to credit in emerging India. The FY26 results show renewed profitability, higher AUM, a stronger secured mix and meaningful distribution expansion.</w:t>
      </w:r>
    </w:p>
    <w:p w14:paraId="11EC25DF" w14:textId="77777777" w:rsidR="00144D82" w:rsidRDefault="00000000">
      <w:pPr>
        <w:spacing w:after="100" w:line="252" w:lineRule="auto"/>
      </w:pPr>
      <w:r>
        <w:t>The company’s opportunity is substantial, but the quality of growth matters more than the speed of growth. Continued discipline in underwriting, collections, liquidity, capital, technology and governance will determine whether the reported momentum becomes durable shareholder value.</w:t>
      </w:r>
    </w:p>
    <w:p w14:paraId="2B7590D6" w14:textId="77777777" w:rsidR="00144D82" w:rsidRDefault="00000000">
      <w:r>
        <w:br w:type="page"/>
      </w:r>
    </w:p>
    <w:p w14:paraId="58423DC1" w14:textId="77777777" w:rsidR="00144D82" w:rsidRDefault="00000000">
      <w:pPr>
        <w:pStyle w:val="Heading1"/>
        <w:spacing w:after="80"/>
      </w:pPr>
      <w:r>
        <w:lastRenderedPageBreak/>
        <w:t>Limitations of the Study</w:t>
      </w:r>
    </w:p>
    <w:p w14:paraId="0047F10E" w14:textId="77777777" w:rsidR="00144D82" w:rsidRDefault="00000000">
      <w:pPr>
        <w:spacing w:after="100" w:line="252" w:lineRule="auto"/>
      </w:pPr>
      <w:r>
        <w:t>The analysis is based mainly on the supplied annual report and selected official public sources. It does not include management interviews, borrower surveys, branch visits, proprietary databases or independent verification of financial statements.</w:t>
      </w:r>
    </w:p>
    <w:p w14:paraId="62F754B1" w14:textId="77777777" w:rsidR="00144D82" w:rsidRDefault="00000000">
      <w:pPr>
        <w:spacing w:after="100" w:line="252" w:lineRule="auto"/>
      </w:pPr>
      <w:r>
        <w:t>FY26 numbers and ratios may have presentation differences across annual-report sections. The project uses them as disclosed and flags the most material inconsistency. No investment recommendation or target price is provided.</w:t>
      </w:r>
    </w:p>
    <w:p w14:paraId="4578E364" w14:textId="77777777" w:rsidR="00144D82" w:rsidRDefault="00000000">
      <w:r>
        <w:br w:type="page"/>
      </w:r>
    </w:p>
    <w:p w14:paraId="49B85A6E" w14:textId="77777777" w:rsidR="00144D82" w:rsidRDefault="00000000">
      <w:pPr>
        <w:pStyle w:val="Heading1"/>
        <w:spacing w:after="80"/>
      </w:pPr>
      <w:r>
        <w:lastRenderedPageBreak/>
        <w:t>Bibliography and Web Sources</w:t>
      </w:r>
    </w:p>
    <w:p w14:paraId="40720567" w14:textId="77777777" w:rsidR="00144D82" w:rsidRDefault="00000000">
      <w:pPr>
        <w:spacing w:after="100" w:line="252" w:lineRule="auto"/>
      </w:pPr>
      <w:r>
        <w:t>1. Fedbank Financial Services Limited, Annual Report 2025–26, supplied PDF.</w:t>
      </w:r>
    </w:p>
    <w:p w14:paraId="71461948" w14:textId="77777777" w:rsidR="00144D82" w:rsidRDefault="00000000">
      <w:pPr>
        <w:spacing w:after="100" w:line="252" w:lineRule="auto"/>
      </w:pPr>
      <w:r>
        <w:t>2. Fedbank Financial Services Limited, official website and investor-relations disclosures: https://www.fedfina.com/</w:t>
      </w:r>
    </w:p>
    <w:p w14:paraId="2944C955" w14:textId="77777777" w:rsidR="00144D82" w:rsidRDefault="00000000">
      <w:pPr>
        <w:spacing w:after="100" w:line="252" w:lineRule="auto"/>
      </w:pPr>
      <w:r>
        <w:t>3. Federal Bank Limited, annual reports and group disclosures: https://www.federal.bank.in/annual-reports</w:t>
      </w:r>
    </w:p>
    <w:p w14:paraId="4EEC8431" w14:textId="77777777" w:rsidR="00144D82" w:rsidRDefault="00000000">
      <w:pPr>
        <w:spacing w:after="100" w:line="252" w:lineRule="auto"/>
      </w:pPr>
      <w:r>
        <w:t>4. Reserve Bank of India, regulatory framework and directions for NBFCs: https://www.rbi.org.in/</w:t>
      </w:r>
    </w:p>
    <w:p w14:paraId="62981C1F" w14:textId="77777777" w:rsidR="00144D82" w:rsidRDefault="00000000">
      <w:pPr>
        <w:spacing w:after="100" w:line="252" w:lineRule="auto"/>
      </w:pPr>
      <w:r>
        <w:t>5. Securities and Exchange Board of India, listing and disclosure regulations: https://www.sebi.gov.in/</w:t>
      </w:r>
    </w:p>
    <w:p w14:paraId="007BC6AE" w14:textId="77777777" w:rsidR="00144D82" w:rsidRDefault="00000000">
      <w:pPr>
        <w:spacing w:after="100" w:line="252" w:lineRule="auto"/>
      </w:pPr>
      <w:r>
        <w:t>6. Credit-rating information as disclosed in the Fedfina Annual Report 2025–26.</w:t>
      </w:r>
    </w:p>
    <w:p w14:paraId="2781A687" w14:textId="77777777" w:rsidR="00144D82" w:rsidRDefault="00000000">
      <w:pPr>
        <w:spacing w:after="100" w:line="252" w:lineRule="auto"/>
      </w:pPr>
      <w:r>
        <w:t>Accessed / prepared: 3 October 2026.</w:t>
      </w:r>
    </w:p>
    <w:p w14:paraId="33DE4E0E" w14:textId="77777777" w:rsidR="00144D82" w:rsidRDefault="00000000">
      <w:r>
        <w:br w:type="page"/>
      </w:r>
    </w:p>
    <w:p w14:paraId="7265393A" w14:textId="77777777" w:rsidR="00144D82" w:rsidRDefault="00000000">
      <w:pPr>
        <w:pStyle w:val="Heading1"/>
        <w:spacing w:after="80"/>
      </w:pPr>
      <w:r>
        <w:lastRenderedPageBreak/>
        <w:t>Appendix — Data Notes and Glossary</w:t>
      </w:r>
    </w:p>
    <w:p w14:paraId="305148DD" w14:textId="77777777" w:rsidR="00144D82" w:rsidRDefault="00000000">
      <w:pPr>
        <w:spacing w:after="100" w:line="252" w:lineRule="auto"/>
      </w:pPr>
      <w:r>
        <w:t>AUM means assets under management and may include on-book and relevant disclosed off-book/co-lending arrangements. GNPA and NNPA definitions should be read with the company’s notes and applicable RBI norms. ROA and ROE are reported measures and may use average or closing bases depending on the disclosed calculation.</w:t>
      </w:r>
    </w:p>
    <w:p w14:paraId="39651FFA" w14:textId="77777777" w:rsidR="00144D82" w:rsidRDefault="00000000">
      <w:pPr>
        <w:spacing w:after="100" w:line="252" w:lineRule="auto"/>
      </w:pPr>
      <w:r>
        <w:t>All currency figures use Indian rupees. ₹1 crore = ₹10 million = ₹100 lakh. Figures are rounded for presentation; small differences may occur due to rounding.</w:t>
      </w:r>
    </w:p>
    <w:p w14:paraId="77887D8D" w14:textId="77777777" w:rsidR="00144D82" w:rsidRDefault="00000000">
      <w:r>
        <w:br w:type="page"/>
      </w:r>
    </w:p>
    <w:p w14:paraId="4A459238" w14:textId="77777777" w:rsidR="00144D82" w:rsidRDefault="00000000">
      <w:pPr>
        <w:pStyle w:val="Heading1"/>
        <w:spacing w:after="80"/>
      </w:pPr>
      <w:r>
        <w:lastRenderedPageBreak/>
        <w:t>Appendix — Student Reflection and Viva Points</w:t>
      </w:r>
    </w:p>
    <w:p w14:paraId="6A073BE4" w14:textId="77777777" w:rsidR="00144D82" w:rsidRDefault="00000000">
      <w:pPr>
        <w:spacing w:after="100" w:line="252" w:lineRule="auto"/>
      </w:pPr>
      <w:r>
        <w:t>Learning reflection: The project demonstrates how financial analysis of a lender differs from analysis of an industrial company. AUM growth, NII, spread, credit cost, capital and liquidity must be considered together.</w:t>
      </w:r>
    </w:p>
    <w:p w14:paraId="329199F5" w14:textId="77777777" w:rsidR="00144D82" w:rsidRDefault="00000000">
      <w:pPr>
        <w:spacing w:after="100" w:line="252" w:lineRule="auto"/>
      </w:pPr>
      <w:r>
        <w:t>Possible viva questions: Why is secured AUM important? What is the difference between GNPA and NNPA? Why can ROE rise with leverage? How does LTV protect a gold lender? Why is cost-to-income not enough? What are the risks of branch-led expansion?</w:t>
      </w:r>
    </w:p>
    <w:p w14:paraId="16CC16B6" w14:textId="77777777" w:rsidR="00144D82" w:rsidRDefault="00000000">
      <w:r>
        <w:br w:type="page"/>
      </w:r>
    </w:p>
    <w:p w14:paraId="2E8FFB44" w14:textId="77777777" w:rsidR="00144D82" w:rsidRDefault="00000000">
      <w:pPr>
        <w:pStyle w:val="Heading1"/>
        <w:spacing w:after="80"/>
      </w:pPr>
      <w:r>
        <w:lastRenderedPageBreak/>
        <w:t>Final Submission Note</w:t>
      </w:r>
    </w:p>
    <w:p w14:paraId="64A72D8D" w14:textId="77777777" w:rsidR="00144D82" w:rsidRDefault="00000000">
      <w:pPr>
        <w:spacing w:after="100" w:line="252" w:lineRule="auto"/>
      </w:pPr>
      <w:r>
        <w:t>This 90-page academic project has been prepared in the style and sequence of the reference project, adapted to Fedbank Financial Services Limited and the FY 2025–26 Annual Report. It is intended for submission after the student inserts the institute stamp, signatures, required formatting and any internal declaration prescribed by the college.</w:t>
      </w:r>
    </w:p>
    <w:p w14:paraId="7C8B6FDB" w14:textId="77777777" w:rsidR="00144D82" w:rsidRDefault="00000000">
      <w:pPr>
        <w:spacing w:after="100" w:line="252" w:lineRule="auto"/>
      </w:pPr>
      <w:r>
        <w:t>End of Project</w:t>
      </w:r>
    </w:p>
    <w:p w14:paraId="0C4F2B82" w14:textId="77777777" w:rsidR="00144D82" w:rsidRDefault="00000000">
      <w:r>
        <w:br w:type="page"/>
      </w:r>
    </w:p>
    <w:p w14:paraId="5444D2F2" w14:textId="77777777" w:rsidR="00144D82" w:rsidRDefault="00000000">
      <w:pPr>
        <w:pStyle w:val="Heading1"/>
        <w:spacing w:after="80"/>
      </w:pPr>
      <w:r>
        <w:lastRenderedPageBreak/>
        <w:t>Appendix — Five-Year Strategic Milestones</w:t>
      </w:r>
    </w:p>
    <w:p w14:paraId="6F5D7B02" w14:textId="77777777" w:rsidR="00144D82" w:rsidRDefault="00000000">
      <w:pPr>
        <w:spacing w:after="100" w:line="252" w:lineRule="auto"/>
      </w:pPr>
      <w:r>
        <w:t>FY22: foundation and scale-up. FY23: continued AUM and PAT growth. FY24: strong expansion and high returns. FY25: portfolio recalibration and profitability pressure. FY26: renewed profitability, secured-mix strengthening and branch expansion.</w:t>
      </w:r>
    </w:p>
    <w:p w14:paraId="7044E78C" w14:textId="77777777" w:rsidR="00144D82" w:rsidRDefault="00000000">
      <w:r>
        <w:br w:type="page"/>
      </w:r>
    </w:p>
    <w:p w14:paraId="1E73CE63" w14:textId="77777777" w:rsidR="00144D82" w:rsidRDefault="00000000">
      <w:pPr>
        <w:pStyle w:val="Heading1"/>
        <w:spacing w:after="80"/>
      </w:pPr>
      <w:r>
        <w:lastRenderedPageBreak/>
        <w:t>Appendix — Product Comparison</w:t>
      </w:r>
    </w:p>
    <w:p w14:paraId="5BC16E6D" w14:textId="77777777" w:rsidR="00144D82" w:rsidRDefault="00000000">
      <w:pPr>
        <w:spacing w:after="100" w:line="252" w:lineRule="auto"/>
      </w:pPr>
      <w:r>
        <w:t>Gold loans are short-tenor, collateral-backed and operationally intensive. MT LAP is longer-tenor and cash-flow driven. ST LAP and housing loans serve emerging borrowers but require careful underwriting. Each product must be evaluated by yield, cost, credit loss, capital and customer value.</w:t>
      </w:r>
    </w:p>
    <w:p w14:paraId="26B629DC" w14:textId="77777777" w:rsidR="00144D82" w:rsidRDefault="00000000">
      <w:r>
        <w:br w:type="page"/>
      </w:r>
    </w:p>
    <w:p w14:paraId="3570A3BB" w14:textId="77777777" w:rsidR="00144D82" w:rsidRDefault="00000000">
      <w:pPr>
        <w:pStyle w:val="Heading1"/>
        <w:spacing w:after="80"/>
      </w:pPr>
      <w:r>
        <w:lastRenderedPageBreak/>
        <w:t>Appendix — Credit Lifecycle</w:t>
      </w:r>
    </w:p>
    <w:p w14:paraId="3D46095C" w14:textId="77777777" w:rsidR="00144D82" w:rsidRDefault="00000000">
      <w:pPr>
        <w:spacing w:after="100" w:line="252" w:lineRule="auto"/>
      </w:pPr>
      <w:r>
        <w:t>The lending lifecycle includes sourcing, KYC, bureau and banking checks, collateral valuation, approval, documentation, disbursement, monitoring, collections, restructuring where permitted and closure or recovery. Control failures at any step can create financial and reputational loss.</w:t>
      </w:r>
    </w:p>
    <w:p w14:paraId="42E1F2C0" w14:textId="77777777" w:rsidR="00144D82" w:rsidRDefault="00000000">
      <w:r>
        <w:br w:type="page"/>
      </w:r>
    </w:p>
    <w:p w14:paraId="712A91E7" w14:textId="77777777" w:rsidR="00144D82" w:rsidRDefault="00000000">
      <w:pPr>
        <w:pStyle w:val="Heading1"/>
        <w:spacing w:after="80"/>
      </w:pPr>
      <w:r>
        <w:lastRenderedPageBreak/>
        <w:t>Appendix — Gold Loan Control Checklist</w:t>
      </w:r>
    </w:p>
    <w:p w14:paraId="092C492D" w14:textId="77777777" w:rsidR="00144D82" w:rsidRDefault="00000000">
      <w:pPr>
        <w:spacing w:after="100" w:line="252" w:lineRule="auto"/>
      </w:pPr>
      <w:r>
        <w:t>Verify customer identity, ownership and purity; use dual custody; maintain maker-checker controls; document LTV; reconcile physical and system records; monitor renewals and overdue accounts; follow fair auction and customer-notice procedures; conduct surprise audits.</w:t>
      </w:r>
    </w:p>
    <w:p w14:paraId="02FFF960" w14:textId="77777777" w:rsidR="00144D82" w:rsidRDefault="00000000">
      <w:r>
        <w:br w:type="page"/>
      </w:r>
    </w:p>
    <w:p w14:paraId="310E89EE" w14:textId="77777777" w:rsidR="00144D82" w:rsidRDefault="00000000">
      <w:pPr>
        <w:pStyle w:val="Heading1"/>
        <w:spacing w:after="80"/>
      </w:pPr>
      <w:r>
        <w:lastRenderedPageBreak/>
        <w:t>Appendix — Mortgage Underwriting Checklist</w:t>
      </w:r>
    </w:p>
    <w:p w14:paraId="15CE2FD4" w14:textId="77777777" w:rsidR="00144D82" w:rsidRDefault="00000000">
      <w:pPr>
        <w:spacing w:after="100" w:line="252" w:lineRule="auto"/>
      </w:pPr>
      <w:r>
        <w:t>Assess borrower identity, income, banking cash flow, bureau history, business stability, property title, valuation, insurance, legal search, repayment capacity, end use, geography and exception approvals. Monitor early-warning signals after disbursement.</w:t>
      </w:r>
    </w:p>
    <w:p w14:paraId="220DA39F" w14:textId="77777777" w:rsidR="00144D82" w:rsidRDefault="00000000">
      <w:r>
        <w:br w:type="page"/>
      </w:r>
    </w:p>
    <w:p w14:paraId="004AC8CE" w14:textId="77777777" w:rsidR="00144D82" w:rsidRDefault="00000000">
      <w:pPr>
        <w:pStyle w:val="Heading1"/>
        <w:spacing w:after="80"/>
      </w:pPr>
      <w:r>
        <w:lastRenderedPageBreak/>
        <w:t>Appendix — ALM Checklist</w:t>
      </w:r>
    </w:p>
    <w:p w14:paraId="50064999" w14:textId="77777777" w:rsidR="00144D82" w:rsidRDefault="00000000">
      <w:pPr>
        <w:spacing w:after="100" w:line="252" w:lineRule="auto"/>
      </w:pPr>
      <w:r>
        <w:t>Map contractual and behavioural cash flows; monitor cumulative mismatches; diversify maturities; track liquid assets and undrawn lines; run rate and run-off stress tests; establish escalation triggers; and keep contingency funding arrangements current.</w:t>
      </w:r>
    </w:p>
    <w:p w14:paraId="1C42465B" w14:textId="77777777" w:rsidR="00144D82" w:rsidRDefault="00000000">
      <w:r>
        <w:br w:type="page"/>
      </w:r>
    </w:p>
    <w:p w14:paraId="3591D5C5" w14:textId="77777777" w:rsidR="00144D82" w:rsidRDefault="00000000">
      <w:pPr>
        <w:pStyle w:val="Heading1"/>
        <w:spacing w:after="80"/>
      </w:pPr>
      <w:r>
        <w:lastRenderedPageBreak/>
        <w:t>Appendix — Investor Dashboard</w:t>
      </w:r>
    </w:p>
    <w:p w14:paraId="36C2AFB3" w14:textId="77777777" w:rsidR="00144D82" w:rsidRDefault="00000000">
      <w:pPr>
        <w:spacing w:after="100" w:line="252" w:lineRule="auto"/>
      </w:pPr>
      <w:r>
        <w:t>A practical dashboard should show AUM growth, disbursements, yield, spread, cost of funds, cost-to-income, credit cost, GNPA, NNPA, collection efficiency, LTV, CRAR, liquidity buffer, borrowing mix, ROA, ROE and branch productivity.</w:t>
      </w:r>
    </w:p>
    <w:p w14:paraId="65DB244A" w14:textId="77777777" w:rsidR="00144D82" w:rsidRDefault="00000000">
      <w:r>
        <w:br w:type="page"/>
      </w:r>
    </w:p>
    <w:p w14:paraId="230C28EA" w14:textId="77777777" w:rsidR="00144D82" w:rsidRDefault="00000000">
      <w:pPr>
        <w:pStyle w:val="Heading1"/>
        <w:spacing w:after="80"/>
      </w:pPr>
      <w:r>
        <w:lastRenderedPageBreak/>
        <w:t>Appendix — Peer-Analysis Template</w:t>
      </w:r>
    </w:p>
    <w:p w14:paraId="248A606B" w14:textId="77777777" w:rsidR="00144D82" w:rsidRDefault="00000000">
      <w:pPr>
        <w:spacing w:after="100" w:line="252" w:lineRule="auto"/>
      </w:pPr>
      <w:r>
        <w:t>Peer comparison should include business mix, AUM growth, secured ratio, ROA, ROE, GNPA, NNPA, credit cost, cost-to-income, capital, funding ratings and valuation. Peer data should use consistent definitions and the same reporting date.</w:t>
      </w:r>
    </w:p>
    <w:p w14:paraId="6BA1A051" w14:textId="77777777" w:rsidR="00144D82" w:rsidRDefault="00000000">
      <w:r>
        <w:br w:type="page"/>
      </w:r>
    </w:p>
    <w:p w14:paraId="32902D27" w14:textId="77777777" w:rsidR="00144D82" w:rsidRDefault="00000000">
      <w:pPr>
        <w:pStyle w:val="Heading1"/>
        <w:spacing w:after="80"/>
      </w:pPr>
      <w:r>
        <w:lastRenderedPageBreak/>
        <w:t>Appendix — Ratio Formulae</w:t>
      </w:r>
    </w:p>
    <w:p w14:paraId="6020F008" w14:textId="77777777" w:rsidR="00144D82" w:rsidRDefault="00000000">
      <w:pPr>
        <w:spacing w:after="100" w:line="252" w:lineRule="auto"/>
      </w:pPr>
      <w:r>
        <w:t>ROA = profit after tax divided by average assets. ROE = profit after tax divided by average equity. Cost-to-income = operating costs divided by operating income. Debt-equity = borrowings divided by net worth. LTV = loan amount divided by collateral value. Always use the company’s disclosed methodology where available.</w:t>
      </w:r>
    </w:p>
    <w:p w14:paraId="6AA54BF4" w14:textId="77777777" w:rsidR="00144D82" w:rsidRDefault="00000000">
      <w:r>
        <w:br w:type="page"/>
      </w:r>
    </w:p>
    <w:p w14:paraId="625FC2CE" w14:textId="77777777" w:rsidR="00144D82" w:rsidRDefault="00000000">
      <w:pPr>
        <w:pStyle w:val="Heading1"/>
        <w:spacing w:after="80"/>
      </w:pPr>
      <w:r>
        <w:lastRenderedPageBreak/>
        <w:t>Appendix — Scenario Analysis</w:t>
      </w:r>
    </w:p>
    <w:p w14:paraId="0EC139A6" w14:textId="77777777" w:rsidR="00144D82" w:rsidRDefault="00000000">
      <w:pPr>
        <w:spacing w:after="100" w:line="252" w:lineRule="auto"/>
      </w:pPr>
      <w:r>
        <w:t>Base case: secured AUM grows with stable credit cost. Upside case: branch productivity and digital acquisition improve while funding costs remain controlled. Downside case: gold prices fall, delinquencies rise, funding spreads widen and new branches mature slowly. Scenario outputs should include PAT, ROA, ROE, CRAR and liquidity.</w:t>
      </w:r>
    </w:p>
    <w:p w14:paraId="25CD3C7E" w14:textId="77777777" w:rsidR="00144D82" w:rsidRDefault="00000000">
      <w:r>
        <w:br w:type="page"/>
      </w:r>
    </w:p>
    <w:p w14:paraId="4D968789" w14:textId="77777777" w:rsidR="00144D82" w:rsidRDefault="00000000">
      <w:pPr>
        <w:pStyle w:val="Heading1"/>
        <w:spacing w:after="80"/>
      </w:pPr>
      <w:r>
        <w:lastRenderedPageBreak/>
        <w:t>Appendix — Stakeholder Map</w:t>
      </w:r>
    </w:p>
    <w:p w14:paraId="22DA83D7" w14:textId="77777777" w:rsidR="00144D82" w:rsidRDefault="00000000">
      <w:pPr>
        <w:spacing w:after="100" w:line="252" w:lineRule="auto"/>
      </w:pPr>
      <w:r>
        <w:t>Customers need fair, fast and suitable credit. Employees need capability and ethical incentives. Lenders and investors need disclosure and repayment confidence. Regulators need compliance. Communities need responsible inclusion. The company must balance all stakeholders rather than maximise disbursement alone.</w:t>
      </w:r>
    </w:p>
    <w:p w14:paraId="34008641" w14:textId="77777777" w:rsidR="00144D82" w:rsidRDefault="00000000">
      <w:r>
        <w:br w:type="page"/>
      </w:r>
    </w:p>
    <w:p w14:paraId="132B3978" w14:textId="77777777" w:rsidR="00144D82" w:rsidRDefault="00000000">
      <w:pPr>
        <w:pStyle w:val="Heading1"/>
        <w:spacing w:after="80"/>
      </w:pPr>
      <w:r>
        <w:lastRenderedPageBreak/>
        <w:t>Appendix — Corporate Social Responsibility Lens</w:t>
      </w:r>
    </w:p>
    <w:p w14:paraId="7C485980" w14:textId="77777777" w:rsidR="00144D82" w:rsidRDefault="00000000">
      <w:pPr>
        <w:spacing w:after="100" w:line="252" w:lineRule="auto"/>
      </w:pPr>
      <w:r>
        <w:t>A responsible lender can contribute through financial literacy, inclusion, employee volunteering, education, livelihood support and community resilience. Impact should be measured by reach, outcomes, additionality and continuity, not only expenditure.</w:t>
      </w:r>
    </w:p>
    <w:p w14:paraId="7E9E8A71" w14:textId="77777777" w:rsidR="00144D82" w:rsidRDefault="00000000">
      <w:r>
        <w:br w:type="page"/>
      </w:r>
    </w:p>
    <w:p w14:paraId="23321680" w14:textId="77777777" w:rsidR="00144D82" w:rsidRDefault="00000000">
      <w:pPr>
        <w:pStyle w:val="Heading1"/>
        <w:spacing w:after="80"/>
      </w:pPr>
      <w:r>
        <w:lastRenderedPageBreak/>
        <w:t>Appendix — Internal Control Questions</w:t>
      </w:r>
    </w:p>
    <w:p w14:paraId="5395F34E" w14:textId="77777777" w:rsidR="00144D82" w:rsidRDefault="00000000">
      <w:pPr>
        <w:spacing w:after="100" w:line="252" w:lineRule="auto"/>
      </w:pPr>
      <w:r>
        <w:t>Are approvals within authority? Are exceptions documented? Are reconciliations timely? Are customer complaints resolved? Are collateral records complete? Are access rights reviewed? Are vendors monitored? Are internal-audit findings closed? Are risk reports escalated to the correct committee?</w:t>
      </w:r>
    </w:p>
    <w:p w14:paraId="3AA3EA20" w14:textId="77777777" w:rsidR="00144D82" w:rsidRDefault="00000000">
      <w:r>
        <w:br w:type="page"/>
      </w:r>
    </w:p>
    <w:p w14:paraId="3D59B1F4" w14:textId="77777777" w:rsidR="00144D82" w:rsidRDefault="00000000">
      <w:pPr>
        <w:pStyle w:val="Heading1"/>
        <w:spacing w:after="80"/>
      </w:pPr>
      <w:r>
        <w:lastRenderedPageBreak/>
        <w:t>Appendix — Academic Integrity Note</w:t>
      </w:r>
    </w:p>
    <w:p w14:paraId="350CBFCC" w14:textId="77777777" w:rsidR="00144D82" w:rsidRDefault="00000000">
      <w:pPr>
        <w:spacing w:after="100" w:line="252" w:lineRule="auto"/>
      </w:pPr>
      <w:r>
        <w:t>This project paraphrases and analyses disclosed information. It does not reproduce the full annual report. All company-specific figures should be cross-checked with the supplied source before final submission. The student should disclose any later changes required by the institute.</w:t>
      </w:r>
    </w:p>
    <w:p w14:paraId="4526CD00" w14:textId="77777777" w:rsidR="00144D82" w:rsidRDefault="00000000">
      <w:r>
        <w:br w:type="page"/>
      </w:r>
    </w:p>
    <w:p w14:paraId="7C93554F" w14:textId="77777777" w:rsidR="00144D82" w:rsidRDefault="00000000">
      <w:pPr>
        <w:pStyle w:val="Heading1"/>
        <w:spacing w:after="80"/>
      </w:pPr>
      <w:r>
        <w:lastRenderedPageBreak/>
        <w:t>Appendix — Suggested Viva Answers</w:t>
      </w:r>
    </w:p>
    <w:p w14:paraId="3B3CAF83" w14:textId="77777777" w:rsidR="00144D82" w:rsidRDefault="00000000">
      <w:pPr>
        <w:spacing w:after="100" w:line="252" w:lineRule="auto"/>
      </w:pPr>
      <w:r>
        <w:t>Secured lending reduces potential loss severity but does not eliminate credit risk. ROE may rise due to higher profit or leverage. GNPA is before provisions and NNPA is after provisions. LTV is a collateral cushion. AUM growth is valuable only when risk-adjusted returns remain attractive.</w:t>
      </w:r>
    </w:p>
    <w:p w14:paraId="2225F927" w14:textId="77777777" w:rsidR="00144D82" w:rsidRDefault="00000000">
      <w:r>
        <w:br w:type="page"/>
      </w:r>
    </w:p>
    <w:p w14:paraId="25D4085D" w14:textId="77777777" w:rsidR="00144D82" w:rsidRDefault="00000000">
      <w:pPr>
        <w:pStyle w:val="Heading1"/>
        <w:spacing w:after="80"/>
      </w:pPr>
      <w:r>
        <w:lastRenderedPageBreak/>
        <w:t>Appendix — Submission Checklist</w:t>
      </w:r>
    </w:p>
    <w:p w14:paraId="52519E4B" w14:textId="77777777" w:rsidR="00144D82" w:rsidRDefault="00000000">
      <w:pPr>
        <w:spacing w:after="100" w:line="252" w:lineRule="auto"/>
      </w:pPr>
      <w:r>
        <w:t>Insert institute stamp; verify student name and roll number; obtain guide and director signatures; update page references after any edits; check tables and currency units; attach plagiarism/undertaking form if required; and submit the editable Word file with the prescribed cover-page format.</w:t>
      </w:r>
    </w:p>
    <w:sectPr w:rsidR="00144D82" w:rsidSect="00034616">
      <w:headerReference w:type="even" r:id="rId8"/>
      <w:headerReference w:type="default" r:id="rId9"/>
      <w:footerReference w:type="even" r:id="rId10"/>
      <w:footerReference w:type="default" r:id="rId11"/>
      <w:headerReference w:type="first" r:id="rId12"/>
      <w:footerReference w:type="first" r:id="rId13"/>
      <w:pgSz w:w="12240" w:h="15840"/>
      <w:pgMar w:top="936" w:right="1037" w:bottom="864"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7A0F25" w14:textId="77777777" w:rsidR="00CE222A" w:rsidRDefault="00CE222A">
      <w:pPr>
        <w:spacing w:after="0" w:line="240" w:lineRule="auto"/>
      </w:pPr>
      <w:r>
        <w:separator/>
      </w:r>
    </w:p>
  </w:endnote>
  <w:endnote w:type="continuationSeparator" w:id="0">
    <w:p w14:paraId="4BA47437" w14:textId="77777777" w:rsidR="00CE222A" w:rsidRDefault="00CE22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A42BA" w14:textId="77777777" w:rsidR="00D65817" w:rsidRDefault="00D658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F4911" w14:textId="331A304D" w:rsidR="00144D82" w:rsidRDefault="00000000">
    <w:pPr>
      <w:pStyle w:val="Footer"/>
      <w:jc w:val="center"/>
    </w:pPr>
    <w:r>
      <w:t xml:space="preserve">Fedfina Project  •  </w:t>
    </w:r>
    <w:r w:rsidR="00D65817">
      <w:t>Dattaguru Patil</w:t>
    </w:r>
    <w:r>
      <w:t xml:space="preserve">  |  </w:t>
    </w:r>
    <w:r>
      <w:fldChar w:fldCharType="begin"/>
    </w:r>
    <w:r>
      <w:instrText>PAGE</w:instrText>
    </w:r>
    <w:r>
      <w:fldChar w:fldCharType="separate"/>
    </w:r>
    <w:r w:rsidR="008E76F3">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B6F950" w14:textId="77777777" w:rsidR="00D65817" w:rsidRDefault="00D658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84B4B9" w14:textId="77777777" w:rsidR="00CE222A" w:rsidRDefault="00CE222A">
      <w:pPr>
        <w:spacing w:after="0" w:line="240" w:lineRule="auto"/>
      </w:pPr>
      <w:r>
        <w:separator/>
      </w:r>
    </w:p>
  </w:footnote>
  <w:footnote w:type="continuationSeparator" w:id="0">
    <w:p w14:paraId="679EE2EA" w14:textId="77777777" w:rsidR="00CE222A" w:rsidRDefault="00CE22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744840" w14:textId="77777777" w:rsidR="00D65817" w:rsidRDefault="00D658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CA215" w14:textId="77777777" w:rsidR="00144D82" w:rsidRDefault="00000000">
    <w:pPr>
      <w:pStyle w:val="Header"/>
      <w:jc w:val="right"/>
    </w:pPr>
    <w:r>
      <w:rPr>
        <w:color w:val="646464"/>
        <w:sz w:val="14"/>
      </w:rPr>
      <w:t>FEDBANK FINANCIAL SERVICES LIMITED  |  SUMMER INTERNSHIP PROJECT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7B1D8" w14:textId="77777777" w:rsidR="00D65817" w:rsidRDefault="00D658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0972860">
    <w:abstractNumId w:val="8"/>
  </w:num>
  <w:num w:numId="2" w16cid:durableId="198782989">
    <w:abstractNumId w:val="6"/>
  </w:num>
  <w:num w:numId="3" w16cid:durableId="85004901">
    <w:abstractNumId w:val="5"/>
  </w:num>
  <w:num w:numId="4" w16cid:durableId="620577107">
    <w:abstractNumId w:val="4"/>
  </w:num>
  <w:num w:numId="5" w16cid:durableId="1493334612">
    <w:abstractNumId w:val="7"/>
  </w:num>
  <w:num w:numId="6" w16cid:durableId="78988531">
    <w:abstractNumId w:val="3"/>
  </w:num>
  <w:num w:numId="7" w16cid:durableId="1862427685">
    <w:abstractNumId w:val="2"/>
  </w:num>
  <w:num w:numId="8" w16cid:durableId="1261641056">
    <w:abstractNumId w:val="1"/>
  </w:num>
  <w:num w:numId="9" w16cid:durableId="6347252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4D82"/>
    <w:rsid w:val="0015074B"/>
    <w:rsid w:val="0029639D"/>
    <w:rsid w:val="00326F90"/>
    <w:rsid w:val="008E2ADA"/>
    <w:rsid w:val="008E76F3"/>
    <w:rsid w:val="00AA1D8D"/>
    <w:rsid w:val="00AF0EB1"/>
    <w:rsid w:val="00B47730"/>
    <w:rsid w:val="00CB0664"/>
    <w:rsid w:val="00CE222A"/>
    <w:rsid w:val="00D658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9D012B"/>
  <w14:defaultImageDpi w14:val="300"/>
  <w15:docId w15:val="{5D9E7229-C148-40AB-B158-05A22B5C0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23A63"/>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67D9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23A63"/>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3A6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90</Pages>
  <Words>6437</Words>
  <Characters>36697</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43048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Fundamental Analysis of Fedbank Financial Services Limited</dc:title>
  <dc:subject>MMS Finance Summer Internship Project</dc:subject>
  <dc:creator>Rashmi Gupta</dc:creator>
  <cp:keywords/>
  <dc:description>Prepared from Fedbank Financial Services Limited Annual Report 2025-26 and public sources.</dc:description>
  <cp:lastModifiedBy>A0687</cp:lastModifiedBy>
  <cp:revision>4</cp:revision>
  <dcterms:created xsi:type="dcterms:W3CDTF">2026-10-03T14:43:00Z</dcterms:created>
  <dcterms:modified xsi:type="dcterms:W3CDTF">2026-10-03T14:50:00Z</dcterms:modified>
  <cp:category/>
</cp:coreProperties>
</file>