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48"/>
      </w:tblGrid>
      <w:tr>
        <w:tc>
          <w:tcPr>
            <w:tcW w:type="dxa" w:w="10095"/>
            <w:shd w:fill="17324D"/>
            <w:tcMar>
              <w:top w:w="90" w:type="dxa"/>
              <w:start w:w="100" w:type="dxa"/>
              <w:bottom w:w="90" w:type="dxa"/>
              <w:end w:w="100" w:type="dxa"/>
            </w:tcMar>
            <w:tcBorders>
              <w:top w:val="nil"/>
              <w:left w:val="nil"/>
              <w:bottom w:val="nil"/>
              <w:right w:val="nil"/>
              <w:insideH w:val="nil"/>
              <w:insideV w:val="nil"/>
            </w:tcBorders>
          </w:tcPr>
          <w:p>
            <w:pPr>
              <w:spacing w:after="0"/>
              <w:jc w:val="center"/>
            </w:pPr>
            <w:r/>
            <w:r>
              <w:rPr>
                <w:b/>
                <w:color w:val="FFFFFF"/>
                <w:sz w:val="18"/>
              </w:rPr>
              <w:t>SYMMS  •  FINANCE  •  ACADEMIC PROJECT</w:t>
            </w:r>
          </w:p>
        </w:tc>
      </w:tr>
    </w:tbl>
    <w:p>
      <w:pPr>
        <w:spacing w:before="840" w:after="160"/>
        <w:jc w:val="center"/>
        <w:widowControl/>
      </w:pPr>
      <w:r>
        <w:rPr>
          <w:b/>
          <w:color w:val="D5A642"/>
          <w:sz w:val="24"/>
        </w:rPr>
        <w:t>SUMMER INTERNSHIP PROJECT REPORT</w:t>
      </w:r>
    </w:p>
    <w:p>
      <w:pPr>
        <w:spacing w:after="100"/>
        <w:jc w:val="center"/>
        <w:widowControl/>
      </w:pPr>
      <w:r>
        <w:rPr>
          <w:b/>
          <w:color w:val="17324D"/>
          <w:sz w:val="48"/>
        </w:rPr>
        <w:t>A Study of the Fintech Business Model</w:t>
        <w:br/>
        <w:t>and Financial Performance of</w:t>
      </w:r>
    </w:p>
    <w:p>
      <w:pPr>
        <w:spacing w:after="180"/>
        <w:jc w:val="center"/>
        <w:widowControl/>
      </w:pPr>
      <w:r>
        <w:rPr>
          <w:b/>
          <w:color w:val="117C83"/>
          <w:sz w:val="56"/>
        </w:rPr>
        <w:t>PINE LABS LIMITED</w:t>
      </w:r>
    </w:p>
    <w:p>
      <w:pPr>
        <w:spacing w:after="400"/>
        <w:jc w:val="center"/>
        <w:widowControl/>
      </w:pPr>
      <w:r>
        <w:rPr>
          <w:i/>
          <w:color w:val="66788A"/>
          <w:sz w:val="24"/>
        </w:rPr>
        <w:t>Company Research  •  Industry Analysis  •  Fundamental Valuation</w:t>
      </w:r>
    </w:p>
    <w:tbl>
      <w:tblPr>
        <w:tblW w:type="auto" w:w="0"/>
        <w:jc w:val="center"/>
        <w:tblLayout w:type="fixed"/>
        <w:tblLook w:firstColumn="1" w:firstRow="1" w:lastColumn="0" w:lastRow="0" w:noHBand="0" w:noVBand="1" w:val="04A0"/>
      </w:tblPr>
      <w:tblGrid>
        <w:gridCol w:w="2880"/>
        <w:gridCol w:w="2880"/>
        <w:gridCol w:w="2880"/>
      </w:tblGrid>
      <w:tr>
        <w:tc>
          <w:tcPr>
            <w:tcW w:type="dxa" w:w="3365"/>
            <w:shd w:fill="17324D"/>
            <w:tcMar>
              <w:top w:w="16" w:type="dxa"/>
              <w:start w:w="5" w:type="dxa"/>
              <w:bottom w:w="16" w:type="dxa"/>
              <w:end w:w="5" w:type="dxa"/>
            </w:tcMar>
            <w:tcBorders>
              <w:top w:val="nil"/>
              <w:left w:val="nil"/>
              <w:bottom w:val="nil"/>
              <w:right w:val="nil"/>
              <w:insideH w:val="nil"/>
              <w:insideV w:val="nil"/>
            </w:tcBorders>
          </w:tcPr>
          <w:p>
            <w:r/>
          </w:p>
        </w:tc>
        <w:tc>
          <w:tcPr>
            <w:tcW w:type="dxa" w:w="3365"/>
            <w:shd w:fill="117C83"/>
            <w:tcMar>
              <w:top w:w="16" w:type="dxa"/>
              <w:start w:w="5" w:type="dxa"/>
              <w:bottom w:w="16" w:type="dxa"/>
              <w:end w:w="5" w:type="dxa"/>
            </w:tcMar>
            <w:tcBorders>
              <w:top w:val="nil"/>
              <w:left w:val="nil"/>
              <w:bottom w:val="nil"/>
              <w:right w:val="nil"/>
              <w:insideH w:val="nil"/>
              <w:insideV w:val="nil"/>
            </w:tcBorders>
          </w:tcPr>
          <w:p>
            <w:r/>
          </w:p>
        </w:tc>
        <w:tc>
          <w:tcPr>
            <w:tcW w:type="dxa" w:w="3365"/>
            <w:shd w:fill="D5A642"/>
            <w:tcMar>
              <w:top w:w="16" w:type="dxa"/>
              <w:start w:w="5" w:type="dxa"/>
              <w:bottom w:w="16" w:type="dxa"/>
              <w:end w:w="5" w:type="dxa"/>
            </w:tcMar>
            <w:tcBorders>
              <w:top w:val="nil"/>
              <w:left w:val="nil"/>
              <w:bottom w:val="nil"/>
              <w:right w:val="nil"/>
              <w:insideH w:val="nil"/>
              <w:insideV w:val="nil"/>
            </w:tcBorders>
          </w:tcPr>
          <w:p>
            <w:r/>
          </w:p>
        </w:tc>
      </w:tr>
    </w:tbl>
    <w:p>
      <w:pPr>
        <w:spacing w:before="580" w:after="80"/>
        <w:jc w:val="center"/>
        <w:widowControl/>
      </w:pPr>
      <w:r>
        <w:rPr>
          <w:color w:val="66788A"/>
          <w:sz w:val="20"/>
        </w:rPr>
        <w:t>Submitted by</w:t>
      </w:r>
    </w:p>
    <w:p>
      <w:pPr>
        <w:spacing w:after="60"/>
        <w:jc w:val="center"/>
        <w:widowControl/>
      </w:pPr>
      <w:r>
        <w:rPr>
          <w:b/>
          <w:color w:val="17324D"/>
          <w:sz w:val="34"/>
        </w:rPr>
        <w:t>Nikhil Udaypratap Singh</w:t>
      </w:r>
    </w:p>
    <w:p>
      <w:pPr>
        <w:spacing w:after="440"/>
        <w:jc w:val="center"/>
        <w:widowControl/>
      </w:pPr>
      <w:r>
        <w:rPr>
          <w:color w:val="243447"/>
          <w:sz w:val="22"/>
        </w:rPr>
        <w:t>Roll No. M16158  |  Programme: SYMMS</w:t>
      </w:r>
    </w:p>
    <w:tbl>
      <w:tblPr>
        <w:tblW w:type="auto" w:w="0"/>
        <w:jc w:val="center"/>
        <w:tblLayout w:type="fixed"/>
        <w:tblLook w:firstColumn="1" w:firstRow="1" w:lastColumn="0" w:lastRow="0" w:noHBand="0" w:noVBand="1" w:val="04A0"/>
      </w:tblPr>
      <w:tblGrid>
        <w:gridCol w:w="2232"/>
        <w:gridCol w:w="6120"/>
      </w:tblGrid>
      <w:tr>
        <w:tc>
          <w:tcPr>
            <w:tcW w:type="dxa" w:w="5047"/>
            <w:shd w:fill="EAF1F5"/>
            <w:tcMar>
              <w:top w:w="90" w:type="dxa"/>
              <w:start w:w="90" w:type="dxa"/>
              <w:bottom w:w="90" w:type="dxa"/>
              <w:end w:w="90" w:type="dxa"/>
            </w:tcMar>
            <w:tcBorders>
              <w:top w:val="nil"/>
              <w:left w:val="nil"/>
              <w:bottom w:val="nil"/>
              <w:right w:val="nil"/>
              <w:insideH w:val="nil"/>
              <w:insideV w:val="nil"/>
            </w:tcBorders>
          </w:tcPr>
          <w:p>
            <w:pPr>
              <w:spacing w:after="0"/>
            </w:pPr>
            <w:r>
              <w:rPr>
                <w:b/>
                <w:sz w:val="18"/>
              </w:rPr>
              <w:t>Institute / University</w:t>
            </w:r>
          </w:p>
        </w:tc>
        <w:tc>
          <w:tcPr>
            <w:tcW w:type="dxa" w:w="5047"/>
            <w:shd w:fill="F8FAFB"/>
            <w:tcMar>
              <w:top w:w="90" w:type="dxa"/>
              <w:start w:w="90" w:type="dxa"/>
              <w:bottom w:w="90" w:type="dxa"/>
              <w:end w:w="90" w:type="dxa"/>
            </w:tcMar>
            <w:tcBorders>
              <w:top w:val="nil"/>
              <w:left w:val="nil"/>
              <w:bottom w:val="nil"/>
              <w:right w:val="nil"/>
              <w:insideH w:val="nil"/>
              <w:insideV w:val="nil"/>
            </w:tcBorders>
          </w:tcPr>
          <w:p>
            <w:pPr>
              <w:spacing w:after="0"/>
            </w:pPr>
            <w:r>
              <w:rPr>
                <w:sz w:val="18"/>
              </w:rPr>
              <w:t>[Insert official name]</w:t>
            </w:r>
          </w:p>
        </w:tc>
      </w:tr>
      <w:tr>
        <w:tc>
          <w:tcPr>
            <w:tcW w:type="dxa" w:w="5047"/>
            <w:shd w:fill="EAF1F5"/>
            <w:tcMar>
              <w:top w:w="90" w:type="dxa"/>
              <w:start w:w="90" w:type="dxa"/>
              <w:bottom w:w="90" w:type="dxa"/>
              <w:end w:w="90" w:type="dxa"/>
            </w:tcMar>
            <w:tcBorders>
              <w:top w:val="nil"/>
              <w:left w:val="nil"/>
              <w:bottom w:val="nil"/>
              <w:right w:val="nil"/>
              <w:insideH w:val="nil"/>
              <w:insideV w:val="nil"/>
            </w:tcBorders>
          </w:tcPr>
          <w:p>
            <w:pPr>
              <w:spacing w:after="0"/>
            </w:pPr>
            <w:r>
              <w:rPr>
                <w:b/>
                <w:sz w:val="18"/>
              </w:rPr>
              <w:t>Faculty guide</w:t>
            </w:r>
          </w:p>
        </w:tc>
        <w:tc>
          <w:tcPr>
            <w:tcW w:type="dxa" w:w="5047"/>
            <w:shd w:fill="F8FAFB"/>
            <w:tcMar>
              <w:top w:w="90" w:type="dxa"/>
              <w:start w:w="90" w:type="dxa"/>
              <w:bottom w:w="90" w:type="dxa"/>
              <w:end w:w="90" w:type="dxa"/>
            </w:tcMar>
            <w:tcBorders>
              <w:top w:val="nil"/>
              <w:left w:val="nil"/>
              <w:bottom w:val="nil"/>
              <w:right w:val="nil"/>
              <w:insideH w:val="nil"/>
              <w:insideV w:val="nil"/>
            </w:tcBorders>
          </w:tcPr>
          <w:p>
            <w:pPr>
              <w:spacing w:after="0"/>
            </w:pPr>
            <w:r>
              <w:rPr>
                <w:sz w:val="18"/>
              </w:rPr>
              <w:t>[Insert name and designation]</w:t>
            </w:r>
          </w:p>
        </w:tc>
      </w:tr>
      <w:tr>
        <w:tc>
          <w:tcPr>
            <w:tcW w:type="dxa" w:w="5047"/>
            <w:shd w:fill="EAF1F5"/>
            <w:tcMar>
              <w:top w:w="90" w:type="dxa"/>
              <w:start w:w="90" w:type="dxa"/>
              <w:bottom w:w="90" w:type="dxa"/>
              <w:end w:w="90" w:type="dxa"/>
            </w:tcMar>
            <w:tcBorders>
              <w:top w:val="nil"/>
              <w:left w:val="nil"/>
              <w:bottom w:val="nil"/>
              <w:right w:val="nil"/>
              <w:insideH w:val="nil"/>
              <w:insideV w:val="nil"/>
            </w:tcBorders>
          </w:tcPr>
          <w:p>
            <w:pPr>
              <w:spacing w:after="0"/>
            </w:pPr>
            <w:r>
              <w:rPr>
                <w:b/>
                <w:sz w:val="18"/>
              </w:rPr>
              <w:t>Academic session</w:t>
            </w:r>
          </w:p>
        </w:tc>
        <w:tc>
          <w:tcPr>
            <w:tcW w:type="dxa" w:w="5047"/>
            <w:shd w:fill="F8FAFB"/>
            <w:tcMar>
              <w:top w:w="90" w:type="dxa"/>
              <w:start w:w="90" w:type="dxa"/>
              <w:bottom w:w="90" w:type="dxa"/>
              <w:end w:w="90" w:type="dxa"/>
            </w:tcMar>
            <w:tcBorders>
              <w:top w:val="nil"/>
              <w:left w:val="nil"/>
              <w:bottom w:val="nil"/>
              <w:right w:val="nil"/>
              <w:insideH w:val="nil"/>
              <w:insideV w:val="nil"/>
            </w:tcBorders>
          </w:tcPr>
          <w:p>
            <w:pPr>
              <w:spacing w:after="0"/>
            </w:pPr>
            <w:r>
              <w:rPr>
                <w:sz w:val="18"/>
              </w:rPr>
              <w:t>2026–27</w:t>
            </w:r>
          </w:p>
        </w:tc>
      </w:tr>
    </w:tbl>
    <w:p>
      <w:pPr>
        <w:spacing w:before="560" w:after="0"/>
        <w:jc w:val="center"/>
        <w:widowControl/>
      </w:pPr>
      <w:r>
        <w:rPr>
          <w:i/>
          <w:color w:val="66788A"/>
          <w:sz w:val="17"/>
        </w:rPr>
        <w:t>SECONDARY-RESEARCH DRAFT  •  Analysis date: 3 October 2026</w:t>
      </w:r>
    </w:p>
    <w:p>
      <w:pPr>
        <w:widowControl/>
      </w:pPr>
      <w:r>
        <w:br w:type="page"/>
      </w:r>
    </w:p>
    <w:p>
      <w:pPr>
        <w:pStyle w:val="Heading1"/>
        <w:keepNext/>
        <w:widowControl/>
      </w:pPr>
      <w:r>
        <w:t>CERTIFICATE — INSTITUTE / FACULTY</w:t>
      </w:r>
    </w:p>
    <w:p>
      <w:pPr>
        <w:spacing w:after="360"/>
        <w:widowControl/>
      </w:pPr>
      <w:r>
        <w:rPr>
          <w:i/>
          <w:color w:val="BD4C4C"/>
          <w:sz w:val="19"/>
        </w:rPr>
        <w:t>This page is provided for completion by the authorised faculty member or institute. No institutional endorsement, approval, or signature is claimed in this draft.</w:t>
      </w:r>
    </w:p>
    <w:p>
      <w:pPr>
        <w:spacing w:after="360"/>
        <w:widowControl/>
      </w:pPr>
      <w:r>
        <w:t>This is to certify that the project report entitled “A Study of the Fintech Business Model and Financial Performance of Pine Labs Limited” has been prepared by Nikhil Udaypratap Singh (Roll No. M16158), student of the SYMMS programme, for academic review during the 2026–27 session.</w:t>
      </w:r>
    </w:p>
    <w:p>
      <w:pPr>
        <w:spacing w:after="600"/>
        <w:widowControl/>
      </w:pPr>
      <w:r>
        <w:t>The report is based on publicly available secondary information and is submitted subject to the institute’s prescribed format, academic-integrity checks, and faculty review.</w:t>
      </w:r>
    </w:p>
    <w:tbl>
      <w:tblPr>
        <w:tblW w:type="auto" w:w="0"/>
        <w:jc w:val="center"/>
        <w:tblLayout w:type="fixed"/>
        <w:tblLook w:firstColumn="1" w:firstRow="1" w:lastColumn="0" w:lastRow="0" w:noHBand="0" w:noVBand="1" w:val="04A0"/>
      </w:tblPr>
      <w:tblGrid>
        <w:gridCol w:w="4608"/>
        <w:gridCol w:w="4608"/>
      </w:tblGrid>
      <w:tr>
        <w:tc>
          <w:tcPr>
            <w:tcW w:type="dxa" w:w="5047"/>
            <w:tcMar>
              <w:top w:w="120" w:type="dxa"/>
              <w:start w:w="90" w:type="dxa"/>
              <w:bottom w:w="120" w:type="dxa"/>
              <w:end w:w="90" w:type="dxa"/>
            </w:tcMar>
            <w:tcBorders>
              <w:top w:val="nil"/>
              <w:left w:val="nil"/>
              <w:bottom w:val="nil"/>
              <w:right w:val="nil"/>
              <w:insideH w:val="nil"/>
              <w:insideV w:val="nil"/>
            </w:tcBorders>
          </w:tcPr>
          <w:p>
            <w:r>
              <w:rPr>
                <w:sz w:val="18"/>
              </w:rPr>
              <w:br/>
              <w:br/>
              <w:t>Signature: __________________________</w:t>
              <w:br/>
              <w:t>Name: ______________________________</w:t>
              <w:br/>
              <w:t>Date: _______________________________</w:t>
            </w:r>
          </w:p>
        </w:tc>
        <w:tc>
          <w:tcPr>
            <w:tcW w:type="dxa" w:w="5047"/>
            <w:tcMar>
              <w:top w:w="120" w:type="dxa"/>
              <w:start w:w="90" w:type="dxa"/>
              <w:bottom w:w="120" w:type="dxa"/>
              <w:end w:w="90" w:type="dxa"/>
            </w:tcMar>
            <w:tcBorders>
              <w:top w:val="nil"/>
              <w:left w:val="nil"/>
              <w:bottom w:val="nil"/>
              <w:right w:val="nil"/>
              <w:insideH w:val="nil"/>
              <w:insideV w:val="nil"/>
            </w:tcBorders>
          </w:tcPr>
          <w:p>
            <w:r>
              <w:rPr>
                <w:sz w:val="18"/>
              </w:rPr>
              <w:br/>
              <w:br/>
              <w:t>Signature: __________________________</w:t>
              <w:br/>
              <w:t>Name: ______________________________</w:t>
              <w:br/>
              <w:t>Date: _______________________________</w:t>
            </w:r>
          </w:p>
        </w:tc>
      </w:tr>
      <w:tr>
        <w:tc>
          <w:tcPr>
            <w:tcW w:type="dxa" w:w="5047"/>
            <w:tcMar>
              <w:top w:w="120" w:type="dxa"/>
              <w:start w:w="90" w:type="dxa"/>
              <w:bottom w:w="120" w:type="dxa"/>
              <w:end w:w="90" w:type="dxa"/>
            </w:tcMar>
            <w:tcBorders>
              <w:top w:val="nil"/>
              <w:left w:val="nil"/>
              <w:bottom w:val="nil"/>
              <w:right w:val="nil"/>
              <w:insideH w:val="nil"/>
              <w:insideV w:val="nil"/>
            </w:tcBorders>
          </w:tcPr>
          <w:p>
            <w:r>
              <w:rPr>
                <w:sz w:val="18"/>
              </w:rPr>
              <w:t>Faculty Guide</w:t>
            </w:r>
          </w:p>
        </w:tc>
        <w:tc>
          <w:tcPr>
            <w:tcW w:type="dxa" w:w="5047"/>
            <w:tcMar>
              <w:top w:w="120" w:type="dxa"/>
              <w:start w:w="90" w:type="dxa"/>
              <w:bottom w:w="120" w:type="dxa"/>
              <w:end w:w="90" w:type="dxa"/>
            </w:tcMar>
            <w:tcBorders>
              <w:top w:val="nil"/>
              <w:left w:val="nil"/>
              <w:bottom w:val="nil"/>
              <w:right w:val="nil"/>
              <w:insideH w:val="nil"/>
              <w:insideV w:val="nil"/>
            </w:tcBorders>
          </w:tcPr>
          <w:p>
            <w:r>
              <w:rPr>
                <w:sz w:val="18"/>
              </w:rPr>
              <w:t>Programme Coordinator / Head</w:t>
            </w:r>
          </w:p>
        </w:tc>
      </w:tr>
    </w:tbl>
    <w:p>
      <w:pPr>
        <w:widowControl/>
      </w:pPr>
      <w:r>
        <w:br w:type="page"/>
      </w:r>
    </w:p>
    <w:p>
      <w:pPr>
        <w:pStyle w:val="Heading1"/>
        <w:keepNext/>
        <w:widowControl/>
      </w:pPr>
      <w:r>
        <w:t>DECLARATION AND SCOPE OF AUTHENTICITY</w:t>
      </w:r>
    </w:p>
    <w:p>
      <w:pPr>
        <w:spacing w:after="240"/>
        <w:widowControl/>
      </w:pPr>
      <w:r>
        <w:rPr>
          <w:b/>
          <w:color w:val="BD4C4C"/>
          <w:sz w:val="19"/>
        </w:rPr>
        <w:t>DRAFT FOR STUDENT REVIEW — Do not sign until the sources, calculations, factual claims and institute requirements have been personally checked. Retain or adapt the wording below only if it is accurate.</w:t>
      </w:r>
    </w:p>
    <w:p>
      <w:pPr>
        <w:spacing w:after="200"/>
        <w:widowControl/>
      </w:pPr>
      <w:r>
        <w:t>Suggested declaration: I, Nikhil Udaypratap Singh (Roll No. M16158, SYMMS), understand that this document is an academic company-research draft based on publicly available company, exchange, regulator and industry information. Before final submission, I will verify the source attributions and calculations and will comply with the institute’s academic-integrity and disclosure rules.</w:t>
      </w:r>
    </w:p>
    <w:p>
      <w:pPr>
        <w:spacing w:after="200"/>
        <w:widowControl/>
      </w:pPr>
      <w:r>
        <w:t>This draft does not claim that Pine Labs Limited employed, hosted, supervised or certified me. It does not claim interviews, confidential access, internal company data or any workplace activity. If the institute requires a record of an actual summer internship, the organisation, dates, department, duties, supervisor and certificate must be inserted only from verifiable records before submission.</w:t>
      </w:r>
    </w:p>
    <w:p>
      <w:pPr>
        <w:spacing w:after="200"/>
        <w:widowControl/>
      </w:pPr>
      <w:r>
        <w:t>The financial data are consolidated unless stated otherwise. FY23–FY25 comparative figures are described as prospectus-restated; FY26 figures are audited; Q1 FY27 figures are unaudited / limited-reviewed interim disclosures. Non-GAAP measures are labelled company-defined. Ratios, valuation metrics and views are author calculations or analysis as at the stated dates.</w:t>
      </w:r>
    </w:p>
    <w:p>
      <w:pPr>
        <w:spacing w:before="520" w:after="100"/>
        <w:widowControl/>
      </w:pPr>
      <w:r>
        <w:t>Student signature: ____________________________________     Date: __________________</w:t>
      </w:r>
    </w:p>
    <w:p>
      <w:pPr>
        <w:spacing w:after="100"/>
        <w:widowControl/>
      </w:pPr>
      <w:r>
        <w:t>Place: _______________________________________________</w:t>
      </w:r>
    </w:p>
    <w:p>
      <w:pPr>
        <w:widowControl/>
      </w:pPr>
      <w:r>
        <w:br w:type="page"/>
      </w:r>
    </w:p>
    <w:p>
      <w:pPr>
        <w:pStyle w:val="Heading1"/>
        <w:keepNext/>
        <w:widowControl/>
      </w:pPr>
      <w:r>
        <w:t>ACKNOWLEDGEMENT</w:t>
      </w:r>
    </w:p>
    <w:p>
      <w:pPr>
        <w:spacing w:after="200"/>
        <w:widowControl/>
      </w:pPr>
      <w:r>
        <w:t>I acknowledge the publicly available disclosures of Pine Labs Limited, the Reserve Bank of India, the National Payments Corporation of India, BSE and other cited sources that made this desk-based study possible. I also thank the faculty and academic reviewers who may guide the final formatting and interpretation of this project.</w:t>
      </w:r>
    </w:p>
    <w:p>
      <w:pPr>
        <w:spacing w:after="200"/>
        <w:widowControl/>
      </w:pPr>
      <w:r>
        <w:t>The named student and programme details on the cover are supplied for this report. Institute, faculty and any internship-specific statements have intentionally been left for authentic completion rather than being invented.</w:t>
      </w:r>
    </w:p>
    <w:p>
      <w:pPr>
        <w:spacing w:before="400"/>
        <w:widowControl/>
      </w:pPr>
      <w:r>
        <w:rPr>
          <w:b/>
          <w:color w:val="17324D"/>
        </w:rPr>
        <w:t>Nikhil Udaypratap Singh</w:t>
        <w:br/>
        <w:t>Roll No. M16158  |  SYMMS</w:t>
      </w:r>
    </w:p>
    <w:p>
      <w:pPr>
        <w:widowControl/>
      </w:pPr>
      <w:r>
        <w:br w:type="page"/>
      </w:r>
    </w:p>
    <w:p>
      <w:pPr>
        <w:pStyle w:val="Heading1"/>
        <w:keepNext/>
        <w:widowControl/>
      </w:pPr>
      <w:r>
        <w:t>EXECUTIVE SUMMARY</w:t>
      </w:r>
    </w:p>
    <w:p>
      <w:pPr>
        <w:spacing w:after="140"/>
        <w:widowControl/>
      </w:pPr>
      <w:r>
        <w:t>Pine Labs Limited is an India-founded fintech and commerce-technology company whose platform connects merchants, consumer brands, banks, fintechs and payment networks. Its prospectus describes two operating platforms: Digital Infrastructure and Transaction Platform (DITP), covering in-store and online acceptance, affordability and fintech infrastructure; and Issuing and Acquiring Platform (IAP), covering prepaid and card issuance, processing and distribution. The business is a technology and processing provider, not a bank. In affordability programmes, the lending partner generally bears the consumer credit risk described by the company. [1]</w:t>
      </w:r>
    </w:p>
    <w:p>
      <w:pPr>
        <w:spacing w:after="140"/>
        <w:widowControl/>
      </w:pPr>
      <w:r>
        <w:t>The financial record shows rapid scale-up and a recent profitability inflection. Restated consolidated revenue from operations increased from ₹1,597.66 crore in FY23 to ₹2,710.59 crore in FY26, a three-year CAGR of about 19.3%. PAT improved from losses in FY23–FY25 to a profit of ₹112.51 crore in audited FY26. Company-defined adjusted EBITDA rose from ₹158.19 crore in FY24 to ₹558.87 crore in FY26, with margin improving from 8.94% to 20.62%; these figures include management-defined adjustments and are not statutory EBITDA. [1–3]</w:t>
      </w:r>
    </w:p>
    <w:p>
      <w:pPr>
        <w:spacing w:after="140"/>
        <w:widowControl/>
      </w:pPr>
      <w:r>
        <w:t>Operating metrics grew faster than revenue: platform GTV rose from approximately ₹4.40 lakh crore in FY23 to ₹17.15 lakh crore in FY26; FY26 platform activity included 740.37 crore transactions, 20.28 lakh digital checkout points and 11.03 lakh merchants. In Q1 FY27, revenue was ₹736.92 crore (+19.65% year on year), PAT was ₹19.57 crore, GTV was ₹4.22 lakh crore, and the reported network comprised 21.7 lakh DCPs and 11.5 lakh merchants. Contribution margin was 72.3% and adjusted EBITDA margin approximately 17.1%, both below the prior-year quarter on the company’s disclosures. [3,5,6]</w:t>
      </w:r>
    </w:p>
    <w:p>
      <w:pPr>
        <w:spacing w:after="140"/>
        <w:widowControl/>
      </w:pPr>
      <w:r>
        <w:t>The balance sheet strengthened after the IPO: FY26 borrowings excluding leases were ₹282.87 crore compared with ₹829.49 crore in FY25. Liquidity ratios must be interpreted cautiously because other bank balances, prepaid-card funds and settlement-related obligations are material. FY26 operating cash flow was positive at ₹395.39 crore, but Q1 FY27 operating cash flow ranged from ₹78 crore excluding early settlement to negative ₹159 crore including it. Cash conversion therefore remains a key monitoring item. [2,5,6]</w:t>
      </w:r>
    </w:p>
    <w:p>
      <w:pPr>
        <w:spacing w:after="140"/>
        <w:widowControl/>
      </w:pPr>
      <w:r>
        <w:t>As a dated valuation illustration, the BSE close of ₹167.55 on 1 October 2026 and approximately 115.39 crore paid-up shares imply an equity value of roughly ₹19,334 crore. Using FY26 and Q1 FY27 less Q1 FY26 yields TTM revenue of ₹2,831.60 crore and TTM PAT of ₹127.29 crore; the resulting indicative P/S is about 6.83× and P/E about 152×. These are analyst calculations using a rounded basic share count, not published company multiples; they are sensitive to period, dilution, cash classification and share-count assumptions. [5,11]</w:t>
      </w:r>
    </w:p>
    <w:p>
      <w:pPr>
        <w:spacing w:after="140"/>
        <w:widowControl/>
      </w:pPr>
      <w:r>
        <w:t>Overall, the company has strong scale, broad merchant and issuer relationships, expanding international operations and improving reported profitability. The key questions are whether high GTV growth can sustain revenue yield and recurring margins, whether positive PAT and operating cash flow become repeatable, and whether new products and acquisitions earn adequate returns. The company’s growth opportunity is material, but the 1 October 2026 valuation snapshot is demanding. The research view is “watch / valuation-sensitive,” not a buy or sell recommendation.</w:t>
      </w:r>
    </w:p>
    <w:p>
      <w:pPr>
        <w:widowControl/>
      </w:pPr>
      <w:r>
        <w:br w:type="page"/>
      </w:r>
    </w:p>
    <w:p>
      <w:pPr>
        <w:pStyle w:val="Heading1"/>
        <w:keepNext/>
        <w:widowControl/>
      </w:pPr>
      <w:r>
        <w:t>CONTENTS AND DOCUMENT GUIDE</w:t>
      </w:r>
    </w:p>
    <w:p>
      <w:pPr>
        <w:widowControl/>
      </w:pPr>
      <w:r>
        <w:rPr>
          <w:i/>
          <w:color w:val="66788A"/>
          <w:sz w:val="18"/>
        </w:rPr>
        <w:t>This report follows a company-research and fundamental-analysis structure. Page numbers are deliberately not hard-coded: Word will repaginate with local fonts and printer settings.</w:t>
      </w:r>
    </w:p>
    <w:p>
      <w:pPr>
        <w:keepNext/>
        <w:spacing w:before="80" w:after="60"/>
        <w:widowControl/>
      </w:pPr>
      <w:r>
        <w:rPr>
          <w:b/>
          <w:color w:val="17324D"/>
          <w:sz w:val="18"/>
        </w:rPr>
        <w:t>Table 1. Report map</w:t>
      </w:r>
    </w:p>
    <w:tbl>
      <w:tblPr>
        <w:tblW w:type="auto" w:w="0"/>
        <w:jc w:val="center"/>
        <w:tblLayout w:type="fixed"/>
        <w:tblLook w:firstColumn="1" w:firstRow="1" w:lastColumn="0" w:lastRow="0" w:noHBand="0" w:noVBand="1" w:val="04A0"/>
      </w:tblPr>
      <w:tblGrid>
        <w:gridCol w:w="1440"/>
        <w:gridCol w:w="8496"/>
      </w:tblGrid>
      <w:tr>
        <w:trPr>
          <w:tblHeader w:val="true"/>
        </w:trPr>
        <w:tc>
          <w:tcPr>
            <w:tcW w:type="dxa" w:w="144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8"/>
              </w:rPr>
              <w:t>Chapter</w:t>
            </w:r>
          </w:p>
        </w:tc>
        <w:tc>
          <w:tcPr>
            <w:tcW w:type="dxa" w:w="849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8"/>
              </w:rPr>
              <w:t>Topic</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01</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Introduction and Research Design</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02</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Company Identification and Key Findings</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03</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Indian Fintech and Payments Industry</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04</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Pine Labs: Company Profile and Business Model</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05</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Products, Services and Customer Journeys</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06</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PESTLE and Porter’s Five Forces</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07</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SWOT, Governance and Ownership Context</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08</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Financial Performance: Income Statement</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09</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Balance Sheet, Funding and Cash Flow</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10</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Ratio Analysis</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11</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Operating KPIs and Platform Economics</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12</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DuPont Analysis</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13</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Peer Context and Valuation</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14</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Listed-Market Snapshot</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15</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Risk Analysis</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16</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ESG and Responsible Fintech</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17</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Project Learning and Internship-Record Note</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18</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Findings, Suggestions and Conclusion</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19</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Researcher’s View</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R</w:t>
            </w:r>
          </w:p>
        </w:tc>
        <w:tc>
          <w:tcPr>
            <w:tcW w:type="dxa" w:w="84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References</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8"/>
              </w:rPr>
              <w:t>A–D</w:t>
            </w:r>
          </w:p>
        </w:tc>
        <w:tc>
          <w:tcPr>
            <w:tcW w:type="dxa" w:w="84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8"/>
              </w:rPr>
              <w:t>Appendices: Data Sheet, Formulas, Glossary, Completion Checklist</w:t>
            </w:r>
          </w:p>
        </w:tc>
      </w:tr>
    </w:tbl>
    <w:p>
      <w:pPr>
        <w:spacing w:before="40" w:after="140"/>
        <w:widowControl/>
      </w:pPr>
      <w:r>
        <w:rPr>
          <w:i/>
          <w:color w:val="66788A"/>
          <w:sz w:val="15"/>
        </w:rPr>
        <w:t>Source / note: Navigation aid only; no fixed page numbers.</w:t>
      </w:r>
    </w:p>
    <w:p>
      <w:pPr>
        <w:pStyle w:val="Heading2"/>
        <w:keepNext/>
        <w:widowControl/>
      </w:pPr>
      <w:r>
        <w:t>Reading and data conventions</w:t>
      </w:r>
    </w:p>
    <w:p>
      <w:pPr>
        <w:pStyle w:val="ListBullet"/>
        <w:spacing w:after="50"/>
        <w:ind w:left="317" w:hanging="202"/>
        <w:widowControl/>
      </w:pPr>
      <w:r>
        <w:t>₹ crore unless otherwise indicated; FY ends 31 March. Lakh crore means ₹1,00,000 crore. Percentages and multiples are rounded for readability.</w:t>
      </w:r>
    </w:p>
    <w:p>
      <w:pPr>
        <w:pStyle w:val="ListBullet"/>
        <w:spacing w:after="50"/>
        <w:ind w:left="317" w:hanging="202"/>
        <w:widowControl/>
      </w:pPr>
      <w:r>
        <w:t>“Reported” refers to audited or interim financial statements. Adjusted EBITDA, contribution margin and operating KPIs are company-defined disclosures; author calculations are explicitly labelled.</w:t>
      </w:r>
    </w:p>
    <w:p>
      <w:pPr>
        <w:pStyle w:val="ListBullet"/>
        <w:spacing w:after="50"/>
        <w:ind w:left="317" w:hanging="202"/>
        <w:widowControl/>
      </w:pPr>
      <w:r>
        <w:t>The analysis cut-off is 3 October 2026; the market-price snapshot uses the 1 October 2026 BSE close. The latest financial period used is Q1 FY27 (quarter ended 30 June 2026).</w:t>
      </w:r>
    </w:p>
    <w:p>
      <w:pPr>
        <w:pStyle w:val="ListBullet"/>
        <w:spacing w:after="50"/>
        <w:ind w:left="317" w:hanging="202"/>
        <w:widowControl/>
      </w:pPr>
      <w:r>
        <w:t>The GitHub repository supplied by the student is cited as a source location for primary company documents, not as an independent validator of those documents. The company’s investor-relations page is also cited. [12,13]</w:t>
      </w:r>
    </w:p>
    <w:p>
      <w:pPr>
        <w:widowControl/>
      </w:pPr>
      <w:r>
        <w:br w:type="page"/>
      </w:r>
    </w:p>
    <w:p>
      <w:pPr>
        <w:spacing w:before="60" w:after="40"/>
        <w:widowControl/>
      </w:pPr>
      <w:r>
        <w:rPr>
          <w:b/>
          <w:color w:val="D5A642"/>
          <w:sz w:val="18"/>
        </w:rPr>
        <w:t>CHAPTER 01</w:t>
      </w:r>
    </w:p>
    <w:p>
      <w:pPr>
        <w:pStyle w:val="Heading1"/>
        <w:keepNext/>
        <w:widowControl/>
      </w:pPr>
      <w:r>
        <w:t>Introduction and Research Design</w:t>
      </w:r>
    </w:p>
    <w:p>
      <w:pPr>
        <w:spacing w:after="160"/>
        <w:widowControl/>
      </w:pPr>
      <w:r>
        <w:rPr>
          <w:i/>
          <w:color w:val="66788A"/>
          <w:sz w:val="19"/>
        </w:rPr>
        <w:t>Purpose, questions, evidence base and limits of a secondary-data study</w:t>
      </w:r>
    </w:p>
    <w:p>
      <w:pPr>
        <w:pStyle w:val="Heading2"/>
        <w:keepNext/>
        <w:widowControl/>
      </w:pPr>
      <w:r>
        <w:t>1.1 Background and rationale</w:t>
      </w:r>
    </w:p>
    <w:p>
      <w:pPr>
        <w:widowControl/>
      </w:pPr>
      <w:r>
        <w:t>Fintech combines software, data, communications and regulated financial infrastructure to deliver or support payments, credit, savings, insurance and other financial services. Pine Labs is studied here through the merchant-commerce and payment-infrastructure lens: it supplies technology that allows in-store and online acceptance, transaction routing and processing, merchant affordability offers, prepaid programmes and financial APIs. This positioning makes it a useful case for examining how a platform can scale transaction volume without recognizing the full transaction value as revenue.</w:t>
      </w:r>
    </w:p>
    <w:p>
      <w:pPr>
        <w:widowControl/>
      </w:pPr>
      <w:r>
        <w:t>India’s digital-payment system is shaped by public rails, private networks, banks, fintechs and merchant technology providers. The Reserve Bank of India (RBI) reports rapid growth in payment volume and value over 2016–2025; NPCI’s UPI statistics show continuing scale through 2026. Such growth expands the addressable ecosystem, but does not guarantee high fee income for every participant. Economics depend on the specific role in the chain, the contractual fee, product mix, settlement exposure, customer acquisition cost and operating efficiency. [9,10]</w:t>
      </w:r>
    </w:p>
    <w:p>
      <w:pPr>
        <w:pStyle w:val="Heading2"/>
        <w:keepNext/>
        <w:widowControl/>
      </w:pPr>
      <w:r>
        <w:t>1.2 Key concepts used in this report</w:t>
      </w:r>
    </w:p>
    <w:p>
      <w:pPr>
        <w:keepNext/>
        <w:spacing w:before="80" w:after="60"/>
        <w:widowControl/>
      </w:pPr>
      <w:r>
        <w:rPr>
          <w:b/>
          <w:color w:val="17324D"/>
          <w:sz w:val="18"/>
        </w:rPr>
        <w:t>Table 2. Core terminology</w:t>
      </w:r>
    </w:p>
    <w:tbl>
      <w:tblPr>
        <w:tblW w:type="auto" w:w="0"/>
        <w:jc w:val="center"/>
        <w:tblLayout w:type="fixed"/>
        <w:tblLook w:firstColumn="1" w:firstRow="1" w:lastColumn="0" w:lastRow="0" w:noHBand="0" w:noVBand="1" w:val="04A0"/>
      </w:tblPr>
      <w:tblGrid>
        <w:gridCol w:w="2232"/>
        <w:gridCol w:w="7704"/>
      </w:tblGrid>
      <w:tr>
        <w:trPr>
          <w:tblHeader w:val="true"/>
        </w:trPr>
        <w:tc>
          <w:tcPr>
            <w:tcW w:type="dxa" w:w="223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7"/>
              </w:rPr>
              <w:t>Term</w:t>
            </w:r>
          </w:p>
        </w:tc>
        <w:tc>
          <w:tcPr>
            <w:tcW w:type="dxa" w:w="770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7"/>
              </w:rPr>
              <w:t>Working definition</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7"/>
              </w:rPr>
              <w:t>Acquiring</w:t>
            </w:r>
          </w:p>
        </w:tc>
        <w:tc>
          <w:tcPr>
            <w:tcW w:type="dxa" w:w="77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7"/>
              </w:rPr>
              <w:t>Merchant-facing acceptance of card or other digital-payment transactions, usually involving an acquirer, network and issuer.</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7"/>
              </w:rPr>
              <w:t>Issuing / processor</w:t>
            </w:r>
          </w:p>
        </w:tc>
        <w:tc>
          <w:tcPr>
            <w:tcW w:type="dxa" w:w="77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7"/>
              </w:rPr>
              <w:t>Technology and programme services that help a bank, brand or fintech issue and service payment or prepaid products.</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7"/>
              </w:rPr>
              <w:t>DCP</w:t>
            </w:r>
          </w:p>
        </w:tc>
        <w:tc>
          <w:tcPr>
            <w:tcW w:type="dxa" w:w="77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7"/>
              </w:rPr>
              <w:t>Digital checkout point; company KPI for an enabled acceptance location/checkout point. It is not necessarily a unique merchant.</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7"/>
              </w:rPr>
              <w:t>GTV</w:t>
            </w:r>
          </w:p>
        </w:tc>
        <w:tc>
          <w:tcPr>
            <w:tcW w:type="dxa" w:w="77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7"/>
              </w:rPr>
              <w:t>Gross transaction value routed, processed or serviced on the company’s platforms under its definition. It is not company revenue, cash collected or profit.</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7"/>
              </w:rPr>
              <w:t>Contribution margin</w:t>
            </w:r>
          </w:p>
        </w:tc>
        <w:tc>
          <w:tcPr>
            <w:tcW w:type="dxa" w:w="77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7"/>
              </w:rPr>
              <w:t>Company-defined revenue less specified direct costs; a management KPI, not a statutory subtotal.</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7"/>
              </w:rPr>
              <w:t>Adjusted EBITDA</w:t>
            </w:r>
          </w:p>
        </w:tc>
        <w:tc>
          <w:tcPr>
            <w:tcW w:type="dxa" w:w="77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7"/>
              </w:rPr>
              <w:t>Company-defined EBITDA measure with disclosed adjustments. It is not reported PAT or operating cash flow and may exclude recurring economic costs.</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7"/>
              </w:rPr>
              <w:t>Payment aggregator</w:t>
            </w:r>
          </w:p>
        </w:tc>
        <w:tc>
          <w:tcPr>
            <w:tcW w:type="dxa" w:w="77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7"/>
              </w:rPr>
              <w:t>An RBI-regulated intermediary that facilitates merchant payments and settlement, subject to the relevant legal and operational framework. Pine Labs’ exact role depends on the product and entity.</w:t>
            </w:r>
          </w:p>
        </w:tc>
      </w:tr>
    </w:tbl>
    <w:p>
      <w:pPr>
        <w:spacing w:before="40" w:after="140"/>
        <w:widowControl/>
      </w:pPr>
      <w:r>
        <w:rPr>
          <w:i/>
          <w:color w:val="66788A"/>
          <w:sz w:val="15"/>
        </w:rPr>
        <w:t>Source / note: Definitions are used for this project; company KPIs follow company documents. [1,3,5]</w:t>
      </w:r>
    </w:p>
    <w:p>
      <w:pPr>
        <w:pStyle w:val="Heading2"/>
        <w:keepNext/>
        <w:widowControl/>
      </w:pPr>
      <w:r>
        <w:t>1.3 Need, objectives and research questions</w:t>
      </w:r>
    </w:p>
    <w:p>
      <w:pPr>
        <w:widowControl/>
      </w:pPr>
      <w:r>
        <w:t>The study combines business-model analysis, industry structure, audited and restated financial information, interim operating indicators, ratio analysis, risk review and a dated valuation snapshot. The objectives are to:</w:t>
      </w:r>
    </w:p>
    <w:p>
      <w:pPr>
        <w:pStyle w:val="ListBullet"/>
        <w:spacing w:after="50"/>
        <w:ind w:left="317" w:hanging="202"/>
        <w:widowControl/>
      </w:pPr>
      <w:r>
        <w:t>Explain Pine Labs’ two-platform operating model, customer groups and disclosed sources of monetization.</w:t>
      </w:r>
    </w:p>
    <w:p>
      <w:pPr>
        <w:pStyle w:val="ListBullet"/>
        <w:spacing w:after="50"/>
        <w:ind w:left="317" w:hanging="202"/>
        <w:widowControl/>
      </w:pPr>
      <w:r>
        <w:t>Assess the Indian payment and fintech context relevant to merchant acceptance, issuing, affordability and infrastructure.</w:t>
      </w:r>
    </w:p>
    <w:p>
      <w:pPr>
        <w:pStyle w:val="ListBullet"/>
        <w:spacing w:after="50"/>
        <w:ind w:left="317" w:hanging="202"/>
        <w:widowControl/>
      </w:pPr>
      <w:r>
        <w:t>Track consolidated revenue, profitability, balance-sheet funding and cash flow for FY23–FY26, with a Q1 FY27 update.</w:t>
      </w:r>
    </w:p>
    <w:p>
      <w:pPr>
        <w:pStyle w:val="ListBullet"/>
        <w:spacing w:after="50"/>
        <w:ind w:left="317" w:hanging="202"/>
        <w:widowControl/>
      </w:pPr>
      <w:r>
        <w:t>Interpret company KPIs such as GTV, transactions, merchants, DCPs and prepaid cards without equating volume with revenue.</w:t>
      </w:r>
    </w:p>
    <w:p>
      <w:pPr>
        <w:pStyle w:val="ListBullet"/>
        <w:spacing w:after="50"/>
        <w:ind w:left="317" w:hanging="202"/>
        <w:widowControl/>
      </w:pPr>
      <w:r>
        <w:t>Evaluate strategic, regulatory, operational, governance and ESG risks and compare Pine Labs qualitatively with selected peers.</w:t>
      </w:r>
    </w:p>
    <w:p>
      <w:pPr>
        <w:pStyle w:val="ListBullet"/>
        <w:spacing w:after="50"/>
        <w:ind w:left="317" w:hanging="202"/>
        <w:widowControl/>
      </w:pPr>
      <w:r>
        <w:t>Estimate selected valuation multiples using a clearly dated market price and explicitly stated assumptions.</w:t>
      </w:r>
    </w:p>
    <w:p>
      <w:pPr>
        <w:keepNext/>
        <w:spacing w:before="80" w:after="60"/>
        <w:widowControl/>
      </w:pPr>
      <w:r>
        <w:rPr>
          <w:b/>
          <w:color w:val="17324D"/>
          <w:sz w:val="18"/>
        </w:rPr>
        <w:t>Table 3. Research questions and propositions</w:t>
      </w:r>
    </w:p>
    <w:tbl>
      <w:tblPr>
        <w:tblW w:type="auto" w:w="0"/>
        <w:jc w:val="center"/>
        <w:tblLayout w:type="fixed"/>
        <w:tblLook w:firstColumn="1" w:firstRow="1" w:lastColumn="0" w:lastRow="0" w:noHBand="0" w:noVBand="1" w:val="04A0"/>
      </w:tblPr>
      <w:tblGrid>
        <w:gridCol w:w="2592"/>
        <w:gridCol w:w="3024"/>
        <w:gridCol w:w="4320"/>
      </w:tblGrid>
      <w:tr>
        <w:trPr>
          <w:tblHeader w:val="true"/>
        </w:trPr>
        <w:tc>
          <w:tcPr>
            <w:tcW w:type="dxa" w:w="259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Question / proposition</w:t>
            </w:r>
          </w:p>
        </w:tc>
        <w:tc>
          <w:tcPr>
            <w:tcW w:type="dxa" w:w="302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Evidence approach</w:t>
            </w:r>
          </w:p>
        </w:tc>
        <w:tc>
          <w:tcPr>
            <w:tcW w:type="dxa" w:w="432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Assessment in this report</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How does Pine Labs monetize the platform?</w:t>
            </w:r>
          </w:p>
        </w:tc>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Prospectus, segment disclosures, Q1/FY26 letters</w:t>
            </w:r>
          </w:p>
        </w:tc>
        <w:tc>
          <w:tcPr>
            <w:tcW w:type="dxa" w:w="43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Mapped to subscriptions, transaction/value-linked, processing/distribution and disclosed float-related income.</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Does GTV growth translate one-for-one into revenue?</w:t>
            </w:r>
          </w:p>
        </w:tc>
        <w:tc>
          <w:tcPr>
            <w:tcW w:type="dxa" w:w="302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FY23–FY26 GTV and revenue; calculated yield proxy</w:t>
            </w:r>
          </w:p>
        </w:tc>
        <w:tc>
          <w:tcPr>
            <w:tcW w:type="dxa" w:w="43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No. Volume scaled faster; revenue/GTV proxy declined, reflecting mix and measurement limits.</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Is the profitability inflection durable?</w:t>
            </w:r>
          </w:p>
        </w:tc>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Audited FY26; interim Q1 FY27; adjusted KPIs</w:t>
            </w:r>
          </w:p>
        </w:tc>
        <w:tc>
          <w:tcPr>
            <w:tcW w:type="dxa" w:w="43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FY26 improved materially; Q1 shows positive PAT but lower contribution and adjusted EBITDA margins year on year.</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Has the capital structure improved?</w:t>
            </w:r>
          </w:p>
        </w:tc>
        <w:tc>
          <w:tcPr>
            <w:tcW w:type="dxa" w:w="302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FY25/FY26 balance sheets and IPO disclosure</w:t>
            </w:r>
          </w:p>
        </w:tc>
        <w:tc>
          <w:tcPr>
            <w:tcW w:type="dxa" w:w="43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Borrowings/equity reduced, while equity rose after listing; cash-flow classification remains important.</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Has operating cash conversion become predictable?</w:t>
            </w:r>
          </w:p>
        </w:tc>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CFO series and early-settlement disclosures</w:t>
            </w:r>
          </w:p>
        </w:tc>
        <w:tc>
          <w:tcPr>
            <w:tcW w:type="dxa" w:w="43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Not established: FY23–FY26 CFO varies; Q1 FY27 differs sharply with/without early-settlement effects.</w:t>
            </w:r>
          </w:p>
        </w:tc>
      </w:tr>
    </w:tbl>
    <w:p>
      <w:pPr>
        <w:spacing w:before="40" w:after="140"/>
        <w:widowControl/>
      </w:pPr>
      <w:r>
        <w:rPr>
          <w:i/>
          <w:color w:val="66788A"/>
          <w:sz w:val="15"/>
        </w:rPr>
        <w:t>Source / note: Propositions are analytical tests, not statistical hypotheses; the study uses secondary descriptive analysis.</w:t>
      </w:r>
    </w:p>
    <w:p>
      <w:pPr>
        <w:pStyle w:val="Heading2"/>
        <w:keepNext/>
        <w:widowControl/>
      </w:pPr>
      <w:r>
        <w:t>1.4 Methodology and scope</w:t>
      </w:r>
    </w:p>
    <w:p>
      <w:pPr>
        <w:widowControl/>
      </w:pPr>
      <w:r>
        <w:t>Research design: descriptive, comparative and analytical case study. Unit of analysis: Pine Labs Limited and its consolidated subsidiaries as presented in company disclosures. Annual period: FY23–FY26; interim update: Q1 FY27, quarter ended 30 June 2026. Financial values are consolidated unless a table says otherwise. FY23–FY25 are described as restated prospectus comparatives; FY26 is audited; Q1 FY27 is unaudited / limited-reviewed interim information. [1–6]</w:t>
      </w:r>
    </w:p>
    <w:p>
      <w:pPr>
        <w:widowControl/>
      </w:pPr>
      <w:r>
        <w:t>Sources comprise the Pine Labs prospectus, audited FY26 results and KPI workbook, Q1 FY27 results and KPI workbook, selected call excerpts / press release, RBI Payment Systems Report, NPCI UPI statistics, and BSE market data. The Pine Labs GitHub repository supplied by the student was used to locate historical primary company files; current interim documents were checked against the official investor-relations site. [1–6,8–13]</w:t>
      </w:r>
    </w:p>
    <w:p>
      <w:pPr>
        <w:widowControl/>
      </w:pPr>
      <w:r>
        <w:t>Analytical tools include year-on-year growth, CAGR, common-size and segment analysis, liquidity and leverage ratios, ROA/ROE, DuPont decomposition, revenue-to-GTV proxy, qualitative PESTLE / Five Forces / SWOT, and a dated P/E, P/S and P/B snapshot. Formulas appear in Appendix B. Calculations are rounded; differences of ₹0.01 crore may arise from reported rounding.</w:t>
      </w:r>
    </w:p>
    <w:p>
      <w:pPr>
        <w:pStyle w:val="Heading2"/>
        <w:keepNext/>
        <w:widowControl/>
      </w:pPr>
      <w:r>
        <w:t>1.5 Limitations and data discipline</w:t>
      </w:r>
    </w:p>
    <w:p>
      <w:pPr>
        <w:pStyle w:val="ListBullet"/>
        <w:spacing w:after="50"/>
        <w:ind w:left="317" w:hanging="202"/>
        <w:widowControl/>
      </w:pPr>
      <w:r>
        <w:t>Pine Labs became publicly listed in 2025, so the public track record is short. Older group information is prospectus-restated following the Singapore merger and is not identical to previously reported legal-entity accounts.</w:t>
      </w:r>
    </w:p>
    <w:p>
      <w:pPr>
        <w:pStyle w:val="ListBullet"/>
        <w:spacing w:after="50"/>
        <w:ind w:left="317" w:hanging="202"/>
        <w:widowControl/>
      </w:pPr>
      <w:r>
        <w:t>Company-defined contribution margin, adjusted EBITDA and platform KPIs are useful but not substitutes for audited revenue, PAT, cash flow or statutory segment results. Their definitions may be revised.</w:t>
      </w:r>
    </w:p>
    <w:p>
      <w:pPr>
        <w:pStyle w:val="ListBullet"/>
        <w:spacing w:after="50"/>
        <w:ind w:left="317" w:hanging="202"/>
        <w:widowControl/>
      </w:pPr>
      <w:r>
        <w:t>GTV includes transaction activity routed or serviced across platform categories; overlapping categories must not be added. GTV is not revenue or a measure of funds available to shareholders.</w:t>
      </w:r>
    </w:p>
    <w:p>
      <w:pPr>
        <w:pStyle w:val="ListBullet"/>
        <w:spacing w:after="50"/>
        <w:ind w:left="317" w:hanging="202"/>
        <w:widowControl/>
      </w:pPr>
      <w:r>
        <w:t>Working-capital and settlement balances make reported CFO and cash balances sensitive to timing, earmarking and early-settlement activity. Other bank balances are not treated as unrestricted cash.</w:t>
      </w:r>
    </w:p>
    <w:p>
      <w:pPr>
        <w:pStyle w:val="ListBullet"/>
        <w:spacing w:after="50"/>
        <w:ind w:left="317" w:hanging="202"/>
        <w:widowControl/>
      </w:pPr>
      <w:r>
        <w:t>Q1 FY27 is a single unaudited / limited-reviewed quarter. It is not annualized as a forecast. Company revenue-growth guidance is forward-looking, not a result.</w:t>
      </w:r>
    </w:p>
    <w:p>
      <w:pPr>
        <w:pStyle w:val="ListBullet"/>
        <w:spacing w:after="50"/>
        <w:ind w:left="317" w:hanging="202"/>
        <w:widowControl/>
      </w:pPr>
      <w:r>
        <w:t>No interviews, internal data, customer-level unit economics, complete daily price history, formal ESG assurance or verified internship records were supplied. Only the opening portion of the Q1 FY27 call transcript was reviewed; Q1 results and operating interpretations here rely on the shareholder letter, press release and KPI book. The market snapshot is not investment advice.</w:t>
      </w:r>
    </w:p>
    <w:p>
      <w:pPr>
        <w:pStyle w:val="Heading2"/>
        <w:keepNext/>
        <w:widowControl/>
      </w:pPr>
      <w:r>
        <w:t>1.6 Brief review of relevant literature and framework</w:t>
      </w:r>
    </w:p>
    <w:p>
      <w:pPr>
        <w:keepNext/>
        <w:spacing w:before="80" w:after="60"/>
        <w:widowControl/>
      </w:pPr>
      <w:r>
        <w:rPr>
          <w:b/>
          <w:color w:val="17324D"/>
          <w:sz w:val="18"/>
        </w:rPr>
        <w:t>Table 4. Research and analytical foundations</w:t>
      </w:r>
    </w:p>
    <w:tbl>
      <w:tblPr>
        <w:tblW w:type="auto" w:w="0"/>
        <w:jc w:val="center"/>
        <w:tblLayout w:type="fixed"/>
        <w:tblLook w:firstColumn="1" w:firstRow="1" w:lastColumn="0" w:lastRow="0" w:noHBand="0" w:noVBand="1" w:val="04A0"/>
      </w:tblPr>
      <w:tblGrid>
        <w:gridCol w:w="2952"/>
        <w:gridCol w:w="6984"/>
      </w:tblGrid>
      <w:tr>
        <w:trPr>
          <w:tblHeader w:val="true"/>
        </w:trPr>
        <w:tc>
          <w:tcPr>
            <w:tcW w:type="dxa" w:w="295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Source / framework</w:t>
            </w:r>
          </w:p>
        </w:tc>
        <w:tc>
          <w:tcPr>
            <w:tcW w:type="dxa" w:w="698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Relevance to this study</w:t>
            </w:r>
          </w:p>
        </w:tc>
      </w:tr>
      <w:tr>
        <w:trPr>
          <w:cantSplit/>
        </w:trPr>
        <w:tc>
          <w:tcPr>
            <w:tcW w:type="dxa" w:w="295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RBI, Payment Systems Report (December 2025)</w:t>
            </w:r>
          </w:p>
        </w:tc>
        <w:tc>
          <w:tcPr>
            <w:tcW w:type="dxa" w:w="698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Provides system-level evidence on payment volume, value, infrastructure and policy. It is an industry source, not a Pine Labs market-share validation. [9]</w:t>
            </w:r>
          </w:p>
        </w:tc>
      </w:tr>
      <w:tr>
        <w:trPr>
          <w:cantSplit/>
        </w:trPr>
        <w:tc>
          <w:tcPr>
            <w:tcW w:type="dxa" w:w="295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Porter (1979), Five Forces</w:t>
            </w:r>
          </w:p>
        </w:tc>
        <w:tc>
          <w:tcPr>
            <w:tcW w:type="dxa" w:w="698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Structures the assessment of rivalry, entry, substitutes, supplier power and buyer power; ratings in Chapter 6 are the author’s qualitative judgements. [14]</w:t>
            </w:r>
          </w:p>
        </w:tc>
      </w:tr>
      <w:tr>
        <w:trPr>
          <w:cantSplit/>
        </w:trPr>
        <w:tc>
          <w:tcPr>
            <w:tcW w:type="dxa" w:w="295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DuPont identity and equity valuation</w:t>
            </w:r>
          </w:p>
        </w:tc>
        <w:tc>
          <w:tcPr>
            <w:tcW w:type="dxa" w:w="698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Separates profit margin, asset turnover and leverage; the P/B sensitivity uses a simplified stable-growth relation and is illustrative only. [15]</w:t>
            </w:r>
          </w:p>
        </w:tc>
      </w:tr>
      <w:tr>
        <w:trPr>
          <w:cantSplit/>
        </w:trPr>
        <w:tc>
          <w:tcPr>
            <w:tcW w:type="dxa" w:w="295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Pine Labs prospectus and investor disclosures</w:t>
            </w:r>
          </w:p>
        </w:tc>
        <w:tc>
          <w:tcPr>
            <w:tcW w:type="dxa" w:w="698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Primary company evidence on operating architecture, financial history, risk factors and company-defined KPIs; issuer disclosures are not independent assurance of market claims. [1–6,8]</w:t>
            </w:r>
          </w:p>
        </w:tc>
      </w:tr>
    </w:tbl>
    <w:p>
      <w:pPr>
        <w:spacing w:before="40" w:after="140"/>
        <w:widowControl/>
      </w:pPr>
      <w:r>
        <w:rPr>
          <w:i/>
          <w:color w:val="66788A"/>
          <w:sz w:val="15"/>
        </w:rPr>
        <w:t>Source / note: Full citations and links are provided in the References section.</w:t>
      </w:r>
    </w:p>
    <w:p>
      <w:pPr>
        <w:widowControl/>
      </w:pPr>
      <w:r>
        <w:br w:type="page"/>
      </w:r>
    </w:p>
    <w:p>
      <w:pPr>
        <w:spacing w:before="60" w:after="40"/>
        <w:widowControl/>
      </w:pPr>
      <w:r>
        <w:rPr>
          <w:b/>
          <w:color w:val="D5A642"/>
          <w:sz w:val="18"/>
        </w:rPr>
        <w:t>CHAPTER 02</w:t>
      </w:r>
    </w:p>
    <w:p>
      <w:pPr>
        <w:pStyle w:val="Heading1"/>
        <w:keepNext/>
        <w:widowControl/>
      </w:pPr>
      <w:r>
        <w:t>Company Identification and Key Findings</w:t>
      </w:r>
    </w:p>
    <w:p>
      <w:pPr>
        <w:spacing w:after="160"/>
        <w:widowControl/>
      </w:pPr>
      <w:r>
        <w:rPr>
          <w:i/>
          <w:color w:val="66788A"/>
          <w:sz w:val="19"/>
        </w:rPr>
        <w:t>A concise profile and the central results of the analysis</w:t>
      </w:r>
    </w:p>
    <w:p>
      <w:pPr>
        <w:keepNext/>
        <w:spacing w:before="80" w:after="60"/>
        <w:widowControl/>
      </w:pPr>
      <w:r>
        <w:rPr>
          <w:b/>
          <w:color w:val="17324D"/>
          <w:sz w:val="18"/>
        </w:rPr>
        <w:t>Table 5. Company identification</w:t>
      </w:r>
    </w:p>
    <w:tbl>
      <w:tblPr>
        <w:tblW w:type="auto" w:w="0"/>
        <w:jc w:val="center"/>
        <w:tblLayout w:type="fixed"/>
        <w:tblLook w:firstColumn="1" w:firstRow="1" w:lastColumn="0" w:lastRow="0" w:noHBand="0" w:noVBand="1" w:val="04A0"/>
      </w:tblPr>
      <w:tblGrid>
        <w:gridCol w:w="2376"/>
        <w:gridCol w:w="7560"/>
      </w:tblGrid>
      <w:tr>
        <w:trPr>
          <w:tblHeader w:val="true"/>
        </w:trPr>
        <w:tc>
          <w:tcPr>
            <w:tcW w:type="dxa" w:w="237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Particular</w:t>
            </w:r>
          </w:p>
        </w:tc>
        <w:tc>
          <w:tcPr>
            <w:tcW w:type="dxa" w:w="756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Profile</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Legal name</w:t>
            </w:r>
          </w:p>
        </w:tc>
        <w:tc>
          <w:tcPr>
            <w:tcW w:type="dxa" w:w="75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Pine Labs Limited (formerly Pine Labs Private Limited) [1,2]</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Incorporated</w:t>
            </w:r>
          </w:p>
        </w:tc>
        <w:tc>
          <w:tcPr>
            <w:tcW w:type="dxa" w:w="75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18 May 1998; incorporated in New Delhi under the Companies Act, 1956. [1]</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Registered office</w:t>
            </w:r>
          </w:p>
        </w:tc>
        <w:tc>
          <w:tcPr>
            <w:tcW w:type="dxa" w:w="75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Unit No. 408, 4th Floor, Time Tower, MG Road, Gurugram, Haryana 122002. [2]</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Business</w:t>
            </w:r>
          </w:p>
        </w:tc>
        <w:tc>
          <w:tcPr>
            <w:tcW w:type="dxa" w:w="75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Technology infrastructure for digital payments, merchant commerce, affordability, prepaid and issuing / acquiring services. [1,5]</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Platforms</w:t>
            </w:r>
          </w:p>
        </w:tc>
        <w:tc>
          <w:tcPr>
            <w:tcW w:type="dxa" w:w="75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Digital Infrastructure and Transaction Platform (DITP); Issuing and Acquiring Platform (IAP). [1,5]</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Listing identifiers</w:t>
            </w:r>
          </w:p>
        </w:tc>
        <w:tc>
          <w:tcPr>
            <w:tcW w:type="dxa" w:w="75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NSE: PINELABS; BSE: 544606. [1,11]</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Financial year</w:t>
            </w:r>
          </w:p>
        </w:tc>
        <w:tc>
          <w:tcPr>
            <w:tcW w:type="dxa" w:w="75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 April to 31 March; reporting currency in this report is Indian rupees. [2]</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IPO</w:t>
            </w:r>
          </w:p>
        </w:tc>
        <w:tc>
          <w:tcPr>
            <w:tcW w:type="dxa" w:w="75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Issue price ₹221 per share; fresh issue ₹2,080 crore and offer for sale approximately ₹1,819.9 crore. [1,2]</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Management references</w:t>
            </w:r>
          </w:p>
        </w:tc>
        <w:tc>
          <w:tcPr>
            <w:tcW w:type="dxa" w:w="75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Amrish Rau, Managing Director and CEO; Sameer Kamath, CFO as identified in company disclosures reviewed. [2,5]</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Analysis cut-off</w:t>
            </w:r>
          </w:p>
        </w:tc>
        <w:tc>
          <w:tcPr>
            <w:tcW w:type="dxa" w:w="75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 October 2026; latest results Q1 FY27 ended 30 June 2026; market snapshot BSE close 1 October 2026.</w:t>
            </w:r>
          </w:p>
        </w:tc>
      </w:tr>
    </w:tbl>
    <w:p>
      <w:pPr>
        <w:spacing w:before="40" w:after="140"/>
        <w:widowControl/>
      </w:pPr>
      <w:r>
        <w:rPr>
          <w:i/>
          <w:color w:val="66788A"/>
          <w:sz w:val="15"/>
        </w:rPr>
        <w:t>Source / note: Compiled from the prospectus and company filings; administrative fields should be checked against the latest official filing before final submission. [1,2,5,11]</w:t>
      </w:r>
    </w:p>
    <w:p>
      <w:pPr>
        <w:pStyle w:val="Heading2"/>
        <w:keepNext/>
        <w:widowControl/>
      </w:pPr>
      <w:r>
        <w:t>2.1 Executive findings</w:t>
      </w:r>
    </w:p>
    <w:p>
      <w:pPr>
        <w:keepNext/>
        <w:spacing w:before="80" w:after="60"/>
        <w:widowControl/>
      </w:pPr>
      <w:r>
        <w:rPr>
          <w:b/>
          <w:color w:val="17324D"/>
          <w:sz w:val="18"/>
        </w:rPr>
        <w:t>Table 6. Key findings at a glance</w:t>
      </w:r>
    </w:p>
    <w:tbl>
      <w:tblPr>
        <w:tblW w:type="auto" w:w="0"/>
        <w:jc w:val="center"/>
        <w:tblLayout w:type="fixed"/>
        <w:tblLook w:firstColumn="1" w:firstRow="1" w:lastColumn="0" w:lastRow="0" w:noHBand="0" w:noVBand="1" w:val="04A0"/>
      </w:tblPr>
      <w:tblGrid>
        <w:gridCol w:w="2088"/>
        <w:gridCol w:w="7848"/>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Theme</w:t>
            </w:r>
          </w:p>
        </w:tc>
        <w:tc>
          <w:tcPr>
            <w:tcW w:type="dxa" w:w="784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Finding</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Scale and growth</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FY23–FY26 revenue CAGR is approximately 19.3%; platform GTV CAGR is approximately 57.4% over the same period. GTV and revenue growth are not directly interchangeable.</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Profitability inflection</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FY26 is the first positive PAT year in the cited FY23–FY26 series (FY23–FY25 prospectus-restated; FY26 audited): ₹112.51 crore. Q1 FY27 remained profitable at ₹19.57 crore.</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Operating leverage</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Company-defined adjusted EBITDA margin rose from 8.94% in FY24 to 20.62% in FY26, then was about 17.1% in Q1 FY27; trend is promising but not linear.</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Business mix</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DITP accounted for roughly 67.8% of FY26 revenue and IAP 32.2%; IAP grew faster in FY26 and Q1 FY27, supporting diversification.</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Funding</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Borrowings excluding leases fell to ₹282.87 crore at FY26 year-end from ₹829.49 crore in FY25; the IPO increased paid-up equity and financial flexibility.</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Cash conversion</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CFO was positive in FY25 and FY26 after outflows in FY23 and FY24. Interim Q1 FY27 settlement effects show that working capital remains volatile.</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Valuation</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At ₹167.55 on 1 October 2026, indicative multiples are about 6.83× LTM sales and 152× LTM PAT; sustained growth, higher returns and margin durability appear embedded in the price.</w:t>
            </w:r>
          </w:p>
        </w:tc>
      </w:tr>
    </w:tbl>
    <w:p>
      <w:pPr>
        <w:spacing w:before="40" w:after="140"/>
        <w:widowControl/>
      </w:pPr>
      <w:r>
        <w:rPr>
          <w:i/>
          <w:color w:val="66788A"/>
          <w:sz w:val="15"/>
        </w:rPr>
        <w:t>Source / note: Author synthesis of company and market disclosures. All valuation figures are calculations, not company-published multiples.</w:t>
      </w:r>
    </w:p>
    <w:p>
      <w:pPr>
        <w:widowControl/>
      </w:pPr>
      <w:r>
        <w:rPr>
          <w:i/>
          <w:color w:val="66788A"/>
          <w:sz w:val="18"/>
        </w:rPr>
        <w:t>The chapters that follow examine the evidence behind each finding and distinguish reported figures from management metrics and author calculations.</w:t>
      </w:r>
    </w:p>
    <w:p>
      <w:pPr>
        <w:widowControl/>
      </w:pPr>
      <w:r>
        <w:br w:type="page"/>
      </w:r>
    </w:p>
    <w:p>
      <w:pPr>
        <w:spacing w:before="60" w:after="40"/>
        <w:widowControl/>
      </w:pPr>
      <w:r>
        <w:rPr>
          <w:b/>
          <w:color w:val="D5A642"/>
          <w:sz w:val="18"/>
        </w:rPr>
        <w:t>CHAPTER 03</w:t>
      </w:r>
    </w:p>
    <w:p>
      <w:pPr>
        <w:pStyle w:val="Heading1"/>
        <w:keepNext/>
        <w:widowControl/>
      </w:pPr>
      <w:r>
        <w:t>Indian Fintech and Payments Industry</w:t>
      </w:r>
    </w:p>
    <w:p>
      <w:pPr>
        <w:spacing w:after="160"/>
        <w:widowControl/>
      </w:pPr>
      <w:r>
        <w:rPr>
          <w:i/>
          <w:color w:val="66788A"/>
          <w:sz w:val="19"/>
        </w:rPr>
        <w:t>System growth, value-chain economics and competitive context</w:t>
      </w:r>
    </w:p>
    <w:p>
      <w:pPr>
        <w:pStyle w:val="Heading2"/>
        <w:keepNext/>
        <w:widowControl/>
      </w:pPr>
      <w:r>
        <w:t>3.1 Industry structure</w:t>
      </w:r>
    </w:p>
    <w:p>
      <w:pPr>
        <w:widowControl/>
      </w:pPr>
      <w:r>
        <w:t>Digital payments are delivered through a chain rather than a single provider. RBI and other authorities set rules and supervise relevant entities; NPCI and card networks provide payment rails; banks and regulated acquirers/issuers hold customer relationships and settlement obligations; technology firms provide gateways, terminal software, orchestration, fraud controls, reconciliation, stored-value programme processing and merchant tools. Pine Labs can participate in several layers through different group entities and contracts.</w:t>
      </w:r>
    </w:p>
    <w:p>
      <w:pPr>
        <w:keepNext/>
        <w:spacing w:before="80" w:after="60"/>
        <w:widowControl/>
      </w:pPr>
      <w:r>
        <w:rPr>
          <w:b/>
          <w:color w:val="17324D"/>
          <w:sz w:val="18"/>
        </w:rPr>
        <w:t>Table 7. Simplified digital-payments value chain</w:t>
      </w:r>
    </w:p>
    <w:tbl>
      <w:tblPr>
        <w:tblW w:type="auto" w:w="0"/>
        <w:jc w:val="center"/>
        <w:tblLayout w:type="fixed"/>
        <w:tblLook w:firstColumn="1" w:firstRow="1" w:lastColumn="0" w:lastRow="0" w:noHBand="0" w:noVBand="1" w:val="04A0"/>
      </w:tblPr>
      <w:tblGrid>
        <w:gridCol w:w="2088"/>
        <w:gridCol w:w="3816"/>
        <w:gridCol w:w="4032"/>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Layer</w:t>
            </w:r>
          </w:p>
        </w:tc>
        <w:tc>
          <w:tcPr>
            <w:tcW w:type="dxa" w:w="381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Typical participants / function</w:t>
            </w:r>
          </w:p>
        </w:tc>
        <w:tc>
          <w:tcPr>
            <w:tcW w:type="dxa" w:w="403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Pine Labs relevance</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Rules and rails</w:t>
            </w:r>
          </w:p>
        </w:tc>
        <w:tc>
          <w:tcPr>
            <w:tcW w:type="dxa" w:w="381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RBI, NPCI systems, card networks; standards, settlement and oversight</w:t>
            </w:r>
          </w:p>
        </w:tc>
        <w:tc>
          <w:tcPr>
            <w:tcW w:type="dxa" w:w="40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Pine Labs integrates to rails and regulated partners; compliance obligations vary by activity.</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Issuers and acquirers</w:t>
            </w:r>
          </w:p>
        </w:tc>
        <w:tc>
          <w:tcPr>
            <w:tcW w:type="dxa" w:w="381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Banks / licensed entities; customer accounts, card issuance, merchant acquiring and settlement</w:t>
            </w:r>
          </w:p>
        </w:tc>
        <w:tc>
          <w:tcPr>
            <w:tcW w:type="dxa" w:w="40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Pine Labs supplies technology, processing, acceptance and programme services.</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Technology and orchestration</w:t>
            </w:r>
          </w:p>
        </w:tc>
        <w:tc>
          <w:tcPr>
            <w:tcW w:type="dxa" w:w="381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POS / checkout software, gateway, routing, tokens, reconciliation, APIs, fraud tools</w:t>
            </w:r>
          </w:p>
        </w:tc>
        <w:tc>
          <w:tcPr>
            <w:tcW w:type="dxa" w:w="40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Core merchant and fintech infrastructure layer; multiple fee models.</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Merchants, brands and users</w:t>
            </w:r>
          </w:p>
        </w:tc>
        <w:tc>
          <w:tcPr>
            <w:tcW w:type="dxa" w:w="381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Retailers, e-commerce businesses, brands, employers and end customers</w:t>
            </w:r>
          </w:p>
        </w:tc>
        <w:tc>
          <w:tcPr>
            <w:tcW w:type="dxa" w:w="40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Customers, acceptance locations, programme sponsors and payment users.</w:t>
            </w:r>
          </w:p>
        </w:tc>
      </w:tr>
    </w:tbl>
    <w:p>
      <w:pPr>
        <w:spacing w:before="40" w:after="140"/>
        <w:widowControl/>
      </w:pPr>
      <w:r>
        <w:rPr>
          <w:i/>
          <w:color w:val="66788A"/>
          <w:sz w:val="15"/>
        </w:rPr>
        <w:t>Source / note: Illustrative market map; exact regulatory responsibility follows each contracted entity and product. [1,9]</w:t>
      </w:r>
    </w:p>
    <w:p>
      <w:pPr>
        <w:pStyle w:val="Heading2"/>
        <w:keepNext/>
        <w:widowControl/>
      </w:pPr>
      <w:r>
        <w:t>3.2 Market scale and current indicators</w:t>
      </w:r>
    </w:p>
    <w:p>
      <w:pPr>
        <w:widowControl/>
      </w:pPr>
      <w:r>
        <w:t>RBI’s Payment Systems Report, December 2025, describes digital-payment volume growth of roughly 33 times and value growth of nearly three times between 2016 and 2025. For H2 2025, the report records 14,242 crore transactions and ₹1,608 lakh crore in value across digital-payment systems. These system totals cover a broader set of payment types and definitions than Pine Labs’ platform GTV. [9]</w:t>
      </w:r>
    </w:p>
    <w:p>
      <w:pPr>
        <w:widowControl/>
      </w:pPr>
      <w:r>
        <w:t>NPCI’s UPI statistics report monthly UPI volume of 24,508.96 million and transaction value of ₹29,82,355.95 crore for August 2026. The series is cited as an indicator of UPI scale, not as a direct addressable-market denominator for Pine Labs. [10]</w:t>
      </w:r>
    </w:p>
    <w:p>
      <w:pPr>
        <w:keepNext/>
        <w:spacing w:before="80" w:after="60"/>
        <w:widowControl/>
      </w:pPr>
      <w:r>
        <w:rPr>
          <w:b/>
          <w:color w:val="17324D"/>
          <w:sz w:val="18"/>
        </w:rPr>
        <w:t>Table 8. Industry indicators and interpretation</w:t>
      </w:r>
    </w:p>
    <w:tbl>
      <w:tblPr>
        <w:tblW w:type="auto" w:w="0"/>
        <w:jc w:val="center"/>
        <w:tblLayout w:type="fixed"/>
        <w:tblLook w:firstColumn="1" w:firstRow="1" w:lastColumn="0" w:lastRow="0" w:noHBand="0" w:noVBand="1" w:val="04A0"/>
      </w:tblPr>
      <w:tblGrid>
        <w:gridCol w:w="2232"/>
        <w:gridCol w:w="3096"/>
        <w:gridCol w:w="4608"/>
      </w:tblGrid>
      <w:tr>
        <w:trPr>
          <w:tblHeader w:val="true"/>
        </w:trPr>
        <w:tc>
          <w:tcPr>
            <w:tcW w:type="dxa" w:w="223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Indicator</w:t>
            </w:r>
          </w:p>
        </w:tc>
        <w:tc>
          <w:tcPr>
            <w:tcW w:type="dxa" w:w="309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Published value</w:t>
            </w:r>
          </w:p>
        </w:tc>
        <w:tc>
          <w:tcPr>
            <w:tcW w:type="dxa" w:w="460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Interpretation / caveat</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Digital payments, H2 2025</w:t>
            </w:r>
          </w:p>
        </w:tc>
        <w:tc>
          <w:tcPr>
            <w:tcW w:type="dxa" w:w="30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14,242 crore transactions; ₹1,608 lakh crore value</w:t>
            </w:r>
          </w:p>
        </w:tc>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RBI system-wide measure; includes multiple instruments and participants, not comparable one-for-one with Pine Labs annual GTV.</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UPI, August 2026</w:t>
            </w:r>
          </w:p>
        </w:tc>
        <w:tc>
          <w:tcPr>
            <w:tcW w:type="dxa" w:w="30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24,508.96 million transactions; ₹29,82,355.95 crore</w:t>
            </w:r>
          </w:p>
        </w:tc>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NPCI monthly UPI statistic; highlights network scale, not fee pool or Pine Labs revenue.</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Pine Labs platform, FY26</w:t>
            </w:r>
          </w:p>
        </w:tc>
        <w:tc>
          <w:tcPr>
            <w:tcW w:type="dxa" w:w="309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₹17.15 lakh crore GTV; 740.37 crore transactions</w:t>
            </w:r>
          </w:p>
        </w:tc>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Issuer-reported platform activity across its own definition; not a market share calculation.</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Pine Labs Q1 FY27</w:t>
            </w:r>
          </w:p>
        </w:tc>
        <w:tc>
          <w:tcPr>
            <w:tcW w:type="dxa" w:w="309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₹4.22 lakh crore platform GTV; 201 crore transactions</w:t>
            </w:r>
          </w:p>
        </w:tc>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Quarterly period; do not compare with annual industry totals without normalising period and scope.</w:t>
            </w:r>
          </w:p>
        </w:tc>
      </w:tr>
    </w:tbl>
    <w:p>
      <w:pPr>
        <w:spacing w:before="40" w:after="140"/>
        <w:widowControl/>
      </w:pPr>
      <w:r>
        <w:rPr>
          <w:i/>
          <w:color w:val="66788A"/>
          <w:sz w:val="15"/>
        </w:rPr>
        <w:t>Source / note: RBI, NPCI and company sources [3,5,6,9,10]. Figures are deliberately not converted into a market-share estimate because definitions overlap and differ.</w:t>
      </w:r>
    </w:p>
    <w:p>
      <w:pPr>
        <w:pStyle w:val="Heading2"/>
        <w:keepNext/>
        <w:widowControl/>
      </w:pPr>
      <w:r>
        <w:t>3.3 Industry economics and value creation</w:t>
      </w:r>
    </w:p>
    <w:p>
      <w:pPr>
        <w:pStyle w:val="ListBullet"/>
        <w:spacing w:after="50"/>
        <w:ind w:left="317" w:hanging="202"/>
        <w:widowControl/>
      </w:pPr>
      <w:r>
        <w:rPr>
          <w:b/>
        </w:rPr>
        <w:t>Transaction scale is an input, not monetization.</w:t>
      </w:r>
      <w:r>
        <w:t xml:space="preserve"> Routing a ₹1,000 payment does not mean ₹1,000 of revenue. The platform recognizes only contractual subscription, processing, value-linked or other service fees.</w:t>
      </w:r>
    </w:p>
    <w:p>
      <w:pPr>
        <w:pStyle w:val="ListBullet"/>
        <w:spacing w:after="50"/>
        <w:ind w:left="317" w:hanging="202"/>
        <w:widowControl/>
      </w:pPr>
      <w:r>
        <w:rPr>
          <w:b/>
        </w:rPr>
        <w:t>Mix matters.</w:t>
      </w:r>
      <w:r>
        <w:t xml:space="preserve"> A merchant may generate card, UPI, affordability, online and in-store transactions with materially different pricing, direct costs and settlement characteristics.</w:t>
      </w:r>
    </w:p>
    <w:p>
      <w:pPr>
        <w:pStyle w:val="ListBullet"/>
        <w:spacing w:after="50"/>
        <w:ind w:left="317" w:hanging="202"/>
        <w:widowControl/>
      </w:pPr>
      <w:r>
        <w:rPr>
          <w:b/>
        </w:rPr>
        <w:t>Recurring value-added services can deepen merchant relationships.</w:t>
      </w:r>
      <w:r>
        <w:t xml:space="preserve"> Reconciliation, loyalty, tokenization, risk tools, marketing, billing, data, checkout and working-capital solutions can increase revenue per client if adoption and retention are strong.</w:t>
      </w:r>
    </w:p>
    <w:p>
      <w:pPr>
        <w:pStyle w:val="ListBullet"/>
        <w:spacing w:after="50"/>
        <w:ind w:left="317" w:hanging="202"/>
        <w:widowControl/>
      </w:pPr>
      <w:r>
        <w:rPr>
          <w:b/>
        </w:rPr>
        <w:t>Scale has a cost.</w:t>
      </w:r>
      <w:r>
        <w:t xml:space="preserve"> Devices, field support, software, network availability, security, compliance, sales acquisition and payment operations require ongoing investment. A broad installed base can therefore improve reach while also increasing depreciation and service costs.</w:t>
      </w:r>
    </w:p>
    <w:p>
      <w:pPr>
        <w:pStyle w:val="ListBullet"/>
        <w:spacing w:after="50"/>
        <w:ind w:left="317" w:hanging="202"/>
        <w:widowControl/>
      </w:pPr>
      <w:r>
        <w:rPr>
          <w:b/>
        </w:rPr>
        <w:t>Regulation and trust are foundational.</w:t>
      </w:r>
      <w:r>
        <w:t xml:space="preserve"> Payments are mission-critical. License boundaries, customer-fund handling, data protection, cyber resilience, fraud monitoring and timely settlement can affect both economics and reputation.</w:t>
      </w:r>
    </w:p>
    <w:p>
      <w:pPr>
        <w:pStyle w:val="Heading2"/>
        <w:keepNext/>
        <w:widowControl/>
      </w:pPr>
      <w:r>
        <w:t>3.4 Opportunity areas and headwinds</w:t>
      </w:r>
    </w:p>
    <w:p>
      <w:pPr>
        <w:keepNext/>
        <w:spacing w:before="80" w:after="60"/>
        <w:widowControl/>
      </w:pPr>
      <w:r>
        <w:rPr>
          <w:b/>
          <w:color w:val="17324D"/>
          <w:sz w:val="18"/>
        </w:rPr>
        <w:t>Table 9. Industry opportunity / headwind scan</w:t>
      </w:r>
    </w:p>
    <w:tbl>
      <w:tblPr>
        <w:tblW w:type="auto" w:w="0"/>
        <w:jc w:val="center"/>
        <w:tblLayout w:type="fixed"/>
        <w:tblLook w:firstColumn="1" w:firstRow="1" w:lastColumn="0" w:lastRow="0" w:noHBand="0" w:noVBand="1" w:val="04A0"/>
      </w:tblPr>
      <w:tblGrid>
        <w:gridCol w:w="3024"/>
        <w:gridCol w:w="3168"/>
        <w:gridCol w:w="3744"/>
      </w:tblGrid>
      <w:tr>
        <w:trPr>
          <w:tblHeader w:val="true"/>
        </w:trPr>
        <w:tc>
          <w:tcPr>
            <w:tcW w:type="dxa" w:w="302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Opportunity</w:t>
            </w:r>
          </w:p>
        </w:tc>
        <w:tc>
          <w:tcPr>
            <w:tcW w:type="dxa" w:w="316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Headwind</w:t>
            </w:r>
          </w:p>
        </w:tc>
        <w:tc>
          <w:tcPr>
            <w:tcW w:type="dxa" w:w="374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Pine Labs implication</w:t>
            </w:r>
          </w:p>
        </w:tc>
      </w:tr>
      <w:tr>
        <w:trPr>
          <w:cantSplit/>
        </w:trPr>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SME digitisation and omnichannel acceptance</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Price-sensitive merchants and low-fee payment rails</w:t>
            </w:r>
          </w:p>
        </w:tc>
        <w:tc>
          <w:tcPr>
            <w:tcW w:type="dxa" w:w="37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Grow value-added services and merchant lifetime value rather than relying only on device additions.</w:t>
            </w:r>
          </w:p>
        </w:tc>
      </w:tr>
      <w:tr>
        <w:trPr>
          <w:cantSplit/>
        </w:trPr>
        <w:tc>
          <w:tcPr>
            <w:tcW w:type="dxa" w:w="302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Embedded affordability and bank-issued credit on UPI</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Consumer protection, credit quality and partner dependence</w:t>
            </w:r>
          </w:p>
        </w:tc>
        <w:tc>
          <w:tcPr>
            <w:tcW w:type="dxa" w:w="37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Differentiate the orchestration layer while ensuring lender responsibility remains clear.</w:t>
            </w:r>
          </w:p>
        </w:tc>
      </w:tr>
      <w:tr>
        <w:trPr>
          <w:cantSplit/>
        </w:trPr>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Prepaid, gifting and enterprise programmes</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Seasonality, stored-value regulation and large-client procurement cycles</w:t>
            </w:r>
          </w:p>
        </w:tc>
        <w:tc>
          <w:tcPr>
            <w:tcW w:type="dxa" w:w="37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Scale programme software and distribution; monitor customer concentration and breakage / float-related disclosures.</w:t>
            </w:r>
          </w:p>
        </w:tc>
      </w:tr>
      <w:tr>
        <w:trPr>
          <w:cantSplit/>
        </w:trPr>
        <w:tc>
          <w:tcPr>
            <w:tcW w:type="dxa" w:w="302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Cross-border acceptance and issuing</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Local licensing, FX, settlement, geopolitics and partner risk</w:t>
            </w:r>
          </w:p>
        </w:tc>
        <w:tc>
          <w:tcPr>
            <w:tcW w:type="dxa" w:w="37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Expand selectively with compliance, unit-economics and foreign-currency discipline.</w:t>
            </w:r>
          </w:p>
        </w:tc>
      </w:tr>
      <w:tr>
        <w:trPr>
          <w:cantSplit/>
        </w:trPr>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AI, agentic commerce and automation</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Fraud, consent, model risk, liability and uncertain adoption</w:t>
            </w:r>
          </w:p>
        </w:tc>
        <w:tc>
          <w:tcPr>
            <w:tcW w:type="dxa" w:w="37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Treat pilots and launches as optionality until usage, safety and revenue contribution are evidenced.</w:t>
            </w:r>
          </w:p>
        </w:tc>
      </w:tr>
    </w:tbl>
    <w:p>
      <w:pPr>
        <w:spacing w:before="40" w:after="140"/>
        <w:widowControl/>
      </w:pPr>
      <w:r>
        <w:rPr>
          <w:i/>
          <w:color w:val="66788A"/>
          <w:sz w:val="15"/>
        </w:rPr>
        <w:t>Source / note: Author analysis informed by RBI report and Pine Labs disclosures. [1,5,9]</w:t>
      </w:r>
    </w:p>
    <w:p>
      <w:pPr>
        <w:pStyle w:val="Heading2"/>
        <w:keepNext/>
        <w:widowControl/>
      </w:pPr>
      <w:r>
        <w:t>3.5 Competitive landscape</w:t>
      </w:r>
    </w:p>
    <w:p>
      <w:pPr>
        <w:widowControl/>
      </w:pPr>
      <w:r>
        <w:t>Competition includes banks and acquirers, terminal providers, payment aggregators, merchant SaaS platforms, issuer processors, prepaid / gifting platforms, wallets and global infrastructure providers. Selected companies are shown as a qualitative context only; they differ in geography, licensing, product mix, scale and accounting, so their reported revenue or margin is not an apples-to-apples comparison.</w:t>
      </w:r>
    </w:p>
    <w:p>
      <w:pPr>
        <w:keepNext/>
        <w:spacing w:before="80" w:after="60"/>
        <w:widowControl/>
      </w:pPr>
      <w:r>
        <w:rPr>
          <w:b/>
          <w:color w:val="17324D"/>
          <w:sz w:val="18"/>
        </w:rPr>
        <w:t>Table 10. Selected peer and adjacent-company context</w:t>
      </w:r>
    </w:p>
    <w:tbl>
      <w:tblPr>
        <w:tblW w:type="auto" w:w="0"/>
        <w:jc w:val="center"/>
        <w:tblLayout w:type="fixed"/>
        <w:tblLook w:firstColumn="1" w:firstRow="1" w:lastColumn="0" w:lastRow="0" w:noHBand="0" w:noVBand="1" w:val="04A0"/>
      </w:tblPr>
      <w:tblGrid>
        <w:gridCol w:w="2376"/>
        <w:gridCol w:w="3312"/>
        <w:gridCol w:w="4248"/>
      </w:tblGrid>
      <w:tr>
        <w:trPr>
          <w:tblHeader w:val="true"/>
        </w:trPr>
        <w:tc>
          <w:tcPr>
            <w:tcW w:type="dxa" w:w="237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Company / group</w:t>
            </w:r>
          </w:p>
        </w:tc>
        <w:tc>
          <w:tcPr>
            <w:tcW w:type="dxa" w:w="331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Primary overlap</w:t>
            </w:r>
          </w:p>
        </w:tc>
        <w:tc>
          <w:tcPr>
            <w:tcW w:type="dxa" w:w="424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Why not a direct financial comparable</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One 97 Communications (Paytm)</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Merchant payments, QR / devices, consumer app and financial-services distribution</w:t>
            </w:r>
          </w:p>
        </w:tc>
        <w:tc>
          <w:tcPr>
            <w:tcW w:type="dxa" w:w="42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Consumer-facing wallet/app ecosystem and regulatory history produce different mix and revenue recognition.</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Razorpay (private)</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Online payments, merchant software and business banking tools</w:t>
            </w:r>
          </w:p>
        </w:tc>
        <w:tc>
          <w:tcPr>
            <w:tcW w:type="dxa" w:w="42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Private-company disclosures are limited; stronger online emphasis.</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Zaggle Prepaid Ocean Services</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Corporate expense, employee benefits and prepaid / spend-management programmes</w:t>
            </w:r>
          </w:p>
        </w:tc>
        <w:tc>
          <w:tcPr>
            <w:tcW w:type="dxa" w:w="42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Listed, but more focused on corporate spend and benefits than broad acquiring / merchant checkout.</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PhonePe (private)</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UPI consumer and merchant acceptance, financial and commerce services</w:t>
            </w:r>
          </w:p>
        </w:tc>
        <w:tc>
          <w:tcPr>
            <w:tcW w:type="dxa" w:w="42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Large consumer platform; private and broader ecosystem; not a close same-period listed benchmark.</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Global processors (e.g., Adyen / Worldline)</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Acquiring, processing and cross-border acceptance</w:t>
            </w:r>
          </w:p>
        </w:tc>
        <w:tc>
          <w:tcPr>
            <w:tcW w:type="dxa" w:w="42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Different geographies, regulation, scale, accounting and market maturity.</w:t>
            </w:r>
          </w:p>
        </w:tc>
      </w:tr>
    </w:tbl>
    <w:p>
      <w:pPr>
        <w:spacing w:before="40" w:after="140"/>
        <w:widowControl/>
      </w:pPr>
      <w:r>
        <w:rPr>
          <w:i/>
          <w:color w:val="66788A"/>
          <w:sz w:val="15"/>
        </w:rPr>
        <w:t>Source / note: Company names are used as qualitative reference points only; no peer multiples are calculated in this report.</w:t>
      </w:r>
    </w:p>
    <w:p>
      <w:pPr>
        <w:widowControl/>
      </w:pPr>
      <w:r>
        <w:br w:type="page"/>
      </w:r>
    </w:p>
    <w:p>
      <w:pPr>
        <w:spacing w:before="60" w:after="40"/>
        <w:widowControl/>
      </w:pPr>
      <w:r>
        <w:rPr>
          <w:b/>
          <w:color w:val="D5A642"/>
          <w:sz w:val="18"/>
        </w:rPr>
        <w:t>CHAPTER 04</w:t>
      </w:r>
    </w:p>
    <w:p>
      <w:pPr>
        <w:pStyle w:val="Heading1"/>
        <w:keepNext/>
        <w:widowControl/>
      </w:pPr>
      <w:r>
        <w:t>Pine Labs: Company Profile and Business Model</w:t>
      </w:r>
    </w:p>
    <w:p>
      <w:pPr>
        <w:spacing w:after="160"/>
        <w:widowControl/>
      </w:pPr>
      <w:r>
        <w:rPr>
          <w:i/>
          <w:color w:val="66788A"/>
          <w:sz w:val="19"/>
        </w:rPr>
        <w:t>How a commerce-technology platform connects merchants, institutions and payment users</w:t>
      </w:r>
    </w:p>
    <w:p>
      <w:pPr>
        <w:pStyle w:val="Heading2"/>
        <w:keepNext/>
        <w:widowControl/>
      </w:pPr>
      <w:r>
        <w:t>4.1 Company evolution</w:t>
      </w:r>
    </w:p>
    <w:p>
      <w:pPr>
        <w:keepNext/>
        <w:spacing w:before="80" w:after="60"/>
        <w:widowControl/>
      </w:pPr>
      <w:r>
        <w:rPr>
          <w:b/>
          <w:color w:val="17324D"/>
          <w:sz w:val="18"/>
        </w:rPr>
        <w:t>Table 11. Selected corporate milestones</w:t>
      </w:r>
    </w:p>
    <w:tbl>
      <w:tblPr>
        <w:tblW w:type="auto" w:w="0"/>
        <w:jc w:val="center"/>
        <w:tblLayout w:type="fixed"/>
        <w:tblLook w:firstColumn="1" w:firstRow="1" w:lastColumn="0" w:lastRow="0" w:noHBand="0" w:noVBand="1" w:val="04A0"/>
      </w:tblPr>
      <w:tblGrid>
        <w:gridCol w:w="1944"/>
        <w:gridCol w:w="7992"/>
      </w:tblGrid>
      <w:tr>
        <w:trPr>
          <w:tblHeader w:val="true"/>
        </w:trPr>
        <w:tc>
          <w:tcPr>
            <w:tcW w:type="dxa" w:w="194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Period</w:t>
            </w:r>
          </w:p>
        </w:tc>
        <w:tc>
          <w:tcPr>
            <w:tcW w:type="dxa" w:w="799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Milestone / strategic relevance</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1998</w:t>
            </w:r>
          </w:p>
        </w:tc>
        <w:tc>
          <w:tcPr>
            <w:tcW w:type="dxa" w:w="79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Pine Labs incorporated in India. [1]</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2005</w:t>
            </w:r>
          </w:p>
        </w:tc>
        <w:tc>
          <w:tcPr>
            <w:tcW w:type="dxa" w:w="79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Plutus merchant-payment platform introduced, according to company history. [1]</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2017</w:t>
            </w:r>
          </w:p>
        </w:tc>
        <w:tc>
          <w:tcPr>
            <w:tcW w:type="dxa" w:w="79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Expansion into Malaysia; regional growth outside India. [1]</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2019</w:t>
            </w:r>
          </w:p>
        </w:tc>
        <w:tc>
          <w:tcPr>
            <w:tcW w:type="dxa" w:w="79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Qwikcilver acquisition expanded gift-card and prepaid programme capabilities. [1]</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2021</w:t>
            </w:r>
          </w:p>
        </w:tc>
        <w:tc>
          <w:tcPr>
            <w:tcW w:type="dxa" w:w="79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Plural online payment-gateway brand introduced. [1]</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2022</w:t>
            </w:r>
          </w:p>
        </w:tc>
        <w:tc>
          <w:tcPr>
            <w:tcW w:type="dxa" w:w="79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QFix, Mosambee and Setu acquisitions expanded adjacent merchant / fintech infrastructure capabilities. [1]</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2023</w:t>
            </w:r>
          </w:p>
        </w:tc>
        <w:tc>
          <w:tcPr>
            <w:tcW w:type="dxa" w:w="79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Credit+ proposition added to the issuer / fintech stack. [1]</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6 Jun 2025</w:t>
            </w:r>
          </w:p>
        </w:tc>
        <w:tc>
          <w:tcPr>
            <w:tcW w:type="dxa" w:w="79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Pine Labs Singapore merger became effective; prospectus comparatives were retrospectively presented from 1 Apr 2022 for relevant operating and financial comparisons. [1]</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Nov 2025</w:t>
            </w:r>
          </w:p>
        </w:tc>
        <w:tc>
          <w:tcPr>
            <w:tcW w:type="dxa" w:w="79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IPO and listing as Pine Labs Limited; offer price ₹221 per share. [1,2]</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FY26 / Q1 FY27</w:t>
            </w:r>
          </w:p>
        </w:tc>
        <w:tc>
          <w:tcPr>
            <w:tcW w:type="dxa" w:w="79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Agya became wholly owned in February 2026; Shopflo agreement signed after FY26 year-end and 100% acquisition was reported in Q1 FY27. [2,5]</w:t>
            </w:r>
          </w:p>
        </w:tc>
      </w:tr>
    </w:tbl>
    <w:p>
      <w:pPr>
        <w:spacing w:before="40" w:after="140"/>
        <w:widowControl/>
      </w:pPr>
      <w:r>
        <w:rPr>
          <w:i/>
          <w:color w:val="66788A"/>
          <w:sz w:val="15"/>
        </w:rPr>
        <w:t>Source / note: Company prospectus and subsequent filings. Acquisitions and launches are not evidence of realised synergies; integration outcomes need monitoring. [1,2,5]</w:t>
      </w:r>
    </w:p>
    <w:p>
      <w:pPr>
        <w:pStyle w:val="Heading2"/>
        <w:keepNext/>
        <w:widowControl/>
      </w:pPr>
      <w:r>
        <w:t>4.2 Two-platform architecture</w:t>
      </w:r>
    </w:p>
    <w:p>
      <w:pPr>
        <w:widowControl/>
      </w:pPr>
      <w:r>
        <w:t>The prospectus describes a Digital Infrastructure and Transaction Platform (DITP) and an Issuing and Acquiring Platform (IAP). DITP supports merchant acceptance and related transactions across in-store and online environments, affordability / value-added services and fintech infrastructure. IAP provides prepaid, issuer / acquirer and processing capabilities for brands, banks, fintechs and enterprises. The segment framework is a useful way to understand revenue; customer, product and payment-flow categories can overlap. [1,5]</w:t>
      </w:r>
    </w:p>
    <w:p>
      <w:pPr>
        <w:spacing w:before="60" w:after="20"/>
        <w:jc w:val="center"/>
        <w:widowControl/>
      </w:pPr>
      <w:r>
        <w:drawing>
          <wp:inline xmlns:a="http://schemas.openxmlformats.org/drawingml/2006/main" xmlns:pic="http://schemas.openxmlformats.org/drawingml/2006/picture">
            <wp:extent cx="5943600" cy="242159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421598"/>
                    </a:xfrm>
                    <a:prstGeom prst="rect"/>
                  </pic:spPr>
                </pic:pic>
              </a:graphicData>
            </a:graphic>
          </wp:inline>
        </w:drawing>
      </w:r>
    </w:p>
    <w:p>
      <w:pPr>
        <w:keepNext/>
        <w:spacing w:after="20"/>
        <w:jc w:val="center"/>
        <w:widowControl/>
      </w:pPr>
      <w:r>
        <w:rPr>
          <w:b/>
          <w:color w:val="17324D"/>
          <w:sz w:val="18"/>
        </w:rPr>
        <w:t>Figure 1. Conceptual Pine Labs platform and value flow</w:t>
      </w:r>
    </w:p>
    <w:p>
      <w:pPr>
        <w:spacing w:after="140"/>
        <w:jc w:val="center"/>
        <w:widowControl/>
      </w:pPr>
      <w:r>
        <w:rPr>
          <w:i/>
          <w:color w:val="66788A"/>
          <w:sz w:val="15"/>
        </w:rPr>
        <w:t>Author diagram based on the company’s platform and monetization descriptions. It is not a legal-entity or funds-flow map. [1,5]</w:t>
      </w:r>
    </w:p>
    <w:p>
      <w:pPr>
        <w:pStyle w:val="Heading2"/>
        <w:keepNext/>
        <w:widowControl/>
      </w:pPr>
      <w:r>
        <w:t>4.3 Revenue by operating segment</w:t>
      </w:r>
    </w:p>
    <w:p>
      <w:pPr>
        <w:keepNext/>
        <w:spacing w:before="80" w:after="60"/>
        <w:widowControl/>
      </w:pPr>
      <w:r>
        <w:rPr>
          <w:b/>
          <w:color w:val="17324D"/>
          <w:sz w:val="18"/>
        </w:rPr>
        <w:t>Table 12. Revenue mix by platform (₹ crore except share)</w:t>
      </w:r>
    </w:p>
    <w:tbl>
      <w:tblPr>
        <w:tblW w:type="auto" w:w="0"/>
        <w:jc w:val="center"/>
        <w:tblLayout w:type="fixed"/>
        <w:tblLook w:firstColumn="1" w:firstRow="1" w:lastColumn="0" w:lastRow="0" w:noHBand="0" w:noVBand="1" w:val="04A0"/>
      </w:tblPr>
      <w:tblGrid>
        <w:gridCol w:w="3384"/>
        <w:gridCol w:w="1613"/>
        <w:gridCol w:w="1613"/>
        <w:gridCol w:w="1613"/>
        <w:gridCol w:w="1613"/>
      </w:tblGrid>
      <w:tr>
        <w:trPr>
          <w:tblHeader w:val="true"/>
        </w:trPr>
        <w:tc>
          <w:tcPr>
            <w:tcW w:type="dxa" w:w="338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Segment / measure</w:t>
            </w:r>
          </w:p>
        </w:tc>
        <w:tc>
          <w:tcPr>
            <w:tcW w:type="dxa" w:w="1613"/>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FY24</w:t>
            </w:r>
          </w:p>
        </w:tc>
        <w:tc>
          <w:tcPr>
            <w:tcW w:type="dxa" w:w="1613"/>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FY25</w:t>
            </w:r>
          </w:p>
        </w:tc>
        <w:tc>
          <w:tcPr>
            <w:tcW w:type="dxa" w:w="1613"/>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FY26</w:t>
            </w:r>
          </w:p>
        </w:tc>
        <w:tc>
          <w:tcPr>
            <w:tcW w:type="dxa" w:w="1613"/>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Q1 FY27</w:t>
            </w:r>
          </w:p>
        </w:tc>
      </w:tr>
      <w:tr>
        <w:trPr>
          <w:cantSplit/>
        </w:trPr>
        <w:tc>
          <w:tcPr>
            <w:tcW w:type="dxa" w:w="338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DITP</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1,276.43</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1,603.23</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1,836.82</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499.12</w:t>
            </w:r>
          </w:p>
        </w:tc>
      </w:tr>
      <w:tr>
        <w:trPr>
          <w:cantSplit/>
        </w:trPr>
        <w:tc>
          <w:tcPr>
            <w:tcW w:type="dxa" w:w="338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IAP</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493.11</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671.05</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873.76</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237.80</w:t>
            </w:r>
          </w:p>
        </w:tc>
      </w:tr>
      <w:tr>
        <w:trPr>
          <w:cantSplit/>
        </w:trPr>
        <w:tc>
          <w:tcPr>
            <w:tcW w:type="dxa" w:w="338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Total segment revenue (rounded)</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1,769.54</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2,274.28</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2,710.58</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736.92</w:t>
            </w:r>
          </w:p>
        </w:tc>
      </w:tr>
      <w:tr>
        <w:trPr>
          <w:cantSplit/>
        </w:trPr>
        <w:tc>
          <w:tcPr>
            <w:tcW w:type="dxa" w:w="338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Consolidated revenue from operations</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1,769.55</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2,274.27</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2,710.59</w:t>
            </w:r>
          </w:p>
        </w:tc>
        <w:tc>
          <w:tcPr>
            <w:tcW w:type="dxa" w:w="161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736.92</w:t>
            </w:r>
          </w:p>
        </w:tc>
      </w:tr>
      <w:tr>
        <w:trPr>
          <w:cantSplit/>
        </w:trPr>
        <w:tc>
          <w:tcPr>
            <w:tcW w:type="dxa" w:w="338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IAP share of revenue</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27.9%</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29.5%</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32.2%</w:t>
            </w:r>
          </w:p>
        </w:tc>
        <w:tc>
          <w:tcPr>
            <w:tcW w:type="dxa" w:w="161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32.3%</w:t>
            </w:r>
          </w:p>
        </w:tc>
      </w:tr>
    </w:tbl>
    <w:p>
      <w:pPr>
        <w:spacing w:before="40" w:after="140"/>
        <w:widowControl/>
      </w:pPr>
      <w:r>
        <w:rPr>
          <w:i/>
          <w:color w:val="66788A"/>
          <w:sz w:val="15"/>
        </w:rPr>
        <w:t>Source / note: FY24–FY25 restated prospectus / company KPI disclosures; FY26 audited and Q1 FY27 interim company disclosures. Segment totals may differ from consolidated revenue by ₹0.01 crore due to rounding. [1–6]</w:t>
      </w:r>
    </w:p>
    <w:p>
      <w:pPr>
        <w:spacing w:before="60" w:after="20"/>
        <w:jc w:val="center"/>
        <w:widowControl/>
      </w:pPr>
      <w:r>
        <w:drawing>
          <wp:inline xmlns:a="http://schemas.openxmlformats.org/drawingml/2006/main" xmlns:pic="http://schemas.openxmlformats.org/drawingml/2006/picture">
            <wp:extent cx="5943600" cy="258083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2580830"/>
                    </a:xfrm>
                    <a:prstGeom prst="rect"/>
                  </pic:spPr>
                </pic:pic>
              </a:graphicData>
            </a:graphic>
          </wp:inline>
        </w:drawing>
      </w:r>
    </w:p>
    <w:p>
      <w:pPr>
        <w:keepNext/>
        <w:spacing w:after="20"/>
        <w:jc w:val="center"/>
        <w:widowControl/>
      </w:pPr>
      <w:r>
        <w:rPr>
          <w:b/>
          <w:color w:val="17324D"/>
          <w:sz w:val="18"/>
        </w:rPr>
        <w:t>Figure 2. Annual revenue by segment</w:t>
      </w:r>
    </w:p>
    <w:p>
      <w:pPr>
        <w:spacing w:after="140"/>
        <w:jc w:val="center"/>
        <w:widowControl/>
      </w:pPr>
      <w:r>
        <w:rPr>
          <w:i/>
          <w:color w:val="66788A"/>
          <w:sz w:val="15"/>
        </w:rPr>
        <w:t>Company-reported segment revenue; annual FY24–FY26 only. Small ₹0.01 rounding differences may occur. [1–3]</w:t>
      </w:r>
    </w:p>
    <w:p>
      <w:pPr>
        <w:pStyle w:val="Heading2"/>
        <w:keepNext/>
        <w:widowControl/>
      </w:pPr>
      <w:r>
        <w:t>4.4 Monetization model</w:t>
      </w:r>
    </w:p>
    <w:p>
      <w:pPr>
        <w:keepNext/>
        <w:spacing w:before="80" w:after="60"/>
        <w:widowControl/>
      </w:pPr>
      <w:r>
        <w:rPr>
          <w:b/>
          <w:color w:val="17324D"/>
          <w:sz w:val="18"/>
        </w:rPr>
        <w:t>Table 13. Disclosed revenue streams by activity</w:t>
      </w:r>
    </w:p>
    <w:tbl>
      <w:tblPr>
        <w:tblW w:type="auto" w:w="0"/>
        <w:jc w:val="center"/>
        <w:tblLayout w:type="fixed"/>
        <w:tblLook w:firstColumn="1" w:firstRow="1" w:lastColumn="0" w:lastRow="0" w:noHBand="0" w:noVBand="1" w:val="04A0"/>
      </w:tblPr>
      <w:tblGrid>
        <w:gridCol w:w="2088"/>
        <w:gridCol w:w="3672"/>
        <w:gridCol w:w="4032"/>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Activity</w:t>
            </w:r>
          </w:p>
        </w:tc>
        <w:tc>
          <w:tcPr>
            <w:tcW w:type="dxa" w:w="367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Typical disclosed monetization</w:t>
            </w:r>
          </w:p>
        </w:tc>
        <w:tc>
          <w:tcPr>
            <w:tcW w:type="dxa" w:w="403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Analytical implication</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In-store DITP</w:t>
            </w:r>
          </w:p>
        </w:tc>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Digital-checkout-point / platform subscriptions and related service fees</w:t>
            </w:r>
          </w:p>
        </w:tc>
        <w:tc>
          <w:tcPr>
            <w:tcW w:type="dxa" w:w="40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Creates a recurring element, but revenue per point depends on plan, product adoption and transaction volume.</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Online acceptance</w:t>
            </w:r>
          </w:p>
        </w:tc>
        <w:tc>
          <w:tcPr>
            <w:tcW w:type="dxa" w:w="36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Value-linked transaction / processing fees and associated services</w:t>
            </w:r>
          </w:p>
        </w:tc>
        <w:tc>
          <w:tcPr>
            <w:tcW w:type="dxa" w:w="40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Fee pool depends on payment method, merchant category, routing, refunds and pricing competition.</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Affordability and value-added services</w:t>
            </w:r>
          </w:p>
        </w:tc>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GTV-linked processing fees and service income; the lender partner bears consumer credit risk in the described model</w:t>
            </w:r>
          </w:p>
        </w:tc>
        <w:tc>
          <w:tcPr>
            <w:tcW w:type="dxa" w:w="40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Revenue can scale with eligible transactions; lenders, issuers and merchant offers remain critical counterparties.</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Fintech infrastructure</w:t>
            </w:r>
          </w:p>
        </w:tc>
        <w:tc>
          <w:tcPr>
            <w:tcW w:type="dxa" w:w="36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Transaction-based technology / processing fees for APIs and financial-institution use cases</w:t>
            </w:r>
          </w:p>
        </w:tc>
        <w:tc>
          <w:tcPr>
            <w:tcW w:type="dxa" w:w="40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Potentially scalable, but requires product integration, reliability and partner adoption.</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IAP prepaid / issuing</w:t>
            </w:r>
          </w:p>
        </w:tc>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Processing and distribution fees; company disclosures also describe interest on certain customer funds and breakage income</w:t>
            </w:r>
          </w:p>
        </w:tc>
        <w:tc>
          <w:tcPr>
            <w:tcW w:type="dxa" w:w="40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Stored-value balances may bring float-related income, but treatment and customer-fund obligations require careful review.</w:t>
            </w:r>
          </w:p>
        </w:tc>
      </w:tr>
    </w:tbl>
    <w:p>
      <w:pPr>
        <w:spacing w:before="40" w:after="140"/>
        <w:widowControl/>
      </w:pPr>
      <w:r>
        <w:rPr>
          <w:i/>
          <w:color w:val="66788A"/>
          <w:sz w:val="15"/>
        </w:rPr>
        <w:t>Source / note: Revenue categories paraphrase the company prospectus and investor materials; not a complete fee schedule. [1,5]</w:t>
      </w:r>
    </w:p>
    <w:p>
      <w:pPr>
        <w:pStyle w:val="Heading2"/>
        <w:keepNext/>
        <w:widowControl/>
      </w:pPr>
      <w:r>
        <w:t>4.5 Geographic footprint, customer base and strategy</w:t>
      </w:r>
    </w:p>
    <w:p>
      <w:pPr>
        <w:widowControl/>
      </w:pPr>
      <w:r>
        <w:t>Company materials describe operations spanning India and international markets across Southeast Asia, the Middle East and other regions, with 22+ countries referenced in Q1 FY27 materials. Q1 FY27 international revenue was approximately ₹114 crore, around 16% of total revenue. Geography adds diversification potential but also increases regulatory, foreign-exchange, settlement and execution complexity. [5,6,8]</w:t>
      </w:r>
    </w:p>
    <w:p>
      <w:pPr>
        <w:widowControl/>
      </w:pPr>
      <w:r>
        <w:t>Pine Labs’ reported network at FY26 year-end included 11.03 lakh merchants, 20.28 lakh DCPs, 740.37 crore transactions and 86.55 crore prepaid cards issued during the year. Q1 FY27 disclosures reported 11.5 lakh merchants and 21.7 lakh DCPs. These are company-defined reach / activity indicators; they are not unique monthly active users or revenue-generating units by themselves. [3,5,6]</w:t>
      </w:r>
    </w:p>
    <w:p>
      <w:pPr>
        <w:widowControl/>
      </w:pPr>
      <w:r>
        <w:t>The strategic logic is cross-sell: a merchant or issuer relationship can be extended from acceptance into checkout, affordability, loyalty, marketing, prepaid, reconciliation or API products. The central execution question is whether added layers increase retained revenue and contribution after support, device, software, sales, compliance and servicing costs.</w:t>
      </w:r>
    </w:p>
    <w:p>
      <w:pPr>
        <w:pStyle w:val="Heading2"/>
        <w:keepNext/>
        <w:widowControl/>
      </w:pPr>
      <w:r>
        <w:t>4.6 Recent initiatives and corporate actions</w:t>
      </w:r>
    </w:p>
    <w:p>
      <w:pPr>
        <w:pStyle w:val="ListBullet"/>
        <w:spacing w:after="50"/>
        <w:ind w:left="317" w:hanging="202"/>
        <w:widowControl/>
      </w:pPr>
      <w:r>
        <w:t>Company materials describe a bank-issued Credit Line on UPI proposition; the bank is the credit provider. The report does not attribute the consumer loan or default risk to Pine Labs in this product without a specific contractual disclosure. [5,8]</w:t>
      </w:r>
    </w:p>
    <w:p>
      <w:pPr>
        <w:pStyle w:val="ListBullet"/>
        <w:spacing w:after="50"/>
        <w:ind w:left="317" w:hanging="202"/>
        <w:widowControl/>
      </w:pPr>
      <w:r>
        <w:t>Pine Labs announced an agentic-payment protocol (P3P) on UPI and early merchant use cases in Q1 FY27. This is an emerging proposition; scale, safety, revenue contribution and liability are not yet established by a single quarter. [5,8]</w:t>
      </w:r>
    </w:p>
    <w:p>
      <w:pPr>
        <w:pStyle w:val="ListBullet"/>
        <w:spacing w:after="50"/>
        <w:ind w:left="317" w:hanging="202"/>
        <w:widowControl/>
      </w:pPr>
      <w:r>
        <w:t>FY26 financial statements note the Agya acquisition and a post-year-end Shopflo agreement; Q1 FY27 materials report Shopflo’s acquisition for ₹88 crore. Integration, retention, product overlap and return on acquisition capital should be monitored. [2,5]</w:t>
      </w:r>
    </w:p>
    <w:p>
      <w:pPr>
        <w:pStyle w:val="ListBullet"/>
        <w:spacing w:after="50"/>
        <w:ind w:left="317" w:hanging="202"/>
        <w:widowControl/>
      </w:pPr>
      <w:r>
        <w:t>Company disclosures describe conversion of approximately 57.95 crore compulsorily convertible preference shares into equity shares on a 1:1 basis in December 2025. The capital structure and per-share metrics should therefore use period-specific share counts. [2]</w:t>
      </w:r>
    </w:p>
    <w:p>
      <w:pPr>
        <w:widowControl/>
      </w:pPr>
      <w:r>
        <w:br w:type="page"/>
      </w:r>
    </w:p>
    <w:p>
      <w:pPr>
        <w:spacing w:before="60" w:after="40"/>
        <w:widowControl/>
      </w:pPr>
      <w:r>
        <w:rPr>
          <w:b/>
          <w:color w:val="D5A642"/>
          <w:sz w:val="18"/>
        </w:rPr>
        <w:t>CHAPTER 05</w:t>
      </w:r>
    </w:p>
    <w:p>
      <w:pPr>
        <w:pStyle w:val="Heading1"/>
        <w:keepNext/>
        <w:widowControl/>
      </w:pPr>
      <w:r>
        <w:t>Products, Services and Customer Journeys</w:t>
      </w:r>
    </w:p>
    <w:p>
      <w:pPr>
        <w:spacing w:after="160"/>
        <w:widowControl/>
      </w:pPr>
      <w:r>
        <w:rPr>
          <w:i/>
          <w:color w:val="66788A"/>
          <w:sz w:val="19"/>
        </w:rPr>
        <w:t>The practical mechanics behind payments, affordability and issuing</w:t>
      </w:r>
    </w:p>
    <w:p>
      <w:pPr>
        <w:pStyle w:val="Heading2"/>
        <w:keepNext/>
        <w:widowControl/>
      </w:pPr>
      <w:r>
        <w:t>5.1 Product map</w:t>
      </w:r>
    </w:p>
    <w:p>
      <w:pPr>
        <w:keepNext/>
        <w:spacing w:before="80" w:after="60"/>
        <w:widowControl/>
      </w:pPr>
      <w:r>
        <w:rPr>
          <w:b/>
          <w:color w:val="17324D"/>
          <w:sz w:val="18"/>
        </w:rPr>
        <w:t>Table 14. Products and service economics</w:t>
      </w:r>
    </w:p>
    <w:tbl>
      <w:tblPr>
        <w:tblW w:type="auto" w:w="0"/>
        <w:jc w:val="center"/>
        <w:tblLayout w:type="fixed"/>
        <w:tblLook w:firstColumn="1" w:firstRow="1" w:lastColumn="0" w:lastRow="0" w:noHBand="0" w:noVBand="1" w:val="04A0"/>
      </w:tblPr>
      <w:tblGrid>
        <w:gridCol w:w="2088"/>
        <w:gridCol w:w="2160"/>
        <w:gridCol w:w="2952"/>
        <w:gridCol w:w="2592"/>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Product group</w:t>
            </w:r>
          </w:p>
        </w:tc>
        <w:tc>
          <w:tcPr>
            <w:tcW w:type="dxa" w:w="216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Primary customer</w:t>
            </w:r>
          </w:p>
        </w:tc>
        <w:tc>
          <w:tcPr>
            <w:tcW w:type="dxa" w:w="295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Illustrative service</w:t>
            </w:r>
          </w:p>
        </w:tc>
        <w:tc>
          <w:tcPr>
            <w:tcW w:type="dxa" w:w="259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Revenue / risk note</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Smart POS / in-store acceptance</w:t>
            </w:r>
          </w:p>
        </w:tc>
        <w:tc>
          <w:tcPr>
            <w:tcW w:type="dxa" w:w="21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Retailers, hospitality, fuel and other merchants</w:t>
            </w:r>
          </w:p>
        </w:tc>
        <w:tc>
          <w:tcPr>
            <w:tcW w:type="dxa" w:w="295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Terminal, acceptance software, reconciliation and support</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Subscription / transaction / service-based fees vary by contract.</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Online payments / checkout</w:t>
            </w:r>
          </w:p>
        </w:tc>
        <w:tc>
          <w:tcPr>
            <w:tcW w:type="dxa" w:w="21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E-commerce and direct-to-consumer merchants</w:t>
            </w:r>
          </w:p>
        </w:tc>
        <w:tc>
          <w:tcPr>
            <w:tcW w:type="dxa" w:w="295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Gateway, payment links, orchestration, checkout and token-related tools</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Value-linked processing and related technology fees.</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Affordability / flow</w:t>
            </w:r>
          </w:p>
        </w:tc>
        <w:tc>
          <w:tcPr>
            <w:tcW w:type="dxa" w:w="21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Merchants, lenders and consumers</w:t>
            </w:r>
          </w:p>
        </w:tc>
        <w:tc>
          <w:tcPr>
            <w:tcW w:type="dxa" w:w="295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EMI, offers, bank / lender integration and transaction processing</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Processing / service fees; lender generally makes the credit decision and carries credit risk.</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Fintech infrastructure</w:t>
            </w:r>
          </w:p>
        </w:tc>
        <w:tc>
          <w:tcPr>
            <w:tcW w:type="dxa" w:w="21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Banks, fintechs and platforms</w:t>
            </w:r>
          </w:p>
        </w:tc>
        <w:tc>
          <w:tcPr>
            <w:tcW w:type="dxa" w:w="295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APIs, issuer/acquirer processing, data and account/payment services</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Transaction-based or contracted technology fees.</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Prepaid / gifting / benefits</w:t>
            </w:r>
          </w:p>
        </w:tc>
        <w:tc>
          <w:tcPr>
            <w:tcW w:type="dxa" w:w="21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Brands, employers, programmes and end users</w:t>
            </w:r>
          </w:p>
        </w:tc>
        <w:tc>
          <w:tcPr>
            <w:tcW w:type="dxa" w:w="295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Card / stored-value issuance, processing, fulfilment and programme management</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Processing / distribution fees; company disclosures note certain interest and breakage income.</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Merchant commerce services</w:t>
            </w:r>
          </w:p>
        </w:tc>
        <w:tc>
          <w:tcPr>
            <w:tcW w:type="dxa" w:w="21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SMBs, enterprise and D2C</w:t>
            </w:r>
          </w:p>
        </w:tc>
        <w:tc>
          <w:tcPr>
            <w:tcW w:type="dxa" w:w="295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Marketing, loyalty, campaigns, billing, analytics and commerce funnel tools</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May be subscription, service or campaign-based; adoption is a monetization test.</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New payment interfaces</w:t>
            </w:r>
          </w:p>
        </w:tc>
        <w:tc>
          <w:tcPr>
            <w:tcW w:type="dxa" w:w="21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Banks, merchants and consumers</w:t>
            </w:r>
          </w:p>
        </w:tc>
        <w:tc>
          <w:tcPr>
            <w:tcW w:type="dxa" w:w="295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Credit line on UPI, agentic protocol and emerging payment experiences</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Early-stage opportunity; validate adoption, risk controls and unit economics.</w:t>
            </w:r>
          </w:p>
        </w:tc>
      </w:tr>
    </w:tbl>
    <w:p>
      <w:pPr>
        <w:spacing w:before="40" w:after="140"/>
        <w:widowControl/>
      </w:pPr>
      <w:r>
        <w:rPr>
          <w:i/>
          <w:color w:val="66788A"/>
          <w:sz w:val="15"/>
        </w:rPr>
        <w:t>Source / note: Company product and business descriptions; exact commercial terms are contract-specific and are not disclosed in a public tariff. [1,5,8]</w:t>
      </w:r>
    </w:p>
    <w:p>
      <w:pPr>
        <w:pStyle w:val="Heading2"/>
        <w:keepNext/>
        <w:widowControl/>
      </w:pPr>
      <w:r>
        <w:t>5.2 Illustrative merchant journey</w:t>
      </w:r>
    </w:p>
    <w:p>
      <w:pPr>
        <w:widowControl/>
      </w:pPr>
      <w:r>
        <w:t>Consider a consumer purchasing a ₹50,000 appliance in a physical store. The merchant device or software accepts a card, UPI or another supported instrument; the transaction is routed through the relevant bank, issuer and network; the merchant receives settlement according to the arrangement; and Pine Labs may provide the terminal, software, processing, affordability integration and related support. If an EMI offer is used, a lender / issuer makes the credit decision and is responsible for the lending exposure in the described partner model. Pine Labs’ recognized revenue is its contracted technology and service fee, not the ₹50,000 transaction value. The example describes a process, not a Pine Labs tariff or a particular contract. [1]</w:t>
      </w:r>
    </w:p>
    <w:p>
      <w:pPr>
        <w:pStyle w:val="Heading2"/>
        <w:keepNext/>
        <w:widowControl/>
      </w:pPr>
      <w:r>
        <w:t>5.3 Illustrative prepaid / issuing journey</w:t>
      </w:r>
    </w:p>
    <w:p>
      <w:pPr>
        <w:widowControl/>
      </w:pPr>
      <w:r>
        <w:t>A brand may contract for gift or prepaid products, while Pine Labs supplies programme set-up, issuance interfaces, processing, fulfilment or distribution. A bank or programme sponsor may hold regulated responsibilities and customer funds. The company’s disclosures identify processing / distribution fees and, for certain customer-fund balances, interest and breakage income. Funds backing stored value remain subject to the applicable contractual and regulatory structure; they should not be treated as unrestricted shareholder cash. [1,2]</w:t>
      </w:r>
    </w:p>
    <w:p>
      <w:pPr>
        <w:pStyle w:val="Heading2"/>
        <w:keepNext/>
        <w:widowControl/>
      </w:pPr>
      <w:r>
        <w:t>5.4 Product evaluation framework</w:t>
      </w:r>
    </w:p>
    <w:p>
      <w:pPr>
        <w:keepNext/>
        <w:spacing w:before="80" w:after="60"/>
        <w:widowControl/>
      </w:pPr>
      <w:r>
        <w:rPr>
          <w:b/>
          <w:color w:val="17324D"/>
          <w:sz w:val="18"/>
        </w:rPr>
        <w:t>Table 15. Questions to assess each product line</w:t>
      </w:r>
    </w:p>
    <w:tbl>
      <w:tblPr>
        <w:tblW w:type="auto" w:w="0"/>
        <w:jc w:val="center"/>
        <w:tblLayout w:type="fixed"/>
        <w:tblLook w:firstColumn="1" w:firstRow="1" w:lastColumn="0" w:lastRow="0" w:noHBand="0" w:noVBand="1" w:val="04A0"/>
      </w:tblPr>
      <w:tblGrid>
        <w:gridCol w:w="2088"/>
        <w:gridCol w:w="7848"/>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Dimension</w:t>
            </w:r>
          </w:p>
        </w:tc>
        <w:tc>
          <w:tcPr>
            <w:tcW w:type="dxa" w:w="784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Questions for the analyst</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Reach</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How many active merchants, banks or brands use the product? Are reported installations active and transacting?</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Monetization</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What is billed: subscription, transaction fee, processing fee, distribution fee or another service? Is there recurring revenue?</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Unit economics</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What are acquisition, installation, support, network, incentive, fraud and servicing costs per active unit?</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Risk allocation</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Which entity handles funds, credit decisions, chargebacks, complaints, data and regulatory permissions?</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Retention and cross-sell</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Does product adoption increase merchant / client retention and net revenue per relationship?</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Evidence</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Are volumes, revenue, margins and cash conversion disclosed consistently by period and segment?</w:t>
            </w:r>
          </w:p>
        </w:tc>
      </w:tr>
    </w:tbl>
    <w:p>
      <w:pPr>
        <w:spacing w:before="40" w:after="140"/>
        <w:widowControl/>
      </w:pPr>
      <w:r>
        <w:rPr>
          <w:i/>
          <w:color w:val="66788A"/>
          <w:sz w:val="15"/>
        </w:rPr>
        <w:t>Source / note: Author framework; designed to avoid treating product announcements as proven economics.</w:t>
      </w:r>
    </w:p>
    <w:p>
      <w:pPr>
        <w:pStyle w:val="Heading2"/>
        <w:keepNext/>
        <w:widowControl/>
      </w:pPr>
      <w:r>
        <w:t>5.5 Innovation claims and evidence standard</w:t>
      </w:r>
    </w:p>
    <w:p>
      <w:pPr>
        <w:widowControl/>
      </w:pPr>
      <w:r>
        <w:t>Q1 FY27 company materials highlight Credit Line on UPI, an agentic payment protocol, AI-related products and cross-border capabilities. These announcements can broaden the addressable market, but a launch, pilot or first customer should not be described as a scaled business without subsequent verified metrics. The report therefore treats them as strategic options and monitors: customer count, active use, repeat transactions, fee contribution, safety incidents, dispute rates, partner economics and return on development spend. [5,6,8]</w:t>
      </w:r>
    </w:p>
    <w:p>
      <w:pPr>
        <w:widowControl/>
      </w:pPr>
      <w:r>
        <w:br w:type="page"/>
      </w:r>
    </w:p>
    <w:p>
      <w:pPr>
        <w:spacing w:before="60" w:after="40"/>
        <w:widowControl/>
      </w:pPr>
      <w:r>
        <w:rPr>
          <w:b/>
          <w:color w:val="D5A642"/>
          <w:sz w:val="18"/>
        </w:rPr>
        <w:t>CHAPTER 06</w:t>
      </w:r>
    </w:p>
    <w:p>
      <w:pPr>
        <w:pStyle w:val="Heading1"/>
        <w:keepNext/>
        <w:widowControl/>
      </w:pPr>
      <w:r>
        <w:t>PESTLE and Porter’s Five Forces</w:t>
      </w:r>
    </w:p>
    <w:p>
      <w:pPr>
        <w:spacing w:after="160"/>
        <w:widowControl/>
      </w:pPr>
      <w:r>
        <w:rPr>
          <w:i/>
          <w:color w:val="66788A"/>
          <w:sz w:val="19"/>
        </w:rPr>
        <w:t>External conditions and industry bargaining power</w:t>
      </w:r>
    </w:p>
    <w:p>
      <w:pPr>
        <w:pStyle w:val="Heading2"/>
        <w:keepNext/>
        <w:widowControl/>
      </w:pPr>
      <w:r>
        <w:t>6.1 PESTLE analysis</w:t>
      </w:r>
    </w:p>
    <w:p>
      <w:pPr>
        <w:keepNext/>
        <w:spacing w:before="80" w:after="60"/>
        <w:widowControl/>
      </w:pPr>
      <w:r>
        <w:rPr>
          <w:b/>
          <w:color w:val="17324D"/>
          <w:sz w:val="18"/>
        </w:rPr>
        <w:t>Table 16. PESTLE assessment</w:t>
      </w:r>
    </w:p>
    <w:tbl>
      <w:tblPr>
        <w:tblW w:type="auto" w:w="0"/>
        <w:jc w:val="center"/>
        <w:tblLayout w:type="fixed"/>
        <w:tblLook w:firstColumn="1" w:firstRow="1" w:lastColumn="0" w:lastRow="0" w:noHBand="0" w:noVBand="1" w:val="04A0"/>
      </w:tblPr>
      <w:tblGrid>
        <w:gridCol w:w="1656"/>
        <w:gridCol w:w="4104"/>
        <w:gridCol w:w="4176"/>
      </w:tblGrid>
      <w:tr>
        <w:trPr>
          <w:tblHeader w:val="true"/>
        </w:trPr>
        <w:tc>
          <w:tcPr>
            <w:tcW w:type="dxa" w:w="165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Factor</w:t>
            </w:r>
          </w:p>
        </w:tc>
        <w:tc>
          <w:tcPr>
            <w:tcW w:type="dxa" w:w="410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Industry context</w:t>
            </w:r>
          </w:p>
        </w:tc>
        <w:tc>
          <w:tcPr>
            <w:tcW w:type="dxa" w:w="417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Implication for Pine Labs</w:t>
            </w:r>
          </w:p>
        </w:tc>
      </w:tr>
      <w:tr>
        <w:trPr>
          <w:cantSplit/>
        </w:trPr>
        <w:tc>
          <w:tcPr>
            <w:tcW w:type="dxa" w:w="165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Political / policy</w:t>
            </w:r>
          </w:p>
        </w:tc>
        <w:tc>
          <w:tcPr>
            <w:tcW w:type="dxa" w:w="41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National digital-payment infrastructure, financial inclusion and cashless-commerce priorities support adoption; policy changes may alter merchant economics or permitted roles.</w:t>
            </w:r>
          </w:p>
        </w:tc>
        <w:tc>
          <w:tcPr>
            <w:tcW w:type="dxa" w:w="41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Track RBI / government circulars, licensing boundaries and scheme changes.</w:t>
            </w:r>
          </w:p>
        </w:tc>
      </w:tr>
      <w:tr>
        <w:trPr>
          <w:cantSplit/>
        </w:trPr>
        <w:tc>
          <w:tcPr>
            <w:tcW w:type="dxa" w:w="165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Economic</w:t>
            </w:r>
          </w:p>
        </w:tc>
        <w:tc>
          <w:tcPr>
            <w:tcW w:type="dxa" w:w="41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Consumption, merchant sales, interest rates, FX and retail / e-commerce growth influence transactions and affordability.</w:t>
            </w:r>
          </w:p>
        </w:tc>
        <w:tc>
          <w:tcPr>
            <w:tcW w:type="dxa" w:w="41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Diversify sectors and geographies; stress-test merchant and partner concentration.</w:t>
            </w:r>
          </w:p>
        </w:tc>
      </w:tr>
      <w:tr>
        <w:trPr>
          <w:cantSplit/>
        </w:trPr>
        <w:tc>
          <w:tcPr>
            <w:tcW w:type="dxa" w:w="165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Social</w:t>
            </w:r>
          </w:p>
        </w:tc>
        <w:tc>
          <w:tcPr>
            <w:tcW w:type="dxa" w:w="41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Convenience, trust, financial literacy and digital inclusion shape payment choice; users expect simple refunds and dispute resolution.</w:t>
            </w:r>
          </w:p>
        </w:tc>
        <w:tc>
          <w:tcPr>
            <w:tcW w:type="dxa" w:w="41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Design for accessibility, consent, grievance handling and fraud prevention.</w:t>
            </w:r>
          </w:p>
        </w:tc>
      </w:tr>
      <w:tr>
        <w:trPr>
          <w:cantSplit/>
        </w:trPr>
        <w:tc>
          <w:tcPr>
            <w:tcW w:type="dxa" w:w="165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Technological</w:t>
            </w:r>
          </w:p>
        </w:tc>
        <w:tc>
          <w:tcPr>
            <w:tcW w:type="dxa" w:w="41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Cloud, APIs, tokenization, AI, identity tools and agentic interfaces create new services; outages or cyber incidents can rapidly undermine trust.</w:t>
            </w:r>
          </w:p>
        </w:tc>
        <w:tc>
          <w:tcPr>
            <w:tcW w:type="dxa" w:w="41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Invest in resilience, secure software development, monitoring and tested recovery.</w:t>
            </w:r>
          </w:p>
        </w:tc>
      </w:tr>
      <w:tr>
        <w:trPr>
          <w:cantSplit/>
        </w:trPr>
        <w:tc>
          <w:tcPr>
            <w:tcW w:type="dxa" w:w="165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Legal / regulatory</w:t>
            </w:r>
          </w:p>
        </w:tc>
        <w:tc>
          <w:tcPr>
            <w:tcW w:type="dxa" w:w="41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Payments, stored value, data, cross-border transfers, consumer protection and outsourcing operate under detailed rules.</w:t>
            </w:r>
          </w:p>
        </w:tc>
        <w:tc>
          <w:tcPr>
            <w:tcW w:type="dxa" w:w="41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Maintain entity-by-entity compliance maps and clear partner accountability. [1,9]</w:t>
            </w:r>
          </w:p>
        </w:tc>
      </w:tr>
      <w:tr>
        <w:trPr>
          <w:cantSplit/>
        </w:trPr>
        <w:tc>
          <w:tcPr>
            <w:tcW w:type="dxa" w:w="165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Environmental</w:t>
            </w:r>
          </w:p>
        </w:tc>
        <w:tc>
          <w:tcPr>
            <w:tcW w:type="dxa" w:w="41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Large terminal fleets and data workloads create device, energy and e-waste considerations.</w:t>
            </w:r>
          </w:p>
        </w:tc>
        <w:tc>
          <w:tcPr>
            <w:tcW w:type="dxa" w:w="41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Report refurbishment / recycling, energy and supplier standards; the materials reviewed do not provide an independently assured full footprint.</w:t>
            </w:r>
          </w:p>
        </w:tc>
      </w:tr>
    </w:tbl>
    <w:p>
      <w:pPr>
        <w:spacing w:before="40" w:after="140"/>
        <w:widowControl/>
      </w:pPr>
      <w:r>
        <w:rPr>
          <w:i/>
          <w:color w:val="66788A"/>
          <w:sz w:val="15"/>
        </w:rPr>
        <w:t>Source / note: Qualitative assessment by the author; regulatory facts should be verified against current RBI / statutory notices for live decisions. [1,9]</w:t>
      </w:r>
    </w:p>
    <w:p>
      <w:pPr>
        <w:pStyle w:val="Heading2"/>
        <w:keepNext/>
        <w:widowControl/>
      </w:pPr>
      <w:r>
        <w:t>6.2 Porter’s Five Forces</w:t>
      </w:r>
    </w:p>
    <w:p>
      <w:pPr>
        <w:keepNext/>
        <w:spacing w:before="80" w:after="60"/>
        <w:widowControl/>
      </w:pPr>
      <w:r>
        <w:rPr>
          <w:b/>
          <w:color w:val="17324D"/>
          <w:sz w:val="18"/>
        </w:rPr>
        <w:t>Table 17. Porter’s Five Forces rating</w:t>
      </w:r>
    </w:p>
    <w:tbl>
      <w:tblPr>
        <w:tblW w:type="auto" w:w="0"/>
        <w:jc w:val="center"/>
        <w:tblLayout w:type="fixed"/>
        <w:tblLook w:firstColumn="1" w:firstRow="1" w:lastColumn="0" w:lastRow="0" w:noHBand="0" w:noVBand="1" w:val="04A0"/>
      </w:tblPr>
      <w:tblGrid>
        <w:gridCol w:w="2520"/>
        <w:gridCol w:w="1440"/>
        <w:gridCol w:w="5976"/>
      </w:tblGrid>
      <w:tr>
        <w:trPr>
          <w:tblHeader w:val="true"/>
        </w:trPr>
        <w:tc>
          <w:tcPr>
            <w:tcW w:type="dxa" w:w="252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Force</w:t>
            </w:r>
          </w:p>
        </w:tc>
        <w:tc>
          <w:tcPr>
            <w:tcW w:type="dxa" w:w="144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Author rating</w:t>
            </w:r>
          </w:p>
        </w:tc>
        <w:tc>
          <w:tcPr>
            <w:tcW w:type="dxa" w:w="597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Reasoning</w:t>
            </w:r>
          </w:p>
        </w:tc>
      </w:tr>
      <w:tr>
        <w:trPr>
          <w:cantSplit/>
        </w:trPr>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Rivalry among incumbents</w:t>
            </w:r>
          </w:p>
        </w:tc>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High</w:t>
            </w:r>
          </w:p>
        </w:tc>
        <w:tc>
          <w:tcPr>
            <w:tcW w:type="dxa" w:w="59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Banks, aggregators, terminal networks, SaaS platforms and global processors compete on price, reliability, coverage, service and merchant outcomes.</w:t>
            </w:r>
          </w:p>
        </w:tc>
      </w:tr>
      <w:tr>
        <w:trPr>
          <w:cantSplit/>
        </w:trPr>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Threat of new entrants</w:t>
            </w:r>
          </w:p>
        </w:tc>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Moderate</w:t>
            </w:r>
          </w:p>
        </w:tc>
        <w:tc>
          <w:tcPr>
            <w:tcW w:type="dxa" w:w="59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Software entry is feasible, but scale, bank/network integrations, certifications, security, field support and trust raise barriers.</w:t>
            </w:r>
          </w:p>
        </w:tc>
      </w:tr>
      <w:tr>
        <w:trPr>
          <w:cantSplit/>
        </w:trPr>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Buyer bargaining power</w:t>
            </w:r>
          </w:p>
        </w:tc>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High</w:t>
            </w:r>
          </w:p>
        </w:tc>
        <w:tc>
          <w:tcPr>
            <w:tcW w:type="dxa" w:w="59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Large retailers, banks and brands can negotiate fees and multi-source providers; small merchants are fragmented but price-sensitive.</w:t>
            </w:r>
          </w:p>
        </w:tc>
      </w:tr>
      <w:tr>
        <w:trPr>
          <w:cantSplit/>
        </w:trPr>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Supplier / partner power</w:t>
            </w:r>
          </w:p>
        </w:tc>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Moderate to high</w:t>
            </w:r>
          </w:p>
        </w:tc>
        <w:tc>
          <w:tcPr>
            <w:tcW w:type="dxa" w:w="59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Banks, card networks, payment rails, device vendors and cloud / technology providers are important dependencies; concentration can constrain economics.</w:t>
            </w:r>
          </w:p>
        </w:tc>
      </w:tr>
      <w:tr>
        <w:trPr>
          <w:cantSplit/>
        </w:trPr>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Threat of substitutes</w:t>
            </w:r>
          </w:p>
        </w:tc>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High</w:t>
            </w:r>
          </w:p>
        </w:tc>
        <w:tc>
          <w:tcPr>
            <w:tcW w:type="dxa" w:w="59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Bank apps, UPI QR, direct bank acquiring, wallets, cash, in-house gateways and competing devices can replace part of a product stack.</w:t>
            </w:r>
          </w:p>
        </w:tc>
      </w:tr>
    </w:tbl>
    <w:p>
      <w:pPr>
        <w:spacing w:before="40" w:after="140"/>
        <w:widowControl/>
      </w:pPr>
      <w:r>
        <w:rPr>
          <w:i/>
          <w:color w:val="66788A"/>
          <w:sz w:val="15"/>
        </w:rPr>
        <w:t>Source / note: Ratings are qualitative judgements using Porter’s framework, not measured market shares. [14]</w:t>
      </w:r>
    </w:p>
    <w:p>
      <w:pPr>
        <w:pStyle w:val="Heading2"/>
        <w:keepNext/>
        <w:widowControl/>
      </w:pPr>
      <w:r>
        <w:t>6.3 Strategic implication</w:t>
      </w:r>
    </w:p>
    <w:p>
      <w:pPr>
        <w:widowControl/>
      </w:pPr>
      <w:r>
        <w:t>The industry can grow rapidly while per-transaction economics remain contested. Pine Labs’ best defence is not simply a large terminal count: it is reliable merchant and issuer integration, differentiated software, high retention, efficient customer support, cross-sell, secure operations and the ability to prove that these services generate recurring contribution. A scale strategy that depends on hardware deployment or discounting without revenue per relationship may not produce durable returns.</w:t>
      </w:r>
    </w:p>
    <w:p>
      <w:pPr>
        <w:widowControl/>
      </w:pPr>
      <w:r>
        <w:br w:type="page"/>
      </w:r>
    </w:p>
    <w:p>
      <w:pPr>
        <w:spacing w:before="60" w:after="40"/>
        <w:widowControl/>
      </w:pPr>
      <w:r>
        <w:rPr>
          <w:b/>
          <w:color w:val="D5A642"/>
          <w:sz w:val="18"/>
        </w:rPr>
        <w:t>CHAPTER 07</w:t>
      </w:r>
    </w:p>
    <w:p>
      <w:pPr>
        <w:pStyle w:val="Heading1"/>
        <w:keepNext/>
        <w:widowControl/>
      </w:pPr>
      <w:r>
        <w:t>SWOT, Governance and Ownership Context</w:t>
      </w:r>
    </w:p>
    <w:p>
      <w:pPr>
        <w:spacing w:after="160"/>
        <w:widowControl/>
      </w:pPr>
      <w:r>
        <w:rPr>
          <w:i/>
          <w:color w:val="66788A"/>
          <w:sz w:val="19"/>
        </w:rPr>
        <w:t>Internal strengths, execution gaps and shareholder accountability</w:t>
      </w:r>
    </w:p>
    <w:p>
      <w:pPr>
        <w:pStyle w:val="Heading2"/>
        <w:keepNext/>
        <w:widowControl/>
      </w:pPr>
      <w:r>
        <w:t>7.1 SWOT analysis</w:t>
      </w:r>
    </w:p>
    <w:p>
      <w:pPr>
        <w:keepNext/>
        <w:spacing w:before="80" w:after="60"/>
        <w:widowControl/>
      </w:pPr>
      <w:r>
        <w:rPr>
          <w:b/>
          <w:color w:val="17324D"/>
          <w:sz w:val="18"/>
        </w:rPr>
        <w:t>Table 18. SWOT matrix</w:t>
      </w:r>
    </w:p>
    <w:tbl>
      <w:tblPr>
        <w:tblW w:type="auto" w:w="0"/>
        <w:jc w:val="center"/>
        <w:tblLayout w:type="fixed"/>
        <w:tblLook w:firstColumn="1" w:firstRow="1" w:lastColumn="0" w:lastRow="0" w:noHBand="0" w:noVBand="1" w:val="04A0"/>
      </w:tblPr>
      <w:tblGrid>
        <w:gridCol w:w="1440"/>
        <w:gridCol w:w="5760"/>
        <w:gridCol w:w="2736"/>
      </w:tblGrid>
      <w:tr>
        <w:trPr>
          <w:tblHeader w:val="true"/>
        </w:trPr>
        <w:tc>
          <w:tcPr>
            <w:tcW w:type="dxa" w:w="144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Quadrant</w:t>
            </w:r>
          </w:p>
        </w:tc>
        <w:tc>
          <w:tcPr>
            <w:tcW w:type="dxa" w:w="576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Assessment</w:t>
            </w:r>
          </w:p>
        </w:tc>
        <w:tc>
          <w:tcPr>
            <w:tcW w:type="dxa" w:w="273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Evidence / note</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Strengths</w:t>
            </w:r>
          </w:p>
        </w:tc>
        <w:tc>
          <w:tcPr>
            <w:tcW w:type="dxa" w:w="57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Large merchant acceptance and issuing footprint; two-platform model; broad product range; established bank, brand and merchant relationships; FY26 profitability; international presence.</w:t>
            </w:r>
          </w:p>
        </w:tc>
        <w:tc>
          <w:tcPr>
            <w:tcW w:type="dxa" w:w="27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 Q1 operating KPIs; prospectus platform map. [1–6]</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Weaknesses</w:t>
            </w:r>
          </w:p>
        </w:tc>
        <w:tc>
          <w:tcPr>
            <w:tcW w:type="dxa" w:w="57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Short listed-company record; FY23–FY25 statutory losses; low current reported ROE; complexity of group and acquisitions; working-capital volatility; limited public unit economics.</w:t>
            </w:r>
          </w:p>
        </w:tc>
        <w:tc>
          <w:tcPr>
            <w:tcW w:type="dxa" w:w="27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Restated statements, audited FY26 and interim cash-flow disclosures. [1,2,5]</w:t>
            </w:r>
          </w:p>
        </w:tc>
      </w:tr>
      <w:tr>
        <w:trPr>
          <w:cantSplit/>
        </w:trPr>
        <w:tc>
          <w:tcPr>
            <w:tcW w:type="dxa" w:w="14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Opportunities</w:t>
            </w:r>
          </w:p>
        </w:tc>
        <w:tc>
          <w:tcPr>
            <w:tcW w:type="dxa" w:w="576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SMB / mid-market penetration; omnichannel checkout; value-added services; prepaid programmes; issuer processing; cross-border and bank-issued affordability; responsible automation.</w:t>
            </w:r>
          </w:p>
        </w:tc>
        <w:tc>
          <w:tcPr>
            <w:tcW w:type="dxa" w:w="27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Company strategy and industry growth, subject to conversion into recurring revenue. [5,6,8,9]</w:t>
            </w:r>
          </w:p>
        </w:tc>
      </w:tr>
      <w:tr>
        <w:trPr>
          <w:cantSplit/>
        </w:trPr>
        <w:tc>
          <w:tcPr>
            <w:tcW w:type="dxa" w:w="14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Threats</w:t>
            </w:r>
          </w:p>
        </w:tc>
        <w:tc>
          <w:tcPr>
            <w:tcW w:type="dxa" w:w="576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Payment fee compression; regulatory and cyber events; bank/network dependence; customer concentration; rapid technology shifts; integration risk; high valuation expectations.</w:t>
            </w:r>
          </w:p>
        </w:tc>
        <w:tc>
          <w:tcPr>
            <w:tcW w:type="dxa" w:w="27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Prospectus risk factors, customer concentration and the market snapshot. [1,11]</w:t>
            </w:r>
          </w:p>
        </w:tc>
      </w:tr>
    </w:tbl>
    <w:p>
      <w:pPr>
        <w:spacing w:before="40" w:after="140"/>
        <w:widowControl/>
      </w:pPr>
      <w:r>
        <w:rPr>
          <w:i/>
          <w:color w:val="66788A"/>
          <w:sz w:val="15"/>
        </w:rPr>
        <w:t>Source / note: Analyst synthesis; strengths and opportunities are not a forecast and do not remove execution risk.</w:t>
      </w:r>
    </w:p>
    <w:p>
      <w:pPr>
        <w:pStyle w:val="Heading2"/>
        <w:keepNext/>
        <w:widowControl/>
      </w:pPr>
      <w:r>
        <w:t>7.2 Governance and ownership considerations</w:t>
      </w:r>
    </w:p>
    <w:p>
      <w:pPr>
        <w:widowControl/>
      </w:pPr>
      <w:r>
        <w:t>The prospectus states that Pine Labs did not have an identifiable promoter under the applicable definition at the offer stage. This disperses control across shareholders and makes board independence, transparent disclosures, related-party oversight, succession and accountability particularly important. The company’s 2025 IPO comprised a fresh issue of approximately ₹2,080 crore and an offer for sale of approximately ₹1,819.9 crore at ₹221 per share. [1,2]</w:t>
      </w:r>
    </w:p>
    <w:p>
      <w:pPr>
        <w:keepNext/>
        <w:spacing w:before="80" w:after="60"/>
        <w:widowControl/>
      </w:pPr>
      <w:r>
        <w:rPr>
          <w:b/>
          <w:color w:val="17324D"/>
          <w:sz w:val="18"/>
        </w:rPr>
        <w:t>Table 19. Governance / ownership review points</w:t>
      </w:r>
    </w:p>
    <w:tbl>
      <w:tblPr>
        <w:tblW w:type="auto" w:w="0"/>
        <w:jc w:val="center"/>
        <w:tblLayout w:type="fixed"/>
        <w:tblLook w:firstColumn="1" w:firstRow="1" w:lastColumn="0" w:lastRow="0" w:noHBand="0" w:noVBand="1" w:val="04A0"/>
      </w:tblPr>
      <w:tblGrid>
        <w:gridCol w:w="1944"/>
        <w:gridCol w:w="3672"/>
        <w:gridCol w:w="4320"/>
      </w:tblGrid>
      <w:tr>
        <w:trPr>
          <w:tblHeader w:val="true"/>
        </w:trPr>
        <w:tc>
          <w:tcPr>
            <w:tcW w:type="dxa" w:w="194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Topic</w:t>
            </w:r>
          </w:p>
        </w:tc>
        <w:tc>
          <w:tcPr>
            <w:tcW w:type="dxa" w:w="367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Evidence in reviewed disclosures</w:t>
            </w:r>
          </w:p>
        </w:tc>
        <w:tc>
          <w:tcPr>
            <w:tcW w:type="dxa" w:w="432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Analytical note</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Promoter status</w:t>
            </w:r>
          </w:p>
        </w:tc>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Prospectus states no identifiable promoter at the IPO. [1]</w:t>
            </w:r>
          </w:p>
        </w:tc>
        <w:tc>
          <w:tcPr>
            <w:tcW w:type="dxa" w:w="43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No promoter pledge thesis is applicable in the ordinary sense; post-listing ownership changes should be checked from exchange filings.</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Audit</w:t>
            </w:r>
          </w:p>
        </w:tc>
        <w:tc>
          <w:tcPr>
            <w:tcW w:type="dxa" w:w="36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consolidated statements are audited; audited report / results reviewed. [2]</w:t>
            </w:r>
          </w:p>
        </w:tc>
        <w:tc>
          <w:tcPr>
            <w:tcW w:type="dxa" w:w="43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Users should read auditor qualifications, key audit matters and subsidiary-scope notes in the underlying annual report, not only headline results.</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Equity incentives</w:t>
            </w:r>
          </w:p>
        </w:tc>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Company disclosures describe ESOP programmes and equity conversion activity. [2]</w:t>
            </w:r>
          </w:p>
        </w:tc>
        <w:tc>
          <w:tcPr>
            <w:tcW w:type="dxa" w:w="43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Monitor dilution, compensation expense and fully diluted share count when assessing per-share returns.</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M&amp;A and capital allocation</w:t>
            </w:r>
          </w:p>
        </w:tc>
        <w:tc>
          <w:tcPr>
            <w:tcW w:type="dxa" w:w="36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Agya became wholly owned in FY26; Shopflo was announced / acquired around Q1 FY27. [2,5]</w:t>
            </w:r>
          </w:p>
        </w:tc>
        <w:tc>
          <w:tcPr>
            <w:tcW w:type="dxa" w:w="43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Monitor acquisition price, integration cost, goodwill / impairment and measurable cross-sell synergies.</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Customer concentration</w:t>
            </w:r>
          </w:p>
        </w:tc>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Top 10 customers were 30.95% of FY25 revenue; top 1 was 10.62%, top 5 22.30%. [1]</w:t>
            </w:r>
          </w:p>
        </w:tc>
        <w:tc>
          <w:tcPr>
            <w:tcW w:type="dxa" w:w="43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Prospectus-dated FY25 disclosure; do not imply that it is the latest current concentration.</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Regulatory governance</w:t>
            </w:r>
          </w:p>
        </w:tc>
        <w:tc>
          <w:tcPr>
            <w:tcW w:type="dxa" w:w="36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The business operates through multiple products, entities and partners. [1,9]</w:t>
            </w:r>
          </w:p>
        </w:tc>
        <w:tc>
          <w:tcPr>
            <w:tcW w:type="dxa" w:w="43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A product-by-product map of licences, settlement responsibilities, data and complaints is needed for a complete diligence review.</w:t>
            </w:r>
          </w:p>
        </w:tc>
      </w:tr>
    </w:tbl>
    <w:p>
      <w:pPr>
        <w:spacing w:before="40" w:after="140"/>
        <w:widowControl/>
      </w:pPr>
      <w:r>
        <w:rPr>
          <w:i/>
          <w:color w:val="66788A"/>
          <w:sz w:val="15"/>
        </w:rPr>
        <w:t>Source / note: The report is not a legal due-diligence opinion. Current ownership and governance details should be verified in the latest BSE / NSE filings.</w:t>
      </w:r>
    </w:p>
    <w:p>
      <w:pPr>
        <w:pStyle w:val="Heading2"/>
        <w:keepNext/>
        <w:widowControl/>
      </w:pPr>
      <w:r>
        <w:t>7.3 Governance questions for investors and students</w:t>
      </w:r>
    </w:p>
    <w:p>
      <w:pPr>
        <w:pStyle w:val="ListBullet"/>
        <w:spacing w:after="50"/>
        <w:ind w:left="317" w:hanging="202"/>
        <w:widowControl/>
      </w:pPr>
      <w:r>
        <w:t>Are non-GAAP measures reconciled consistently to audited statements, with all recurring compensation and acquisition costs visible?</w:t>
      </w:r>
    </w:p>
    <w:p>
      <w:pPr>
        <w:pStyle w:val="ListBullet"/>
        <w:spacing w:after="50"/>
        <w:ind w:left="317" w:hanging="202"/>
        <w:widowControl/>
      </w:pPr>
      <w:r>
        <w:t>Do the board and audit committee receive operational resilience, cyber, fraud, payment-dispute and customer-funds reporting?</w:t>
      </w:r>
    </w:p>
    <w:p>
      <w:pPr>
        <w:pStyle w:val="ListBullet"/>
        <w:spacing w:after="50"/>
        <w:ind w:left="317" w:hanging="202"/>
        <w:widowControl/>
      </w:pPr>
      <w:r>
        <w:t>Are related-party transactions, acquisitions, contingent liabilities and overseas subsidiaries presented clearly and promptly?</w:t>
      </w:r>
    </w:p>
    <w:p>
      <w:pPr>
        <w:pStyle w:val="ListBullet"/>
        <w:spacing w:after="50"/>
        <w:ind w:left="317" w:hanging="202"/>
        <w:widowControl/>
      </w:pPr>
      <w:r>
        <w:t>How are ESOP grants, share-based compensation, dilution and post-IPO capital allocation linked to per-share value creation?</w:t>
      </w:r>
    </w:p>
    <w:p>
      <w:pPr>
        <w:pStyle w:val="ListBullet"/>
        <w:spacing w:after="50"/>
        <w:ind w:left="317" w:hanging="202"/>
        <w:widowControl/>
      </w:pPr>
      <w:r>
        <w:t>Has customer concentration improved after the FY25 prospectus disclosure, and how much is attributable to the largest merchants or bank partners?</w:t>
      </w:r>
    </w:p>
    <w:p>
      <w:pPr>
        <w:widowControl/>
      </w:pPr>
      <w:r>
        <w:br w:type="page"/>
      </w:r>
    </w:p>
    <w:p>
      <w:pPr>
        <w:spacing w:before="60" w:after="40"/>
        <w:widowControl/>
      </w:pPr>
      <w:r>
        <w:rPr>
          <w:b/>
          <w:color w:val="D5A642"/>
          <w:sz w:val="18"/>
        </w:rPr>
        <w:t>CHAPTER 08</w:t>
      </w:r>
    </w:p>
    <w:p>
      <w:pPr>
        <w:pStyle w:val="Heading1"/>
        <w:keepNext/>
        <w:widowControl/>
      </w:pPr>
      <w:r>
        <w:t>Financial Performance: Income Statement</w:t>
      </w:r>
    </w:p>
    <w:p>
      <w:pPr>
        <w:spacing w:after="160"/>
        <w:widowControl/>
      </w:pPr>
      <w:r>
        <w:rPr>
          <w:i/>
          <w:color w:val="66788A"/>
          <w:sz w:val="19"/>
        </w:rPr>
        <w:t>Revenue growth, profitability and the Q1 FY27 update</w:t>
      </w:r>
    </w:p>
    <w:p>
      <w:pPr>
        <w:pStyle w:val="Heading2"/>
        <w:keepNext/>
        <w:widowControl/>
      </w:pPr>
      <w:r>
        <w:t>8.1 Four-year consolidated trend</w:t>
      </w:r>
    </w:p>
    <w:p>
      <w:pPr>
        <w:keepNext/>
        <w:spacing w:before="80" w:after="60"/>
        <w:widowControl/>
      </w:pPr>
      <w:r>
        <w:rPr>
          <w:b/>
          <w:color w:val="17324D"/>
          <w:sz w:val="18"/>
        </w:rPr>
        <w:t>Table 20. Selected income and company-defined measures</w:t>
      </w:r>
    </w:p>
    <w:tbl>
      <w:tblPr>
        <w:tblW w:type="auto" w:w="0"/>
        <w:jc w:val="center"/>
        <w:tblLayout w:type="fixed"/>
        <w:tblLook w:firstColumn="1" w:firstRow="1" w:lastColumn="0" w:lastRow="0" w:noHBand="0" w:noVBand="1" w:val="04A0"/>
      </w:tblPr>
      <w:tblGrid>
        <w:gridCol w:w="3528"/>
        <w:gridCol w:w="1598"/>
        <w:gridCol w:w="1598"/>
        <w:gridCol w:w="1598"/>
        <w:gridCol w:w="1598"/>
      </w:tblGrid>
      <w:tr>
        <w:trPr>
          <w:tblHeader w:val="true"/>
        </w:trPr>
        <w:tc>
          <w:tcPr>
            <w:tcW w:type="dxa" w:w="352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Measure</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FY23</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FY24</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FY25</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FY26</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Revenue from operations (₹ crore)</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1,597.66</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1,769.55</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2,274.27</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2,710.59</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Year-on-year growth</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10.8%</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28.5%</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19.2%</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Profit / (loss) after tax (₹ crore)</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(265.15)</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(341.90)</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(145.49)</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112.51</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PAT margin</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(16.6%)</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(19.3%)</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(6.4%)</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4.2%</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Company-defined adjusted EBITDA (₹ crore)</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158.19</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356.60</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558.87</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Company-defined adjusted EBITDA margin</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8.94%</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15.68%</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20.62%</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Contribution margin (₹ crore)</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1,385.38</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1,728.89</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2,041.19</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Contribution margin % of revenue</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78.3%</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76.0%</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75.3%</w:t>
            </w:r>
          </w:p>
        </w:tc>
      </w:tr>
    </w:tbl>
    <w:p>
      <w:pPr>
        <w:spacing w:before="40" w:after="140"/>
        <w:widowControl/>
      </w:pPr>
      <w:r>
        <w:rPr>
          <w:i/>
          <w:color w:val="66788A"/>
          <w:sz w:val="15"/>
        </w:rPr>
        <w:t>Source / note: FY23–FY25 revenue / PAT: restated prospectus comparatives; FY26: audited consolidated results. FY24–FY26 adjusted EBITDA / contribution margin use the Q4 FY26 company KPI workbook consistently; these company-defined measures may differ marginally from the prospectus KPI table and are not statutory EBITDA or gross profit. [1–3]</w:t>
      </w:r>
    </w:p>
    <w:p>
      <w:pPr>
        <w:spacing w:before="60" w:after="20"/>
        <w:jc w:val="center"/>
        <w:widowControl/>
      </w:pPr>
      <w:r>
        <w:drawing>
          <wp:inline xmlns:a="http://schemas.openxmlformats.org/drawingml/2006/main" xmlns:pic="http://schemas.openxmlformats.org/drawingml/2006/picture">
            <wp:extent cx="5943600" cy="2106503"/>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2106503"/>
                    </a:xfrm>
                    <a:prstGeom prst="rect"/>
                  </pic:spPr>
                </pic:pic>
              </a:graphicData>
            </a:graphic>
          </wp:inline>
        </w:drawing>
      </w:r>
    </w:p>
    <w:p>
      <w:pPr>
        <w:keepNext/>
        <w:spacing w:after="20"/>
        <w:jc w:val="center"/>
        <w:widowControl/>
      </w:pPr>
      <w:r>
        <w:rPr>
          <w:b/>
          <w:color w:val="17324D"/>
          <w:sz w:val="18"/>
        </w:rPr>
        <w:t>Figure 3. Revenue growth and reported PAT</w:t>
      </w:r>
    </w:p>
    <w:p>
      <w:pPr>
        <w:spacing w:after="140"/>
        <w:jc w:val="center"/>
        <w:widowControl/>
      </w:pPr>
      <w:r>
        <w:rPr>
          <w:i/>
          <w:color w:val="66788A"/>
          <w:sz w:val="15"/>
        </w:rPr>
        <w:t>Revenue and PAT in ₹ crore. FY23–FY25 restated; FY26 audited. [1,2]</w:t>
      </w:r>
    </w:p>
    <w:p>
      <w:pPr>
        <w:pStyle w:val="Heading2"/>
        <w:keepNext/>
        <w:widowControl/>
      </w:pPr>
      <w:r>
        <w:t>8.2 Growth and margin interpretation</w:t>
      </w:r>
    </w:p>
    <w:p>
      <w:pPr>
        <w:widowControl/>
      </w:pPr>
      <w:r>
        <w:t>Revenue increased by about 69.7% cumulatively between FY23 and FY26, equivalent to a 19.3% CAGR. Growth accelerated in FY25 and moderated to 19.2% in FY26. Revenue scale therefore expanded across the full period, but the annual path was not uniform. [1,2]</w:t>
      </w:r>
    </w:p>
    <w:p>
      <w:pPr>
        <w:widowControl/>
      </w:pPr>
      <w:r>
        <w:t>The company reported PAT losses through FY25, with the loss narrowing from ₹341.90 crore in FY24 to ₹145.49 crore in FY25. FY26 delivered ₹112.51 crore of audited PAT. Total FY26 income was ₹2,847.15 crore, total expenses ₹2,706.37 crore, PBT ₹137.28 crore and tax expense ₹24.77 crore. The change is a meaningful inflection, but one profitable year is not enough to establish a mature earnings base. [1,2]</w:t>
      </w:r>
    </w:p>
    <w:p>
      <w:pPr>
        <w:widowControl/>
      </w:pPr>
      <w:r>
        <w:t>Adjusted EBITDA improved more quickly than revenue from FY24 to FY26. Management’s measure rose from ₹158.19 crore to ₹558.87 crore, and margin from 8.94% to 20.62%. The Q1 FY27 figure of approximately ₹126 crore and 17.1% margin was lower year on year on the company’s disclosures. The margin decline alongside continued revenue growth suggests mix, investment and cost dynamics need to be monitored; management explanations are not independently tested here. [2,3,5,6]</w:t>
      </w:r>
    </w:p>
    <w:p>
      <w:pPr>
        <w:spacing w:after="140"/>
        <w:widowControl/>
      </w:pPr>
      <w:r>
        <w:t>The prospectus reconciliation defines Adjusted EBITDA as EBITDA less other income, with specified additions including impairment, exceptional items, share-based payment expense, net foreign-exchange loss, certain provisions written back, fund-raising / acquisition / restructuring professional fees and acquisition-linked employment incentives; certain purchase-consideration writebacks are deducted. These are company-defined adjustments, and some may recur economically. Adjusted EBITDA is not reported EBITDA, PAT or operating cash flow; the reconciliation should be read alongside audited results. [1–3]</w:t>
      </w:r>
    </w:p>
    <w:p>
      <w:pPr>
        <w:widowControl/>
      </w:pPr>
      <w:r>
        <w:t>Contribution margin increased in rupees but declined as a share of revenue from 78.3% in FY24 to 75.3% in FY26 and 72.3% in Q1 FY27. That pattern is consistent with growing lower-contribution or more heavily processed activity, although product-level economics are not fully public. It is therefore important not to interpret the absolute contribution-margin increase as margin expansion. [2,3,5,6]</w:t>
      </w:r>
    </w:p>
    <w:p>
      <w:pPr>
        <w:pStyle w:val="Heading2"/>
        <w:keepNext/>
        <w:widowControl/>
      </w:pPr>
      <w:r>
        <w:t>8.3 Segment growth and mix</w:t>
      </w:r>
    </w:p>
    <w:p>
      <w:pPr>
        <w:widowControl/>
      </w:pPr>
      <w:r>
        <w:t>DITP generated about 67.8% of FY26 revenue; IAP generated roughly 32.2%. FY26 revenue grew around 14.6% in DITP and 30.2% in IAP using rounded disclosed segment data. Q1 FY27 disclosures report DITP growth of about 15% year on year and IAP growth of about 31%. The faster IAP growth increases diversification, but segment margins and working-capital requirements are not fully comparable from public headline data. [2,3,5,6]</w:t>
      </w:r>
    </w:p>
    <w:p>
      <w:pPr>
        <w:widowControl/>
      </w:pPr>
      <w:r>
        <w:t>The prospectus reports that the top 10 customers represented 30.95% of FY25 revenue, compared with 35.17% in FY24 and 38.67% in FY23. This is evidence of declining concentration over that historical interval, but the disclosure is dated FY25 and should not be described as the current position. [1]</w:t>
      </w:r>
    </w:p>
    <w:p>
      <w:pPr>
        <w:pStyle w:val="Heading2"/>
        <w:keepNext/>
        <w:widowControl/>
      </w:pPr>
      <w:r>
        <w:t>8.4 Q1 FY27 interim update</w:t>
      </w:r>
    </w:p>
    <w:p>
      <w:pPr>
        <w:keepNext/>
        <w:spacing w:before="80" w:after="60"/>
        <w:widowControl/>
      </w:pPr>
      <w:r>
        <w:rPr>
          <w:b/>
          <w:color w:val="17324D"/>
          <w:sz w:val="18"/>
        </w:rPr>
        <w:t>Table 21. Q1 FY27 performance snapshot (quarter ended 30 June 2026)</w:t>
      </w:r>
    </w:p>
    <w:tbl>
      <w:tblPr>
        <w:tblW w:type="auto" w:w="0"/>
        <w:jc w:val="center"/>
        <w:tblLayout w:type="fixed"/>
        <w:tblLook w:firstColumn="1" w:firstRow="1" w:lastColumn="0" w:lastRow="0" w:noHBand="0" w:noVBand="1" w:val="04A0"/>
      </w:tblPr>
      <w:tblGrid>
        <w:gridCol w:w="2376"/>
        <w:gridCol w:w="3240"/>
        <w:gridCol w:w="4248"/>
      </w:tblGrid>
      <w:tr>
        <w:trPr>
          <w:tblHeader w:val="true"/>
        </w:trPr>
        <w:tc>
          <w:tcPr>
            <w:tcW w:type="dxa" w:w="237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Metric</w:t>
            </w:r>
          </w:p>
        </w:tc>
        <w:tc>
          <w:tcPr>
            <w:tcW w:type="dxa" w:w="324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Q1 FY27</w:t>
            </w:r>
          </w:p>
        </w:tc>
        <w:tc>
          <w:tcPr>
            <w:tcW w:type="dxa" w:w="424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Context / status</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Revenue from operations</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₹736.92 crore</w:t>
            </w:r>
          </w:p>
        </w:tc>
        <w:tc>
          <w:tcPr>
            <w:tcW w:type="dxa" w:w="42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+19.65% year on year</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PAT</w:t>
            </w:r>
          </w:p>
        </w:tc>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₹19.57 crore</w:t>
            </w:r>
          </w:p>
        </w:tc>
        <w:tc>
          <w:tcPr>
            <w:tcW w:type="dxa" w:w="42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₹4.79 crore in Q1 FY26</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DITP / IAP revenue</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₹499.12 crore / ₹237.80 crore</w:t>
            </w:r>
          </w:p>
        </w:tc>
        <w:tc>
          <w:tcPr>
            <w:tcW w:type="dxa" w:w="42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DITP about +15%; IAP about +31% year on year</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Contribution margin</w:t>
            </w:r>
          </w:p>
        </w:tc>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₹532.62 crore; 72.3%</w:t>
            </w:r>
          </w:p>
        </w:tc>
        <w:tc>
          <w:tcPr>
            <w:tcW w:type="dxa" w:w="42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Margin lower year on year</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Adjusted EBITDA</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Approximately ₹126 crore; 17.1%</w:t>
            </w:r>
          </w:p>
        </w:tc>
        <w:tc>
          <w:tcPr>
            <w:tcW w:type="dxa" w:w="42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Company-defined; margin lower year on year</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International revenue</w:t>
            </w:r>
          </w:p>
        </w:tc>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Approximately ₹114 crore / ~16%</w:t>
            </w:r>
          </w:p>
        </w:tc>
        <w:tc>
          <w:tcPr>
            <w:tcW w:type="dxa" w:w="42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 disclosure; scope may be segment/geography-defined</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FY27 revenue guidance</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21%–23.5% growth</w:t>
            </w:r>
          </w:p>
        </w:tc>
        <w:tc>
          <w:tcPr>
            <w:tcW w:type="dxa" w:w="42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Management guidance on the Q4 FY26 call; forward-looking, not a reported result. [4]</w:t>
            </w:r>
          </w:p>
        </w:tc>
      </w:tr>
    </w:tbl>
    <w:p>
      <w:pPr>
        <w:spacing w:before="40" w:after="140"/>
        <w:widowControl/>
      </w:pPr>
      <w:r>
        <w:rPr>
          <w:i/>
          <w:color w:val="66788A"/>
          <w:sz w:val="15"/>
        </w:rPr>
        <w:t>Source / note: Q1 FY27 results, KPI data book and press release; FY27 revenue guidance was reiterated on the Q4 FY26 call. Interim figures are unaudited / limited-reviewed; adjusted measures and guidance are company-defined. [4–6,8]</w:t>
      </w:r>
    </w:p>
    <w:p>
      <w:pPr>
        <w:pStyle w:val="Heading2"/>
        <w:keepNext/>
        <w:widowControl/>
      </w:pPr>
      <w:r>
        <w:t>8.5 Income-statement questions to carry forward</w:t>
      </w:r>
    </w:p>
    <w:p>
      <w:pPr>
        <w:pStyle w:val="ListBullet"/>
        <w:spacing w:after="50"/>
        <w:ind w:left="317" w:hanging="202"/>
        <w:widowControl/>
      </w:pPr>
      <w:r>
        <w:t>Can Pine Labs maintain positive PAT after changes in other income, ESOP costs, acquisition-related items and tax?</w:t>
      </w:r>
    </w:p>
    <w:p>
      <w:pPr>
        <w:pStyle w:val="ListBullet"/>
        <w:spacing w:after="50"/>
        <w:ind w:left="317" w:hanging="202"/>
        <w:widowControl/>
      </w:pPr>
      <w:r>
        <w:t>Can adjusted EBITDA growth translate into recurring free cash flow after capital expenditure, lease payments and settlement balances?</w:t>
      </w:r>
    </w:p>
    <w:p>
      <w:pPr>
        <w:pStyle w:val="ListBullet"/>
        <w:spacing w:after="50"/>
        <w:ind w:left="317" w:hanging="202"/>
        <w:widowControl/>
      </w:pPr>
      <w:r>
        <w:t>Will higher-IAP mix support or dilute contribution margin and cash conversion?</w:t>
      </w:r>
    </w:p>
    <w:p>
      <w:pPr>
        <w:pStyle w:val="ListBullet"/>
        <w:spacing w:after="50"/>
        <w:ind w:left="317" w:hanging="202"/>
        <w:widowControl/>
      </w:pPr>
      <w:r>
        <w:t>Can revenue per merchant, DCP and transaction remain resilient as high-volume, lower-fee payment types expand?</w:t>
      </w:r>
    </w:p>
    <w:p>
      <w:pPr>
        <w:widowControl/>
      </w:pPr>
      <w:r>
        <w:br w:type="page"/>
      </w:r>
    </w:p>
    <w:p>
      <w:pPr>
        <w:spacing w:before="60" w:after="40"/>
        <w:widowControl/>
      </w:pPr>
      <w:r>
        <w:rPr>
          <w:b/>
          <w:color w:val="D5A642"/>
          <w:sz w:val="18"/>
        </w:rPr>
        <w:t>CHAPTER 09</w:t>
      </w:r>
    </w:p>
    <w:p>
      <w:pPr>
        <w:pStyle w:val="Heading1"/>
        <w:keepNext/>
        <w:widowControl/>
      </w:pPr>
      <w:r>
        <w:t>Balance Sheet, Funding and Cash Flow</w:t>
      </w:r>
    </w:p>
    <w:p>
      <w:pPr>
        <w:spacing w:after="160"/>
        <w:widowControl/>
      </w:pPr>
      <w:r>
        <w:rPr>
          <w:i/>
          <w:color w:val="66788A"/>
          <w:sz w:val="19"/>
        </w:rPr>
        <w:t>Liquidity, settlement obligations, borrowings and cash conversion</w:t>
      </w:r>
    </w:p>
    <w:p>
      <w:pPr>
        <w:pStyle w:val="Heading2"/>
        <w:keepNext/>
        <w:widowControl/>
      </w:pPr>
      <w:r>
        <w:t>9.1 Selected balance-sheet indicators</w:t>
      </w:r>
    </w:p>
    <w:p>
      <w:pPr>
        <w:keepNext/>
        <w:spacing w:before="80" w:after="60"/>
        <w:widowControl/>
      </w:pPr>
      <w:r>
        <w:rPr>
          <w:b/>
          <w:color w:val="17324D"/>
          <w:sz w:val="18"/>
        </w:rPr>
        <w:t>Table 22. Selected consolidated balance-sheet items (₹ crore)</w:t>
      </w:r>
    </w:p>
    <w:tbl>
      <w:tblPr>
        <w:tblW w:type="auto" w:w="0"/>
        <w:jc w:val="center"/>
        <w:tblLayout w:type="fixed"/>
        <w:tblLook w:firstColumn="1" w:firstRow="1" w:lastColumn="0" w:lastRow="0" w:noHBand="0" w:noVBand="1" w:val="04A0"/>
      </w:tblPr>
      <w:tblGrid>
        <w:gridCol w:w="4608"/>
        <w:gridCol w:w="2664"/>
        <w:gridCol w:w="2664"/>
      </w:tblGrid>
      <w:tr>
        <w:trPr>
          <w:tblHeader w:val="true"/>
        </w:trPr>
        <w:tc>
          <w:tcPr>
            <w:tcW w:type="dxa" w:w="460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Item</w:t>
            </w:r>
          </w:p>
        </w:tc>
        <w:tc>
          <w:tcPr>
            <w:tcW w:type="dxa" w:w="266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31 Mar 2025</w:t>
            </w:r>
          </w:p>
        </w:tc>
        <w:tc>
          <w:tcPr>
            <w:tcW w:type="dxa" w:w="266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31 Mar 2026</w:t>
            </w:r>
          </w:p>
        </w:tc>
      </w:tr>
      <w:tr>
        <w:trPr>
          <w:cantSplit/>
        </w:trPr>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Total assets</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10,715.73</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13,296.96</w:t>
            </w:r>
          </w:p>
        </w:tc>
      </w:tr>
      <w:tr>
        <w:trPr>
          <w:cantSplit/>
        </w:trPr>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Current assets</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8,241.14</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10,884.33</w:t>
            </w:r>
          </w:p>
        </w:tc>
      </w:tr>
      <w:tr>
        <w:trPr>
          <w:cantSplit/>
        </w:trPr>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Total equity</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3,506.14</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5,895.41</w:t>
            </w:r>
          </w:p>
        </w:tc>
      </w:tr>
      <w:tr>
        <w:trPr>
          <w:cantSplit/>
        </w:trPr>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Current liabilities</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6,953.84</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7,184.12</w:t>
            </w:r>
          </w:p>
        </w:tc>
      </w:tr>
      <w:tr>
        <w:trPr>
          <w:cantSplit/>
        </w:trPr>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Cash and cash equivalents</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951.46</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1,393.08</w:t>
            </w:r>
          </w:p>
        </w:tc>
      </w:tr>
      <w:tr>
        <w:trPr>
          <w:cantSplit/>
        </w:trPr>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Other bank balances</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5,081.67</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6,832.84</w:t>
            </w:r>
          </w:p>
        </w:tc>
      </w:tr>
      <w:tr>
        <w:trPr>
          <w:cantSplit/>
        </w:trPr>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Prepaid-card liabilities</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4,772.63</w:t>
            </w:r>
          </w:p>
        </w:tc>
        <w:tc>
          <w:tcPr>
            <w:tcW w:type="dxa" w:w="26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5,383.85</w:t>
            </w:r>
          </w:p>
        </w:tc>
      </w:tr>
      <w:tr>
        <w:trPr>
          <w:cantSplit/>
        </w:trPr>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Borrowings, excluding leases</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829.49</w:t>
            </w:r>
          </w:p>
        </w:tc>
        <w:tc>
          <w:tcPr>
            <w:tcW w:type="dxa" w:w="26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282.87</w:t>
            </w:r>
          </w:p>
        </w:tc>
      </w:tr>
    </w:tbl>
    <w:p>
      <w:pPr>
        <w:spacing w:before="40" w:after="140"/>
        <w:widowControl/>
      </w:pPr>
      <w:r>
        <w:rPr>
          <w:i/>
          <w:color w:val="66788A"/>
          <w:sz w:val="15"/>
        </w:rPr>
        <w:t>Source / note: FY26 audited consolidated balance sheet and comparative FY25 figures. Cash and other bank balances are shown separately; some bank balances relate to customer / settlement or other restricted purposes. [2]</w:t>
      </w:r>
    </w:p>
    <w:p>
      <w:pPr>
        <w:widowControl/>
      </w:pPr>
      <w:r>
        <w:t>The balance sheet reflects the scale and mechanics of payments processing. A large cash-looking balance should not be assumed to be freely distributable: other bank balances include deposits / earmarked amounts and the group also carries substantial prepaid-card and settlement obligations. FY26 cash equivalents of ₹1,393.08 crore and other bank balances of ₹6,832.84 crore must be read alongside ₹5,383.85 crore of prepaid-card liabilities and related operating balances. [2]</w:t>
      </w:r>
    </w:p>
    <w:p>
      <w:pPr>
        <w:pStyle w:val="Heading2"/>
        <w:keepNext/>
        <w:widowControl/>
      </w:pPr>
      <w:r>
        <w:t>9.2 Funding and liquidity</w:t>
      </w:r>
    </w:p>
    <w:p>
      <w:pPr>
        <w:widowControl/>
      </w:pPr>
      <w:r>
        <w:t>Borrowings excluding leases fell by approximately ₹546.62 crore, from ₹829.49 crore at FY25 year-end to ₹282.87 crore at FY26 year-end. Borrowings/equity reduced from approximately 0.24× to 0.05×, while equity increased to ₹5,895.41 crore after the listing and related capital movements. This is a stronger reported capital structure, but debt ratios do not capture all settlement, lease, customer-fund or contingent obligations. [2]</w:t>
      </w:r>
    </w:p>
    <w:p>
      <w:pPr>
        <w:widowControl/>
      </w:pPr>
      <w:r>
        <w:t>The current ratio increased from roughly 1.18× in FY25 to 1.52× in FY26. This is not a stand-alone solvency conclusion: current assets include bank balances and operating receivables, while current liabilities include obligations arising from prepaid and transaction activity. A more complete liquidity assessment would map maturity, restriction, counterparty and settlement timing for each balance.</w:t>
      </w:r>
    </w:p>
    <w:p>
      <w:pPr>
        <w:pStyle w:val="Heading2"/>
        <w:keepNext/>
        <w:widowControl/>
      </w:pPr>
      <w:r>
        <w:t>9.3 Operating cash flow and funding movements</w:t>
      </w:r>
    </w:p>
    <w:p>
      <w:pPr>
        <w:keepNext/>
        <w:spacing w:before="80" w:after="60"/>
        <w:widowControl/>
      </w:pPr>
      <w:r>
        <w:rPr>
          <w:b/>
          <w:color w:val="17324D"/>
          <w:sz w:val="18"/>
        </w:rPr>
        <w:t>Table 23. Operating cash flow trend</w:t>
      </w:r>
    </w:p>
    <w:tbl>
      <w:tblPr>
        <w:tblW w:type="auto" w:w="0"/>
        <w:jc w:val="center"/>
        <w:tblLayout w:type="fixed"/>
        <w:tblLook w:firstColumn="1" w:firstRow="1" w:lastColumn="0" w:lastRow="0" w:noHBand="0" w:noVBand="1" w:val="04A0"/>
      </w:tblPr>
      <w:tblGrid>
        <w:gridCol w:w="3672"/>
        <w:gridCol w:w="1570"/>
        <w:gridCol w:w="1570"/>
        <w:gridCol w:w="1570"/>
        <w:gridCol w:w="1570"/>
      </w:tblGrid>
      <w:tr>
        <w:trPr>
          <w:tblHeader w:val="true"/>
        </w:trPr>
        <w:tc>
          <w:tcPr>
            <w:tcW w:type="dxa" w:w="367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Measure</w:t>
            </w:r>
          </w:p>
        </w:tc>
        <w:tc>
          <w:tcPr>
            <w:tcW w:type="dxa" w:w="157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FY23</w:t>
            </w:r>
          </w:p>
        </w:tc>
        <w:tc>
          <w:tcPr>
            <w:tcW w:type="dxa" w:w="157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FY24</w:t>
            </w:r>
          </w:p>
        </w:tc>
        <w:tc>
          <w:tcPr>
            <w:tcW w:type="dxa" w:w="157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FY25</w:t>
            </w:r>
          </w:p>
        </w:tc>
        <w:tc>
          <w:tcPr>
            <w:tcW w:type="dxa" w:w="157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FY26</w:t>
            </w:r>
          </w:p>
        </w:tc>
      </w:tr>
      <w:tr>
        <w:trPr>
          <w:cantSplit/>
        </w:trPr>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Net cash from operating activities (₹ crore)</w:t>
            </w:r>
          </w:p>
        </w:tc>
        <w:tc>
          <w:tcPr>
            <w:tcW w:type="dxa" w:w="157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(152.36)</w:t>
            </w:r>
          </w:p>
        </w:tc>
        <w:tc>
          <w:tcPr>
            <w:tcW w:type="dxa" w:w="157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(229.01)</w:t>
            </w:r>
          </w:p>
        </w:tc>
        <w:tc>
          <w:tcPr>
            <w:tcW w:type="dxa" w:w="157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49.72</w:t>
            </w:r>
          </w:p>
        </w:tc>
        <w:tc>
          <w:tcPr>
            <w:tcW w:type="dxa" w:w="157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395.39</w:t>
            </w:r>
          </w:p>
        </w:tc>
      </w:tr>
    </w:tbl>
    <w:p>
      <w:pPr>
        <w:spacing w:before="40" w:after="140"/>
        <w:widowControl/>
      </w:pPr>
      <w:r>
        <w:rPr>
          <w:i/>
          <w:color w:val="66788A"/>
          <w:sz w:val="15"/>
        </w:rPr>
        <w:t>Source / note: FY23–FY25 restated prospectus cash-flow information; FY26 audited cash-flow statement. [1,2]</w:t>
      </w:r>
    </w:p>
    <w:p>
      <w:pPr>
        <w:spacing w:before="60" w:after="20"/>
        <w:jc w:val="center"/>
        <w:widowControl/>
      </w:pPr>
      <w:r>
        <w:drawing>
          <wp:inline xmlns:a="http://schemas.openxmlformats.org/drawingml/2006/main" xmlns:pic="http://schemas.openxmlformats.org/drawingml/2006/picture">
            <wp:extent cx="5943600" cy="2534261"/>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2534261"/>
                    </a:xfrm>
                    <a:prstGeom prst="rect"/>
                  </pic:spPr>
                </pic:pic>
              </a:graphicData>
            </a:graphic>
          </wp:inline>
        </w:drawing>
      </w:r>
    </w:p>
    <w:p>
      <w:pPr>
        <w:keepNext/>
        <w:spacing w:after="20"/>
        <w:jc w:val="center"/>
        <w:widowControl/>
      </w:pPr>
      <w:r>
        <w:rPr>
          <w:b/>
          <w:color w:val="17324D"/>
          <w:sz w:val="18"/>
        </w:rPr>
        <w:t>Figure 4. Operating cash flow has improved but remains period-sensitive</w:t>
      </w:r>
    </w:p>
    <w:p>
      <w:pPr>
        <w:spacing w:after="140"/>
        <w:jc w:val="center"/>
        <w:widowControl/>
      </w:pPr>
      <w:r>
        <w:rPr>
          <w:i/>
          <w:color w:val="66788A"/>
          <w:sz w:val="15"/>
        </w:rPr>
        <w:t>Net operating cash flow in ₹ crore. [1,2]</w:t>
      </w:r>
    </w:p>
    <w:p>
      <w:pPr>
        <w:keepNext/>
        <w:spacing w:before="80" w:after="60"/>
        <w:widowControl/>
      </w:pPr>
      <w:r>
        <w:rPr>
          <w:b/>
          <w:color w:val="17324D"/>
          <w:sz w:val="18"/>
        </w:rPr>
        <w:t>Table 24. FY26 cash-flow statement summary (₹ crore)</w:t>
      </w:r>
    </w:p>
    <w:tbl>
      <w:tblPr>
        <w:tblW w:type="auto" w:w="0"/>
        <w:jc w:val="center"/>
        <w:tblLayout w:type="fixed"/>
        <w:tblLook w:firstColumn="1" w:firstRow="1" w:lastColumn="0" w:lastRow="0" w:noHBand="0" w:noVBand="1" w:val="04A0"/>
      </w:tblPr>
      <w:tblGrid>
        <w:gridCol w:w="2880"/>
        <w:gridCol w:w="1656"/>
        <w:gridCol w:w="5544"/>
      </w:tblGrid>
      <w:tr>
        <w:trPr>
          <w:tblHeader w:val="true"/>
        </w:trPr>
        <w:tc>
          <w:tcPr>
            <w:tcW w:type="dxa" w:w="28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Cash-flow category</w:t>
            </w:r>
          </w:p>
        </w:tc>
        <w:tc>
          <w:tcPr>
            <w:tcW w:type="dxa" w:w="165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FY26</w:t>
            </w:r>
          </w:p>
        </w:tc>
        <w:tc>
          <w:tcPr>
            <w:tcW w:type="dxa" w:w="554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What it represents / caveat</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Operating activities</w:t>
            </w:r>
          </w:p>
        </w:tc>
        <w:tc>
          <w:tcPr>
            <w:tcW w:type="dxa" w:w="165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+395.39</w:t>
            </w:r>
          </w:p>
        </w:tc>
        <w:tc>
          <w:tcPr>
            <w:tcW w:type="dxa" w:w="55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Cash from operations after working-capital movements; not equivalent to adjusted EBITDA.</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Investing activities</w:t>
            </w:r>
          </w:p>
        </w:tc>
        <w:tc>
          <w:tcPr>
            <w:tcW w:type="dxa" w:w="165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−1,338.87</w:t>
            </w:r>
          </w:p>
        </w:tc>
        <w:tc>
          <w:tcPr>
            <w:tcW w:type="dxa" w:w="55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Includes deposit placements / maturities as well as capital expenditure and investments; not all outflow is growth capex.</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Financing activities</w:t>
            </w:r>
          </w:p>
        </w:tc>
        <w:tc>
          <w:tcPr>
            <w:tcW w:type="dxa" w:w="165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+1,972.17</w:t>
            </w:r>
          </w:p>
        </w:tc>
        <w:tc>
          <w:tcPr>
            <w:tcW w:type="dxa" w:w="55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Includes IPO / equity financing and financing outflows; interpret alongside capital-structure notes.</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Net increase in cash and cash equivalents</w:t>
            </w:r>
          </w:p>
        </w:tc>
        <w:tc>
          <w:tcPr>
            <w:tcW w:type="dxa" w:w="165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+1,028.69</w:t>
            </w:r>
          </w:p>
        </w:tc>
        <w:tc>
          <w:tcPr>
            <w:tcW w:type="dxa" w:w="55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Cash-flow statement basis; ending cash can differ from balance-sheet cash due to overdrafts / classification.</w:t>
            </w:r>
          </w:p>
        </w:tc>
      </w:tr>
    </w:tbl>
    <w:p>
      <w:pPr>
        <w:spacing w:before="40" w:after="140"/>
        <w:widowControl/>
      </w:pPr>
      <w:r>
        <w:rPr>
          <w:i/>
          <w:color w:val="66788A"/>
          <w:sz w:val="15"/>
        </w:rPr>
        <w:t>Source / note: FY26 audited consolidated cash-flow statement. [2]</w:t>
      </w:r>
    </w:p>
    <w:p>
      <w:pPr>
        <w:pStyle w:val="Heading2"/>
        <w:keepNext/>
        <w:widowControl/>
      </w:pPr>
      <w:r>
        <w:t>9.4 Working-capital interpretation</w:t>
      </w:r>
    </w:p>
    <w:p>
      <w:pPr>
        <w:widowControl/>
      </w:pPr>
      <w:r>
        <w:t>FY26 investing cash outflow should not be read as ₹1,338.87 crore of plant and equipment investment: deposit placements and maturities are significant. Likewise, CFO can be influenced by changes in prepaid-card liabilities, earmarked bank balances, merchant settlements, receivables and early-settlement arrangements. Company materials report Q1 FY27 CFO of approximately +₹78 crore excluding early settlement and approximately −₹159 crore including it. That gap highlights timing and presentation effects; neither number alone should be treated as a normalized run-rate. [2,5,6]</w:t>
      </w:r>
    </w:p>
    <w:p>
      <w:pPr>
        <w:widowControl/>
      </w:pPr>
      <w:r>
        <w:t>Cash conversion is therefore an important diligence item. Track operating cash flow against reported PAT and adjusted EBITDA, reconcile early settlement and customer balances, separate restricted from unrestricted cash, and observe several quarters rather than annualizing one quarter.</w:t>
      </w:r>
    </w:p>
    <w:p>
      <w:pPr>
        <w:widowControl/>
      </w:pPr>
      <w:r>
        <w:br w:type="page"/>
      </w:r>
    </w:p>
    <w:p>
      <w:pPr>
        <w:spacing w:before="60" w:after="40"/>
        <w:widowControl/>
      </w:pPr>
      <w:r>
        <w:rPr>
          <w:b/>
          <w:color w:val="D5A642"/>
          <w:sz w:val="18"/>
        </w:rPr>
        <w:t>CHAPTER 10</w:t>
      </w:r>
    </w:p>
    <w:p>
      <w:pPr>
        <w:pStyle w:val="Heading1"/>
        <w:keepNext/>
        <w:widowControl/>
      </w:pPr>
      <w:r>
        <w:t>Ratio Analysis</w:t>
      </w:r>
    </w:p>
    <w:p>
      <w:pPr>
        <w:spacing w:after="160"/>
        <w:widowControl/>
      </w:pPr>
      <w:r>
        <w:rPr>
          <w:i/>
          <w:color w:val="66788A"/>
          <w:sz w:val="19"/>
        </w:rPr>
        <w:t>Profitability, efficiency, liquidity and leverage with formula notes</w:t>
      </w:r>
    </w:p>
    <w:p>
      <w:pPr>
        <w:pStyle w:val="Heading2"/>
        <w:keepNext/>
        <w:widowControl/>
      </w:pPr>
      <w:r>
        <w:t>10.1 Core ratio dashboard</w:t>
      </w:r>
    </w:p>
    <w:p>
      <w:pPr>
        <w:keepNext/>
        <w:spacing w:before="80" w:after="60"/>
        <w:widowControl/>
      </w:pPr>
      <w:r>
        <w:rPr>
          <w:b/>
          <w:color w:val="17324D"/>
          <w:sz w:val="18"/>
        </w:rPr>
        <w:t>Table 25. Ratio dashboard (selected years)</w:t>
      </w:r>
    </w:p>
    <w:tbl>
      <w:tblPr>
        <w:tblW w:type="auto" w:w="0"/>
        <w:jc w:val="center"/>
        <w:tblLayout w:type="fixed"/>
        <w:tblLook w:firstColumn="1" w:firstRow="1" w:lastColumn="0" w:lastRow="0" w:noHBand="0" w:noVBand="1" w:val="04A0"/>
      </w:tblPr>
      <w:tblGrid>
        <w:gridCol w:w="2088"/>
        <w:gridCol w:w="2520"/>
        <w:gridCol w:w="1080"/>
        <w:gridCol w:w="1080"/>
        <w:gridCol w:w="3312"/>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Ratio</w:t>
            </w:r>
          </w:p>
        </w:tc>
        <w:tc>
          <w:tcPr>
            <w:tcW w:type="dxa" w:w="252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Formula / basis</w:t>
            </w:r>
          </w:p>
        </w:tc>
        <w:tc>
          <w:tcPr>
            <w:tcW w:type="dxa" w:w="10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FY25</w:t>
            </w:r>
          </w:p>
        </w:tc>
        <w:tc>
          <w:tcPr>
            <w:tcW w:type="dxa" w:w="10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FY26</w:t>
            </w:r>
          </w:p>
        </w:tc>
        <w:tc>
          <w:tcPr>
            <w:tcW w:type="dxa" w:w="331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Interpretation</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Revenue growth</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Revenueₜ / Revenueₜ₋₁ − 1</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28.5%</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19.2%</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Growth normalised from FY25 peak.</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PAT margin</w:t>
            </w:r>
          </w:p>
        </w:tc>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PAT / revenue</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(6.4%)</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4.2%</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Turned positive in FY26; one year is not a trend.</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Adjusted EBITDA margin</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Company-defined adjusted EBITDA / revenue</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15.68%</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20.62%</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Improved annually, but fell to about 17.1% in Q1 FY27.</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Current ratio</w:t>
            </w:r>
          </w:p>
        </w:tc>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Current assets / current liabilities</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1.18×</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1.52×</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Improved; settlement and prepaid balances make this broad measure.</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Borrowings / equity</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Borrowings ex leases / total equity</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0.24×</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0.05×</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Lower bank borrowing relative to a larger post-IPO equity base.</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Return on average assets</w:t>
            </w:r>
          </w:p>
        </w:tc>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PAT / average total assets</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(1.43%)</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0.94%</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positive but still modest.</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Return on average equity</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PAT / average equity</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(4.13%)</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2.39%</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Equity base grew; reported return remains low.</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Revenue / average assets</w:t>
            </w:r>
          </w:p>
        </w:tc>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Revenue / average assets</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0.22×</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0.23×</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Asset turnover changed little FY25–FY26.</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CFO / PAT</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CFO / PAT</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Not meaningful</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3.51×</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FY25 PAT was negative; FY26 ratio is affected by working-capital timing and is not a stable conversion assumption.</w:t>
            </w:r>
          </w:p>
        </w:tc>
      </w:tr>
    </w:tbl>
    <w:p>
      <w:pPr>
        <w:spacing w:before="40" w:after="140"/>
        <w:widowControl/>
      </w:pPr>
      <w:r>
        <w:rPr>
          <w:i/>
          <w:color w:val="66788A"/>
          <w:sz w:val="15"/>
        </w:rPr>
        <w:t>Source / note: Author calculations using company-reported audited / restated statements and KPIs; see Appendix B. FY25–FY26 values rounded. FY25 CFO/PAT is not meaningful because PAT was negative; FY26 CFO/PAT = 395.39/112.51, but the ratio is affected by working-capital timing. [1–3]</w:t>
      </w:r>
    </w:p>
    <w:p>
      <w:pPr>
        <w:pStyle w:val="Heading2"/>
        <w:keepNext/>
        <w:widowControl/>
      </w:pPr>
      <w:r>
        <w:t>10.2 Supporting annual ratios</w:t>
      </w:r>
    </w:p>
    <w:p>
      <w:pPr>
        <w:keepNext/>
        <w:spacing w:before="80" w:after="60"/>
        <w:widowControl/>
      </w:pPr>
      <w:r>
        <w:rPr>
          <w:b/>
          <w:color w:val="17324D"/>
          <w:sz w:val="18"/>
        </w:rPr>
        <w:t>Table 26. Profitability, liquidity and leverage series</w:t>
      </w:r>
    </w:p>
    <w:tbl>
      <w:tblPr>
        <w:tblW w:type="auto" w:w="0"/>
        <w:jc w:val="center"/>
        <w:tblLayout w:type="fixed"/>
        <w:tblLook w:firstColumn="1" w:firstRow="1" w:lastColumn="0" w:lastRow="0" w:noHBand="0" w:noVBand="1" w:val="04A0"/>
      </w:tblPr>
      <w:tblGrid>
        <w:gridCol w:w="3816"/>
        <w:gridCol w:w="2045"/>
        <w:gridCol w:w="2045"/>
        <w:gridCol w:w="2045"/>
      </w:tblGrid>
      <w:tr>
        <w:trPr>
          <w:tblHeader w:val="true"/>
        </w:trPr>
        <w:tc>
          <w:tcPr>
            <w:tcW w:type="dxa" w:w="381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Ratio</w:t>
            </w:r>
          </w:p>
        </w:tc>
        <w:tc>
          <w:tcPr>
            <w:tcW w:type="dxa" w:w="2045"/>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FY24</w:t>
            </w:r>
          </w:p>
        </w:tc>
        <w:tc>
          <w:tcPr>
            <w:tcW w:type="dxa" w:w="2045"/>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FY25</w:t>
            </w:r>
          </w:p>
        </w:tc>
        <w:tc>
          <w:tcPr>
            <w:tcW w:type="dxa" w:w="2045"/>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FY26</w:t>
            </w:r>
          </w:p>
        </w:tc>
      </w:tr>
      <w:tr>
        <w:trPr>
          <w:cantSplit/>
        </w:trPr>
        <w:tc>
          <w:tcPr>
            <w:tcW w:type="dxa" w:w="381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PAT margin</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(19.3%)</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(6.4%)</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4.2%</w:t>
            </w:r>
          </w:p>
        </w:tc>
      </w:tr>
      <w:tr>
        <w:trPr>
          <w:cantSplit/>
        </w:trPr>
        <w:tc>
          <w:tcPr>
            <w:tcW w:type="dxa" w:w="381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Current ratio</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1.23×</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1.18×</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1.52×</w:t>
            </w:r>
          </w:p>
        </w:tc>
      </w:tr>
      <w:tr>
        <w:trPr>
          <w:cantSplit/>
        </w:trPr>
        <w:tc>
          <w:tcPr>
            <w:tcW w:type="dxa" w:w="381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Borrowings / equity (ex leases)</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0.15×</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0.24×</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0.05×</w:t>
            </w:r>
          </w:p>
        </w:tc>
      </w:tr>
      <w:tr>
        <w:trPr>
          <w:cantSplit/>
        </w:trPr>
        <w:tc>
          <w:tcPr>
            <w:tcW w:type="dxa" w:w="381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ROA on average assets</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(3.60%)</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(1.43%)</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0.94%</w:t>
            </w:r>
          </w:p>
        </w:tc>
      </w:tr>
      <w:tr>
        <w:trPr>
          <w:cantSplit/>
        </w:trPr>
        <w:tc>
          <w:tcPr>
            <w:tcW w:type="dxa" w:w="381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ROE on average equity</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(9.39%)</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(4.13%)</w:t>
            </w:r>
          </w:p>
        </w:tc>
        <w:tc>
          <w:tcPr>
            <w:tcW w:type="dxa" w:w="2045"/>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2.39%</w:t>
            </w:r>
          </w:p>
        </w:tc>
      </w:tr>
      <w:tr>
        <w:trPr>
          <w:cantSplit/>
        </w:trPr>
        <w:tc>
          <w:tcPr>
            <w:tcW w:type="dxa" w:w="381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Revenue / average assets</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0.19×</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0.22×</w:t>
            </w:r>
          </w:p>
        </w:tc>
        <w:tc>
          <w:tcPr>
            <w:tcW w:type="dxa" w:w="2045"/>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0.23×</w:t>
            </w:r>
          </w:p>
        </w:tc>
      </w:tr>
    </w:tbl>
    <w:p>
      <w:pPr>
        <w:spacing w:before="40" w:after="140"/>
        <w:widowControl/>
      </w:pPr>
      <w:r>
        <w:rPr>
          <w:i/>
          <w:color w:val="66788A"/>
          <w:sz w:val="15"/>
        </w:rPr>
        <w:t>Source / note: Analyst calculations using the restated / audited consolidated information. Average balance-sheet values use opening and closing balances; FY24–FY26 only. [1,2]</w:t>
      </w:r>
    </w:p>
    <w:p>
      <w:pPr>
        <w:pStyle w:val="Heading2"/>
        <w:keepNext/>
        <w:widowControl/>
      </w:pPr>
      <w:r>
        <w:t>10.3 Interpretation</w:t>
      </w:r>
    </w:p>
    <w:p>
      <w:pPr>
        <w:pStyle w:val="ListBullet"/>
        <w:spacing w:after="50"/>
        <w:ind w:left="317" w:hanging="202"/>
        <w:widowControl/>
      </w:pPr>
      <w:r>
        <w:rPr>
          <w:b/>
        </w:rPr>
        <w:t>Profitability:</w:t>
      </w:r>
      <w:r>
        <w:t xml:space="preserve"> PAT margin improved from negative levels to 4.2% in FY26. The low base means modest changes in other income, expenses or tax can produce large percentage changes.</w:t>
      </w:r>
    </w:p>
    <w:p>
      <w:pPr>
        <w:pStyle w:val="ListBullet"/>
        <w:spacing w:after="50"/>
        <w:ind w:left="317" w:hanging="202"/>
        <w:widowControl/>
      </w:pPr>
      <w:r>
        <w:rPr>
          <w:b/>
        </w:rPr>
        <w:t>Liquidity:</w:t>
      </w:r>
      <w:r>
        <w:t xml:space="preserve"> the current ratio is above 1×, but it is not a cash-availability measure where balances are earmarked or tied to customer programmes.</w:t>
      </w:r>
    </w:p>
    <w:p>
      <w:pPr>
        <w:pStyle w:val="ListBullet"/>
        <w:spacing w:after="50"/>
        <w:ind w:left="317" w:hanging="202"/>
        <w:widowControl/>
      </w:pPr>
      <w:r>
        <w:rPr>
          <w:b/>
        </w:rPr>
        <w:t>Leverage:</w:t>
      </w:r>
      <w:r>
        <w:t xml:space="preserve"> borrowings/equity fell materially. This improves resilience to interest expense but does not remove counterparty, settlement, lease or operational risk.</w:t>
      </w:r>
    </w:p>
    <w:p>
      <w:pPr>
        <w:pStyle w:val="ListBullet"/>
        <w:spacing w:after="50"/>
        <w:ind w:left="317" w:hanging="202"/>
        <w:widowControl/>
      </w:pPr>
      <w:r>
        <w:rPr>
          <w:b/>
        </w:rPr>
        <w:t>Returns:</w:t>
      </w:r>
      <w:r>
        <w:t xml:space="preserve"> ROE of about 2.4% in FY26 is low relative to the equity base; the listing and recent profitability make the three-year book-value series structurally non-steady.</w:t>
      </w:r>
    </w:p>
    <w:p>
      <w:pPr>
        <w:pStyle w:val="ListBullet"/>
        <w:spacing w:after="50"/>
        <w:ind w:left="317" w:hanging="202"/>
        <w:widowControl/>
      </w:pPr>
      <w:r>
        <w:rPr>
          <w:b/>
        </w:rPr>
        <w:t>Cash conversion:</w:t>
      </w:r>
      <w:r>
        <w:t xml:space="preserve"> FY26 CFO/PAT is high at about 3.5×, but the CFO series is volatile and reflects movements in customer and settlement balances. A multi-year normalized figure is more useful than one annual ratio.</w:t>
      </w:r>
    </w:p>
    <w:p>
      <w:pPr>
        <w:pStyle w:val="Heading2"/>
        <w:keepNext/>
        <w:widowControl/>
      </w:pPr>
      <w:r>
        <w:t>10.4 Important ratio caveats</w:t>
      </w:r>
    </w:p>
    <w:p>
      <w:pPr>
        <w:widowControl/>
      </w:pPr>
      <w:r>
        <w:t>All balance-sheet ratios use reported year-end classifications and do not adjust for restricted deposits, merchant settlement funds, leases, ESOP dilution or contingent obligations. FY23–FY25 are prospectus-restated; the merger and IPO change comparability. The company-defined adjusted EBITDA and contribution margin are presented separately from statutory margins. The valuation ratios in Chapter 13 use an October 2026 price and mixed-date financial denominators, and are therefore indicative only.</w:t>
      </w:r>
    </w:p>
    <w:p>
      <w:pPr>
        <w:widowControl/>
      </w:pPr>
      <w:r>
        <w:br w:type="page"/>
      </w:r>
    </w:p>
    <w:p>
      <w:pPr>
        <w:spacing w:before="60" w:after="40"/>
        <w:widowControl/>
      </w:pPr>
      <w:r>
        <w:rPr>
          <w:b/>
          <w:color w:val="D5A642"/>
          <w:sz w:val="18"/>
        </w:rPr>
        <w:t>CHAPTER 11</w:t>
      </w:r>
    </w:p>
    <w:p>
      <w:pPr>
        <w:pStyle w:val="Heading1"/>
        <w:keepNext/>
        <w:widowControl/>
      </w:pPr>
      <w:r>
        <w:t>Operating KPIs and Platform Economics</w:t>
      </w:r>
    </w:p>
    <w:p>
      <w:pPr>
        <w:spacing w:after="160"/>
        <w:widowControl/>
      </w:pPr>
      <w:r>
        <w:rPr>
          <w:i/>
          <w:color w:val="66788A"/>
          <w:sz w:val="19"/>
        </w:rPr>
        <w:t>Scale, monetization proxies and company-defined operating metrics</w:t>
      </w:r>
    </w:p>
    <w:p>
      <w:pPr>
        <w:pStyle w:val="Heading2"/>
        <w:keepNext/>
        <w:widowControl/>
      </w:pPr>
      <w:r>
        <w:t>11.1 Historical operating indicators</w:t>
      </w:r>
    </w:p>
    <w:p>
      <w:pPr>
        <w:keepNext/>
        <w:spacing w:before="80" w:after="60"/>
        <w:widowControl/>
      </w:pPr>
      <w:r>
        <w:rPr>
          <w:b/>
          <w:color w:val="17324D"/>
          <w:sz w:val="18"/>
        </w:rPr>
        <w:t>Table 27. Scale and activity indicators</w:t>
      </w:r>
    </w:p>
    <w:tbl>
      <w:tblPr>
        <w:tblW w:type="auto" w:w="0"/>
        <w:jc w:val="center"/>
        <w:tblLayout w:type="fixed"/>
        <w:tblLook w:firstColumn="1" w:firstRow="1" w:lastColumn="0" w:lastRow="0" w:noHBand="0" w:noVBand="1" w:val="04A0"/>
      </w:tblPr>
      <w:tblGrid>
        <w:gridCol w:w="3528"/>
        <w:gridCol w:w="1601"/>
        <w:gridCol w:w="1601"/>
        <w:gridCol w:w="1601"/>
        <w:gridCol w:w="1601"/>
      </w:tblGrid>
      <w:tr>
        <w:trPr>
          <w:tblHeader w:val="true"/>
        </w:trPr>
        <w:tc>
          <w:tcPr>
            <w:tcW w:type="dxa" w:w="352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KPI</w:t>
            </w:r>
          </w:p>
        </w:tc>
        <w:tc>
          <w:tcPr>
            <w:tcW w:type="dxa" w:w="1601"/>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FY23</w:t>
            </w:r>
          </w:p>
        </w:tc>
        <w:tc>
          <w:tcPr>
            <w:tcW w:type="dxa" w:w="1601"/>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FY24</w:t>
            </w:r>
          </w:p>
        </w:tc>
        <w:tc>
          <w:tcPr>
            <w:tcW w:type="dxa" w:w="1601"/>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FY25</w:t>
            </w:r>
          </w:p>
        </w:tc>
        <w:tc>
          <w:tcPr>
            <w:tcW w:type="dxa" w:w="1601"/>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FY26</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Platform GTV (₹ lakh crore)</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4.40</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6.08</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11.42</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17.15</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Transactions (crore)</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257</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344</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569</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740.37</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Merchants (lakh)</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5.30</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6.44</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9.54</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11.03</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DCPs (lakh)</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11.9</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13.9</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17.8</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20.28</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Prepaid cards issued during year (crore)</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49.52</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52.90</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71.30</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86.55</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International revenue share</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8.5%</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10.9%</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14.9%</w:t>
            </w:r>
          </w:p>
        </w:tc>
        <w:tc>
          <w:tcPr>
            <w:tcW w:type="dxa" w:w="1601"/>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14.9%</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Revenue / GTV proxy (basis points)</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36.3</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29.1</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19.9</w:t>
            </w:r>
          </w:p>
        </w:tc>
        <w:tc>
          <w:tcPr>
            <w:tcW w:type="dxa" w:w="1601"/>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15.8</w:t>
            </w:r>
          </w:p>
        </w:tc>
      </w:tr>
    </w:tbl>
    <w:p>
      <w:pPr>
        <w:spacing w:before="40" w:after="140"/>
        <w:widowControl/>
      </w:pPr>
      <w:r>
        <w:rPr>
          <w:i/>
          <w:color w:val="66788A"/>
          <w:sz w:val="15"/>
        </w:rPr>
        <w:t>Source / note: Company data books / prospectus; values rounded. GTV categories can overlap and should not be summed. Revenue/GTV basis-point proxy is the author’s ratio of consolidated revenue to total reported platform GTV, not a contractual take rate. [1,3]</w:t>
      </w:r>
    </w:p>
    <w:p>
      <w:pPr>
        <w:spacing w:before="60" w:after="20"/>
        <w:jc w:val="center"/>
        <w:widowControl/>
      </w:pPr>
      <w:r>
        <w:drawing>
          <wp:inline xmlns:a="http://schemas.openxmlformats.org/drawingml/2006/main" xmlns:pic="http://schemas.openxmlformats.org/drawingml/2006/picture">
            <wp:extent cx="5943600" cy="2459869"/>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459869"/>
                    </a:xfrm>
                    <a:prstGeom prst="rect"/>
                  </pic:spPr>
                </pic:pic>
              </a:graphicData>
            </a:graphic>
          </wp:inline>
        </w:drawing>
      </w:r>
    </w:p>
    <w:p>
      <w:pPr>
        <w:keepNext/>
        <w:spacing w:after="20"/>
        <w:jc w:val="center"/>
        <w:widowControl/>
      </w:pPr>
      <w:r>
        <w:rPr>
          <w:b/>
          <w:color w:val="17324D"/>
          <w:sz w:val="18"/>
        </w:rPr>
        <w:t>Figure 5. Platform GTV increased faster than recognized revenue</w:t>
      </w:r>
    </w:p>
    <w:p>
      <w:pPr>
        <w:spacing w:after="140"/>
        <w:jc w:val="center"/>
        <w:widowControl/>
      </w:pPr>
      <w:r>
        <w:rPr>
          <w:i/>
          <w:color w:val="66788A"/>
          <w:sz w:val="15"/>
        </w:rPr>
        <w:t>GTV in ₹ lakh crore. Company-defined platform GTV; this is not revenue or market share. [1,3]</w:t>
      </w:r>
    </w:p>
    <w:p>
      <w:pPr>
        <w:pStyle w:val="Heading2"/>
        <w:keepNext/>
        <w:widowControl/>
      </w:pPr>
      <w:r>
        <w:t>11.2 Q1 FY27 operating snapshot</w:t>
      </w:r>
    </w:p>
    <w:p>
      <w:pPr>
        <w:keepNext/>
        <w:spacing w:before="80" w:after="60"/>
        <w:widowControl/>
      </w:pPr>
      <w:r>
        <w:rPr>
          <w:b/>
          <w:color w:val="17324D"/>
          <w:sz w:val="18"/>
        </w:rPr>
        <w:t>Table 28. Q1 FY27 operating metrics</w:t>
      </w:r>
    </w:p>
    <w:tbl>
      <w:tblPr>
        <w:tblW w:type="auto" w:w="0"/>
        <w:jc w:val="center"/>
        <w:tblLayout w:type="fixed"/>
        <w:tblLook w:firstColumn="1" w:firstRow="1" w:lastColumn="0" w:lastRow="0" w:noHBand="0" w:noVBand="1" w:val="04A0"/>
      </w:tblPr>
      <w:tblGrid>
        <w:gridCol w:w="2376"/>
        <w:gridCol w:w="2880"/>
        <w:gridCol w:w="4680"/>
      </w:tblGrid>
      <w:tr>
        <w:trPr>
          <w:tblHeader w:val="true"/>
        </w:trPr>
        <w:tc>
          <w:tcPr>
            <w:tcW w:type="dxa" w:w="237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Metric</w:t>
            </w:r>
          </w:p>
        </w:tc>
        <w:tc>
          <w:tcPr>
            <w:tcW w:type="dxa" w:w="28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Q1 FY27</w:t>
            </w:r>
          </w:p>
        </w:tc>
        <w:tc>
          <w:tcPr>
            <w:tcW w:type="dxa" w:w="46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Interpretation</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Platform GTV</w:t>
            </w:r>
          </w:p>
        </w:tc>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₹4.22 lakh crore</w:t>
            </w:r>
          </w:p>
        </w:tc>
        <w:tc>
          <w:tcPr>
            <w:tcW w:type="dxa" w:w="46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Includes DITP ~₹4.04 lakh crore and IAP ~₹0.18 lakh crore per company KPI classification; categories may overlap.</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Transactions</w:t>
            </w:r>
          </w:p>
        </w:tc>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201 crore</w:t>
            </w:r>
          </w:p>
        </w:tc>
        <w:tc>
          <w:tcPr>
            <w:tcW w:type="dxa" w:w="46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Approximately 2.01 billion company-reported platform transactions during the quarter.</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DCPs</w:t>
            </w:r>
          </w:p>
        </w:tc>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21.7 lakh</w:t>
            </w:r>
          </w:p>
        </w:tc>
        <w:tc>
          <w:tcPr>
            <w:tcW w:type="dxa" w:w="46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Live touchpoints at period end; not every point necessarily transacts every month.</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Merchants</w:t>
            </w:r>
          </w:p>
        </w:tc>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11.5 lakh</w:t>
            </w:r>
          </w:p>
        </w:tc>
        <w:tc>
          <w:tcPr>
            <w:tcW w:type="dxa" w:w="46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Company-reported merchant network; definition and activity status follow company KPI book.</w:t>
            </w:r>
          </w:p>
        </w:tc>
      </w:tr>
      <w:tr>
        <w:trPr>
          <w:cantSplit/>
        </w:trPr>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International revenue</w:t>
            </w:r>
          </w:p>
        </w:tc>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~₹114 crore; about 16%</w:t>
            </w:r>
          </w:p>
        </w:tc>
        <w:tc>
          <w:tcPr>
            <w:tcW w:type="dxa" w:w="46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Quarterly company disclosure; international share has increased vs FY23 prospectus data.</w:t>
            </w:r>
          </w:p>
        </w:tc>
      </w:tr>
      <w:tr>
        <w:trPr>
          <w:cantSplit/>
        </w:trPr>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Flow / affordability GTV</w:t>
            </w:r>
          </w:p>
        </w:tc>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Subset of platform GTV</w:t>
            </w:r>
          </w:p>
        </w:tc>
        <w:tc>
          <w:tcPr>
            <w:tcW w:type="dxa" w:w="46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Do not add to total platform GTV; use the company’s classification and footnotes.</w:t>
            </w:r>
          </w:p>
        </w:tc>
      </w:tr>
    </w:tbl>
    <w:p>
      <w:pPr>
        <w:spacing w:before="40" w:after="140"/>
        <w:widowControl/>
      </w:pPr>
      <w:r>
        <w:rPr>
          <w:i/>
          <w:color w:val="66788A"/>
          <w:sz w:val="15"/>
        </w:rPr>
        <w:t>Source / note: Q1 FY27 shareholder letter and KPI data book. [5,6]</w:t>
      </w:r>
    </w:p>
    <w:p>
      <w:pPr>
        <w:pStyle w:val="Heading2"/>
        <w:keepNext/>
        <w:widowControl/>
      </w:pPr>
      <w:r>
        <w:t>11.3 What the monetization proxy says—and does not say</w:t>
      </w:r>
    </w:p>
    <w:p>
      <w:pPr>
        <w:widowControl/>
      </w:pPr>
      <w:r>
        <w:t>Dividing consolidated revenue by platform GTV gives a broad revenue-yield proxy of about 36 basis points in FY23, 29 in FY24, 20 in FY25 and 16 in FY26. The decline does not establish that Pine Labs cut price on a like-for-like transaction: GTV and revenue cover different product mixes, customer contracts, periods and possibly overlapping platform definitions. The ratio is a signal to investigate product mix and monetization, not an actual take rate. [1,3]</w:t>
      </w:r>
    </w:p>
    <w:p>
      <w:pPr>
        <w:widowControl/>
      </w:pPr>
      <w:r>
        <w:t>The operational priorities are therefore to disclose consistent revenue per active DCP / merchant, active-device rates, net revenue and contribution by product, cohort retention, cost to serve, and cash conversion by segment. These would help distinguish beneficial scale from low-yield volume growth.</w:t>
      </w:r>
    </w:p>
    <w:p>
      <w:pPr>
        <w:pStyle w:val="Heading2"/>
        <w:keepNext/>
        <w:widowControl/>
      </w:pPr>
      <w:r>
        <w:t>11.4 KPI interpretation cautions</w:t>
      </w:r>
    </w:p>
    <w:p>
      <w:pPr>
        <w:pStyle w:val="ListBullet"/>
        <w:spacing w:after="50"/>
        <w:ind w:left="317" w:hanging="202"/>
        <w:widowControl/>
      </w:pPr>
      <w:r>
        <w:t>GTV is transaction value, not assets managed, deposits, GMV recognized as revenue or credit extended by Pine Labs.</w:t>
      </w:r>
    </w:p>
    <w:p>
      <w:pPr>
        <w:pStyle w:val="ListBullet"/>
        <w:spacing w:after="50"/>
        <w:ind w:left="317" w:hanging="202"/>
        <w:widowControl/>
      </w:pPr>
      <w:r>
        <w:t>DCP counts can exceed merchant counts because a merchant may operate more than one checkout point.</w:t>
      </w:r>
    </w:p>
    <w:p>
      <w:pPr>
        <w:pStyle w:val="ListBullet"/>
        <w:spacing w:after="50"/>
        <w:ind w:left="317" w:hanging="202"/>
        <w:widowControl/>
      </w:pPr>
      <w:r>
        <w:t>Prepaid cards issued are cumulative or period issuance counts as specified by the data book; they are not a measure of active balances or revenue.</w:t>
      </w:r>
    </w:p>
    <w:p>
      <w:pPr>
        <w:pStyle w:val="ListBullet"/>
        <w:spacing w:after="50"/>
        <w:ind w:left="317" w:hanging="202"/>
        <w:widowControl/>
      </w:pPr>
      <w:r>
        <w:t>International revenue share is company-reported and can shift with acquisitions, consolidation and foreign-exchange movement.</w:t>
      </w:r>
    </w:p>
    <w:p>
      <w:pPr>
        <w:pStyle w:val="ListBullet"/>
        <w:spacing w:after="50"/>
        <w:ind w:left="317" w:hanging="202"/>
        <w:widowControl/>
      </w:pPr>
      <w:r>
        <w:t>Flow / affordability volume is a subset within the platform measurement and is not additive to the total.</w:t>
      </w:r>
    </w:p>
    <w:p>
      <w:pPr>
        <w:widowControl/>
      </w:pPr>
      <w:r>
        <w:br w:type="page"/>
      </w:r>
    </w:p>
    <w:p>
      <w:pPr>
        <w:spacing w:before="60" w:after="40"/>
        <w:widowControl/>
      </w:pPr>
      <w:r>
        <w:rPr>
          <w:b/>
          <w:color w:val="D5A642"/>
          <w:sz w:val="18"/>
        </w:rPr>
        <w:t>CHAPTER 12</w:t>
      </w:r>
    </w:p>
    <w:p>
      <w:pPr>
        <w:pStyle w:val="Heading1"/>
        <w:keepNext/>
        <w:widowControl/>
      </w:pPr>
      <w:r>
        <w:t>DuPont Analysis</w:t>
      </w:r>
    </w:p>
    <w:p>
      <w:pPr>
        <w:spacing w:after="160"/>
        <w:widowControl/>
      </w:pPr>
      <w:r>
        <w:rPr>
          <w:i/>
          <w:color w:val="66788A"/>
          <w:sz w:val="19"/>
        </w:rPr>
        <w:t>Breaking down returns on equity into margin, efficiency and leverage</w:t>
      </w:r>
    </w:p>
    <w:p>
      <w:pPr>
        <w:pStyle w:val="Heading2"/>
        <w:keepNext/>
        <w:widowControl/>
      </w:pPr>
      <w:r>
        <w:t>12.1 Method</w:t>
      </w:r>
    </w:p>
    <w:p>
      <w:pPr>
        <w:widowControl/>
      </w:pPr>
      <w:r>
        <w:t>The three-factor DuPont identity decomposes return on equity (ROE) into net profit margin × revenue / average assets × average assets / average equity. This helps show whether a change in shareholder return is driven by profitability, asset efficiency or financial leverage. It does not correct for merger restatements, equity issuance or cash restrictions; those changes must be interpreted separately. [15]</w:t>
      </w:r>
    </w:p>
    <w:p>
      <w:pPr>
        <w:widowControl/>
      </w:pPr>
      <w:r>
        <w:t>ROE = (PAT / revenue) × (revenue / average total assets) × (average total assets / average total equity). The product is algebraically equal to PAT / average equity when the same consolidated figures and periods are used.</w:t>
      </w:r>
    </w:p>
    <w:p>
      <w:pPr>
        <w:pStyle w:val="Heading2"/>
        <w:keepNext/>
        <w:widowControl/>
      </w:pPr>
      <w:r>
        <w:t>12.2 Results</w:t>
      </w:r>
    </w:p>
    <w:p>
      <w:pPr>
        <w:keepNext/>
        <w:spacing w:before="80" w:after="60"/>
        <w:widowControl/>
      </w:pPr>
      <w:r>
        <w:rPr>
          <w:b/>
          <w:color w:val="17324D"/>
          <w:sz w:val="18"/>
        </w:rPr>
        <w:t>Table 29. DuPont decomposition</w:t>
      </w:r>
    </w:p>
    <w:tbl>
      <w:tblPr>
        <w:tblW w:type="auto" w:w="0"/>
        <w:jc w:val="center"/>
        <w:tblLayout w:type="fixed"/>
        <w:tblLook w:firstColumn="1" w:firstRow="1" w:lastColumn="0" w:lastRow="0" w:noHBand="0" w:noVBand="1" w:val="04A0"/>
      </w:tblPr>
      <w:tblGrid>
        <w:gridCol w:w="3672"/>
        <w:gridCol w:w="2088"/>
        <w:gridCol w:w="2088"/>
        <w:gridCol w:w="2088"/>
      </w:tblGrid>
      <w:tr>
        <w:trPr>
          <w:tblHeader w:val="true"/>
        </w:trPr>
        <w:tc>
          <w:tcPr>
            <w:tcW w:type="dxa" w:w="367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Component</w:t>
            </w:r>
          </w:p>
        </w:tc>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FY24</w:t>
            </w:r>
          </w:p>
        </w:tc>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FY25</w:t>
            </w:r>
          </w:p>
        </w:tc>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FY26</w:t>
            </w:r>
          </w:p>
        </w:tc>
      </w:tr>
      <w:tr>
        <w:trPr>
          <w:cantSplit/>
        </w:trPr>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Net profit margin</w:t>
            </w:r>
          </w:p>
        </w:tc>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(19.32%)</w:t>
            </w:r>
          </w:p>
        </w:tc>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(6.40%)</w:t>
            </w:r>
          </w:p>
        </w:tc>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4.15%</w:t>
            </w:r>
          </w:p>
        </w:tc>
      </w:tr>
      <w:tr>
        <w:trPr>
          <w:cantSplit/>
        </w:trPr>
        <w:tc>
          <w:tcPr>
            <w:tcW w:type="dxa" w:w="36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Revenue / average assets</w:t>
            </w:r>
          </w:p>
        </w:tc>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0.186×</w:t>
            </w:r>
          </w:p>
        </w:tc>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0.223×</w:t>
            </w:r>
          </w:p>
        </w:tc>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0.226×</w:t>
            </w:r>
          </w:p>
        </w:tc>
      </w:tr>
      <w:tr>
        <w:trPr>
          <w:cantSplit/>
        </w:trPr>
        <w:tc>
          <w:tcPr>
            <w:tcW w:type="dxa" w:w="36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Average assets / average equity</w:t>
            </w:r>
          </w:p>
        </w:tc>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2.61×</w:t>
            </w:r>
          </w:p>
        </w:tc>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2.89×</w:t>
            </w:r>
          </w:p>
        </w:tc>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2.55×</w:t>
            </w:r>
          </w:p>
        </w:tc>
      </w:tr>
      <w:tr>
        <w:trPr>
          <w:cantSplit/>
        </w:trPr>
        <w:tc>
          <w:tcPr>
            <w:tcW w:type="dxa" w:w="36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ROE from DuPont</w:t>
            </w:r>
          </w:p>
        </w:tc>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(9.39%)</w:t>
            </w:r>
          </w:p>
        </w:tc>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(4.13%)</w:t>
            </w:r>
          </w:p>
        </w:tc>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2.39%</w:t>
            </w:r>
          </w:p>
        </w:tc>
      </w:tr>
    </w:tbl>
    <w:p>
      <w:pPr>
        <w:spacing w:before="40" w:after="140"/>
        <w:widowControl/>
      </w:pPr>
      <w:r>
        <w:rPr>
          <w:i/>
          <w:color w:val="66788A"/>
          <w:sz w:val="15"/>
        </w:rPr>
        <w:t>Source / note: Author calculation using reported PAT, revenue and opening / closing consolidated balance-sheet figures. [1,2]</w:t>
      </w:r>
    </w:p>
    <w:p>
      <w:pPr>
        <w:pStyle w:val="Heading2"/>
        <w:keepNext/>
        <w:widowControl/>
      </w:pPr>
      <w:r>
        <w:t>12.3 Interpretation</w:t>
      </w:r>
    </w:p>
    <w:p>
      <w:pPr>
        <w:widowControl/>
      </w:pPr>
      <w:r>
        <w:t>Losses drove negative ROE in FY24 and FY25. FY26 moved to a positive ROE of approximately 2.4%, almost entirely because PAT margin turned positive; asset turnover was broadly stable at about 0.23× and the average equity multiplier declined from 2.89× to 2.55×. Lower leverage reduced balance-sheet risk but also means that higher sustainable ROE must be earned through stronger margins and/or asset productivity rather than debt alone.</w:t>
      </w:r>
    </w:p>
    <w:p>
      <w:pPr>
        <w:widowControl/>
      </w:pPr>
      <w:r>
        <w:t>The result is not a mature steady-state return. Equity expanded after the IPO and share conversions, so book value and average equity grew faster than operating history. A single year’s ROE should not be extrapolated into a terminal forecast.</w:t>
      </w:r>
    </w:p>
    <w:p>
      <w:pPr>
        <w:widowControl/>
      </w:pPr>
      <w:r>
        <w:br w:type="page"/>
      </w:r>
    </w:p>
    <w:p>
      <w:pPr>
        <w:spacing w:before="60" w:after="40"/>
        <w:widowControl/>
      </w:pPr>
      <w:r>
        <w:rPr>
          <w:b/>
          <w:color w:val="D5A642"/>
          <w:sz w:val="18"/>
        </w:rPr>
        <w:t>CHAPTER 13</w:t>
      </w:r>
    </w:p>
    <w:p>
      <w:pPr>
        <w:pStyle w:val="Heading1"/>
        <w:keepNext/>
        <w:widowControl/>
      </w:pPr>
      <w:r>
        <w:t>Peer Context and Valuation</w:t>
      </w:r>
    </w:p>
    <w:p>
      <w:pPr>
        <w:spacing w:after="160"/>
        <w:widowControl/>
      </w:pPr>
      <w:r>
        <w:rPr>
          <w:i/>
          <w:color w:val="66788A"/>
          <w:sz w:val="19"/>
        </w:rPr>
        <w:t>Relative positioning and a transparent, dated market-multiple snapshot</w:t>
      </w:r>
    </w:p>
    <w:p>
      <w:pPr>
        <w:pStyle w:val="Heading2"/>
        <w:keepNext/>
        <w:widowControl/>
      </w:pPr>
      <w:r>
        <w:t>13.1 Qualitative peer comparison</w:t>
      </w:r>
    </w:p>
    <w:p>
      <w:pPr>
        <w:keepNext/>
        <w:spacing w:before="80" w:after="60"/>
        <w:widowControl/>
      </w:pPr>
      <w:r>
        <w:rPr>
          <w:b/>
          <w:color w:val="17324D"/>
          <w:sz w:val="18"/>
        </w:rPr>
        <w:t>Table 30. Qualitative peer set</w:t>
      </w:r>
    </w:p>
    <w:tbl>
      <w:tblPr>
        <w:tblW w:type="auto" w:w="0"/>
        <w:jc w:val="center"/>
        <w:tblLayout w:type="fixed"/>
        <w:tblLook w:firstColumn="1" w:firstRow="1" w:lastColumn="0" w:lastRow="0" w:noHBand="0" w:noVBand="1" w:val="04A0"/>
      </w:tblPr>
      <w:tblGrid>
        <w:gridCol w:w="1800"/>
        <w:gridCol w:w="2592"/>
        <w:gridCol w:w="3024"/>
        <w:gridCol w:w="2520"/>
      </w:tblGrid>
      <w:tr>
        <w:trPr>
          <w:tblHeader w:val="true"/>
        </w:trPr>
        <w:tc>
          <w:tcPr>
            <w:tcW w:type="dxa" w:w="180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Company / group</w:t>
            </w:r>
          </w:p>
        </w:tc>
        <w:tc>
          <w:tcPr>
            <w:tcW w:type="dxa" w:w="259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Main overlap</w:t>
            </w:r>
          </w:p>
        </w:tc>
        <w:tc>
          <w:tcPr>
            <w:tcW w:type="dxa" w:w="302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Potential differentiation / fit</w:t>
            </w:r>
          </w:p>
        </w:tc>
        <w:tc>
          <w:tcPr>
            <w:tcW w:type="dxa" w:w="252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Comparability note</w:t>
            </w:r>
          </w:p>
        </w:tc>
      </w:tr>
      <w:tr>
        <w:trPr>
          <w:cantSplit/>
        </w:trPr>
        <w:tc>
          <w:tcPr>
            <w:tcW w:type="dxa" w:w="180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Pine Labs</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In-store / online acceptance; affordability; prepaid and issuer processing; APIs</w:t>
            </w:r>
          </w:p>
        </w:tc>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Broad dual platform, merchant and institutional relationships, international operations</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Public company; newly listed; consolidated history is restated and short.</w:t>
            </w:r>
          </w:p>
        </w:tc>
      </w:tr>
      <w:tr>
        <w:trPr>
          <w:cantSplit/>
        </w:trPr>
        <w:tc>
          <w:tcPr>
            <w:tcW w:type="dxa" w:w="180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Paytm / One 97</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Consumer payments, merchant tools and financial-services distribution</w:t>
            </w:r>
          </w:p>
        </w:tc>
        <w:tc>
          <w:tcPr>
            <w:tcW w:type="dxa" w:w="302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Large consumer / merchant ecosystem; distinct product and regulatory mix</w:t>
            </w:r>
          </w:p>
        </w:tc>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Listed; use only as context, not a same-model valuation peer.</w:t>
            </w:r>
          </w:p>
        </w:tc>
      </w:tr>
      <w:tr>
        <w:trPr>
          <w:cantSplit/>
        </w:trPr>
        <w:tc>
          <w:tcPr>
            <w:tcW w:type="dxa" w:w="180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Zaggle</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Corporate prepaid, benefits, spend and expense-management technology</w:t>
            </w:r>
          </w:p>
        </w:tc>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Closer in prepaid / enterprise programmes</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Listed but narrower and different revenue mix.</w:t>
            </w:r>
          </w:p>
        </w:tc>
      </w:tr>
      <w:tr>
        <w:trPr>
          <w:cantSplit/>
        </w:trPr>
        <w:tc>
          <w:tcPr>
            <w:tcW w:type="dxa" w:w="180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Razorpay</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Online acceptance, merchant software and business-finance tools</w:t>
            </w:r>
          </w:p>
        </w:tc>
        <w:tc>
          <w:tcPr>
            <w:tcW w:type="dxa" w:w="302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Online and merchant-SaaS adjacency</w:t>
            </w:r>
          </w:p>
        </w:tc>
        <w:tc>
          <w:tcPr>
            <w:tcW w:type="dxa" w:w="252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Private; public financial comparability limited.</w:t>
            </w:r>
          </w:p>
        </w:tc>
      </w:tr>
      <w:tr>
        <w:trPr>
          <w:cantSplit/>
        </w:trPr>
        <w:tc>
          <w:tcPr>
            <w:tcW w:type="dxa" w:w="180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Adyen / Worldline</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Global acquiring, processing and cross-border services</w:t>
            </w:r>
          </w:p>
        </w:tc>
        <w:tc>
          <w:tcPr>
            <w:tcW w:type="dxa" w:w="302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Infrastructure / acquiring benchmark</w:t>
            </w:r>
          </w:p>
        </w:tc>
        <w:tc>
          <w:tcPr>
            <w:tcW w:type="dxa" w:w="252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Different markets, scale, licensing and accounting; not a local peer multiple set.</w:t>
            </w:r>
          </w:p>
        </w:tc>
      </w:tr>
    </w:tbl>
    <w:p>
      <w:pPr>
        <w:spacing w:before="40" w:after="140"/>
        <w:widowControl/>
      </w:pPr>
      <w:r>
        <w:rPr>
          <w:i/>
          <w:color w:val="66788A"/>
          <w:sz w:val="15"/>
        </w:rPr>
        <w:t>Source / note: Qualitative description only; company disclosures and public descriptions. No peer valuation multiples are asserted.</w:t>
      </w:r>
    </w:p>
    <w:p>
      <w:pPr>
        <w:pStyle w:val="Heading2"/>
        <w:keepNext/>
        <w:widowControl/>
      </w:pPr>
      <w:r>
        <w:t>13.2 Market and LTM calculation</w:t>
      </w:r>
    </w:p>
    <w:p>
      <w:pPr>
        <w:keepNext/>
        <w:spacing w:before="80" w:after="60"/>
        <w:widowControl/>
      </w:pPr>
      <w:r>
        <w:rPr>
          <w:b/>
          <w:color w:val="17324D"/>
          <w:sz w:val="18"/>
        </w:rPr>
        <w:t>Table 31. Illustrative valuation snapshot as at 1 October 2026</w:t>
      </w:r>
    </w:p>
    <w:tbl>
      <w:tblPr>
        <w:tblW w:type="auto" w:w="0"/>
        <w:jc w:val="center"/>
        <w:tblLayout w:type="fixed"/>
        <w:tblLook w:firstColumn="1" w:firstRow="1" w:lastColumn="0" w:lastRow="0" w:noHBand="0" w:noVBand="1" w:val="04A0"/>
      </w:tblPr>
      <w:tblGrid>
        <w:gridCol w:w="2880"/>
        <w:gridCol w:w="2448"/>
        <w:gridCol w:w="4608"/>
      </w:tblGrid>
      <w:tr>
        <w:trPr>
          <w:tblHeader w:val="true"/>
        </w:trPr>
        <w:tc>
          <w:tcPr>
            <w:tcW w:type="dxa" w:w="28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Item</w:t>
            </w:r>
          </w:p>
        </w:tc>
        <w:tc>
          <w:tcPr>
            <w:tcW w:type="dxa" w:w="244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Value</w:t>
            </w:r>
          </w:p>
        </w:tc>
        <w:tc>
          <w:tcPr>
            <w:tcW w:type="dxa" w:w="460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Method / date caveat</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BSE close price</w:t>
            </w:r>
          </w:p>
        </w:tc>
        <w:tc>
          <w:tcPr>
            <w:tcW w:type="dxa" w:w="24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₹167.55</w:t>
            </w:r>
          </w:p>
        </w:tc>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 Oct 2026 close [11]</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Paid-up shares / capital proxy</w:t>
            </w:r>
          </w:p>
        </w:tc>
        <w:tc>
          <w:tcPr>
            <w:tcW w:type="dxa" w:w="24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~115.39 crore shares</w:t>
            </w:r>
          </w:p>
        </w:tc>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₹115.39 crore paid-up equity capital at 30 Jun 2026; ₹1 face value; rounded basic count [5]</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Indicative equity market value</w:t>
            </w:r>
          </w:p>
        </w:tc>
        <w:tc>
          <w:tcPr>
            <w:tcW w:type="dxa" w:w="24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₹19,334 crore</w:t>
            </w:r>
          </w:p>
        </w:tc>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Price × approximate paid-up shares; not fully diluted</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LTM revenue</w:t>
            </w:r>
          </w:p>
        </w:tc>
        <w:tc>
          <w:tcPr>
            <w:tcW w:type="dxa" w:w="24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₹2,831.60 crore</w:t>
            </w:r>
          </w:p>
        </w:tc>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FY26 + Q1 FY27 − Q1 FY26</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LTM PAT</w:t>
            </w:r>
          </w:p>
        </w:tc>
        <w:tc>
          <w:tcPr>
            <w:tcW w:type="dxa" w:w="24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₹127.29 crore</w:t>
            </w:r>
          </w:p>
        </w:tc>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FY26 + Q1 FY27 − Q1 FY26</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Indicative P/S</w:t>
            </w:r>
          </w:p>
        </w:tc>
        <w:tc>
          <w:tcPr>
            <w:tcW w:type="dxa" w:w="24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6.83×</w:t>
            </w:r>
          </w:p>
        </w:tc>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Approx. market value / LTM revenue</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Indicative P/E</w:t>
            </w:r>
          </w:p>
        </w:tc>
        <w:tc>
          <w:tcPr>
            <w:tcW w:type="dxa" w:w="24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152×</w:t>
            </w:r>
          </w:p>
        </w:tc>
        <w:tc>
          <w:tcPr>
            <w:tcW w:type="dxa" w:w="460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Approx. market value / LTM PAT; positive but early earnings base</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Indicative P/B</w:t>
            </w:r>
          </w:p>
        </w:tc>
        <w:tc>
          <w:tcPr>
            <w:tcW w:type="dxa" w:w="24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3.28×</w:t>
            </w:r>
          </w:p>
        </w:tc>
        <w:tc>
          <w:tcPr>
            <w:tcW w:type="dxa" w:w="460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Market value / FY26 closing equity; mixed-date snapshot</w:t>
            </w:r>
          </w:p>
        </w:tc>
      </w:tr>
    </w:tbl>
    <w:p>
      <w:pPr>
        <w:spacing w:before="40" w:after="140"/>
        <w:widowControl/>
      </w:pPr>
      <w:r>
        <w:rPr>
          <w:i/>
          <w:color w:val="66788A"/>
          <w:sz w:val="15"/>
        </w:rPr>
        <w:t>Source / note: Author calculations from BSE price, company interim paid-up capital and results. These are not company-published multiples; approximate share count excludes potential dilution and uses a rounded capital figure. [2,5,11]</w:t>
      </w:r>
    </w:p>
    <w:p>
      <w:pPr>
        <w:widowControl/>
      </w:pPr>
      <w:r>
        <w:t>The LTM calculations are: revenue = ₹2,710.59 crore + ₹736.92 crore − ₹615.91 crore = ₹2,831.60 crore; PAT = ₹112.51 crore + ₹19.57 crore − ₹4.79 crore = ₹127.29 crore. The market-cap proxy is approximately ₹19,334 crore. The 1 October close was about 24.2% below the ₹221 IPO issue price; this is a price comparison, not a total-return calculation and excludes dividends / corporate actions. [2,5,11]</w:t>
      </w:r>
    </w:p>
    <w:p>
      <w:pPr>
        <w:pStyle w:val="Heading2"/>
        <w:keepNext/>
        <w:widowControl/>
      </w:pPr>
      <w:r>
        <w:t>13.3 P/B sensitivity: an illustrative expectation test</w:t>
      </w:r>
    </w:p>
    <w:p>
      <w:pPr>
        <w:widowControl/>
      </w:pPr>
      <w:r>
        <w:t>Because Pine Labs’ current P/E is unusually sensitive to a relatively small positive PAT base, a simplified stable-growth P/B identity can illustrate the return expectations implied by a higher book multiple. Under P/B = (sustainable ROE − g) / (cost of equity − g), assume a 12% cost of equity and 4% long-term growth. Those assumptions are illustrative and are not Pine Labs forecasts. [15]</w:t>
      </w:r>
    </w:p>
    <w:p>
      <w:pPr>
        <w:keepNext/>
        <w:spacing w:before="80" w:after="60"/>
        <w:widowControl/>
      </w:pPr>
      <w:r>
        <w:rPr>
          <w:b/>
          <w:color w:val="17324D"/>
          <w:sz w:val="18"/>
        </w:rPr>
        <w:t>Table 32. Illustrative justified P/B sensitivity</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96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Sustainable ROE assumption</w:t>
            </w:r>
          </w:p>
        </w:tc>
        <w:tc>
          <w:tcPr>
            <w:tcW w:type="dxa" w:w="496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Illustrative P/B at Ke 12%, g 4%</w:t>
            </w:r>
          </w:p>
        </w:tc>
      </w:tr>
      <w:tr>
        <w:trPr>
          <w:cantSplit/>
        </w:trPr>
        <w:tc>
          <w:tcPr>
            <w:tcW w:type="dxa" w:w="49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12%</w:t>
            </w:r>
          </w:p>
        </w:tc>
        <w:tc>
          <w:tcPr>
            <w:tcW w:type="dxa" w:w="49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1.00×</w:t>
            </w:r>
          </w:p>
        </w:tc>
      </w:tr>
      <w:tr>
        <w:trPr>
          <w:cantSplit/>
        </w:trPr>
        <w:tc>
          <w:tcPr>
            <w:tcW w:type="dxa" w:w="49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16%</w:t>
            </w:r>
          </w:p>
        </w:tc>
        <w:tc>
          <w:tcPr>
            <w:tcW w:type="dxa" w:w="49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1.50×</w:t>
            </w:r>
          </w:p>
        </w:tc>
      </w:tr>
      <w:tr>
        <w:trPr>
          <w:cantSplit/>
        </w:trPr>
        <w:tc>
          <w:tcPr>
            <w:tcW w:type="dxa" w:w="49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20%</w:t>
            </w:r>
          </w:p>
        </w:tc>
        <w:tc>
          <w:tcPr>
            <w:tcW w:type="dxa" w:w="49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2.00×</w:t>
            </w:r>
          </w:p>
        </w:tc>
      </w:tr>
      <w:tr>
        <w:trPr>
          <w:cantSplit/>
        </w:trPr>
        <w:tc>
          <w:tcPr>
            <w:tcW w:type="dxa" w:w="49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24%</w:t>
            </w:r>
          </w:p>
        </w:tc>
        <w:tc>
          <w:tcPr>
            <w:tcW w:type="dxa" w:w="49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2.50×</w:t>
            </w:r>
          </w:p>
        </w:tc>
      </w:tr>
      <w:tr>
        <w:trPr>
          <w:cantSplit/>
        </w:trPr>
        <w:tc>
          <w:tcPr>
            <w:tcW w:type="dxa" w:w="49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30%</w:t>
            </w:r>
          </w:p>
        </w:tc>
        <w:tc>
          <w:tcPr>
            <w:tcW w:type="dxa" w:w="49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3.25×</w:t>
            </w:r>
          </w:p>
        </w:tc>
      </w:tr>
    </w:tbl>
    <w:p>
      <w:pPr>
        <w:spacing w:before="40" w:after="140"/>
        <w:widowControl/>
      </w:pPr>
      <w:r>
        <w:rPr>
          <w:i/>
          <w:color w:val="66788A"/>
          <w:sz w:val="15"/>
        </w:rPr>
        <w:t>Source / note: Author calculation using the stable-growth relation. The market snapshot P/B of about 3.28× is close to the illustrative 30% ROE case, versus reported FY26 ROE of about 2.4%. This is not a price target or proof that 30% ROE will occur.</w:t>
      </w:r>
    </w:p>
    <w:p>
      <w:pPr>
        <w:pStyle w:val="Heading2"/>
        <w:keepNext/>
        <w:widowControl/>
      </w:pPr>
      <w:r>
        <w:t>13.4 Valuation interpretation and limits</w:t>
      </w:r>
    </w:p>
    <w:p>
      <w:pPr>
        <w:pStyle w:val="ListBullet"/>
        <w:spacing w:after="50"/>
        <w:ind w:left="317" w:hanging="202"/>
        <w:widowControl/>
      </w:pPr>
      <w:r>
        <w:t>The LTM P/E of roughly 152× is high; it reflects both market expectations and the small recent earnings denominator. It can fall quickly if profit scales, or rise sharply if profit disappoints.</w:t>
      </w:r>
    </w:p>
    <w:p>
      <w:pPr>
        <w:pStyle w:val="ListBullet"/>
        <w:spacing w:after="50"/>
        <w:ind w:left="317" w:hanging="202"/>
        <w:widowControl/>
      </w:pPr>
      <w:r>
        <w:t>A P/S of roughly 6.8× requires meaningful future revenue growth and/or improved contribution and net margins to support equity value. It should not be compared without adjusting for business mix and cash obligations.</w:t>
      </w:r>
    </w:p>
    <w:p>
      <w:pPr>
        <w:pStyle w:val="ListBullet"/>
        <w:spacing w:after="50"/>
        <w:ind w:left="317" w:hanging="202"/>
        <w:widowControl/>
      </w:pPr>
      <w:r>
        <w:t>P/B uses FY26 closing equity while price is dated October 2026. Post-year-end share issues, ESOPs, acquisitions and results may alter both book value and share count.</w:t>
      </w:r>
    </w:p>
    <w:p>
      <w:pPr>
        <w:pStyle w:val="ListBullet"/>
        <w:spacing w:after="50"/>
        <w:ind w:left="317" w:hanging="202"/>
        <w:widowControl/>
      </w:pPr>
      <w:r>
        <w:t>Other bank balances include settlement / customer-related amounts, so a reliable enterprise-value calculation would require a careful unrestricted-cash and debt bridge; this report does not publish an EV/EBITDA multiple.</w:t>
      </w:r>
    </w:p>
    <w:p>
      <w:pPr>
        <w:pStyle w:val="ListBullet"/>
        <w:spacing w:after="50"/>
        <w:ind w:left="317" w:hanging="202"/>
        <w:widowControl/>
      </w:pPr>
      <w:r>
        <w:t>No discounted-cash-flow target is calculated because public cash-flow history is settlement-sensitive, earnings are early-cycle, and a forecast would require unsupported assumptions.</w:t>
      </w:r>
    </w:p>
    <w:p>
      <w:pPr>
        <w:widowControl/>
      </w:pPr>
      <w:r>
        <w:br w:type="page"/>
      </w:r>
    </w:p>
    <w:p>
      <w:pPr>
        <w:spacing w:before="60" w:after="40"/>
        <w:widowControl/>
      </w:pPr>
      <w:r>
        <w:rPr>
          <w:b/>
          <w:color w:val="D5A642"/>
          <w:sz w:val="18"/>
        </w:rPr>
        <w:t>CHAPTER 14</w:t>
      </w:r>
    </w:p>
    <w:p>
      <w:pPr>
        <w:pStyle w:val="Heading1"/>
        <w:keepNext/>
        <w:widowControl/>
      </w:pPr>
      <w:r>
        <w:t>Listed-Market Snapshot</w:t>
      </w:r>
    </w:p>
    <w:p>
      <w:pPr>
        <w:spacing w:after="160"/>
        <w:widowControl/>
      </w:pPr>
      <w:r>
        <w:rPr>
          <w:i/>
          <w:color w:val="66788A"/>
          <w:sz w:val="19"/>
        </w:rPr>
        <w:t>A dated price-range illustration, not a technical trading recommendation</w:t>
      </w:r>
    </w:p>
    <w:p>
      <w:pPr>
        <w:pStyle w:val="Heading2"/>
        <w:keepNext/>
        <w:widowControl/>
      </w:pPr>
      <w:r>
        <w:t>14.1 BSE price snapshot</w:t>
      </w:r>
    </w:p>
    <w:p>
      <w:pPr>
        <w:spacing w:before="60" w:after="20"/>
        <w:jc w:val="center"/>
        <w:widowControl/>
      </w:pPr>
      <w:r>
        <w:drawing>
          <wp:inline xmlns:a="http://schemas.openxmlformats.org/drawingml/2006/main" xmlns:pic="http://schemas.openxmlformats.org/drawingml/2006/picture">
            <wp:extent cx="5943600" cy="188253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1882534"/>
                    </a:xfrm>
                    <a:prstGeom prst="rect"/>
                  </pic:spPr>
                </pic:pic>
              </a:graphicData>
            </a:graphic>
          </wp:inline>
        </w:drawing>
      </w:r>
    </w:p>
    <w:p>
      <w:pPr>
        <w:keepNext/>
        <w:spacing w:after="20"/>
        <w:jc w:val="center"/>
        <w:widowControl/>
      </w:pPr>
      <w:r>
        <w:rPr>
          <w:b/>
          <w:color w:val="17324D"/>
          <w:sz w:val="18"/>
        </w:rPr>
        <w:t>Figure 6. BSE price range and IPO issue-price reference</w:t>
      </w:r>
    </w:p>
    <w:p>
      <w:pPr>
        <w:spacing w:after="140"/>
        <w:jc w:val="center"/>
        <w:widowControl/>
      </w:pPr>
      <w:r>
        <w:rPr>
          <w:i/>
          <w:color w:val="66788A"/>
          <w:sz w:val="15"/>
        </w:rPr>
        <w:t>BSE quote page: close ₹167.55 and 52-week range ₹134.75–₹283.70 on 1 October 2026; IPO issue price ₹221 from prospectus. [1,11]</w:t>
      </w:r>
    </w:p>
    <w:p>
      <w:pPr>
        <w:keepNext/>
        <w:spacing w:before="80" w:after="60"/>
        <w:widowControl/>
      </w:pPr>
      <w:r>
        <w:rPr>
          <w:b/>
          <w:color w:val="17324D"/>
          <w:sz w:val="18"/>
        </w:rPr>
        <w:t>Table 33. Listed-market reference points</w:t>
      </w:r>
    </w:p>
    <w:tbl>
      <w:tblPr>
        <w:tblW w:type="auto" w:w="0"/>
        <w:jc w:val="center"/>
        <w:tblLayout w:type="fixed"/>
        <w:tblLook w:firstColumn="1" w:firstRow="1" w:lastColumn="0" w:lastRow="0" w:noHBand="0" w:noVBand="1" w:val="04A0"/>
      </w:tblPr>
      <w:tblGrid>
        <w:gridCol w:w="3240"/>
        <w:gridCol w:w="2016"/>
        <w:gridCol w:w="4680"/>
      </w:tblGrid>
      <w:tr>
        <w:trPr>
          <w:tblHeader w:val="true"/>
        </w:trPr>
        <w:tc>
          <w:tcPr>
            <w:tcW w:type="dxa" w:w="324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Reference</w:t>
            </w:r>
          </w:p>
        </w:tc>
        <w:tc>
          <w:tcPr>
            <w:tcW w:type="dxa" w:w="201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Value</w:t>
            </w:r>
          </w:p>
        </w:tc>
        <w:tc>
          <w:tcPr>
            <w:tcW w:type="dxa" w:w="46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Comment</w:t>
            </w:r>
          </w:p>
        </w:tc>
      </w:tr>
      <w:tr>
        <w:trPr>
          <w:cantSplit/>
        </w:trPr>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BSE closing price, 1 Oct 2026</w:t>
            </w:r>
          </w:p>
        </w:tc>
        <w:tc>
          <w:tcPr>
            <w:tcW w:type="dxa" w:w="201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₹167.55</w:t>
            </w:r>
          </w:p>
        </w:tc>
        <w:tc>
          <w:tcPr>
            <w:tcW w:type="dxa" w:w="46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Official BSE quote page; time-stamped close.</w:t>
            </w:r>
          </w:p>
        </w:tc>
      </w:tr>
      <w:tr>
        <w:trPr>
          <w:cantSplit/>
        </w:trPr>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BSE 52-week low / high</w:t>
            </w:r>
          </w:p>
        </w:tc>
        <w:tc>
          <w:tcPr>
            <w:tcW w:type="dxa" w:w="201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₹134.75 / ₹283.70</w:t>
            </w:r>
          </w:p>
        </w:tc>
        <w:tc>
          <w:tcPr>
            <w:tcW w:type="dxa" w:w="46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As displayed by BSE on the snapshot date; period is rolling and date-dependent.</w:t>
            </w:r>
          </w:p>
        </w:tc>
      </w:tr>
      <w:tr>
        <w:trPr>
          <w:cantSplit/>
        </w:trPr>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IPO issue price</w:t>
            </w:r>
          </w:p>
        </w:tc>
        <w:tc>
          <w:tcPr>
            <w:tcW w:type="dxa" w:w="201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₹221</w:t>
            </w:r>
          </w:p>
        </w:tc>
        <w:tc>
          <w:tcPr>
            <w:tcW w:type="dxa" w:w="46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Offer price in the prospectus; comparison does not include dividends.</w:t>
            </w:r>
          </w:p>
        </w:tc>
      </w:tr>
      <w:tr>
        <w:trPr>
          <w:cantSplit/>
        </w:trPr>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Price versus issue price</w:t>
            </w:r>
          </w:p>
        </w:tc>
        <w:tc>
          <w:tcPr>
            <w:tcW w:type="dxa" w:w="201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−24.2%</w:t>
            </w:r>
          </w:p>
        </w:tc>
        <w:tc>
          <w:tcPr>
            <w:tcW w:type="dxa" w:w="46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Calculated from closing price / issue price − 1; not total shareholder return.</w:t>
            </w:r>
          </w:p>
        </w:tc>
      </w:tr>
    </w:tbl>
    <w:p>
      <w:pPr>
        <w:spacing w:before="40" w:after="140"/>
        <w:widowControl/>
      </w:pPr>
      <w:r>
        <w:rPr>
          <w:i/>
          <w:color w:val="66788A"/>
          <w:sz w:val="15"/>
        </w:rPr>
        <w:t>Source / note: Author calculation from the BSE quote page and Pine Labs prospectus. [1,11]</w:t>
      </w:r>
    </w:p>
    <w:p>
      <w:pPr>
        <w:pStyle w:val="Heading2"/>
        <w:keepNext/>
        <w:widowControl/>
      </w:pPr>
      <w:r>
        <w:t>14.2 Scope of technical analysis</w:t>
      </w:r>
    </w:p>
    <w:p>
      <w:pPr>
        <w:widowControl/>
      </w:pPr>
      <w:r>
        <w:t>The chart is a price-range snapshot, not a time-series chart. RSI, MACD, moving averages, support / resistance, beta and volatility were not computed because a validated adjusted daily-price series was not assembled for this report. Intraday quotes from third-party sites differed from the BSE close; the BSE official close is used consistently. A technical signal would require an explicitly sourced, corporate-action-adjusted daily series and an identified time horizon.</w:t>
      </w:r>
    </w:p>
    <w:p>
      <w:pPr>
        <w:widowControl/>
      </w:pPr>
      <w:r>
        <w:t>For an academic report, the market chapter should be refreshed before final submission if the evaluation requires a live-price date, and the valuation calculations should be updated using the same market date and fully diluted share count.</w:t>
      </w:r>
    </w:p>
    <w:p>
      <w:pPr>
        <w:widowControl/>
      </w:pPr>
      <w:r>
        <w:br w:type="page"/>
      </w:r>
    </w:p>
    <w:p>
      <w:pPr>
        <w:spacing w:before="60" w:after="40"/>
        <w:widowControl/>
      </w:pPr>
      <w:r>
        <w:rPr>
          <w:b/>
          <w:color w:val="D5A642"/>
          <w:sz w:val="18"/>
        </w:rPr>
        <w:t>CHAPTER 15</w:t>
      </w:r>
    </w:p>
    <w:p>
      <w:pPr>
        <w:pStyle w:val="Heading1"/>
        <w:keepNext/>
        <w:widowControl/>
      </w:pPr>
      <w:r>
        <w:t>Risk Analysis</w:t>
      </w:r>
    </w:p>
    <w:p>
      <w:pPr>
        <w:spacing w:after="160"/>
        <w:widowControl/>
      </w:pPr>
      <w:r>
        <w:rPr>
          <w:i/>
          <w:color w:val="66788A"/>
          <w:sz w:val="19"/>
        </w:rPr>
        <w:t>Principal business, financial, regulatory and market risks</w:t>
      </w:r>
    </w:p>
    <w:p>
      <w:pPr>
        <w:pStyle w:val="Heading2"/>
        <w:keepNext/>
        <w:widowControl/>
      </w:pPr>
      <w:r>
        <w:t>15.1 Risk register</w:t>
      </w:r>
    </w:p>
    <w:p>
      <w:pPr>
        <w:keepNext/>
        <w:spacing w:before="80" w:after="60"/>
        <w:widowControl/>
      </w:pPr>
      <w:r>
        <w:rPr>
          <w:b/>
          <w:color w:val="17324D"/>
          <w:sz w:val="18"/>
        </w:rPr>
        <w:t>Table 34. Risk register (qualitative ratings)</w:t>
      </w:r>
    </w:p>
    <w:tbl>
      <w:tblPr>
        <w:tblW w:type="auto" w:w="0"/>
        <w:jc w:val="center"/>
        <w:tblLayout w:type="fixed"/>
        <w:tblLook w:firstColumn="1" w:firstRow="1" w:lastColumn="0" w:lastRow="0" w:noHBand="0" w:noVBand="1" w:val="04A0"/>
      </w:tblPr>
      <w:tblGrid>
        <w:gridCol w:w="1944"/>
        <w:gridCol w:w="1123"/>
        <w:gridCol w:w="1080"/>
        <w:gridCol w:w="3240"/>
        <w:gridCol w:w="2549"/>
      </w:tblGrid>
      <w:tr>
        <w:trPr>
          <w:tblHeader w:val="true"/>
        </w:trPr>
        <w:tc>
          <w:tcPr>
            <w:tcW w:type="dxa" w:w="194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4"/>
              </w:rPr>
              <w:t>Risk</w:t>
            </w:r>
          </w:p>
        </w:tc>
        <w:tc>
          <w:tcPr>
            <w:tcW w:type="dxa" w:w="1123"/>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4"/>
              </w:rPr>
              <w:t>Likelihood</w:t>
            </w:r>
          </w:p>
        </w:tc>
        <w:tc>
          <w:tcPr>
            <w:tcW w:type="dxa" w:w="10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4"/>
              </w:rPr>
              <w:t>Impact</w:t>
            </w:r>
          </w:p>
        </w:tc>
        <w:tc>
          <w:tcPr>
            <w:tcW w:type="dxa" w:w="324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4"/>
              </w:rPr>
              <w:t>Exposure</w:t>
            </w:r>
          </w:p>
        </w:tc>
        <w:tc>
          <w:tcPr>
            <w:tcW w:type="dxa" w:w="2549"/>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4"/>
              </w:rPr>
              <w:t>Monitoring / mitigation</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Payment regulation / licence perimeter</w:t>
            </w:r>
          </w:p>
        </w:tc>
        <w:tc>
          <w:tcPr>
            <w:tcW w:type="dxa" w:w="112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Rules on aggregators, stored value, cross-border payments, outsourcing and customer-fund handling may change; obligations depend on entity / product.</w:t>
            </w:r>
          </w:p>
        </w:tc>
        <w:tc>
          <w:tcPr>
            <w:tcW w:type="dxa" w:w="2549"/>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Map permissions and obligations by entity; monitor RBI notices and audit findings.</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Cybersecurity, fraud and service continuity</w:t>
            </w:r>
          </w:p>
        </w:tc>
        <w:tc>
          <w:tcPr>
            <w:tcW w:type="dxa" w:w="112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A platform outage, data incident or fraud spike can affect customers, settlement and reputation.</w:t>
            </w:r>
          </w:p>
        </w:tc>
        <w:tc>
          <w:tcPr>
            <w:tcW w:type="dxa" w:w="2549"/>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Track uptime, incident rates, recovery tests, fraud loss and independent security assurance.</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Price / fee compression and monetization</w:t>
            </w:r>
          </w:p>
        </w:tc>
        <w:tc>
          <w:tcPr>
            <w:tcW w:type="dxa" w:w="112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Large transaction volumes may have low yield; UPI and competing providers can pressure pricing.</w:t>
            </w:r>
          </w:p>
        </w:tc>
        <w:tc>
          <w:tcPr>
            <w:tcW w:type="dxa" w:w="2549"/>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Track revenue/GTV by product, active DCPs, contribution and renewal economics.</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Customer and partner concentration</w:t>
            </w:r>
          </w:p>
        </w:tc>
        <w:tc>
          <w:tcPr>
            <w:tcW w:type="dxa" w:w="112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Top 10 customers were 30.95% of FY25 revenue; major banks, networks and merchants influence volume.</w:t>
            </w:r>
          </w:p>
        </w:tc>
        <w:tc>
          <w:tcPr>
            <w:tcW w:type="dxa" w:w="2549"/>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Update latest concentration, churn, renewal pipeline and counterparty exposure.</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Cash conversion / settlement timing</w:t>
            </w:r>
          </w:p>
        </w:tc>
        <w:tc>
          <w:tcPr>
            <w:tcW w:type="dxa" w:w="112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Medium–High</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Operating cash flow is volatile; prepaid, settlement and early-settlement balances affect reported CFO.</w:t>
            </w:r>
          </w:p>
        </w:tc>
        <w:tc>
          <w:tcPr>
            <w:tcW w:type="dxa" w:w="2549"/>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Reconcile restricted cash, early settlements, days receivable, prepaid liabilities and normalized CFO.</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Acquisition integration / goodwill</w:t>
            </w:r>
          </w:p>
        </w:tc>
        <w:tc>
          <w:tcPr>
            <w:tcW w:type="dxa" w:w="112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Multiple acquisitions and new products create integration and impairment risk.</w:t>
            </w:r>
          </w:p>
        </w:tc>
        <w:tc>
          <w:tcPr>
            <w:tcW w:type="dxa" w:w="2549"/>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Track product migration, customer retention, synergies, integration spend and acquired cash flows.</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International execution / FX</w:t>
            </w:r>
          </w:p>
        </w:tc>
        <w:tc>
          <w:tcPr>
            <w:tcW w:type="dxa" w:w="112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Medium–High</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Local licences, currency, settlement and partner requirements can increase complexity.</w:t>
            </w:r>
          </w:p>
        </w:tc>
        <w:tc>
          <w:tcPr>
            <w:tcW w:type="dxa" w:w="2549"/>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Report geography-level revenue, contribution, working capital, FX and regulatory status.</w:t>
            </w:r>
          </w:p>
        </w:tc>
      </w:tr>
      <w:tr>
        <w:trPr>
          <w:cantSplit/>
        </w:trPr>
        <w:tc>
          <w:tcPr>
            <w:tcW w:type="dxa" w:w="19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Share dilution / incentives</w:t>
            </w:r>
          </w:p>
        </w:tc>
        <w:tc>
          <w:tcPr>
            <w:tcW w:type="dxa" w:w="1123"/>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w:t>
            </w:r>
          </w:p>
        </w:tc>
        <w:tc>
          <w:tcPr>
            <w:tcW w:type="dxa" w:w="10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Medium</w:t>
            </w:r>
          </w:p>
        </w:tc>
        <w:tc>
          <w:tcPr>
            <w:tcW w:type="dxa" w:w="324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ESOPs and equity conversions affect fully diluted share count and per-share value.</w:t>
            </w:r>
          </w:p>
        </w:tc>
        <w:tc>
          <w:tcPr>
            <w:tcW w:type="dxa" w:w="2549"/>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Use fully diluted shares and reconcile compensation expense / grants.</w:t>
            </w:r>
          </w:p>
        </w:tc>
      </w:tr>
      <w:tr>
        <w:trPr>
          <w:cantSplit/>
        </w:trPr>
        <w:tc>
          <w:tcPr>
            <w:tcW w:type="dxa" w:w="19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4"/>
              </w:rPr>
              <w:t>Valuation / expectations</w:t>
            </w:r>
          </w:p>
        </w:tc>
        <w:tc>
          <w:tcPr>
            <w:tcW w:type="dxa" w:w="1123"/>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10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High</w:t>
            </w:r>
          </w:p>
        </w:tc>
        <w:tc>
          <w:tcPr>
            <w:tcW w:type="dxa" w:w="324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A high P/E and P/S leave limited tolerance for growth, margin or cash-flow disappointment.</w:t>
            </w:r>
          </w:p>
        </w:tc>
        <w:tc>
          <w:tcPr>
            <w:tcW w:type="dxa" w:w="2549"/>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4"/>
              </w:rPr>
              <w:t>Stress-test operating scenarios; distinguish business quality from entry valuation.</w:t>
            </w:r>
          </w:p>
        </w:tc>
      </w:tr>
    </w:tbl>
    <w:p>
      <w:pPr>
        <w:spacing w:before="40" w:after="140"/>
        <w:widowControl/>
      </w:pPr>
      <w:r>
        <w:rPr>
          <w:i/>
          <w:color w:val="66788A"/>
          <w:sz w:val="15"/>
        </w:rPr>
        <w:t>Source / note: Likelihood and impact ratings are the author’s qualitative assessment, not company ratings or a quantitative probability model. Customer concentration refers to FY25 prospectus disclosure. [1,2,5,11]</w:t>
      </w:r>
    </w:p>
    <w:p>
      <w:pPr>
        <w:pStyle w:val="Heading2"/>
        <w:keepNext/>
        <w:widowControl/>
      </w:pPr>
      <w:r>
        <w:t>15.2 Early-warning dashboard</w:t>
      </w:r>
    </w:p>
    <w:p>
      <w:pPr>
        <w:keepNext/>
        <w:spacing w:before="80" w:after="60"/>
        <w:widowControl/>
      </w:pPr>
      <w:r>
        <w:rPr>
          <w:b/>
          <w:color w:val="17324D"/>
          <w:sz w:val="18"/>
        </w:rPr>
        <w:t>Table 35. Indicators to track each quarter</w:t>
      </w:r>
    </w:p>
    <w:tbl>
      <w:tblPr>
        <w:tblW w:type="auto" w:w="0"/>
        <w:jc w:val="center"/>
        <w:tblLayout w:type="fixed"/>
        <w:tblLook w:firstColumn="1" w:firstRow="1" w:lastColumn="0" w:lastRow="0" w:noHBand="0" w:noVBand="1" w:val="04A0"/>
      </w:tblPr>
      <w:tblGrid>
        <w:gridCol w:w="2088"/>
        <w:gridCol w:w="7848"/>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Risk area</w:t>
            </w:r>
          </w:p>
        </w:tc>
        <w:tc>
          <w:tcPr>
            <w:tcW w:type="dxa" w:w="784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Useful leading indicator</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Monetization</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Revenue/GTV by product and geography; active DCP rate; recurring service revenue; net revenue per active merchant.</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Margin</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Contribution margin by segment; adjusted EBITDA reconciliation; reported PAT and share-based payment expense.</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Cash</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CFO-to-PAT over rolling 12 months; customer / settlement balances; unrestricted cash; early settlement amounts.</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Concentration</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Top 10 / top 1 revenue, top bank and network dependencies, churn / renewal and payment-method mix.</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Resilience</w:t>
            </w:r>
          </w:p>
        </w:tc>
        <w:tc>
          <w:tcPr>
            <w:tcW w:type="dxa" w:w="78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Payment uptime, confirmed cyber events, fraud loss, dispute/refund rates, settlement delay and recovery test results.</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Capital allocation</w:t>
            </w:r>
          </w:p>
        </w:tc>
        <w:tc>
          <w:tcPr>
            <w:tcW w:type="dxa" w:w="78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Acquisition cash outlay vs acquired contribution, impairment, capex, ESOP dilution and return on invested capital.</w:t>
            </w:r>
          </w:p>
        </w:tc>
      </w:tr>
    </w:tbl>
    <w:p>
      <w:pPr>
        <w:spacing w:before="40" w:after="140"/>
        <w:widowControl/>
      </w:pPr>
      <w:r>
        <w:rPr>
          <w:i/>
          <w:color w:val="66788A"/>
          <w:sz w:val="15"/>
        </w:rPr>
        <w:t>Source / note: Author’s suggested monitoring schedule. Public disclosure may not provide all indicators.</w:t>
      </w:r>
    </w:p>
    <w:p>
      <w:pPr>
        <w:widowControl/>
      </w:pPr>
      <w:r>
        <w:br w:type="page"/>
      </w:r>
    </w:p>
    <w:p>
      <w:pPr>
        <w:spacing w:before="60" w:after="40"/>
        <w:widowControl/>
      </w:pPr>
      <w:r>
        <w:rPr>
          <w:b/>
          <w:color w:val="D5A642"/>
          <w:sz w:val="18"/>
        </w:rPr>
        <w:t>CHAPTER 16</w:t>
      </w:r>
    </w:p>
    <w:p>
      <w:pPr>
        <w:pStyle w:val="Heading1"/>
        <w:keepNext/>
        <w:widowControl/>
      </w:pPr>
      <w:r>
        <w:t>ESG and Responsible Fintech</w:t>
      </w:r>
    </w:p>
    <w:p>
      <w:pPr>
        <w:spacing w:after="160"/>
        <w:widowControl/>
      </w:pPr>
      <w:r>
        <w:rPr>
          <w:i/>
          <w:color w:val="66788A"/>
          <w:sz w:val="19"/>
        </w:rPr>
        <w:t>Environmental footprint, customer outcomes and governance priorities</w:t>
      </w:r>
    </w:p>
    <w:p>
      <w:pPr>
        <w:pStyle w:val="Heading2"/>
        <w:keepNext/>
        <w:widowControl/>
      </w:pPr>
      <w:r>
        <w:t>16.1 Environmental considerations</w:t>
      </w:r>
    </w:p>
    <w:p>
      <w:pPr>
        <w:widowControl/>
      </w:pPr>
      <w:r>
        <w:t>A payments-technology company has a physical footprint through POS terminals, accessories, device logistics and end-of-life electronic equipment, alongside cloud / data-centre and office energy use. Pine Labs’ large DCP base makes device durability, repair, reuse and compliant e-waste handling relevant. The disclosures reviewed for this project do not provide a complete, independently assured emissions inventory or a verified device take-back rate; no ESG performance score is assigned.</w:t>
      </w:r>
    </w:p>
    <w:p>
      <w:pPr>
        <w:pStyle w:val="Heading2"/>
        <w:keepNext/>
        <w:widowControl/>
      </w:pPr>
      <w:r>
        <w:t>16.2 Social considerations</w:t>
      </w:r>
    </w:p>
    <w:p>
      <w:pPr>
        <w:pStyle w:val="ListBullet"/>
        <w:spacing w:after="50"/>
        <w:ind w:left="317" w:hanging="202"/>
        <w:widowControl/>
      </w:pPr>
      <w:r>
        <w:t>Digital acceptance can help smaller merchants participate in formal commerce, but merchant fees, settlement predictability and accessible support influence whether benefits are shared.</w:t>
      </w:r>
    </w:p>
    <w:p>
      <w:pPr>
        <w:pStyle w:val="ListBullet"/>
        <w:spacing w:after="50"/>
        <w:ind w:left="317" w:hanging="202"/>
        <w:widowControl/>
      </w:pPr>
      <w:r>
        <w:t>Affordability and credit-linked products require transparent consent, clear lender identity, fair communication, complaint resolution and responsible treatment of declined or delinquent customers.</w:t>
      </w:r>
    </w:p>
    <w:p>
      <w:pPr>
        <w:pStyle w:val="ListBullet"/>
        <w:spacing w:after="50"/>
        <w:ind w:left="317" w:hanging="202"/>
        <w:widowControl/>
      </w:pPr>
      <w:r>
        <w:t>Payment security, fraud prevention, accessibility and language support affect end users as much as merchants.</w:t>
      </w:r>
    </w:p>
    <w:p>
      <w:pPr>
        <w:pStyle w:val="ListBullet"/>
        <w:spacing w:after="50"/>
        <w:ind w:left="317" w:hanging="202"/>
        <w:widowControl/>
      </w:pPr>
      <w:r>
        <w:t>Workforce considerations include field-team safety, diversity, skill development and fair treatment across direct employees and contractors.</w:t>
      </w:r>
    </w:p>
    <w:p>
      <w:pPr>
        <w:pStyle w:val="Heading2"/>
        <w:keepNext/>
        <w:widowControl/>
      </w:pPr>
      <w:r>
        <w:t>16.3 Governance and trust</w:t>
      </w:r>
    </w:p>
    <w:p>
      <w:pPr>
        <w:widowControl/>
      </w:pPr>
      <w:r>
        <w:t>Payments are trust-intensive. Strong governance requires clear accountability for customer money, data access, algorithmic or AI decisions, outsourcing, cyber incidents, settlement delays, dispute handling and cross-border processing. The absence of an identifiable promoter at the IPO and a complex acquisition history heighten the importance of board oversight, independent challenge, audit quality and transparent non-GAAP reporting. [1,2]</w:t>
      </w:r>
    </w:p>
    <w:p>
      <w:pPr>
        <w:pStyle w:val="Heading2"/>
        <w:keepNext/>
        <w:widowControl/>
      </w:pPr>
      <w:r>
        <w:t>16.4 Suggested ESG disclosures</w:t>
      </w:r>
    </w:p>
    <w:p>
      <w:pPr>
        <w:keepNext/>
        <w:spacing w:before="80" w:after="60"/>
        <w:widowControl/>
      </w:pPr>
      <w:r>
        <w:rPr>
          <w:b/>
          <w:color w:val="17324D"/>
          <w:sz w:val="18"/>
        </w:rPr>
        <w:t>Table 36. Potential metrics for future disclosure</w:t>
      </w:r>
    </w:p>
    <w:tbl>
      <w:tblPr>
        <w:tblW w:type="auto" w:w="0"/>
        <w:jc w:val="center"/>
        <w:tblLayout w:type="fixed"/>
        <w:tblLook w:firstColumn="1" w:firstRow="1" w:lastColumn="0" w:lastRow="0" w:noHBand="0" w:noVBand="1" w:val="04A0"/>
      </w:tblPr>
      <w:tblGrid>
        <w:gridCol w:w="2232"/>
        <w:gridCol w:w="7704"/>
      </w:tblGrid>
      <w:tr>
        <w:trPr>
          <w:tblHeader w:val="true"/>
        </w:trPr>
        <w:tc>
          <w:tcPr>
            <w:tcW w:type="dxa" w:w="223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Dimension</w:t>
            </w:r>
          </w:p>
        </w:tc>
        <w:tc>
          <w:tcPr>
            <w:tcW w:type="dxa" w:w="770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Suggested measurable indicator</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Environment</w:t>
            </w:r>
          </w:p>
        </w:tc>
        <w:tc>
          <w:tcPr>
            <w:tcW w:type="dxa" w:w="77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Scope 1–3 emissions; energy per transaction; terminal repair / refurbishment rate; e-waste collection and certified recycling.</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Merchant inclusion</w:t>
            </w:r>
          </w:p>
        </w:tc>
        <w:tc>
          <w:tcPr>
            <w:tcW w:type="dxa" w:w="77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Small / micro-merchant share, rural / tier distribution, activation and survival rates, settlement timeliness.</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Consumer protection</w:t>
            </w:r>
          </w:p>
        </w:tc>
        <w:tc>
          <w:tcPr>
            <w:tcW w:type="dxa" w:w="77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Complaints per million transactions, resolution time, fraud loss / chargeback rates, credit-product consent and lender clarity.</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People</w:t>
            </w:r>
          </w:p>
        </w:tc>
        <w:tc>
          <w:tcPr>
            <w:tcW w:type="dxa" w:w="77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Workforce composition, safety incidents, training, contractor coverage and employee turnover.</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Governance / cyber</w:t>
            </w:r>
          </w:p>
        </w:tc>
        <w:tc>
          <w:tcPr>
            <w:tcW w:type="dxa" w:w="770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Material incidents, uptime, recovery tests, risk committee oversight, privacy complaints and third-party assurance.</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Capital allocation</w:t>
            </w:r>
          </w:p>
        </w:tc>
        <w:tc>
          <w:tcPr>
            <w:tcW w:type="dxa" w:w="770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Acquisition-level integration and return metrics; ESOP dilution; board evaluation and related-party transparency.</w:t>
            </w:r>
          </w:p>
        </w:tc>
      </w:tr>
    </w:tbl>
    <w:p>
      <w:pPr>
        <w:spacing w:before="40" w:after="140"/>
        <w:widowControl/>
      </w:pPr>
      <w:r>
        <w:rPr>
          <w:i/>
          <w:color w:val="66788A"/>
          <w:sz w:val="15"/>
        </w:rPr>
        <w:t>Source / note: Recommendations by the author; not claims that these metrics are currently reported.</w:t>
      </w:r>
    </w:p>
    <w:p>
      <w:pPr>
        <w:widowControl/>
      </w:pPr>
      <w:r>
        <w:br w:type="page"/>
      </w:r>
    </w:p>
    <w:p>
      <w:pPr>
        <w:spacing w:before="60" w:after="40"/>
        <w:widowControl/>
      </w:pPr>
      <w:r>
        <w:rPr>
          <w:b/>
          <w:color w:val="D5A642"/>
          <w:sz w:val="18"/>
        </w:rPr>
        <w:t>CHAPTER 17</w:t>
      </w:r>
    </w:p>
    <w:p>
      <w:pPr>
        <w:pStyle w:val="Heading1"/>
        <w:keepNext/>
        <w:widowControl/>
      </w:pPr>
      <w:r>
        <w:t>Project Learning and Internship-Record Note</w:t>
      </w:r>
    </w:p>
    <w:p>
      <w:pPr>
        <w:spacing w:after="160"/>
        <w:widowControl/>
      </w:pPr>
      <w:r>
        <w:rPr>
          <w:i/>
          <w:color w:val="66788A"/>
          <w:sz w:val="19"/>
        </w:rPr>
        <w:t>Academic learning from company research; no unsupported workplace claims</w:t>
      </w:r>
    </w:p>
    <w:p>
      <w:pPr>
        <w:widowControl/>
      </w:pPr>
      <w:r>
        <w:t>This report documents a secondary-data company-research exercise. It should not be read as a record of work performed inside Pine Labs. The section is included to connect the analysis to the applied-learning purpose of a SYMMS project while preserving a clear distinction between academic analysis and any separate internship experience.</w:t>
      </w:r>
    </w:p>
    <w:p>
      <w:pPr>
        <w:keepNext/>
        <w:spacing w:before="80" w:after="60"/>
        <w:widowControl/>
      </w:pPr>
      <w:r>
        <w:rPr>
          <w:b/>
          <w:color w:val="17324D"/>
          <w:sz w:val="18"/>
        </w:rPr>
        <w:t>Table 37. Learning outcomes evidenced by this research</w:t>
      </w:r>
    </w:p>
    <w:tbl>
      <w:tblPr>
        <w:tblW w:type="auto" w:w="0"/>
        <w:jc w:val="center"/>
        <w:tblLayout w:type="fixed"/>
        <w:tblLook w:firstColumn="1" w:firstRow="1" w:lastColumn="0" w:lastRow="0" w:noHBand="0" w:noVBand="1" w:val="04A0"/>
      </w:tblPr>
      <w:tblGrid>
        <w:gridCol w:w="2448"/>
        <w:gridCol w:w="7488"/>
      </w:tblGrid>
      <w:tr>
        <w:trPr>
          <w:tblHeader w:val="true"/>
        </w:trPr>
        <w:tc>
          <w:tcPr>
            <w:tcW w:type="dxa" w:w="244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Learning area</w:t>
            </w:r>
          </w:p>
        </w:tc>
        <w:tc>
          <w:tcPr>
            <w:tcW w:type="dxa" w:w="74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Application in the report</w:t>
            </w:r>
          </w:p>
        </w:tc>
      </w:tr>
      <w:tr>
        <w:trPr>
          <w:cantSplit/>
        </w:trPr>
        <w:tc>
          <w:tcPr>
            <w:tcW w:type="dxa" w:w="24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Financial statement analysis</w:t>
            </w:r>
          </w:p>
        </w:tc>
        <w:tc>
          <w:tcPr>
            <w:tcW w:type="dxa" w:w="74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Separated restated prospectus comparatives, audited FY26 results, and interim Q1 FY27 results; reconciled key reported and calculated measures.</w:t>
            </w:r>
          </w:p>
        </w:tc>
      </w:tr>
      <w:tr>
        <w:trPr>
          <w:cantSplit/>
        </w:trPr>
        <w:tc>
          <w:tcPr>
            <w:tcW w:type="dxa" w:w="24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Fintech business understanding</w:t>
            </w:r>
          </w:p>
        </w:tc>
        <w:tc>
          <w:tcPr>
            <w:tcW w:type="dxa" w:w="74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Mapped rails, banks, merchants, payment processing, issuing, prepaid and affordability relationships.</w:t>
            </w:r>
          </w:p>
        </w:tc>
      </w:tr>
      <w:tr>
        <w:trPr>
          <w:cantSplit/>
        </w:trPr>
        <w:tc>
          <w:tcPr>
            <w:tcW w:type="dxa" w:w="24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Working-capital analysis</w:t>
            </w:r>
          </w:p>
        </w:tc>
        <w:tc>
          <w:tcPr>
            <w:tcW w:type="dxa" w:w="74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Interpreted cash-flow volatility in the context of settlement, prepaid-card liabilities, bank balances and early settlement.</w:t>
            </w:r>
          </w:p>
        </w:tc>
      </w:tr>
      <w:tr>
        <w:trPr>
          <w:cantSplit/>
        </w:trPr>
        <w:tc>
          <w:tcPr>
            <w:tcW w:type="dxa" w:w="24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Strategic frameworks</w:t>
            </w:r>
          </w:p>
        </w:tc>
        <w:tc>
          <w:tcPr>
            <w:tcW w:type="dxa" w:w="74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Applied PESTLE, Porter’s Five Forces and SWOT as qualitative tools, with ratings identified as author judgement.</w:t>
            </w:r>
          </w:p>
        </w:tc>
      </w:tr>
      <w:tr>
        <w:trPr>
          <w:cantSplit/>
        </w:trPr>
        <w:tc>
          <w:tcPr>
            <w:tcW w:type="dxa" w:w="244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Valuation and ethics</w:t>
            </w:r>
          </w:p>
        </w:tc>
        <w:tc>
          <w:tcPr>
            <w:tcW w:type="dxa" w:w="74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Calculated dated multiples with a rounded share-count proxy, disclosed mixed-date limitations and avoided an unsupported price target.</w:t>
            </w:r>
          </w:p>
        </w:tc>
      </w:tr>
      <w:tr>
        <w:trPr>
          <w:cantSplit/>
        </w:trPr>
        <w:tc>
          <w:tcPr>
            <w:tcW w:type="dxa" w:w="244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Research communication</w:t>
            </w:r>
          </w:p>
        </w:tc>
        <w:tc>
          <w:tcPr>
            <w:tcW w:type="dxa" w:w="74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Cited source documents, documented assumptions, constructed tables / charts and identified evidence gaps.</w:t>
            </w:r>
          </w:p>
        </w:tc>
      </w:tr>
    </w:tbl>
    <w:p>
      <w:pPr>
        <w:spacing w:before="40" w:after="140"/>
        <w:widowControl/>
      </w:pPr>
      <w:r>
        <w:rPr>
          <w:i/>
          <w:color w:val="66788A"/>
          <w:sz w:val="15"/>
        </w:rPr>
        <w:t>Source / note: The learning outcomes describe work reflected in this desk-based report; they are not employer-certified internship duties.</w:t>
      </w:r>
    </w:p>
    <w:p>
      <w:pPr>
        <w:pStyle w:val="Heading2"/>
        <w:keepNext/>
        <w:widowControl/>
      </w:pPr>
      <w:r>
        <w:t>If the institute requires an internship record</w:t>
      </w:r>
    </w:p>
    <w:p>
      <w:pPr>
        <w:widowControl/>
      </w:pPr>
      <w:r>
        <w:t>Complete the following only with accurate information and attach original, authorised documentation. Do not use Pine Labs’ name as a host organisation unless the internship actually occurred and can be verified.</w:t>
      </w:r>
    </w:p>
    <w:p>
      <w:pPr>
        <w:keepNext/>
        <w:spacing w:before="80" w:after="60"/>
        <w:widowControl/>
      </w:pPr>
      <w:r>
        <w:rPr>
          <w:b/>
          <w:color w:val="17324D"/>
          <w:sz w:val="18"/>
        </w:rPr>
        <w:t>Table 38. Authentic internship details to add only if applicable</w:t>
      </w:r>
    </w:p>
    <w:tbl>
      <w:tblPr>
        <w:tblW w:type="auto" w:w="0"/>
        <w:jc w:val="center"/>
        <w:tblLayout w:type="fixed"/>
        <w:tblLook w:firstColumn="1" w:firstRow="1" w:lastColumn="0" w:lastRow="0" w:noHBand="0" w:noVBand="1" w:val="04A0"/>
      </w:tblPr>
      <w:tblGrid>
        <w:gridCol w:w="3168"/>
        <w:gridCol w:w="6768"/>
      </w:tblGrid>
      <w:tr>
        <w:trPr>
          <w:tblHeader w:val="true"/>
        </w:trPr>
        <w:tc>
          <w:tcPr>
            <w:tcW w:type="dxa" w:w="316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Field</w:t>
            </w:r>
          </w:p>
        </w:tc>
        <w:tc>
          <w:tcPr>
            <w:tcW w:type="dxa" w:w="676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Verified details</w:t>
            </w:r>
          </w:p>
        </w:tc>
      </w:tr>
      <w:tr>
        <w:trPr>
          <w:cantSplit/>
        </w:trPr>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Host organisation</w:t>
            </w:r>
          </w:p>
        </w:tc>
        <w:tc>
          <w:tcPr>
            <w:tcW w:type="dxa" w:w="67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_______________________________________________________________</w:t>
            </w:r>
          </w:p>
        </w:tc>
      </w:tr>
      <w:tr>
        <w:trPr>
          <w:cantSplit/>
        </w:trPr>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Internship dates</w:t>
            </w:r>
          </w:p>
        </w:tc>
        <w:tc>
          <w:tcPr>
            <w:tcW w:type="dxa" w:w="67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_______________________________________________________________</w:t>
            </w:r>
          </w:p>
        </w:tc>
      </w:tr>
      <w:tr>
        <w:trPr>
          <w:cantSplit/>
        </w:trPr>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Department / function</w:t>
            </w:r>
          </w:p>
        </w:tc>
        <w:tc>
          <w:tcPr>
            <w:tcW w:type="dxa" w:w="67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_______________________________________________________________</w:t>
            </w:r>
          </w:p>
        </w:tc>
      </w:tr>
      <w:tr>
        <w:trPr>
          <w:cantSplit/>
        </w:trPr>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Supervisor and designation</w:t>
            </w:r>
          </w:p>
        </w:tc>
        <w:tc>
          <w:tcPr>
            <w:tcW w:type="dxa" w:w="67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_______________________________________________________________</w:t>
            </w:r>
          </w:p>
        </w:tc>
      </w:tr>
      <w:tr>
        <w:trPr>
          <w:cantSplit/>
        </w:trPr>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Actual duties / project</w:t>
            </w:r>
          </w:p>
        </w:tc>
        <w:tc>
          <w:tcPr>
            <w:tcW w:type="dxa" w:w="67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_______________________________________________________________</w:t>
            </w:r>
          </w:p>
        </w:tc>
      </w:tr>
      <w:tr>
        <w:trPr>
          <w:cantSplit/>
        </w:trPr>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Authorised completion certificate</w:t>
            </w:r>
          </w:p>
        </w:tc>
        <w:tc>
          <w:tcPr>
            <w:tcW w:type="dxa" w:w="67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Attach original certificate / institution-approved evidence; not supplied in this draft.</w:t>
            </w:r>
          </w:p>
        </w:tc>
      </w:tr>
    </w:tbl>
    <w:p>
      <w:pPr>
        <w:spacing w:before="40" w:after="140"/>
        <w:widowControl/>
      </w:pPr>
      <w:r>
        <w:rPr>
          <w:i/>
          <w:color w:val="66788A"/>
          <w:sz w:val="15"/>
        </w:rPr>
        <w:t>Source / note: No host-company certificate or internship dates were supplied for this report.</w:t>
      </w:r>
    </w:p>
    <w:p>
      <w:pPr>
        <w:widowControl/>
      </w:pPr>
      <w:r>
        <w:br w:type="page"/>
      </w:r>
    </w:p>
    <w:p>
      <w:pPr>
        <w:spacing w:before="60" w:after="40"/>
        <w:widowControl/>
      </w:pPr>
      <w:r>
        <w:rPr>
          <w:b/>
          <w:color w:val="D5A642"/>
          <w:sz w:val="18"/>
        </w:rPr>
        <w:t>CHAPTER 18</w:t>
      </w:r>
    </w:p>
    <w:p>
      <w:pPr>
        <w:pStyle w:val="Heading1"/>
        <w:keepNext/>
        <w:widowControl/>
      </w:pPr>
      <w:r>
        <w:t>Findings, Suggestions and Conclusion</w:t>
      </w:r>
    </w:p>
    <w:p>
      <w:pPr>
        <w:spacing w:after="160"/>
        <w:widowControl/>
      </w:pPr>
      <w:r>
        <w:rPr>
          <w:i/>
          <w:color w:val="66788A"/>
          <w:sz w:val="19"/>
        </w:rPr>
        <w:t>Evidence-led synthesis and practical priorities</w:t>
      </w:r>
    </w:p>
    <w:p>
      <w:pPr>
        <w:pStyle w:val="Heading2"/>
        <w:keepNext/>
        <w:widowControl/>
      </w:pPr>
      <w:r>
        <w:t>18.1 Major findings</w:t>
      </w:r>
    </w:p>
    <w:p>
      <w:pPr>
        <w:pStyle w:val="ListBullet"/>
        <w:spacing w:after="50"/>
        <w:ind w:left="317" w:hanging="202"/>
        <w:widowControl/>
      </w:pPr>
      <w:r>
        <w:rPr>
          <w:b/>
        </w:rPr>
        <w:t>A scalable platform:</w:t>
      </w:r>
      <w:r>
        <w:t xml:space="preserve"> Pine Labs combines merchant acceptance, affordability, issuer / prepaid processing and fintech infrastructure. The strategy is to cross-sell multiple services into merchant, brand, bank and fintech relationships.</w:t>
      </w:r>
    </w:p>
    <w:p>
      <w:pPr>
        <w:pStyle w:val="ListBullet"/>
        <w:spacing w:after="50"/>
        <w:ind w:left="317" w:hanging="202"/>
        <w:widowControl/>
      </w:pPr>
      <w:r>
        <w:rPr>
          <w:b/>
        </w:rPr>
        <w:t>Strong activity growth:</w:t>
      </w:r>
      <w:r>
        <w:t xml:space="preserve"> FY23–FY26 GTV rose from about ₹4.40 lakh crore to ₹17.15 lakh crore, while revenue grew at a 19.3% CAGR. GTV expands faster than recognized revenue, underscoring different product yields and definitions.</w:t>
      </w:r>
    </w:p>
    <w:p>
      <w:pPr>
        <w:pStyle w:val="ListBullet"/>
        <w:spacing w:after="50"/>
        <w:ind w:left="317" w:hanging="202"/>
        <w:widowControl/>
      </w:pPr>
      <w:r>
        <w:rPr>
          <w:b/>
        </w:rPr>
        <w:t>Profitability inflection:</w:t>
      </w:r>
      <w:r>
        <w:t xml:space="preserve"> FY26 was the first positive PAT year in the cited FY23–FY25 prospectus-restated plus audited FY26 series; Q1 FY27 remained profitable. Adjusted EBITDA strengthened, but contribution and adjusted EBITDA margins were lower year on year in Q1 FY27.</w:t>
      </w:r>
    </w:p>
    <w:p>
      <w:pPr>
        <w:pStyle w:val="ListBullet"/>
        <w:spacing w:after="50"/>
        <w:ind w:left="317" w:hanging="202"/>
        <w:widowControl/>
      </w:pPr>
      <w:r>
        <w:rPr>
          <w:b/>
        </w:rPr>
        <w:t>Balance-sheet de-risking:</w:t>
      </w:r>
      <w:r>
        <w:t xml:space="preserve"> Borrowings excluding leases declined and reported equity increased after listing. However, settlement and prepaid-card balances are important; not every bank balance is freely available.</w:t>
      </w:r>
    </w:p>
    <w:p>
      <w:pPr>
        <w:pStyle w:val="ListBullet"/>
        <w:spacing w:after="50"/>
        <w:ind w:left="317" w:hanging="202"/>
        <w:widowControl/>
      </w:pPr>
      <w:r>
        <w:rPr>
          <w:b/>
        </w:rPr>
        <w:t>Cash conversion is not yet settled:</w:t>
      </w:r>
      <w:r>
        <w:t xml:space="preserve"> FY25 and FY26 operating cash flow turned positive after prior outflows, while Q1 FY27 differs materially depending on early-settlement treatment.</w:t>
      </w:r>
    </w:p>
    <w:p>
      <w:pPr>
        <w:pStyle w:val="ListBullet"/>
        <w:spacing w:after="50"/>
        <w:ind w:left="317" w:hanging="202"/>
        <w:widowControl/>
      </w:pPr>
      <w:r>
        <w:rPr>
          <w:b/>
        </w:rPr>
        <w:t>Diversification is progressing:</w:t>
      </w:r>
      <w:r>
        <w:t xml:space="preserve"> IAP grew faster than DITP in FY26 and Q1 FY27, and international revenue became a larger share. Mix and regulatory complexity increase alongside diversification.</w:t>
      </w:r>
    </w:p>
    <w:p>
      <w:pPr>
        <w:pStyle w:val="ListBullet"/>
        <w:spacing w:after="50"/>
        <w:ind w:left="317" w:hanging="202"/>
        <w:widowControl/>
      </w:pPr>
      <w:r>
        <w:rPr>
          <w:b/>
        </w:rPr>
        <w:t>Valuation is demanding:</w:t>
      </w:r>
      <w:r>
        <w:t xml:space="preserve"> A market-cap proxy near ₹19,334 crore, with approximately 6.8× LTM sales and 152× LTM PAT, relies on future growth, sustained margins and improving returns.</w:t>
      </w:r>
    </w:p>
    <w:p>
      <w:pPr>
        <w:pStyle w:val="Heading2"/>
        <w:keepNext/>
        <w:widowControl/>
      </w:pPr>
      <w:r>
        <w:t>18.2 Suggestions for Pine Labs (analyst recommendations)</w:t>
      </w:r>
    </w:p>
    <w:p>
      <w:pPr>
        <w:pStyle w:val="ListNumber"/>
        <w:spacing w:after="50"/>
        <w:widowControl/>
      </w:pPr>
      <w:r>
        <w:t>Publish a consistent product-level bridge from GTV to recognized revenue and contribution, including active DCPs, monetization yield and direct cost per product.</w:t>
      </w:r>
    </w:p>
    <w:p>
      <w:pPr>
        <w:pStyle w:val="ListNumber"/>
        <w:spacing w:after="50"/>
        <w:widowControl/>
      </w:pPr>
      <w:r>
        <w:t>Provide a quarterly cash-conversion reconciliation that distinguishes customer / settlement balances, restricted deposits and early-settlement effects from unrestricted operating cash.</w:t>
      </w:r>
    </w:p>
    <w:p>
      <w:pPr>
        <w:pStyle w:val="ListNumber"/>
        <w:spacing w:after="50"/>
        <w:widowControl/>
      </w:pPr>
      <w:r>
        <w:t>Protect quality of growth: disclose recurring versus transactional revenue, customer concentration and retention as the platform adds products and geographies.</w:t>
      </w:r>
    </w:p>
    <w:p>
      <w:pPr>
        <w:pStyle w:val="ListNumber"/>
        <w:spacing w:after="50"/>
        <w:widowControl/>
      </w:pPr>
      <w:r>
        <w:t>Use a disciplined acquisition scorecard for Agya, Shopflo and other acquired capabilities—purchase consideration, integration cost, cross-sell, retention and post-deal cash contribution.</w:t>
      </w:r>
    </w:p>
    <w:p>
      <w:pPr>
        <w:pStyle w:val="ListNumber"/>
        <w:spacing w:after="50"/>
        <w:widowControl/>
      </w:pPr>
      <w:r>
        <w:t>Continue to strengthen cyber, resilience, fraud, consumer-protection and third-party governance as agentic and credit-linked payments evolve.</w:t>
      </w:r>
    </w:p>
    <w:p>
      <w:pPr>
        <w:pStyle w:val="ListNumber"/>
        <w:spacing w:after="50"/>
        <w:widowControl/>
      </w:pPr>
      <w:r>
        <w:t>Expand environmental reporting for terminal lifecycle, repair and e-waste; consider transparent inclusion and service-quality metrics for smaller merchants.</w:t>
      </w:r>
    </w:p>
    <w:p>
      <w:pPr>
        <w:pStyle w:val="Heading2"/>
        <w:keepNext/>
        <w:widowControl/>
      </w:pPr>
      <w:r>
        <w:t>18.3 Suggestions for investors and future student researchers</w:t>
      </w:r>
    </w:p>
    <w:p>
      <w:pPr>
        <w:pStyle w:val="ListNumber"/>
        <w:spacing w:after="50"/>
        <w:widowControl/>
      </w:pPr>
      <w:r>
        <w:t>Update price, shares outstanding, cash and balance-sheet data on the same date before calculating valuation multiples; use fully diluted shares for per-share work.</w:t>
      </w:r>
    </w:p>
    <w:p>
      <w:pPr>
        <w:pStyle w:val="ListNumber"/>
        <w:spacing w:after="50"/>
        <w:widowControl/>
      </w:pPr>
      <w:r>
        <w:t>Read the underlying audited report, auditor’s report and notes—not only shareholder letters or adjusted EBITDA charts.</w:t>
      </w:r>
    </w:p>
    <w:p>
      <w:pPr>
        <w:pStyle w:val="ListNumber"/>
        <w:spacing w:after="50"/>
        <w:widowControl/>
      </w:pPr>
      <w:r>
        <w:t>Compare peers only after aligning geography, regulation, segment mix, accounting and period; for private companies, mark information as unavailable rather than infer it.</w:t>
      </w:r>
    </w:p>
    <w:p>
      <w:pPr>
        <w:pStyle w:val="ListNumber"/>
        <w:spacing w:after="50"/>
        <w:widowControl/>
      </w:pPr>
      <w:r>
        <w:t>For future project editions, add verified internship documentation or primary interviews only with permission, accurate notes and appropriate consent.</w:t>
      </w:r>
    </w:p>
    <w:p>
      <w:pPr>
        <w:pStyle w:val="ListNumber"/>
        <w:spacing w:after="50"/>
        <w:widowControl/>
      </w:pPr>
      <w:r>
        <w:t>Revisit customer concentration, revenue yield, segment margins and cash conversion after several additional quarters to test durability.</w:t>
      </w:r>
    </w:p>
    <w:p>
      <w:pPr>
        <w:pStyle w:val="Heading2"/>
        <w:keepNext/>
        <w:widowControl/>
      </w:pPr>
      <w:r>
        <w:t>18.4 Conclusion</w:t>
      </w:r>
    </w:p>
    <w:p>
      <w:pPr>
        <w:widowControl/>
      </w:pPr>
      <w:r>
        <w:t>Pine Labs has built a broad merchant and institutional technology platform in a rapidly digitising payment ecosystem. Its FY26 audited results mark an important transition from a multi-year loss record to positive PAT, with continued growth and profitability in Q1 FY27. Strong transaction scale and broader product reach are clear advantages, but neither is sufficient by itself: the lasting value proposition depends on repeatable margins, disciplined cash conversion, secure operations, transparent risk allocation and returns on capital.</w:t>
      </w:r>
    </w:p>
    <w:p>
      <w:pPr>
        <w:widowControl/>
      </w:pPr>
      <w:r>
        <w:t>The available evidence supports a constructive view of Pine Labs’ strategic position, balanced by material risks. The most important analytical tension is the gap between very rapid platform-activity growth and slower revenue growth / declining revenue-to-GTV proxy, alongside a high market valuation relative to recently reported earnings. The next test is not simply further growth in GTV; it is converting that growth into recurring, profitable and cash-generative revenue.</w:t>
      </w:r>
    </w:p>
    <w:p>
      <w:pPr>
        <w:widowControl/>
      </w:pPr>
      <w:r>
        <w:br w:type="page"/>
      </w:r>
    </w:p>
    <w:p>
      <w:pPr>
        <w:spacing w:before="60" w:after="40"/>
        <w:widowControl/>
      </w:pPr>
      <w:r>
        <w:rPr>
          <w:b/>
          <w:color w:val="D5A642"/>
          <w:sz w:val="18"/>
        </w:rPr>
        <w:t>CHAPTER 19</w:t>
      </w:r>
    </w:p>
    <w:p>
      <w:pPr>
        <w:pStyle w:val="Heading1"/>
        <w:keepNext/>
        <w:widowControl/>
      </w:pPr>
      <w:r>
        <w:t>Researcher’s View</w:t>
      </w:r>
    </w:p>
    <w:p>
      <w:pPr>
        <w:spacing w:after="160"/>
        <w:widowControl/>
      </w:pPr>
      <w:r>
        <w:rPr>
          <w:i/>
          <w:color w:val="66788A"/>
          <w:sz w:val="19"/>
        </w:rPr>
        <w:t>Balanced synthesis as at 3 October 2026</w:t>
      </w:r>
    </w:p>
    <w:p>
      <w:pPr>
        <w:keepNext/>
        <w:spacing w:before="80" w:after="60"/>
        <w:widowControl/>
      </w:pPr>
      <w:r>
        <w:rPr>
          <w:b/>
          <w:color w:val="17324D"/>
          <w:sz w:val="18"/>
        </w:rPr>
        <w:t>Table 39. Research view dashboard</w:t>
      </w:r>
    </w:p>
    <w:tbl>
      <w:tblPr>
        <w:tblW w:type="auto" w:w="0"/>
        <w:jc w:val="center"/>
        <w:tblLayout w:type="fixed"/>
        <w:tblLook w:firstColumn="1" w:firstRow="1" w:lastColumn="0" w:lastRow="0" w:noHBand="0" w:noVBand="1" w:val="04A0"/>
      </w:tblPr>
      <w:tblGrid>
        <w:gridCol w:w="2088"/>
        <w:gridCol w:w="2376"/>
        <w:gridCol w:w="5472"/>
      </w:tblGrid>
      <w:tr>
        <w:trPr>
          <w:tblHeader w:val="true"/>
        </w:trPr>
        <w:tc>
          <w:tcPr>
            <w:tcW w:type="dxa" w:w="208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Dimension</w:t>
            </w:r>
          </w:p>
        </w:tc>
        <w:tc>
          <w:tcPr>
            <w:tcW w:type="dxa" w:w="237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Assessment</w:t>
            </w:r>
          </w:p>
        </w:tc>
        <w:tc>
          <w:tcPr>
            <w:tcW w:type="dxa" w:w="547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Reason</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Business positioning</w:t>
            </w:r>
          </w:p>
        </w:tc>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Constructive</w:t>
            </w:r>
          </w:p>
        </w:tc>
        <w:tc>
          <w:tcPr>
            <w:tcW w:type="dxa" w:w="54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Broad merchant / issuer stack with several routes to cross-sell and international opportunity.</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Growth</w:t>
            </w:r>
          </w:p>
        </w:tc>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Positive, monitor quality</w:t>
            </w:r>
          </w:p>
        </w:tc>
        <w:tc>
          <w:tcPr>
            <w:tcW w:type="dxa" w:w="54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Revenue and GTV scaled over FY23–FY26; Q1 FY27 revenue growth remained near 20%.</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Profitability</w:t>
            </w:r>
          </w:p>
        </w:tc>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Improving, not yet mature</w:t>
            </w:r>
          </w:p>
        </w:tc>
        <w:tc>
          <w:tcPr>
            <w:tcW w:type="dxa" w:w="54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FY26 PAT positive and adjusted EBITDA stronger; Q1 FY27 margins were lower year on year.</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Balance sheet</w:t>
            </w:r>
          </w:p>
        </w:tc>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Improved</w:t>
            </w:r>
          </w:p>
        </w:tc>
        <w:tc>
          <w:tcPr>
            <w:tcW w:type="dxa" w:w="54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Borrowings/equity reduced after IPO; settlement obligations and other bank balances require careful reading.</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Cash conversion</w:t>
            </w:r>
          </w:p>
        </w:tc>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Unsettled</w:t>
            </w:r>
          </w:p>
        </w:tc>
        <w:tc>
          <w:tcPr>
            <w:tcW w:type="dxa" w:w="54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Annual CFO improved, but historic volatility and Q1 early-settlement effects remain material.</w:t>
            </w:r>
          </w:p>
        </w:tc>
      </w:tr>
      <w:tr>
        <w:trPr>
          <w:cantSplit/>
        </w:trPr>
        <w:tc>
          <w:tcPr>
            <w:tcW w:type="dxa" w:w="208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Valuation</w:t>
            </w:r>
          </w:p>
        </w:tc>
        <w:tc>
          <w:tcPr>
            <w:tcW w:type="dxa" w:w="237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Demanding</w:t>
            </w:r>
          </w:p>
        </w:tc>
        <w:tc>
          <w:tcPr>
            <w:tcW w:type="dxa" w:w="547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Indicative P/E ~152× and P/S ~6.8× at 1 Oct 2026; value depends on sustained growth and materially higher returns.</w:t>
            </w:r>
          </w:p>
        </w:tc>
      </w:tr>
      <w:tr>
        <w:trPr>
          <w:cantSplit/>
        </w:trPr>
        <w:tc>
          <w:tcPr>
            <w:tcW w:type="dxa" w:w="208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Overall academic view</w:t>
            </w:r>
          </w:p>
        </w:tc>
        <w:tc>
          <w:tcPr>
            <w:tcW w:type="dxa" w:w="237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Watch / valuation-sensitive</w:t>
            </w:r>
          </w:p>
        </w:tc>
        <w:tc>
          <w:tcPr>
            <w:tcW w:type="dxa" w:w="547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Strong structural opportunity, but require evidence of repeatable profit, cash conversion and improving unit economics before assuming the current growth trajectory is durable.</w:t>
            </w:r>
          </w:p>
        </w:tc>
      </w:tr>
    </w:tbl>
    <w:p>
      <w:pPr>
        <w:spacing w:before="40" w:after="140"/>
        <w:widowControl/>
      </w:pPr>
      <w:r>
        <w:rPr>
          <w:i/>
          <w:color w:val="66788A"/>
          <w:sz w:val="15"/>
        </w:rPr>
        <w:t>Source / note: Author’s analytical opinion, not financial advice, a target price or a recommendation to buy or sell. Data and price date stated throughout.</w:t>
      </w:r>
    </w:p>
    <w:p>
      <w:pPr>
        <w:widowControl/>
      </w:pPr>
      <w:r>
        <w:t>This view is intentionally conditional. It should be revisited after additional audited years and several interim periods demonstrate how revenue, contribution, PAT, operating cash flow and fully diluted share count evolve together.</w:t>
      </w:r>
    </w:p>
    <w:p>
      <w:pPr>
        <w:widowControl/>
      </w:pPr>
      <w:r>
        <w:br w:type="page"/>
      </w:r>
    </w:p>
    <w:p>
      <w:pPr>
        <w:pStyle w:val="Heading1"/>
        <w:keepNext/>
        <w:widowControl/>
      </w:pPr>
      <w:r>
        <w:t>REFERENCES</w:t>
      </w:r>
    </w:p>
    <w:p>
      <w:pPr>
        <w:widowControl/>
      </w:pPr>
      <w:r>
        <w:rPr>
          <w:i/>
          <w:color w:val="66788A"/>
          <w:sz w:val="18"/>
        </w:rPr>
        <w:t>Primary company and official industry sources are prioritised. The Pine Labs GitHub repository below is the user-supplied source location for company documents; where current Q1 FY27 documents were hosted on the investor-relations site, that official link is listed separately. Accessed / analysis cut-off: 3 October 2026.</w:t>
      </w:r>
    </w:p>
    <w:p>
      <w:pPr>
        <w:keepNext/>
        <w:spacing w:after="20"/>
        <w:widowControl/>
      </w:pPr>
      <w:r>
        <w:rPr>
          <w:b/>
          <w:color w:val="17324D"/>
          <w:sz w:val="18"/>
        </w:rPr>
        <w:t>[1] Pine Labs Limited. Prospectus (11 November 2025).</w:t>
      </w:r>
    </w:p>
    <w:p>
      <w:pPr>
        <w:spacing w:after="20"/>
        <w:ind w:left="259"/>
        <w:widowControl/>
      </w:pPr>
      <w:r>
        <w:rPr>
          <w:color w:val="243447"/>
          <w:sz w:val="16"/>
        </w:rPr>
        <w:t>Company history, business model, risk factors, customer concentration and restated consolidated FY23–FY25 information. Relevant internal pages include approximately 60–77, 252–263, 281–295 and 337–344. File in student-supplied repository: Pine-Labs-Limited-Prospectus.pdf.</w:t>
      </w:r>
    </w:p>
    <w:p>
      <w:pPr>
        <w:spacing w:after="160"/>
        <w:ind w:left="259"/>
        <w:widowControl/>
      </w:pPr>
      <w:hyperlink r:id="rId17">
        <w:r>
          <w:rPr>
            <w:color w:val="117C83"/>
            <w:u w:val="single"/>
            <w:sz w:val="18"/>
          </w:rPr>
          <w:t>Open source</w:t>
        </w:r>
      </w:hyperlink>
    </w:p>
    <w:p>
      <w:pPr>
        <w:keepNext/>
        <w:spacing w:after="20"/>
        <w:widowControl/>
      </w:pPr>
      <w:r>
        <w:rPr>
          <w:b/>
          <w:color w:val="17324D"/>
          <w:sz w:val="18"/>
        </w:rPr>
        <w:t>[2] Pine Labs Limited. Shareholder Letter and Audited Consolidated Results, Q4 / FY26 (25 May 2026).</w:t>
      </w:r>
    </w:p>
    <w:p>
      <w:pPr>
        <w:spacing w:after="20"/>
        <w:ind w:left="259"/>
        <w:widowControl/>
      </w:pPr>
      <w:r>
        <w:rPr>
          <w:color w:val="243447"/>
          <w:sz w:val="16"/>
        </w:rPr>
        <w:t>FY26 audited statements, balance sheet, cash flow, acquisitions, capital and management commentary. File in supplied repository: Pine_Labs_Ltd_Shareholder_Letter_and_Results_Q4_FY26_with_financials.pdf.</w:t>
      </w:r>
    </w:p>
    <w:p>
      <w:pPr>
        <w:spacing w:after="160"/>
        <w:ind w:left="259"/>
        <w:widowControl/>
      </w:pPr>
      <w:hyperlink r:id="rId18">
        <w:r>
          <w:rPr>
            <w:color w:val="117C83"/>
            <w:u w:val="single"/>
            <w:sz w:val="18"/>
          </w:rPr>
          <w:t>Open source</w:t>
        </w:r>
      </w:hyperlink>
    </w:p>
    <w:p>
      <w:pPr>
        <w:keepNext/>
        <w:spacing w:after="20"/>
        <w:widowControl/>
      </w:pPr>
      <w:r>
        <w:rPr>
          <w:b/>
          <w:color w:val="17324D"/>
          <w:sz w:val="18"/>
        </w:rPr>
        <w:t>[3] Pine Labs Limited. KPI Data Book, Q4 FY26.</w:t>
      </w:r>
    </w:p>
    <w:p>
      <w:pPr>
        <w:spacing w:after="20"/>
        <w:ind w:left="259"/>
        <w:widowControl/>
      </w:pPr>
      <w:r>
        <w:rPr>
          <w:color w:val="243447"/>
          <w:sz w:val="16"/>
        </w:rPr>
        <w:t>Company-defined GTV, merchant, DCP, transaction, segment and adjusted operating measures. File in supplied repository: PineLabs-KPI-Data-Book-Q4-FY26.xlsx.</w:t>
      </w:r>
    </w:p>
    <w:p>
      <w:pPr>
        <w:spacing w:after="160"/>
        <w:ind w:left="259"/>
        <w:widowControl/>
      </w:pPr>
      <w:hyperlink r:id="rId19">
        <w:r>
          <w:rPr>
            <w:color w:val="117C83"/>
            <w:u w:val="single"/>
            <w:sz w:val="18"/>
          </w:rPr>
          <w:t>Open source</w:t>
        </w:r>
      </w:hyperlink>
    </w:p>
    <w:p>
      <w:pPr>
        <w:keepNext/>
        <w:spacing w:after="20"/>
        <w:widowControl/>
      </w:pPr>
      <w:r>
        <w:rPr>
          <w:b/>
          <w:color w:val="17324D"/>
          <w:sz w:val="18"/>
        </w:rPr>
        <w:t>[4] Pine Labs Limited. Q4 FY26 Earnings Call Transcript (May 2026).</w:t>
      </w:r>
    </w:p>
    <w:p>
      <w:pPr>
        <w:spacing w:after="20"/>
        <w:ind w:left="259"/>
        <w:widowControl/>
      </w:pPr>
      <w:r>
        <w:rPr>
          <w:color w:val="243447"/>
          <w:sz w:val="16"/>
        </w:rPr>
        <w:t>Management discussion of FY26 performance, strategy and guidance. File in supplied repository: PineLabsLimited_Earnings_Call_Transcript_Q4_FY26.pdf.</w:t>
      </w:r>
    </w:p>
    <w:p>
      <w:pPr>
        <w:spacing w:after="160"/>
        <w:ind w:left="259"/>
        <w:widowControl/>
      </w:pPr>
      <w:hyperlink r:id="rId20">
        <w:r>
          <w:rPr>
            <w:color w:val="117C83"/>
            <w:u w:val="single"/>
            <w:sz w:val="18"/>
          </w:rPr>
          <w:t>Open source</w:t>
        </w:r>
      </w:hyperlink>
    </w:p>
    <w:p>
      <w:pPr>
        <w:keepNext/>
        <w:spacing w:after="20"/>
        <w:widowControl/>
      </w:pPr>
      <w:r>
        <w:rPr>
          <w:b/>
          <w:color w:val="17324D"/>
          <w:sz w:val="18"/>
        </w:rPr>
        <w:t>[5] Pine Labs Limited. Q1 FY27 Shareholder Letter and Results (quarter ended 30 June 2026; published July 2026).</w:t>
      </w:r>
    </w:p>
    <w:p>
      <w:pPr>
        <w:spacing w:after="20"/>
        <w:ind w:left="259"/>
        <w:widowControl/>
      </w:pPr>
      <w:r>
        <w:rPr>
          <w:color w:val="243447"/>
          <w:sz w:val="16"/>
        </w:rPr>
        <w:t>Interim results, platform update, business and management commentary.</w:t>
      </w:r>
    </w:p>
    <w:p>
      <w:pPr>
        <w:spacing w:after="160"/>
        <w:ind w:left="259"/>
        <w:widowControl/>
      </w:pPr>
      <w:hyperlink r:id="rId21">
        <w:r>
          <w:rPr>
            <w:color w:val="117C83"/>
            <w:u w:val="single"/>
            <w:sz w:val="18"/>
          </w:rPr>
          <w:t>Open source</w:t>
        </w:r>
      </w:hyperlink>
    </w:p>
    <w:p>
      <w:pPr>
        <w:keepNext/>
        <w:spacing w:after="20"/>
        <w:widowControl/>
      </w:pPr>
      <w:r>
        <w:rPr>
          <w:b/>
          <w:color w:val="17324D"/>
          <w:sz w:val="18"/>
        </w:rPr>
        <w:t>[6] Pine Labs Limited. KPI Data Book, Q1 FY27.</w:t>
      </w:r>
    </w:p>
    <w:p>
      <w:pPr>
        <w:spacing w:after="20"/>
        <w:ind w:left="259"/>
        <w:widowControl/>
      </w:pPr>
      <w:r>
        <w:rPr>
          <w:color w:val="243447"/>
          <w:sz w:val="16"/>
        </w:rPr>
        <w:t>Interim company-defined operating KPIs, segment metrics and cash-flow reconciliation.</w:t>
      </w:r>
    </w:p>
    <w:p>
      <w:pPr>
        <w:spacing w:after="160"/>
        <w:ind w:left="259"/>
        <w:widowControl/>
      </w:pPr>
      <w:hyperlink r:id="rId22">
        <w:r>
          <w:rPr>
            <w:color w:val="117C83"/>
            <w:u w:val="single"/>
            <w:sz w:val="18"/>
          </w:rPr>
          <w:t>Open source</w:t>
        </w:r>
      </w:hyperlink>
    </w:p>
    <w:p>
      <w:pPr>
        <w:keepNext/>
        <w:spacing w:after="20"/>
        <w:widowControl/>
      </w:pPr>
      <w:r>
        <w:rPr>
          <w:b/>
          <w:color w:val="17324D"/>
          <w:sz w:val="18"/>
        </w:rPr>
        <w:t>[7] Pine Labs Limited. Q1 FY27 Earnings Call Transcript (July 2026).</w:t>
      </w:r>
    </w:p>
    <w:p>
      <w:pPr>
        <w:spacing w:after="20"/>
        <w:ind w:left="259"/>
        <w:widowControl/>
      </w:pPr>
      <w:r>
        <w:rPr>
          <w:color w:val="243447"/>
          <w:sz w:val="16"/>
        </w:rPr>
        <w:t>Opening portion of the transcript was reviewed; no unreviewed transcript content is relied on for this report.</w:t>
      </w:r>
    </w:p>
    <w:p>
      <w:pPr>
        <w:spacing w:after="160"/>
        <w:ind w:left="259"/>
        <w:widowControl/>
      </w:pPr>
      <w:hyperlink r:id="rId23">
        <w:r>
          <w:rPr>
            <w:color w:val="117C83"/>
            <w:u w:val="single"/>
            <w:sz w:val="18"/>
          </w:rPr>
          <w:t>Open source</w:t>
        </w:r>
      </w:hyperlink>
    </w:p>
    <w:p>
      <w:pPr>
        <w:keepNext/>
        <w:spacing w:after="20"/>
        <w:widowControl/>
      </w:pPr>
      <w:r>
        <w:rPr>
          <w:b/>
          <w:color w:val="17324D"/>
          <w:sz w:val="18"/>
        </w:rPr>
        <w:t>[8] Pine Labs Limited. Q1 FY27 Press Release (July 2026).</w:t>
      </w:r>
    </w:p>
    <w:p>
      <w:pPr>
        <w:spacing w:after="20"/>
        <w:ind w:left="259"/>
        <w:widowControl/>
      </w:pPr>
      <w:r>
        <w:rPr>
          <w:color w:val="243447"/>
          <w:sz w:val="16"/>
        </w:rPr>
        <w:t>Company announcement of interim results and selected product / business updates.</w:t>
      </w:r>
    </w:p>
    <w:p>
      <w:pPr>
        <w:spacing w:after="160"/>
        <w:ind w:left="259"/>
        <w:widowControl/>
      </w:pPr>
      <w:hyperlink r:id="rId24">
        <w:r>
          <w:rPr>
            <w:color w:val="117C83"/>
            <w:u w:val="single"/>
            <w:sz w:val="18"/>
          </w:rPr>
          <w:t>Open source</w:t>
        </w:r>
      </w:hyperlink>
    </w:p>
    <w:p>
      <w:pPr>
        <w:keepNext/>
        <w:spacing w:after="20"/>
        <w:widowControl/>
      </w:pPr>
      <w:r>
        <w:rPr>
          <w:b/>
          <w:color w:val="17324D"/>
          <w:sz w:val="18"/>
        </w:rPr>
        <w:t>[9] Reserve Bank of India. Payment Systems Report, December 2025 (published 18 May 2026).</w:t>
      </w:r>
    </w:p>
    <w:p>
      <w:pPr>
        <w:spacing w:after="20"/>
        <w:ind w:left="259"/>
        <w:widowControl/>
      </w:pPr>
      <w:r>
        <w:rPr>
          <w:color w:val="243447"/>
          <w:sz w:val="16"/>
        </w:rPr>
        <w:t>System-wide payments context and industry statistics.</w:t>
      </w:r>
    </w:p>
    <w:p>
      <w:pPr>
        <w:spacing w:after="160"/>
        <w:ind w:left="259"/>
        <w:widowControl/>
      </w:pPr>
      <w:hyperlink r:id="rId25">
        <w:r>
          <w:rPr>
            <w:color w:val="117C83"/>
            <w:u w:val="single"/>
            <w:sz w:val="18"/>
          </w:rPr>
          <w:t>Open source</w:t>
        </w:r>
      </w:hyperlink>
    </w:p>
    <w:p>
      <w:pPr>
        <w:keepNext/>
        <w:spacing w:after="20"/>
        <w:widowControl/>
      </w:pPr>
      <w:r>
        <w:rPr>
          <w:b/>
          <w:color w:val="17324D"/>
          <w:sz w:val="18"/>
        </w:rPr>
        <w:t>[10] National Payments Corporation of India. UPI Product Statistics.</w:t>
      </w:r>
    </w:p>
    <w:p>
      <w:pPr>
        <w:spacing w:after="20"/>
        <w:ind w:left="259"/>
        <w:widowControl/>
      </w:pPr>
      <w:r>
        <w:rPr>
          <w:color w:val="243447"/>
          <w:sz w:val="16"/>
        </w:rPr>
        <w:t>Monthly UPI transaction volume and value series; August 2026 observation cited as industry context.</w:t>
      </w:r>
    </w:p>
    <w:p>
      <w:pPr>
        <w:spacing w:after="160"/>
        <w:ind w:left="259"/>
        <w:widowControl/>
      </w:pPr>
      <w:hyperlink r:id="rId26">
        <w:r>
          <w:rPr>
            <w:color w:val="117C83"/>
            <w:u w:val="single"/>
            <w:sz w:val="18"/>
          </w:rPr>
          <w:t>Open source</w:t>
        </w:r>
      </w:hyperlink>
    </w:p>
    <w:p>
      <w:pPr>
        <w:keepNext/>
        <w:spacing w:after="20"/>
        <w:widowControl/>
      </w:pPr>
      <w:r>
        <w:rPr>
          <w:b/>
          <w:color w:val="17324D"/>
          <w:sz w:val="18"/>
        </w:rPr>
        <w:t>[11] BSE Limited. Pine Labs Limited (BSE scrip 544606), quote page.</w:t>
      </w:r>
    </w:p>
    <w:p>
      <w:pPr>
        <w:spacing w:after="20"/>
        <w:ind w:left="259"/>
        <w:widowControl/>
      </w:pPr>
      <w:r>
        <w:rPr>
          <w:color w:val="243447"/>
          <w:sz w:val="16"/>
        </w:rPr>
        <w:t>Official price snapshot and BSE displayed 52-week range used for 1 October 2026 market analysis.</w:t>
      </w:r>
    </w:p>
    <w:p>
      <w:pPr>
        <w:spacing w:after="160"/>
        <w:ind w:left="259"/>
        <w:widowControl/>
      </w:pPr>
      <w:hyperlink r:id="rId27">
        <w:r>
          <w:rPr>
            <w:color w:val="117C83"/>
            <w:u w:val="single"/>
            <w:sz w:val="18"/>
          </w:rPr>
          <w:t>Open source</w:t>
        </w:r>
      </w:hyperlink>
    </w:p>
    <w:p>
      <w:pPr>
        <w:keepNext/>
        <w:spacing w:after="20"/>
        <w:widowControl/>
      </w:pPr>
      <w:r>
        <w:rPr>
          <w:b/>
          <w:color w:val="17324D"/>
          <w:sz w:val="18"/>
        </w:rPr>
        <w:t>[12] Pine Labs Limited. Investor Relations — Financial Results.</w:t>
      </w:r>
    </w:p>
    <w:p>
      <w:pPr>
        <w:spacing w:after="20"/>
        <w:ind w:left="259"/>
        <w:widowControl/>
      </w:pPr>
      <w:r>
        <w:rPr>
          <w:color w:val="243447"/>
          <w:sz w:val="16"/>
        </w:rPr>
        <w:t>Official results index for company documents.</w:t>
      </w:r>
    </w:p>
    <w:p>
      <w:pPr>
        <w:spacing w:after="160"/>
        <w:ind w:left="259"/>
        <w:widowControl/>
      </w:pPr>
      <w:hyperlink r:id="rId28">
        <w:r>
          <w:rPr>
            <w:color w:val="117C83"/>
            <w:u w:val="single"/>
            <w:sz w:val="18"/>
          </w:rPr>
          <w:t>Open source</w:t>
        </w:r>
      </w:hyperlink>
    </w:p>
    <w:p>
      <w:pPr>
        <w:keepNext/>
        <w:spacing w:after="20"/>
        <w:widowControl/>
      </w:pPr>
      <w:r>
        <w:rPr>
          <w:b/>
          <w:color w:val="17324D"/>
          <w:sz w:val="18"/>
        </w:rPr>
        <w:t>[13] GitHub. nscrypto1968/Pine-Labs repository.</w:t>
      </w:r>
    </w:p>
    <w:p>
      <w:pPr>
        <w:spacing w:after="20"/>
        <w:ind w:left="259"/>
        <w:widowControl/>
      </w:pPr>
      <w:r>
        <w:rPr>
          <w:color w:val="243447"/>
          <w:sz w:val="16"/>
        </w:rPr>
        <w:t>Student-supplied repository used to locate the source documents listed above; snapshot reviewed at commit a92962d9013a09c3ef162976fed986b8eb28e7b5.</w:t>
      </w:r>
    </w:p>
    <w:p>
      <w:pPr>
        <w:spacing w:after="160"/>
        <w:ind w:left="259"/>
        <w:widowControl/>
      </w:pPr>
      <w:hyperlink r:id="rId29">
        <w:r>
          <w:rPr>
            <w:color w:val="117C83"/>
            <w:u w:val="single"/>
            <w:sz w:val="18"/>
          </w:rPr>
          <w:t>Open source</w:t>
        </w:r>
      </w:hyperlink>
    </w:p>
    <w:p>
      <w:pPr>
        <w:keepNext/>
        <w:spacing w:after="20"/>
        <w:widowControl/>
      </w:pPr>
      <w:r>
        <w:rPr>
          <w:b/>
          <w:color w:val="17324D"/>
          <w:sz w:val="18"/>
        </w:rPr>
        <w:t>[14] Porter, M. E. (1979). “How Competitive Forces Shape Strategy.” Harvard Business Review, 57(2), 137–145.</w:t>
      </w:r>
    </w:p>
    <w:p>
      <w:pPr>
        <w:spacing w:after="20"/>
        <w:ind w:left="259"/>
        <w:widowControl/>
      </w:pPr>
      <w:r>
        <w:rPr>
          <w:color w:val="243447"/>
          <w:sz w:val="16"/>
        </w:rPr>
        <w:t>Framework source for the qualitative Five Forces assessment.</w:t>
      </w:r>
    </w:p>
    <w:p>
      <w:pPr>
        <w:spacing w:after="160"/>
        <w:ind w:left="259"/>
        <w:widowControl/>
      </w:pPr>
      <w:hyperlink r:id="rId30">
        <w:r>
          <w:rPr>
            <w:color w:val="117C83"/>
            <w:u w:val="single"/>
            <w:sz w:val="18"/>
          </w:rPr>
          <w:t>Open source</w:t>
        </w:r>
      </w:hyperlink>
    </w:p>
    <w:p>
      <w:pPr>
        <w:keepNext/>
        <w:spacing w:after="20"/>
        <w:widowControl/>
      </w:pPr>
      <w:r>
        <w:rPr>
          <w:b/>
          <w:color w:val="17324D"/>
          <w:sz w:val="18"/>
        </w:rPr>
        <w:t>[15] Damodaran, A. Investment Valuation: Tools and Techniques for Determining the Value of Any Asset, 3rd ed. Wiley.</w:t>
      </w:r>
    </w:p>
    <w:p>
      <w:pPr>
        <w:spacing w:after="20"/>
        <w:ind w:left="259"/>
        <w:widowControl/>
      </w:pPr>
      <w:r>
        <w:rPr>
          <w:color w:val="243447"/>
          <w:sz w:val="16"/>
        </w:rPr>
        <w:t>Reference for return decomposition / equity valuation concepts; the report’s simplified P/B sensitivity is an illustrative calculation, not a forecast.</w:t>
      </w:r>
    </w:p>
    <w:p>
      <w:pPr>
        <w:spacing w:after="160"/>
        <w:ind w:left="259"/>
        <w:widowControl/>
      </w:pPr>
      <w:hyperlink r:id="rId31">
        <w:r>
          <w:rPr>
            <w:color w:val="117C83"/>
            <w:u w:val="single"/>
            <w:sz w:val="18"/>
          </w:rPr>
          <w:t>Open source</w:t>
        </w:r>
      </w:hyperlink>
    </w:p>
    <w:p>
      <w:pPr>
        <w:widowControl/>
      </w:pPr>
      <w:r>
        <w:br w:type="page"/>
      </w:r>
    </w:p>
    <w:p>
      <w:pPr>
        <w:pStyle w:val="Heading1"/>
        <w:keepNext/>
        <w:widowControl/>
      </w:pPr>
      <w:r>
        <w:t>APPENDIX A — COMPACT DATA SHEET</w:t>
      </w:r>
    </w:p>
    <w:p>
      <w:pPr>
        <w:widowControl/>
      </w:pPr>
      <w:r>
        <w:rPr>
          <w:i/>
          <w:color w:val="66788A"/>
          <w:sz w:val="18"/>
        </w:rPr>
        <w:t>Amounts are in ₹ crore unless specified. This is a transcription / calculation aid, not a replacement for the source statements. Rounding and reported comparative conventions apply.</w:t>
      </w:r>
    </w:p>
    <w:p>
      <w:pPr>
        <w:keepNext/>
        <w:spacing w:before="80" w:after="60"/>
        <w:widowControl/>
      </w:pPr>
      <w:r>
        <w:rPr>
          <w:b/>
          <w:color w:val="17324D"/>
          <w:sz w:val="18"/>
        </w:rPr>
        <w:t>Table 40. A1. Core financial series</w:t>
      </w:r>
    </w:p>
    <w:tbl>
      <w:tblPr>
        <w:tblW w:type="auto" w:w="0"/>
        <w:jc w:val="center"/>
        <w:tblLayout w:type="fixed"/>
        <w:tblLook w:firstColumn="1" w:firstRow="1" w:lastColumn="0" w:lastRow="0" w:noHBand="0" w:noVBand="1" w:val="04A0"/>
      </w:tblPr>
      <w:tblGrid>
        <w:gridCol w:w="3528"/>
        <w:gridCol w:w="1598"/>
        <w:gridCol w:w="1598"/>
        <w:gridCol w:w="1598"/>
        <w:gridCol w:w="1598"/>
      </w:tblGrid>
      <w:tr>
        <w:trPr>
          <w:tblHeader w:val="true"/>
        </w:trPr>
        <w:tc>
          <w:tcPr>
            <w:tcW w:type="dxa" w:w="352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Measure</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FY23</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FY24</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FY25</w:t>
            </w:r>
          </w:p>
        </w:tc>
        <w:tc>
          <w:tcPr>
            <w:tcW w:type="dxa" w:w="159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FY26</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Revenue from operations</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1,597.66</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1,769.55</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2,274.27</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2,710.59</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PAT</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(265.15)</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(341.90)</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(145.49)</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112.51</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CFO</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(152.36)</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(229.01)</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49.72</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395.39</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Adjusted EBITDA (company-defined)</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158.19</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356.60</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558.87</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Adjusted EBITDA margin</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8.94%</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15.68%</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20.62%</w:t>
            </w:r>
          </w:p>
        </w:tc>
      </w:tr>
      <w:tr>
        <w:trPr>
          <w:cantSplit/>
        </w:trPr>
        <w:tc>
          <w:tcPr>
            <w:tcW w:type="dxa" w:w="352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Platform GTV (₹ lakh crore)</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4.40</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6.08</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11.42</w:t>
            </w:r>
          </w:p>
        </w:tc>
        <w:tc>
          <w:tcPr>
            <w:tcW w:type="dxa" w:w="159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17.15</w:t>
            </w:r>
          </w:p>
        </w:tc>
      </w:tr>
      <w:tr>
        <w:trPr>
          <w:cantSplit/>
        </w:trPr>
        <w:tc>
          <w:tcPr>
            <w:tcW w:type="dxa" w:w="352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Transactions (crore)</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257</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344</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569</w:t>
            </w:r>
          </w:p>
        </w:tc>
        <w:tc>
          <w:tcPr>
            <w:tcW w:type="dxa" w:w="159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740.37</w:t>
            </w:r>
          </w:p>
        </w:tc>
      </w:tr>
    </w:tbl>
    <w:p>
      <w:pPr>
        <w:spacing w:before="40" w:after="140"/>
        <w:widowControl/>
      </w:pPr>
      <w:r>
        <w:rPr>
          <w:i/>
          <w:color w:val="66788A"/>
          <w:sz w:val="15"/>
        </w:rPr>
        <w:t>Source / note: Sources [1–3]; figures rounded.</w:t>
      </w:r>
    </w:p>
    <w:p>
      <w:pPr>
        <w:keepNext/>
        <w:spacing w:before="80" w:after="60"/>
        <w:widowControl/>
      </w:pPr>
      <w:r>
        <w:rPr>
          <w:b/>
          <w:color w:val="17324D"/>
          <w:sz w:val="18"/>
        </w:rPr>
        <w:t>Table 41. A2. FY26 balance-sheet and cash-flow snapshot</w:t>
      </w:r>
    </w:p>
    <w:tbl>
      <w:tblPr>
        <w:tblW w:type="auto" w:w="0"/>
        <w:jc w:val="center"/>
        <w:tblLayout w:type="fixed"/>
        <w:tblLook w:firstColumn="1" w:firstRow="1" w:lastColumn="0" w:lastRow="0" w:noHBand="0" w:noVBand="1" w:val="04A0"/>
      </w:tblPr>
      <w:tblGrid>
        <w:gridCol w:w="2880"/>
        <w:gridCol w:w="2592"/>
        <w:gridCol w:w="4464"/>
      </w:tblGrid>
      <w:tr>
        <w:trPr>
          <w:tblHeader w:val="true"/>
        </w:trPr>
        <w:tc>
          <w:tcPr>
            <w:tcW w:type="dxa" w:w="28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Item</w:t>
            </w:r>
          </w:p>
        </w:tc>
        <w:tc>
          <w:tcPr>
            <w:tcW w:type="dxa" w:w="259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FY26 value</w:t>
            </w:r>
          </w:p>
        </w:tc>
        <w:tc>
          <w:tcPr>
            <w:tcW w:type="dxa" w:w="446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Interpretation note</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Total assets</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13,296.96</w:t>
            </w:r>
          </w:p>
        </w:tc>
        <w:tc>
          <w:tcPr>
            <w:tcW w:type="dxa" w:w="44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Audited consolidated.</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Total equity</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5,895.41</w:t>
            </w:r>
          </w:p>
        </w:tc>
        <w:tc>
          <w:tcPr>
            <w:tcW w:type="dxa" w:w="44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Post-listing equity base.</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Borrowings ex leases</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282.87</w:t>
            </w:r>
          </w:p>
        </w:tc>
        <w:tc>
          <w:tcPr>
            <w:tcW w:type="dxa" w:w="44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Excludes lease liabilities.</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Cash equivalents</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1,393.08</w:t>
            </w:r>
          </w:p>
        </w:tc>
        <w:tc>
          <w:tcPr>
            <w:tcW w:type="dxa" w:w="44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Separate from other bank balances.</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Other bank balances</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6,832.84</w:t>
            </w:r>
          </w:p>
        </w:tc>
        <w:tc>
          <w:tcPr>
            <w:tcW w:type="dxa" w:w="44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Includes restricted / earmarked categories.</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Prepaid-card liabilities</w:t>
            </w:r>
          </w:p>
        </w:tc>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5,383.85</w:t>
            </w:r>
          </w:p>
        </w:tc>
        <w:tc>
          <w:tcPr>
            <w:tcW w:type="dxa" w:w="446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Customer-programme obligations.</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CFO / CFI / CFF</w:t>
            </w:r>
          </w:p>
        </w:tc>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+395.39 / −1,338.87 / +1,972.17</w:t>
            </w:r>
          </w:p>
        </w:tc>
        <w:tc>
          <w:tcPr>
            <w:tcW w:type="dxa" w:w="446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Cash-flow statement categories.</w:t>
            </w:r>
          </w:p>
        </w:tc>
      </w:tr>
    </w:tbl>
    <w:p>
      <w:pPr>
        <w:spacing w:before="40" w:after="140"/>
        <w:widowControl/>
      </w:pPr>
      <w:r>
        <w:rPr>
          <w:i/>
          <w:color w:val="66788A"/>
          <w:sz w:val="15"/>
        </w:rPr>
        <w:t>Source / note: FY26 audited results [2].</w:t>
      </w:r>
    </w:p>
    <w:p>
      <w:pPr>
        <w:keepNext/>
        <w:spacing w:before="80" w:after="60"/>
        <w:widowControl/>
      </w:pPr>
      <w:r>
        <w:rPr>
          <w:b/>
          <w:color w:val="17324D"/>
          <w:sz w:val="18"/>
        </w:rPr>
        <w:t>Table 42. A3. Q1 FY27 interim snapshot</w:t>
      </w:r>
    </w:p>
    <w:tbl>
      <w:tblPr>
        <w:tblW w:type="auto" w:w="0"/>
        <w:jc w:val="center"/>
        <w:tblLayout w:type="fixed"/>
        <w:tblLook w:firstColumn="1" w:firstRow="1" w:lastColumn="0" w:lastRow="0" w:noHBand="0" w:noVBand="1" w:val="04A0"/>
      </w:tblPr>
      <w:tblGrid>
        <w:gridCol w:w="2880"/>
        <w:gridCol w:w="3312"/>
        <w:gridCol w:w="3744"/>
      </w:tblGrid>
      <w:tr>
        <w:trPr>
          <w:tblHeader w:val="true"/>
        </w:trPr>
        <w:tc>
          <w:tcPr>
            <w:tcW w:type="dxa" w:w="2880"/>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Metric</w:t>
            </w:r>
          </w:p>
        </w:tc>
        <w:tc>
          <w:tcPr>
            <w:tcW w:type="dxa" w:w="331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Value</w:t>
            </w:r>
          </w:p>
        </w:tc>
        <w:tc>
          <w:tcPr>
            <w:tcW w:type="dxa" w:w="374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Status</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Revenue</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₹736.92 crore</w:t>
            </w:r>
          </w:p>
        </w:tc>
        <w:tc>
          <w:tcPr>
            <w:tcW w:type="dxa" w:w="37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Unaudited / limited-reviewed</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PAT</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₹19.57 crore</w:t>
            </w:r>
          </w:p>
        </w:tc>
        <w:tc>
          <w:tcPr>
            <w:tcW w:type="dxa" w:w="37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Unaudited / limited-reviewed</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DITP / IAP revenue</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₹499.12 / ₹237.80 crore</w:t>
            </w:r>
          </w:p>
        </w:tc>
        <w:tc>
          <w:tcPr>
            <w:tcW w:type="dxa" w:w="37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 segment disclosures</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Contribution margin</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₹532.62 crore / 72.3%</w:t>
            </w:r>
          </w:p>
        </w:tc>
        <w:tc>
          <w:tcPr>
            <w:tcW w:type="dxa" w:w="37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Company-defined KPI</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Adjusted EBITDA</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~₹126 crore / 17.1%</w:t>
            </w:r>
          </w:p>
        </w:tc>
        <w:tc>
          <w:tcPr>
            <w:tcW w:type="dxa" w:w="37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Company-defined KPI</w:t>
            </w:r>
          </w:p>
        </w:tc>
      </w:tr>
      <w:tr>
        <w:trPr>
          <w:cantSplit/>
        </w:trPr>
        <w:tc>
          <w:tcPr>
            <w:tcW w:type="dxa" w:w="2880"/>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GTV / transactions</w:t>
            </w:r>
          </w:p>
        </w:tc>
        <w:tc>
          <w:tcPr>
            <w:tcW w:type="dxa" w:w="331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₹4.22 lakh crore / 201 crore</w:t>
            </w:r>
          </w:p>
        </w:tc>
        <w:tc>
          <w:tcPr>
            <w:tcW w:type="dxa" w:w="37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 operating metrics</w:t>
            </w:r>
          </w:p>
        </w:tc>
      </w:tr>
      <w:tr>
        <w:trPr>
          <w:cantSplit/>
        </w:trPr>
        <w:tc>
          <w:tcPr>
            <w:tcW w:type="dxa" w:w="2880"/>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DCPs / merchants</w:t>
            </w:r>
          </w:p>
        </w:tc>
        <w:tc>
          <w:tcPr>
            <w:tcW w:type="dxa" w:w="331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21.7 lakh / 11.5 lakh</w:t>
            </w:r>
          </w:p>
        </w:tc>
        <w:tc>
          <w:tcPr>
            <w:tcW w:type="dxa" w:w="37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 operating metrics</w:t>
            </w:r>
          </w:p>
        </w:tc>
      </w:tr>
    </w:tbl>
    <w:p>
      <w:pPr>
        <w:spacing w:before="40" w:after="140"/>
        <w:widowControl/>
      </w:pPr>
      <w:r>
        <w:rPr>
          <w:i/>
          <w:color w:val="66788A"/>
          <w:sz w:val="15"/>
        </w:rPr>
        <w:t>Source / note: Q1 FY27 results and data book [5,6].</w:t>
      </w:r>
    </w:p>
    <w:p>
      <w:pPr>
        <w:widowControl/>
      </w:pPr>
      <w:r>
        <w:br w:type="page"/>
      </w:r>
    </w:p>
    <w:p>
      <w:pPr>
        <w:pStyle w:val="Heading1"/>
        <w:keepNext/>
        <w:widowControl/>
      </w:pPr>
      <w:r>
        <w:t>APPENDIX B — FORMULAS AND WORKED CALCULATIONS</w:t>
      </w:r>
    </w:p>
    <w:p>
      <w:pPr>
        <w:keepNext/>
        <w:spacing w:before="80" w:after="60"/>
        <w:widowControl/>
      </w:pPr>
      <w:r>
        <w:rPr>
          <w:b/>
          <w:color w:val="17324D"/>
          <w:sz w:val="18"/>
        </w:rPr>
        <w:t>Table 43. Formula reference</w:t>
      </w:r>
    </w:p>
    <w:tbl>
      <w:tblPr>
        <w:tblW w:type="auto" w:w="0"/>
        <w:jc w:val="center"/>
        <w:tblLayout w:type="fixed"/>
        <w:tblLook w:firstColumn="1" w:firstRow="1" w:lastColumn="0" w:lastRow="0" w:noHBand="0" w:noVBand="1" w:val="04A0"/>
      </w:tblPr>
      <w:tblGrid>
        <w:gridCol w:w="2232"/>
        <w:gridCol w:w="3168"/>
        <w:gridCol w:w="4536"/>
      </w:tblGrid>
      <w:tr>
        <w:trPr>
          <w:tblHeader w:val="true"/>
        </w:trPr>
        <w:tc>
          <w:tcPr>
            <w:tcW w:type="dxa" w:w="223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5"/>
              </w:rPr>
              <w:t>Measure</w:t>
            </w:r>
          </w:p>
        </w:tc>
        <w:tc>
          <w:tcPr>
            <w:tcW w:type="dxa" w:w="3168"/>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Formula</w:t>
            </w:r>
          </w:p>
        </w:tc>
        <w:tc>
          <w:tcPr>
            <w:tcW w:type="dxa" w:w="4536"/>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5"/>
              </w:rPr>
              <w:t>Worked illustration</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Revenue growth</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(Current-period revenue ÷ prior-period revenue) − 1</w:t>
            </w:r>
          </w:p>
        </w:tc>
        <w:tc>
          <w:tcPr>
            <w:tcW w:type="dxa" w:w="45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2,710.59 ÷ 2,274.27 − 1 ≈ 19.2%.</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CAGR</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(Ending value ÷ beginning value)^(1 / years) − 1</w:t>
            </w:r>
          </w:p>
        </w:tc>
        <w:tc>
          <w:tcPr>
            <w:tcW w:type="dxa" w:w="45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Revenue FY23–FY26: (2,710.59 ÷ 1,597.66)^(1/3) − 1 ≈ 19.3%.</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PAT margin</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PAT ÷ revenue from operations</w:t>
            </w:r>
          </w:p>
        </w:tc>
        <w:tc>
          <w:tcPr>
            <w:tcW w:type="dxa" w:w="45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112.51 ÷ 2,710.59 ≈ 4.15%.</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Current ratio</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Current assets ÷ current liabilities</w:t>
            </w:r>
          </w:p>
        </w:tc>
        <w:tc>
          <w:tcPr>
            <w:tcW w:type="dxa" w:w="45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10,884.33 ÷ 7,184.12 ≈ 1.52×.</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Borrowings / equity</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Borrowings excluding leases ÷ total equity</w:t>
            </w:r>
          </w:p>
        </w:tc>
        <w:tc>
          <w:tcPr>
            <w:tcW w:type="dxa" w:w="45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282.87 ÷ 5,895.41 ≈ 0.05×.</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ROA</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PAT ÷ average total assets</w:t>
            </w:r>
          </w:p>
        </w:tc>
        <w:tc>
          <w:tcPr>
            <w:tcW w:type="dxa" w:w="45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112.51 ÷ [(10,715.73 + 13,296.96) / 2] ≈ 0.94%.</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ROE</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PAT ÷ average total equity</w:t>
            </w:r>
          </w:p>
        </w:tc>
        <w:tc>
          <w:tcPr>
            <w:tcW w:type="dxa" w:w="45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112.51 ÷ [(3,506.14 + 5,895.41) / 2] ≈ 2.39%.</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Revenue / GTV proxy</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Revenue (₹ crore) ÷ [GTV (₹ lakh crore) × 100,000] × 10,000</w:t>
            </w:r>
          </w:p>
        </w:tc>
        <w:tc>
          <w:tcPr>
            <w:tcW w:type="dxa" w:w="45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2,710.59 ÷ (17.15 × 100,000) × 10,000 ≈ 15.8 bps. Not a contractual take rate.</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TTM revenue</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 Q1 FY27 − Q1 FY26</w:t>
            </w:r>
          </w:p>
        </w:tc>
        <w:tc>
          <w:tcPr>
            <w:tcW w:type="dxa" w:w="45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2,710.59 + 736.92 − 615.91 = ₹2,831.60 crore.</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TTM PAT</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FY26 + Q1 FY27 − Q1 FY26</w:t>
            </w:r>
          </w:p>
        </w:tc>
        <w:tc>
          <w:tcPr>
            <w:tcW w:type="dxa" w:w="45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112.51 + 19.57 − 4.79 = ₹127.29 crore.</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Market-cap proxy</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BSE price × approximate paid-up shares</w:t>
            </w:r>
          </w:p>
        </w:tc>
        <w:tc>
          <w:tcPr>
            <w:tcW w:type="dxa" w:w="45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₹167.55 × 115.39 crore ≈ ₹19,333.6 crore.</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Indicative P/E</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Market-cap proxy ÷ TTM PAT</w:t>
            </w:r>
          </w:p>
        </w:tc>
        <w:tc>
          <w:tcPr>
            <w:tcW w:type="dxa" w:w="45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19,333.6 ÷ 127.29 ≈ 152×; not company-published.</w:t>
            </w:r>
          </w:p>
        </w:tc>
      </w:tr>
      <w:tr>
        <w:trPr>
          <w:cantSplit/>
        </w:trPr>
        <w:tc>
          <w:tcPr>
            <w:tcW w:type="dxa" w:w="223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Indicative P/S</w:t>
            </w:r>
          </w:p>
        </w:tc>
        <w:tc>
          <w:tcPr>
            <w:tcW w:type="dxa" w:w="3168"/>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Market-cap proxy ÷ TTM revenue</w:t>
            </w:r>
          </w:p>
        </w:tc>
        <w:tc>
          <w:tcPr>
            <w:tcW w:type="dxa" w:w="4536"/>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19,333.6 ÷ 2,831.60 ≈ 6.83×; not company-published.</w:t>
            </w:r>
          </w:p>
        </w:tc>
      </w:tr>
      <w:tr>
        <w:trPr>
          <w:cantSplit/>
        </w:trPr>
        <w:tc>
          <w:tcPr>
            <w:tcW w:type="dxa" w:w="223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5"/>
              </w:rPr>
              <w:t>Indicative P/B</w:t>
            </w:r>
          </w:p>
        </w:tc>
        <w:tc>
          <w:tcPr>
            <w:tcW w:type="dxa" w:w="3168"/>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Market-cap proxy ÷ FY26 closing equity</w:t>
            </w:r>
          </w:p>
        </w:tc>
        <w:tc>
          <w:tcPr>
            <w:tcW w:type="dxa" w:w="4536"/>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5"/>
              </w:rPr>
              <w:t>19,332.9 ÷ 5,895.41 ≈ 3.28×; mixed-date comparison.</w:t>
            </w:r>
          </w:p>
        </w:tc>
      </w:tr>
    </w:tbl>
    <w:p>
      <w:pPr>
        <w:spacing w:before="40" w:after="140"/>
        <w:widowControl/>
      </w:pPr>
      <w:r>
        <w:rPr>
          <w:i/>
          <w:color w:val="66788A"/>
          <w:sz w:val="15"/>
        </w:rPr>
        <w:t>Source / note: Calculations are author-derived from reported figures [1–6,11]; values rounded. Use a consistent price date and fully diluted share count for updated analysis.</w:t>
      </w:r>
    </w:p>
    <w:p>
      <w:pPr>
        <w:widowControl/>
      </w:pPr>
      <w:r>
        <w:br w:type="page"/>
      </w:r>
    </w:p>
    <w:p>
      <w:pPr>
        <w:pStyle w:val="Heading1"/>
        <w:keepNext/>
        <w:widowControl/>
      </w:pPr>
      <w:r>
        <w:t>APPENDIX C — GLOSSARY</w:t>
      </w:r>
    </w:p>
    <w:p>
      <w:pPr>
        <w:keepNext/>
        <w:spacing w:before="80" w:after="60"/>
        <w:widowControl/>
      </w:pPr>
      <w:r>
        <w:rPr>
          <w:b/>
          <w:color w:val="17324D"/>
          <w:sz w:val="18"/>
        </w:rPr>
        <w:t>Table 44. Key terms</w:t>
      </w:r>
    </w:p>
    <w:tbl>
      <w:tblPr>
        <w:tblW w:type="auto" w:w="0"/>
        <w:jc w:val="center"/>
        <w:tblLayout w:type="fixed"/>
        <w:tblLook w:firstColumn="1" w:firstRow="1" w:lastColumn="0" w:lastRow="0" w:noHBand="0" w:noVBand="1" w:val="04A0"/>
      </w:tblPr>
      <w:tblGrid>
        <w:gridCol w:w="2592"/>
        <w:gridCol w:w="7344"/>
      </w:tblGrid>
      <w:tr>
        <w:trPr>
          <w:tblHeader w:val="true"/>
        </w:trPr>
        <w:tc>
          <w:tcPr>
            <w:tcW w:type="dxa" w:w="2592"/>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left"/>
            </w:pPr>
            <w:r/>
            <w:r>
              <w:rPr>
                <w:rFonts w:ascii="Aptos" w:hAnsi="Aptos"/>
                <w:b/>
                <w:color w:val="FFFFFF"/>
                <w:sz w:val="16"/>
              </w:rPr>
              <w:t>Term</w:t>
            </w:r>
          </w:p>
        </w:tc>
        <w:tc>
          <w:tcPr>
            <w:tcW w:type="dxa" w:w="7344"/>
            <w:shd w:fill="17324D"/>
            <w:tcMar>
              <w:top w:w="75" w:type="dxa"/>
              <w:start w:w="90" w:type="dxa"/>
              <w:bottom w:w="75" w:type="dxa"/>
              <w:end w:w="90" w:type="dxa"/>
            </w:tcMar>
            <w:vAlign w:val="center"/>
            <w:tcBorders>
              <w:top w:val="single" w:sz="4" w:color="17324D"/>
              <w:left w:val="single" w:sz="3" w:color="FFFFFF"/>
              <w:bottom w:val="single" w:sz="4" w:color="17324D"/>
              <w:right w:val="single" w:sz="3" w:color="FFFFFF"/>
            </w:tcBorders>
          </w:tcPr>
          <w:p>
            <w:pPr>
              <w:spacing w:after="0"/>
              <w:jc w:val="center"/>
            </w:pPr>
            <w:r/>
            <w:r>
              <w:rPr>
                <w:rFonts w:ascii="Aptos" w:hAnsi="Aptos"/>
                <w:b/>
                <w:color w:val="FFFFFF"/>
                <w:sz w:val="16"/>
              </w:rPr>
              <w:t>Definition</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Acquirer</w:t>
            </w:r>
          </w:p>
        </w:tc>
        <w:tc>
          <w:tcPr>
            <w:tcW w:type="dxa" w:w="73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Entity that enables merchants to accept a payment instrument and receives / settles transaction proceeds under applicable arrangements.</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Affordability</w:t>
            </w:r>
          </w:p>
        </w:tc>
        <w:tc>
          <w:tcPr>
            <w:tcW w:type="dxa" w:w="73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Merchant or lender-linked offer such as instalments or other payment options; underwriting and lending may be performed by a regulated partner.</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CFO / CFI / CFF</w:t>
            </w:r>
          </w:p>
        </w:tc>
        <w:tc>
          <w:tcPr>
            <w:tcW w:type="dxa" w:w="73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Cash flow from operating / investing / financing activities.</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Contribution margin</w:t>
            </w:r>
          </w:p>
        </w:tc>
        <w:tc>
          <w:tcPr>
            <w:tcW w:type="dxa" w:w="73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Company-defined measure after specified direct costs; definition should be read in the relevant KPI book.</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DCP</w:t>
            </w:r>
          </w:p>
        </w:tc>
        <w:tc>
          <w:tcPr>
            <w:tcW w:type="dxa" w:w="73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Digital checkout point; company operating KPI.</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DITP</w:t>
            </w:r>
          </w:p>
        </w:tc>
        <w:tc>
          <w:tcPr>
            <w:tcW w:type="dxa" w:w="73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Digital Infrastructure and Transaction Platform.</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GTV</w:t>
            </w:r>
          </w:p>
        </w:tc>
        <w:tc>
          <w:tcPr>
            <w:tcW w:type="dxa" w:w="73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Gross transaction value processed / routed / serviced under the company’s definition; not revenue.</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IAP</w:t>
            </w:r>
          </w:p>
        </w:tc>
        <w:tc>
          <w:tcPr>
            <w:tcW w:type="dxa" w:w="73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Issuing and Acquiring Platform.</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PAT</w:t>
            </w:r>
          </w:p>
        </w:tc>
        <w:tc>
          <w:tcPr>
            <w:tcW w:type="dxa" w:w="73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Profit after tax.</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Prepaid-card liability</w:t>
            </w:r>
          </w:p>
        </w:tc>
        <w:tc>
          <w:tcPr>
            <w:tcW w:type="dxa" w:w="73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Obligation related to stored-value / prepaid programmes; not equivalent to unrestricted corporate debt or free cash.</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Restated financials</w:t>
            </w:r>
          </w:p>
        </w:tc>
        <w:tc>
          <w:tcPr>
            <w:tcW w:type="dxa" w:w="73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Historical consolidated statements retrospectively presented / adjusted in the prospectus for comparability, including the Singapore merger.</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UPI</w:t>
            </w:r>
          </w:p>
        </w:tc>
        <w:tc>
          <w:tcPr>
            <w:tcW w:type="dxa" w:w="73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Unified Payments Interface, operated through NPCI member banks and participating applications.</w:t>
            </w:r>
          </w:p>
        </w:tc>
      </w:tr>
      <w:tr>
        <w:trPr>
          <w:cantSplit/>
        </w:trPr>
        <w:tc>
          <w:tcPr>
            <w:tcW w:type="dxa" w:w="2592"/>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Adjusted EBITDA</w:t>
            </w:r>
          </w:p>
        </w:tc>
        <w:tc>
          <w:tcPr>
            <w:tcW w:type="dxa" w:w="7344"/>
            <w:tcMar>
              <w:top w:w="75" w:type="dxa"/>
              <w:start w:w="90" w:type="dxa"/>
              <w:bottom w:w="75" w:type="dxa"/>
              <w:end w:w="90" w:type="dxa"/>
            </w:tcMar>
            <w:vAlign w:val="center"/>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Management-defined non-GAAP measure; check the period-specific reconciliation and adjustments.</w:t>
            </w:r>
          </w:p>
        </w:tc>
      </w:tr>
      <w:tr>
        <w:trPr>
          <w:cantSplit/>
        </w:trPr>
        <w:tc>
          <w:tcPr>
            <w:tcW w:type="dxa" w:w="2592"/>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left"/>
            </w:pPr>
            <w:r/>
            <w:r>
              <w:rPr>
                <w:rFonts w:ascii="Aptos" w:hAnsi="Aptos"/>
                <w:color w:val="243447"/>
                <w:sz w:val="16"/>
              </w:rPr>
              <w:t>TTM / LTM</w:t>
            </w:r>
          </w:p>
        </w:tc>
        <w:tc>
          <w:tcPr>
            <w:tcW w:type="dxa" w:w="7344"/>
            <w:tcMar>
              <w:top w:w="75" w:type="dxa"/>
              <w:start w:w="90" w:type="dxa"/>
              <w:bottom w:w="75" w:type="dxa"/>
              <w:end w:w="90" w:type="dxa"/>
            </w:tcMar>
            <w:vAlign w:val="center"/>
            <w:shd w:fill="F4F7F9"/>
            <w:tcBorders>
              <w:top w:val="single" w:sz="2" w:color="D8E1E8"/>
              <w:left w:val="single" w:sz="2" w:color="D8E1E8"/>
              <w:bottom w:val="single" w:sz="2" w:color="D8E1E8"/>
              <w:right w:val="single" w:sz="2" w:color="D8E1E8"/>
            </w:tcBorders>
          </w:tcPr>
          <w:p>
            <w:pPr>
              <w:spacing w:after="0" w:line="240" w:lineRule="auto"/>
              <w:jc w:val="center"/>
            </w:pPr>
            <w:r/>
            <w:r>
              <w:rPr>
                <w:rFonts w:ascii="Aptos" w:hAnsi="Aptos"/>
                <w:color w:val="243447"/>
                <w:sz w:val="16"/>
              </w:rPr>
              <w:t>Trailing twelve months; in this report FY26 plus Q1 FY27 less Q1 FY26.</w:t>
            </w:r>
          </w:p>
        </w:tc>
      </w:tr>
    </w:tbl>
    <w:p>
      <w:pPr>
        <w:spacing w:before="40" w:after="140"/>
        <w:widowControl/>
      </w:pPr>
      <w:r>
        <w:rPr>
          <w:i/>
          <w:color w:val="66788A"/>
          <w:sz w:val="15"/>
        </w:rPr>
        <w:t>Source / note: Definitions are tailored for this report; legal / accounting definitions in regulations and financial statements take precedence.</w:t>
      </w:r>
    </w:p>
    <w:p>
      <w:pPr>
        <w:widowControl/>
      </w:pPr>
      <w:r>
        <w:br w:type="page"/>
      </w:r>
    </w:p>
    <w:p>
      <w:pPr>
        <w:pStyle w:val="Heading1"/>
        <w:keepNext/>
        <w:widowControl/>
      </w:pPr>
      <w:r>
        <w:t>APPENDIX D — FINAL SUBMISSION CHECKLIST</w:t>
      </w:r>
    </w:p>
    <w:p>
      <w:pPr>
        <w:spacing w:after="160"/>
        <w:widowControl/>
      </w:pPr>
      <w:r>
        <w:t>Before submitting to the institute, verify the following. Items requiring official records are intentionally not completed by this research draft.</w:t>
      </w:r>
    </w:p>
    <w:p>
      <w:pPr>
        <w:pStyle w:val="ListBullet"/>
        <w:spacing w:after="50"/>
        <w:ind w:left="317" w:hanging="202"/>
        <w:widowControl/>
      </w:pPr>
      <w:r>
        <w:t>☐ Insert the official institute / university name, faculty guide, academic session and required front-matter wording.</w:t>
      </w:r>
    </w:p>
    <w:p>
      <w:pPr>
        <w:pStyle w:val="ListBullet"/>
        <w:spacing w:after="50"/>
        <w:ind w:left="317" w:hanging="202"/>
        <w:widowControl/>
      </w:pPr>
      <w:r>
        <w:t>☐ Confirm whether the assignment is a company-research project, an actual internship report, or both; use only accurate labels.</w:t>
      </w:r>
    </w:p>
    <w:p>
      <w:pPr>
        <w:pStyle w:val="ListBullet"/>
        <w:spacing w:after="50"/>
        <w:ind w:left="317" w:hanging="202"/>
        <w:widowControl/>
      </w:pPr>
      <w:r>
        <w:t>☐ If an internship occurred, add its real organisation, dates, department, duties, supervisor and authentic completion certificate. Do not imply Pine Labs hosted the student unless verified.</w:t>
      </w:r>
    </w:p>
    <w:p>
      <w:pPr>
        <w:pStyle w:val="ListBullet"/>
        <w:spacing w:after="50"/>
        <w:ind w:left="317" w:hanging="202"/>
        <w:widowControl/>
      </w:pPr>
      <w:r>
        <w:t>☐ Check that the name, roll number and programme are correct: Nikhil Udaypratap Singh; M16158; SYMMS.</w:t>
      </w:r>
    </w:p>
    <w:p>
      <w:pPr>
        <w:pStyle w:val="ListBullet"/>
        <w:spacing w:after="50"/>
        <w:ind w:left="317" w:hanging="202"/>
        <w:widowControl/>
      </w:pPr>
      <w:r>
        <w:t>☐ Refresh the latest market price and all valuation calculations if the submission date is later than 3 October 2026.</w:t>
      </w:r>
    </w:p>
    <w:p>
      <w:pPr>
        <w:pStyle w:val="ListBullet"/>
        <w:spacing w:after="50"/>
        <w:ind w:left="317" w:hanging="202"/>
        <w:widowControl/>
      </w:pPr>
      <w:r>
        <w:t>☐ Confirm the exact share count and fully diluted basis from the latest official filing before using per-share multiples or market capitalization in a live recommendation.</w:t>
      </w:r>
    </w:p>
    <w:p>
      <w:pPr>
        <w:pStyle w:val="ListBullet"/>
        <w:spacing w:after="50"/>
        <w:ind w:left="317" w:hanging="202"/>
        <w:widowControl/>
      </w:pPr>
      <w:r>
        <w:t>☐ Read the underlying FY26 audit report and the Q1 FY27 interim review report; confirm any qualifications, notes and subsequent events.</w:t>
      </w:r>
    </w:p>
    <w:p>
      <w:pPr>
        <w:pStyle w:val="ListBullet"/>
        <w:spacing w:after="50"/>
        <w:ind w:left="317" w:hanging="202"/>
        <w:widowControl/>
      </w:pPr>
      <w:r>
        <w:t>☐ Update company-defined KPI definitions and all source links; verify each table against the original statement and workbook.</w:t>
      </w:r>
    </w:p>
    <w:p>
      <w:pPr>
        <w:pStyle w:val="ListBullet"/>
        <w:spacing w:after="50"/>
        <w:ind w:left="317" w:hanging="202"/>
        <w:widowControl/>
      </w:pPr>
      <w:r>
        <w:t>☐ Run the institute’s plagiarism / citation process and add any mandatory cover sheet, declaration or formatting requirement.</w:t>
      </w:r>
    </w:p>
    <w:p>
      <w:pPr>
        <w:pStyle w:val="ListBullet"/>
        <w:spacing w:after="50"/>
        <w:ind w:left="317" w:hanging="202"/>
        <w:widowControl/>
      </w:pPr>
      <w:r>
        <w:t>☐ Have the faculty guide review the report’s analysis, source conventions and use of the word “internship”.</w:t>
      </w:r>
    </w:p>
    <w:p>
      <w:pPr>
        <w:spacing w:before="440" w:after="160"/>
        <w:jc w:val="center"/>
        <w:widowControl/>
      </w:pPr>
      <w:r>
        <w:rPr>
          <w:b/>
          <w:color w:val="117C83"/>
          <w:sz w:val="22"/>
        </w:rPr>
        <w:t>END OF REPORT</w:t>
      </w:r>
    </w:p>
    <w:sectPr w:rsidR="00FC693F" w:rsidRPr="0006063C" w:rsidSect="00034616">
      <w:headerReference w:type="default" r:id="rId9"/>
      <w:footerReference w:type="default" r:id="rId10"/>
      <w:pgSz w:w="11909" w:h="16834"/>
      <w:pgMar w:top="1037" w:right="907" w:bottom="979" w:left="907" w:header="475"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66788A"/>
        <w:sz w:val="15"/>
      </w:rPr>
      <w:t xml:space="preserve">SYMMS  •  SECONDARY-RESEARCH DRAFT  •  DATA CUT-OFF: 03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117C83"/>
      </w:pBdr>
    </w:pPr>
    <w:r>
      <w:rPr>
        <w:rFonts w:ascii="Aptos" w:hAnsi="Aptos"/>
        <w:b/>
        <w:color w:val="117C83"/>
        <w:sz w:val="16"/>
      </w:rPr>
      <w:t>PINE LABS  |  COMPANY RESEARCH &amp; FUNDAMENTAL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17C8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117C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github.com/nscrypto1968/Pine-Labs/blob/a92962d9013a09c3ef162976fed986b8eb28e7b5/Pine-Labs-Limited-Prospectus.pdf" TargetMode="External"/><Relationship Id="rId18" Type="http://schemas.openxmlformats.org/officeDocument/2006/relationships/hyperlink" Target="https://github.com/nscrypto1968/Pine-Labs/blob/a92962d9013a09c3ef162976fed986b8eb28e7b5/Pine_Labs_Ltd_Shareholder_Letter_and_Results_Q4_FY26_with_financials.pdf" TargetMode="External"/><Relationship Id="rId19" Type="http://schemas.openxmlformats.org/officeDocument/2006/relationships/hyperlink" Target="https://github.com/nscrypto1968/Pine-Labs/blob/a92962d9013a09c3ef162976fed986b8eb28e7b5/PineLabs-KPI-Data-Book-Q4-FY26.xlsx" TargetMode="External"/><Relationship Id="rId20" Type="http://schemas.openxmlformats.org/officeDocument/2006/relationships/hyperlink" Target="https://github.com/nscrypto1968/Pine-Labs/blob/a92962d9013a09c3ef162976fed986b8eb28e7b5/PineLabsLimited_Earnings_Call_Transcript_Q4_FY26.pdf" TargetMode="External"/><Relationship Id="rId21" Type="http://schemas.openxmlformats.org/officeDocument/2006/relationships/hyperlink" Target="https://cdn.pinelabs.com/india/investors/pdf/legal-documents/PineLabsLtd_ShareholderLetter%26Results_Q1FY27.pdf" TargetMode="External"/><Relationship Id="rId22" Type="http://schemas.openxmlformats.org/officeDocument/2006/relationships/hyperlink" Target="https://cdn.pinelabs.com/india/investors/pdf/legal-documents/PineLabs-KPI-Data-Book-Q1-FY27.xlsx" TargetMode="External"/><Relationship Id="rId23" Type="http://schemas.openxmlformats.org/officeDocument/2006/relationships/hyperlink" Target="https://cdn.pinelabs.com/india/investors/pdf/legal-documents/PineLabsLimitedQ1FY27Transcript.pdf" TargetMode="External"/><Relationship Id="rId24" Type="http://schemas.openxmlformats.org/officeDocument/2006/relationships/hyperlink" Target="https://cdn.pinelabs.com/india/investors/pdf/legal-documents/PineLabsLtd_Q1FY27_PressRelease.pdf" TargetMode="External"/><Relationship Id="rId25" Type="http://schemas.openxmlformats.org/officeDocument/2006/relationships/hyperlink" Target="https://www.rbi.org.in/Scripts/PublicationsView.aspx?id=23813" TargetMode="External"/><Relationship Id="rId26" Type="http://schemas.openxmlformats.org/officeDocument/2006/relationships/hyperlink" Target="https://www.npci.org.in/product/upi/product-statistics" TargetMode="External"/><Relationship Id="rId27" Type="http://schemas.openxmlformats.org/officeDocument/2006/relationships/hyperlink" Target="https://www.bseindia.com/stock-share-price/pine-labs-ltd/pinelabs/544606/" TargetMode="External"/><Relationship Id="rId28" Type="http://schemas.openxmlformats.org/officeDocument/2006/relationships/hyperlink" Target="https://www.pinelabs.com/investor-relations/financial-results" TargetMode="External"/><Relationship Id="rId29" Type="http://schemas.openxmlformats.org/officeDocument/2006/relationships/hyperlink" Target="https://github.com/nscrypto1968/Pine-Labs" TargetMode="External"/><Relationship Id="rId30" Type="http://schemas.openxmlformats.org/officeDocument/2006/relationships/hyperlink" Target="https://hbr.org/1979/03/how-competitive-forces-shape-strategy" TargetMode="External"/><Relationship Id="rId31" Type="http://schemas.openxmlformats.org/officeDocument/2006/relationships/hyperlink" Target="https://pages.stern.nyu.edu/~adamod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Study of the Fintech Business Model and Financial Performance of Pine Labs Limited</dc:title>
  <dc:subject>SYMMS Summer Internship Project — Company Research and Fundamental Analysis</dc:subject>
  <dc:creator>Nikhil Udaypratap Singh</dc:creator>
  <cp:keywords>Pine Labs, fintech, payments, fundamental analysis, SYMMS</cp:keywords>
  <dc:description>Secondary-data research draft. Administrative and internship-specific particulars require authentic completion.</dc:description>
  <cp:lastModifiedBy/>
  <cp:revision>1</cp:revision>
  <dcterms:created xsi:type="dcterms:W3CDTF">2013-12-23T23:15:00Z</dcterms:created>
  <dcterms:modified xsi:type="dcterms:W3CDTF">2013-12-23T23:15:00Z</dcterms:modified>
  <cp:category/>
</cp:coreProperties>
</file>