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SUMMER INTERNSHIP REPORT ON</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A STUDY OF THE FINTECH BUSINESS MODEL AND FINANCIAL PERFORMANCE OF PINE LABS LIMITED</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Submitted in partial fulfilment for the award of the degree of</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MASTER OF MANAGEMENT STUDIES</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FINANCE</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UNIVERSITY OF MUMBAI</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Submitted by</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NIKHIL UDAYPRATAP SINGH</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ROLL NO: M-16158</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2025-2027</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Under The Guidance of</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DR. RAHUL N. WADEKAR</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spacing w:after="0" w:line="240" w:lineRule="auto"/>
        <w:jc w:val="center"/>
      </w:pPr>
      <w:r>
        <w:drawing>
          <wp:inline xmlns:a="http://schemas.openxmlformats.org/drawingml/2006/main" xmlns:pic="http://schemas.openxmlformats.org/drawingml/2006/picture">
            <wp:extent cx="1490472" cy="1307592"/>
            <wp:docPr id="1" name="Picture 1"/>
            <wp:cNvGraphicFramePr>
              <a:graphicFrameLocks noChangeAspect="1"/>
            </wp:cNvGraphicFramePr>
            <a:graphic>
              <a:graphicData uri="http://schemas.openxmlformats.org/drawingml/2006/picture">
                <pic:pic>
                  <pic:nvPicPr>
                    <pic:cNvPr id="0" name="rg_img_p1_x18.jpeg"/>
                    <pic:cNvPicPr/>
                  </pic:nvPicPr>
                  <pic:blipFill>
                    <a:blip r:embed="rId10"/>
                    <a:stretch>
                      <a:fillRect/>
                    </a:stretch>
                  </pic:blipFill>
                  <pic:spPr>
                    <a:xfrm>
                      <a:off x="0" y="0"/>
                      <a:ext cx="1490472" cy="1307592"/>
                    </a:xfrm>
                    <a:prstGeom prst="rect"/>
                  </pic:spPr>
                </pic:pic>
              </a:graphicData>
            </a:graphic>
          </wp:inline>
        </w:drawing>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DES'S NAVINCHANDRA MEHTA INSTITUTE OF TECHNOLOGY</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AND DEVELOPMENT, MUMBAI – 400028</w:t>
      </w:r>
    </w:p>
    <w:p>
      <w:pPr>
        <w:pageBreakBefore/>
        <w:spacing w:after="0" w:line="240" w:lineRule="auto"/>
        <w:jc w:val="center"/>
      </w:pPr>
      <w:r>
        <w:drawing>
          <wp:inline xmlns:a="http://schemas.openxmlformats.org/drawingml/2006/main" xmlns:pic="http://schemas.openxmlformats.org/drawingml/2006/picture">
            <wp:extent cx="4846320" cy="1083564"/>
            <wp:docPr id="2" name="Picture 2"/>
            <wp:cNvGraphicFramePr>
              <a:graphicFrameLocks noChangeAspect="1"/>
            </wp:cNvGraphicFramePr>
            <a:graphic>
              <a:graphicData uri="http://schemas.openxmlformats.org/drawingml/2006/picture">
                <pic:pic>
                  <pic:nvPicPr>
                    <pic:cNvPr id="0" name="rg_img_p2_x30.jpeg"/>
                    <pic:cNvPicPr/>
                  </pic:nvPicPr>
                  <pic:blipFill>
                    <a:blip r:embed="rId11"/>
                    <a:stretch>
                      <a:fillRect/>
                    </a:stretch>
                  </pic:blipFill>
                  <pic:spPr>
                    <a:xfrm>
                      <a:off x="0" y="0"/>
                      <a:ext cx="4846320" cy="1083564"/>
                    </a:xfrm>
                    <a:prstGeom prst="rect"/>
                  </pic:spPr>
                </pic:pic>
              </a:graphicData>
            </a:graphic>
          </wp:inline>
        </w:drawing>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240" w:before="0" w:line="360" w:lineRule="auto"/>
        <w:jc w:val="center"/>
      </w:pPr>
      <w:r>
        <w:rPr>
          <w:rFonts w:ascii="Times New Roman" w:hAnsi="Times New Roman" w:cs="Times New Roman" w:eastAsia="Times New Roman"/>
          <w:b/>
          <w:i w:val="0"/>
          <w:color w:val="000000"/>
          <w:sz w:val="28"/>
          <w:u w:val="single"/>
        </w:rPr>
        <w:t>CERTIFICATE</w:t>
      </w:r>
    </w:p>
    <w:p>
      <w:pPr>
        <w:keepNext w:val="0"/>
        <w:pageBreakBefore w:val="0"/>
        <w:spacing w:after="240" w:before="0" w:line="360" w:lineRule="auto"/>
        <w:jc w:val="both"/>
      </w:pPr>
      <w:r>
        <w:rPr>
          <w:rFonts w:ascii="Times New Roman" w:hAnsi="Times New Roman" w:cs="Times New Roman" w:eastAsia="Times New Roman"/>
          <w:b w:val="0"/>
          <w:i w:val="0"/>
          <w:color w:val="000000"/>
          <w:sz w:val="24"/>
          <w:u w:val="none"/>
        </w:rPr>
        <w:t xml:space="preserve">This is to certify that the summer internship report titled </w:t>
      </w:r>
      <w:r>
        <w:rPr>
          <w:rFonts w:ascii="Times New Roman" w:hAnsi="Times New Roman" w:cs="Times New Roman" w:eastAsia="Times New Roman"/>
          <w:b w:val="0"/>
          <w:i w:val="0"/>
          <w:color w:val="000000"/>
          <w:sz w:val="24"/>
          <w:u w:val="none"/>
        </w:rPr>
        <w:t>“A Study of the Fintech Business Model and Financial Performance of Pine Labs Limited”</w:t>
      </w:r>
      <w:r>
        <w:rPr>
          <w:rFonts w:ascii="Times New Roman" w:hAnsi="Times New Roman" w:cs="Times New Roman" w:eastAsia="Times New Roman"/>
          <w:b w:val="0"/>
          <w:i w:val="0"/>
          <w:color w:val="000000"/>
          <w:sz w:val="24"/>
          <w:u w:val="none"/>
        </w:rPr>
        <w:t xml:space="preserve"> submitted in partial fulfilment for MMS Degree Examination by </w:t>
      </w:r>
      <w:r>
        <w:rPr>
          <w:rFonts w:ascii="Times New Roman" w:hAnsi="Times New Roman" w:cs="Times New Roman" w:eastAsia="Times New Roman"/>
          <w:b/>
          <w:i w:val="0"/>
          <w:color w:val="000000"/>
          <w:sz w:val="24"/>
          <w:u w:val="none"/>
        </w:rPr>
        <w:t>Nikhil Udaypratap Singh</w:t>
      </w:r>
      <w:r>
        <w:rPr>
          <w:rFonts w:ascii="Times New Roman" w:hAnsi="Times New Roman" w:cs="Times New Roman" w:eastAsia="Times New Roman"/>
          <w:b w:val="0"/>
          <w:i w:val="0"/>
          <w:color w:val="000000"/>
          <w:sz w:val="24"/>
          <w:u w:val="none"/>
        </w:rPr>
        <w:t xml:space="preserve"> is a record of Research work carried out by the student during the period from </w:t>
      </w:r>
      <w:r>
        <w:rPr>
          <w:rFonts w:ascii="Times New Roman" w:hAnsi="Times New Roman" w:cs="Times New Roman" w:eastAsia="Times New Roman"/>
          <w:b/>
          <w:i w:val="0"/>
          <w:color w:val="000000"/>
          <w:sz w:val="24"/>
          <w:u w:val="none"/>
        </w:rPr>
        <w:t>2025 to 2026</w:t>
      </w:r>
      <w:r>
        <w:rPr>
          <w:rFonts w:ascii="Times New Roman" w:hAnsi="Times New Roman" w:cs="Times New Roman" w:eastAsia="Times New Roman"/>
          <w:b w:val="0"/>
          <w:i w:val="0"/>
          <w:color w:val="000000"/>
          <w:sz w:val="24"/>
          <w:u w:val="none"/>
        </w:rPr>
        <w:t xml:space="preserve"> under my guidance, and has been found satisfactory. This project work is original and not submitted earlier for the award of any degree, diploma or associateship of any other University/Institute.</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tbl>
      <w:tblPr>
        <w:tblStyle w:val="TableGrid"/>
        <w:tblW w:type="auto" w:w="0"/>
        <w:jc w:val="center"/>
        <w:tblLayout w:type="fixed"/>
        <w:tblLook w:firstColumn="1" w:firstRow="1" w:lastColumn="0" w:lastRow="0" w:noHBand="0" w:noVBand="1" w:val="04A0"/>
      </w:tblPr>
      <w:tblGrid>
        <w:gridCol w:w="10293"/>
      </w:tblGrid>
      <w:tr>
        <w:trPr>
          <w:trHeight w:val="1944"/>
        </w:trPr>
        <w:tc>
          <w:tcPr>
            <w:tcW w:type="dxa" w:w="2347"/>
            <w:vAlign w:val="top"/>
          </w:tcPr>
          <w:p>
            <w:pPr>
              <w:spacing w:after="0" w:before="20" w:line="276" w:lineRule="auto"/>
              <w:jc w:val="left"/>
            </w:pPr>
            <w:r/>
            <w:r>
              <w:rPr>
                <w:rFonts w:ascii="Calibri" w:hAnsi="Calibri" w:cs="Calibri" w:eastAsia="Calibri"/>
                <w:b w:val="0"/>
                <w:i w:val="0"/>
                <w:color w:val="000000"/>
                <w:sz w:val="22"/>
                <w:u w:val="none"/>
              </w:rPr>
              <w:t>COLLEGE STAMP HERE</w:t>
            </w:r>
          </w:p>
        </w:tc>
      </w:tr>
    </w:tbl>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tabs>
          <w:tab w:pos="6984" w:val="left"/>
        </w:tabs>
        <w:spacing w:after="200" w:before="0" w:line="360" w:lineRule="auto"/>
        <w:jc w:val="left"/>
      </w:pPr>
      <w:r>
        <w:rPr>
          <w:rFonts w:ascii="Times New Roman" w:hAnsi="Times New Roman" w:cs="Times New Roman" w:eastAsia="Times New Roman"/>
          <w:b/>
          <w:i w:val="0"/>
          <w:color w:val="000000"/>
          <w:sz w:val="24"/>
          <w:u w:val="none"/>
        </w:rPr>
        <w:t>-------------------------</w:t>
      </w:r>
      <w:r>
        <w:rPr>
          <w:rFonts w:ascii="Times New Roman" w:hAnsi="Times New Roman" w:cs="Times New Roman" w:eastAsia="Times New Roman"/>
          <w:b w:val="0"/>
          <w:i w:val="0"/>
          <w:color w:val="000000"/>
          <w:sz w:val="24"/>
          <w:u w:val="none"/>
        </w:rPr>
        <w:tab/>
      </w:r>
      <w:r>
        <w:rPr>
          <w:rFonts w:ascii="Times New Roman" w:hAnsi="Times New Roman" w:cs="Times New Roman" w:eastAsia="Times New Roman"/>
          <w:b/>
          <w:i w:val="0"/>
          <w:color w:val="000000"/>
          <w:sz w:val="24"/>
          <w:u w:val="none"/>
        </w:rPr>
        <w:t>-------------------------</w:t>
      </w:r>
    </w:p>
    <w:p>
      <w:pPr>
        <w:keepNext w:val="0"/>
        <w:pageBreakBefore w:val="0"/>
        <w:tabs>
          <w:tab w:pos="6984" w:val="left"/>
        </w:tabs>
        <w:spacing w:after="200" w:before="0" w:line="360" w:lineRule="auto"/>
        <w:jc w:val="left"/>
      </w:pPr>
      <w:r>
        <w:rPr>
          <w:rFonts w:ascii="Times New Roman" w:hAnsi="Times New Roman" w:cs="Times New Roman" w:eastAsia="Times New Roman"/>
          <w:b/>
          <w:i w:val="0"/>
          <w:color w:val="000000"/>
          <w:sz w:val="24"/>
          <w:u w:val="none"/>
        </w:rPr>
        <w:t>Dr. Rasika Mallya</w:t>
      </w:r>
      <w:r>
        <w:rPr>
          <w:rFonts w:ascii="Times New Roman" w:hAnsi="Times New Roman" w:cs="Times New Roman" w:eastAsia="Times New Roman"/>
          <w:b w:val="0"/>
          <w:i w:val="0"/>
          <w:color w:val="000000"/>
          <w:sz w:val="24"/>
          <w:u w:val="none"/>
        </w:rPr>
        <w:tab/>
      </w:r>
      <w:r>
        <w:rPr>
          <w:rFonts w:ascii="Times New Roman" w:hAnsi="Times New Roman" w:cs="Times New Roman" w:eastAsia="Times New Roman"/>
          <w:b/>
          <w:i w:val="0"/>
          <w:color w:val="000000"/>
          <w:sz w:val="24"/>
          <w:u w:val="none"/>
        </w:rPr>
        <w:t>Dr. Rahul N. Wadekar</w:t>
      </w:r>
    </w:p>
    <w:p>
      <w:pPr>
        <w:keepNext w:val="0"/>
        <w:pageBreakBefore w:val="0"/>
        <w:tabs>
          <w:tab w:pos="6984" w:val="left"/>
        </w:tabs>
        <w:spacing w:after="200" w:before="0" w:line="360" w:lineRule="auto"/>
        <w:jc w:val="left"/>
      </w:pPr>
      <w:r>
        <w:rPr>
          <w:rFonts w:ascii="Times New Roman" w:hAnsi="Times New Roman" w:cs="Times New Roman" w:eastAsia="Times New Roman"/>
          <w:b/>
          <w:i w:val="0"/>
          <w:color w:val="000000"/>
          <w:sz w:val="24"/>
          <w:u w:val="none"/>
        </w:rPr>
        <w:t>DIRECTOR</w:t>
      </w:r>
      <w:r>
        <w:rPr>
          <w:rFonts w:ascii="Times New Roman" w:hAnsi="Times New Roman" w:cs="Times New Roman" w:eastAsia="Times New Roman"/>
          <w:b w:val="0"/>
          <w:i w:val="0"/>
          <w:color w:val="000000"/>
          <w:sz w:val="24"/>
          <w:u w:val="none"/>
        </w:rPr>
        <w:tab/>
      </w:r>
      <w:r>
        <w:rPr>
          <w:rFonts w:ascii="Times New Roman" w:hAnsi="Times New Roman" w:cs="Times New Roman" w:eastAsia="Times New Roman"/>
          <w:b/>
          <w:i w:val="0"/>
          <w:color w:val="000000"/>
          <w:sz w:val="24"/>
          <w:u w:val="none"/>
        </w:rPr>
        <w:t>PROJECT GUIDE</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120" w:before="0" w:line="360" w:lineRule="auto"/>
        <w:jc w:val="center"/>
      </w:pPr>
      <w:r>
        <w:rPr>
          <w:rFonts w:ascii="Times New Roman" w:hAnsi="Times New Roman" w:cs="Times New Roman" w:eastAsia="Times New Roman"/>
          <w:b/>
          <w:i w:val="0"/>
          <w:color w:val="000000"/>
          <w:sz w:val="24"/>
          <w:u w:val="none"/>
        </w:rPr>
        <w:t>________________________</w:t>
      </w:r>
    </w:p>
    <w:p>
      <w:pPr>
        <w:keepNext w:val="0"/>
        <w:pageBreakBefore w:val="0"/>
        <w:spacing w:after="0" w:before="0" w:line="360" w:lineRule="auto"/>
        <w:jc w:val="center"/>
      </w:pPr>
      <w:r>
        <w:rPr>
          <w:rFonts w:ascii="Times New Roman" w:hAnsi="Times New Roman" w:cs="Times New Roman" w:eastAsia="Times New Roman"/>
          <w:b/>
          <w:i w:val="0"/>
          <w:color w:val="000000"/>
          <w:sz w:val="24"/>
          <w:u w:val="none"/>
        </w:rPr>
        <w:t>EXTERNAL EXAMINER</w:t>
      </w:r>
    </w:p>
    <w:p>
      <w:pPr>
        <w:keepNext w:val="0"/>
        <w:pageBreakBefore/>
        <w:spacing w:after="240" w:before="0" w:line="360" w:lineRule="auto"/>
        <w:jc w:val="center"/>
      </w:pPr>
      <w:r>
        <w:rPr>
          <w:rFonts w:ascii="Times New Roman" w:hAnsi="Times New Roman" w:cs="Times New Roman" w:eastAsia="Times New Roman"/>
          <w:b/>
          <w:i w:val="0"/>
          <w:color w:val="000000"/>
          <w:sz w:val="28"/>
          <w:u w:val="single"/>
        </w:rPr>
        <w:t>EXPERIENCE / INTERNSHIP CERTIFICATE</w:t>
      </w:r>
    </w:p>
    <w:p>
      <w:pPr>
        <w:keepNext w:val="0"/>
        <w:pageBreakBefore w:val="0"/>
        <w:spacing w:after="360" w:before="0" w:line="360" w:lineRule="auto"/>
        <w:jc w:val="center"/>
      </w:pPr>
      <w:r>
        <w:rPr>
          <w:rFonts w:ascii="Times New Roman" w:hAnsi="Times New Roman" w:cs="Times New Roman" w:eastAsia="Times New Roman"/>
          <w:b w:val="0"/>
          <w:i/>
          <w:color w:val="000000"/>
          <w:sz w:val="22"/>
          <w:u w:val="none"/>
        </w:rPr>
        <w:t>(To be printed on the letterhead of the internship organisation)</w:t>
      </w:r>
    </w:p>
    <w:p>
      <w:pPr>
        <w:keepNext w:val="0"/>
        <w:pageBreakBefore w:val="0"/>
        <w:spacing w:after="240" w:before="0" w:line="360" w:lineRule="auto"/>
        <w:jc w:val="both"/>
      </w:pPr>
      <w:r>
        <w:rPr>
          <w:rFonts w:ascii="Times New Roman" w:hAnsi="Times New Roman" w:cs="Times New Roman" w:eastAsia="Times New Roman"/>
          <w:b w:val="0"/>
          <w:i w:val="0"/>
          <w:color w:val="000000"/>
          <w:sz w:val="24"/>
          <w:u w:val="none"/>
        </w:rPr>
        <w:t xml:space="preserve">This is to certify that Mr. </w:t>
      </w:r>
      <w:r>
        <w:rPr>
          <w:rFonts w:ascii="Times New Roman" w:hAnsi="Times New Roman" w:cs="Times New Roman" w:eastAsia="Times New Roman"/>
          <w:b/>
          <w:i w:val="0"/>
          <w:color w:val="000000"/>
          <w:sz w:val="24"/>
          <w:u w:val="none"/>
        </w:rPr>
        <w:t>Nikhil Udaypratap Singh</w:t>
      </w:r>
      <w:r>
        <w:rPr>
          <w:rFonts w:ascii="Times New Roman" w:hAnsi="Times New Roman" w:cs="Times New Roman" w:eastAsia="Times New Roman"/>
          <w:b w:val="0"/>
          <w:i w:val="0"/>
          <w:color w:val="000000"/>
          <w:sz w:val="24"/>
          <w:u w:val="none"/>
        </w:rPr>
        <w:t xml:space="preserve">, Roll No. </w:t>
      </w:r>
      <w:r>
        <w:rPr>
          <w:rFonts w:ascii="Times New Roman" w:hAnsi="Times New Roman" w:cs="Times New Roman" w:eastAsia="Times New Roman"/>
          <w:b/>
          <w:i w:val="0"/>
          <w:color w:val="000000"/>
          <w:sz w:val="24"/>
          <w:u w:val="none"/>
        </w:rPr>
        <w:t>M-16158</w:t>
      </w:r>
      <w:r>
        <w:rPr>
          <w:rFonts w:ascii="Times New Roman" w:hAnsi="Times New Roman" w:cs="Times New Roman" w:eastAsia="Times New Roman"/>
          <w:b w:val="0"/>
          <w:i w:val="0"/>
          <w:color w:val="000000"/>
          <w:sz w:val="24"/>
          <w:u w:val="none"/>
        </w:rPr>
        <w:t xml:space="preserve">, a student of Master of Management Studies (MMS) – Finance, has completed his summer internship as </w:t>
      </w:r>
      <w:r>
        <w:rPr>
          <w:rFonts w:ascii="Times New Roman" w:hAnsi="Times New Roman" w:cs="Times New Roman" w:eastAsia="Times New Roman"/>
          <w:b/>
          <w:i w:val="0"/>
          <w:color w:val="000000"/>
          <w:sz w:val="24"/>
          <w:u w:val="none"/>
        </w:rPr>
        <w:t>“Dealer &amp; Analyst”</w:t>
      </w:r>
      <w:r>
        <w:rPr>
          <w:rFonts w:ascii="Times New Roman" w:hAnsi="Times New Roman" w:cs="Times New Roman" w:eastAsia="Times New Roman"/>
          <w:b w:val="0"/>
          <w:i w:val="0"/>
          <w:color w:val="000000"/>
          <w:sz w:val="24"/>
          <w:u w:val="none"/>
        </w:rPr>
        <w:t xml:space="preserve"> with </w:t>
      </w:r>
      <w:r>
        <w:rPr>
          <w:rFonts w:ascii="Times New Roman" w:hAnsi="Times New Roman" w:cs="Times New Roman" w:eastAsia="Times New Roman"/>
          <w:b/>
          <w:i w:val="0"/>
          <w:color w:val="000000"/>
          <w:sz w:val="24"/>
          <w:u w:val="none"/>
        </w:rPr>
        <w:t>Rosy Blue Securities Pvt. Ltd., Mumbai</w:t>
      </w:r>
      <w:r>
        <w:rPr>
          <w:rFonts w:ascii="Times New Roman" w:hAnsi="Times New Roman" w:cs="Times New Roman" w:eastAsia="Times New Roman"/>
          <w:b w:val="0"/>
          <w:i w:val="0"/>
          <w:color w:val="000000"/>
          <w:sz w:val="24"/>
          <w:u w:val="none"/>
        </w:rPr>
        <w:t xml:space="preserve"> from </w:t>
      </w:r>
      <w:r>
        <w:rPr>
          <w:rFonts w:ascii="Times New Roman" w:hAnsi="Times New Roman" w:cs="Times New Roman" w:eastAsia="Times New Roman"/>
          <w:b w:val="0"/>
          <w:i w:val="0"/>
          <w:color w:val="000000"/>
          <w:sz w:val="24"/>
          <w:u w:val="none"/>
        </w:rPr>
        <w:t>____________</w:t>
      </w:r>
      <w:r>
        <w:rPr>
          <w:rFonts w:ascii="Times New Roman" w:hAnsi="Times New Roman" w:cs="Times New Roman" w:eastAsia="Times New Roman"/>
          <w:b w:val="0"/>
          <w:i w:val="0"/>
          <w:color w:val="000000"/>
          <w:sz w:val="24"/>
          <w:u w:val="none"/>
        </w:rPr>
        <w:t xml:space="preserve"> to </w:t>
      </w:r>
      <w:r>
        <w:rPr>
          <w:rFonts w:ascii="Times New Roman" w:hAnsi="Times New Roman" w:cs="Times New Roman" w:eastAsia="Times New Roman"/>
          <w:b w:val="0"/>
          <w:i w:val="0"/>
          <w:color w:val="000000"/>
          <w:sz w:val="24"/>
          <w:u w:val="none"/>
        </w:rPr>
        <w:t>____________</w:t>
      </w:r>
      <w:r>
        <w:rPr>
          <w:rFonts w:ascii="Times New Roman" w:hAnsi="Times New Roman" w:cs="Times New Roman" w:eastAsia="Times New Roman"/>
          <w:b w:val="0"/>
          <w:i w:val="0"/>
          <w:color w:val="000000"/>
          <w:sz w:val="24"/>
          <w:u w:val="none"/>
        </w:rPr>
        <w:t>.</w:t>
      </w:r>
    </w:p>
    <w:p>
      <w:pPr>
        <w:keepNext w:val="0"/>
        <w:pageBreakBefore w:val="0"/>
        <w:spacing w:after="240" w:before="0" w:line="360" w:lineRule="auto"/>
        <w:jc w:val="both"/>
      </w:pPr>
      <w:r>
        <w:rPr>
          <w:rFonts w:ascii="Times New Roman" w:hAnsi="Times New Roman" w:cs="Times New Roman" w:eastAsia="Times New Roman"/>
          <w:b w:val="0"/>
          <w:i w:val="0"/>
          <w:color w:val="000000"/>
          <w:sz w:val="24"/>
          <w:u w:val="none"/>
        </w:rPr>
        <w:t>During the internship, the student worked in the dealing desk operations of the cash and F&amp;O segments and was exposed to trading terminals, client servicing and market analysis. His conduct and dedication during the internship period were found to be satisfactory.</w:t>
      </w:r>
    </w:p>
    <w:p>
      <w:pPr>
        <w:keepNext w:val="0"/>
        <w:pageBreakBefore w:val="0"/>
        <w:spacing w:after="480" w:before="0" w:line="360" w:lineRule="auto"/>
        <w:jc w:val="both"/>
      </w:pPr>
      <w:r>
        <w:rPr>
          <w:rFonts w:ascii="Times New Roman" w:hAnsi="Times New Roman" w:cs="Times New Roman" w:eastAsia="Times New Roman"/>
          <w:b w:val="0"/>
          <w:i w:val="0"/>
          <w:color w:val="000000"/>
          <w:sz w:val="24"/>
          <w:u w:val="none"/>
        </w:rPr>
        <w:t>We wish him all the best for his future endeavours.</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80" w:before="0" w:line="360" w:lineRule="auto"/>
        <w:jc w:val="left"/>
      </w:pPr>
      <w:r>
        <w:rPr>
          <w:rFonts w:ascii="Times New Roman" w:hAnsi="Times New Roman" w:cs="Times New Roman" w:eastAsia="Times New Roman"/>
          <w:b/>
          <w:i w:val="0"/>
          <w:color w:val="000000"/>
          <w:sz w:val="24"/>
          <w:u w:val="none"/>
        </w:rPr>
        <w:t>Authorised Signatory</w:t>
      </w:r>
    </w:p>
    <w:p>
      <w:pPr>
        <w:keepNext w:val="0"/>
        <w:pageBreakBefore w:val="0"/>
        <w:spacing w:after="0" w:before="0" w:line="360" w:lineRule="auto"/>
        <w:jc w:val="left"/>
      </w:pPr>
      <w:r>
        <w:rPr>
          <w:rFonts w:ascii="Times New Roman" w:hAnsi="Times New Roman" w:cs="Times New Roman" w:eastAsia="Times New Roman"/>
          <w:b w:val="0"/>
          <w:i w:val="0"/>
          <w:color w:val="000000"/>
          <w:sz w:val="24"/>
          <w:u w:val="none"/>
        </w:rPr>
        <w:t>(Name, Designation and Company Seal)</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spacing w:after="360" w:before="0" w:line="360" w:lineRule="auto"/>
        <w:jc w:val="center"/>
      </w:pPr>
      <w:r>
        <w:rPr>
          <w:rFonts w:ascii="Times New Roman" w:hAnsi="Times New Roman" w:cs="Times New Roman" w:eastAsia="Times New Roman"/>
          <w:b w:val="0"/>
          <w:i w:val="0"/>
          <w:color w:val="000000"/>
          <w:sz w:val="22"/>
          <w:u w:val="single"/>
        </w:rPr>
        <w:t>DECLARATION</w:t>
      </w:r>
    </w:p>
    <w:p>
      <w:pPr>
        <w:keepNext w:val="0"/>
        <w:pageBreakBefore w:val="0"/>
        <w:spacing w:after="280" w:before="0" w:line="360" w:lineRule="auto"/>
        <w:jc w:val="both"/>
      </w:pPr>
      <w:r>
        <w:rPr>
          <w:rFonts w:ascii="Times New Roman" w:hAnsi="Times New Roman" w:cs="Times New Roman" w:eastAsia="Times New Roman"/>
          <w:b w:val="0"/>
          <w:i w:val="0"/>
          <w:color w:val="000000"/>
          <w:sz w:val="24"/>
          <w:u w:val="none"/>
        </w:rPr>
        <w:t xml:space="preserve">I hereby declare that this project report submitted by me to the partial fulfillment of the requirement for the award of </w:t>
      </w:r>
      <w:r>
        <w:rPr>
          <w:rFonts w:ascii="Times New Roman" w:hAnsi="Times New Roman" w:cs="Times New Roman" w:eastAsia="Times New Roman"/>
          <w:b/>
          <w:i w:val="0"/>
          <w:color w:val="000000"/>
          <w:sz w:val="24"/>
          <w:u w:val="none"/>
        </w:rPr>
        <w:t>Master of Management Studies</w:t>
      </w:r>
      <w:r>
        <w:rPr>
          <w:rFonts w:ascii="Times New Roman" w:hAnsi="Times New Roman" w:cs="Times New Roman" w:eastAsia="Times New Roman"/>
          <w:b w:val="0"/>
          <w:i w:val="0"/>
          <w:color w:val="000000"/>
          <w:sz w:val="24"/>
          <w:u w:val="none"/>
        </w:rPr>
        <w:t xml:space="preserve"> (MMS) of the University of Mumbai is a bonafide work undertaken by me and it is not submitted to any other University or Institute for the award of any degree, diploma/ certificate or published any time before.</w:t>
      </w:r>
    </w:p>
    <w:p>
      <w:pPr>
        <w:keepNext w:val="0"/>
        <w:pageBreakBefore w:val="0"/>
        <w:spacing w:after="0" w:before="0" w:line="360" w:lineRule="auto"/>
        <w:jc w:val="both"/>
      </w:pPr>
      <w:r>
        <w:rPr>
          <w:rFonts w:ascii="Times New Roman" w:hAnsi="Times New Roman" w:cs="Times New Roman" w:eastAsia="Times New Roman"/>
          <w:b w:val="0"/>
          <w:i w:val="0"/>
          <w:color w:val="000000"/>
          <w:sz w:val="24"/>
          <w:u w:val="none"/>
        </w:rPr>
        <w:t>The internship described in this report was completed by me as a Dealer and Analyst at Rosy Blue Securities Pvt. Ltd., Mumbai, and the analysis of Pine Labs Limited is based on publicly available company disclosures and secondary sources.</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tabs>
          <w:tab w:pos="7776" w:val="left"/>
        </w:tabs>
        <w:spacing w:after="240" w:before="0" w:line="360" w:lineRule="auto"/>
        <w:jc w:val="left"/>
      </w:pPr>
      <w:r>
        <w:rPr>
          <w:rFonts w:ascii="Times New Roman" w:hAnsi="Times New Roman" w:cs="Times New Roman" w:eastAsia="Times New Roman"/>
          <w:b w:val="0"/>
          <w:i w:val="0"/>
          <w:color w:val="000000"/>
          <w:sz w:val="24"/>
          <w:u w:val="none"/>
        </w:rPr>
        <w:t>Name : Nikhil Udaypratap Singh</w:t>
      </w:r>
      <w:r>
        <w:rPr>
          <w:rFonts w:ascii="Times New Roman" w:hAnsi="Times New Roman" w:cs="Times New Roman" w:eastAsia="Times New Roman"/>
          <w:b w:val="0"/>
          <w:i w:val="0"/>
          <w:color w:val="000000"/>
          <w:sz w:val="24"/>
          <w:u w:val="none"/>
        </w:rPr>
        <w:tab/>
      </w:r>
      <w:r>
        <w:rPr>
          <w:rFonts w:ascii="Times New Roman" w:hAnsi="Times New Roman" w:cs="Times New Roman" w:eastAsia="Times New Roman"/>
          <w:b w:val="0"/>
          <w:i w:val="0"/>
          <w:color w:val="000000"/>
          <w:sz w:val="24"/>
          <w:u w:val="none"/>
        </w:rPr>
        <w:t>Signature</w:t>
      </w:r>
    </w:p>
    <w:p>
      <w:pPr>
        <w:keepNext w:val="0"/>
        <w:pageBreakBefore w:val="0"/>
        <w:tabs>
          <w:tab w:pos="7776" w:val="left"/>
        </w:tabs>
        <w:spacing w:after="0" w:before="0" w:line="360" w:lineRule="auto"/>
        <w:jc w:val="left"/>
      </w:pPr>
      <w:r>
        <w:rPr>
          <w:rFonts w:ascii="Times New Roman" w:hAnsi="Times New Roman" w:cs="Times New Roman" w:eastAsia="Times New Roman"/>
          <w:b w:val="0"/>
          <w:i w:val="0"/>
          <w:color w:val="000000"/>
          <w:sz w:val="24"/>
          <w:u w:val="none"/>
        </w:rPr>
        <w:t>Roll No. M-16158</w:t>
      </w:r>
      <w:r>
        <w:rPr>
          <w:rFonts w:ascii="Times New Roman" w:hAnsi="Times New Roman" w:cs="Times New Roman" w:eastAsia="Times New Roman"/>
          <w:b w:val="0"/>
          <w:i w:val="0"/>
          <w:color w:val="000000"/>
          <w:sz w:val="24"/>
          <w:u w:val="none"/>
        </w:rPr>
        <w:tab/>
      </w:r>
      <w:r>
        <w:rPr>
          <w:rFonts w:ascii="Times New Roman" w:hAnsi="Times New Roman" w:cs="Times New Roman" w:eastAsia="Times New Roman"/>
          <w:b w:val="0"/>
          <w:i w:val="0"/>
          <w:color w:val="000000"/>
          <w:sz w:val="24"/>
          <w:u w:val="none"/>
        </w:rPr>
        <w:t>(Nikhil Udaypratap Singh)</w:t>
      </w:r>
    </w:p>
    <w:p>
      <w:pPr>
        <w:keepNext w:val="0"/>
        <w:pageBreakBefore/>
        <w:spacing w:after="240" w:before="0" w:line="360" w:lineRule="auto"/>
        <w:jc w:val="center"/>
      </w:pPr>
      <w:r>
        <w:rPr>
          <w:rFonts w:ascii="Times New Roman" w:hAnsi="Times New Roman" w:cs="Times New Roman" w:eastAsia="Times New Roman"/>
          <w:b/>
          <w:i w:val="0"/>
          <w:color w:val="000000"/>
          <w:sz w:val="28"/>
          <w:u w:val="single"/>
        </w:rPr>
        <w:t>ACKNOWLEDGEMENT</w:t>
      </w:r>
    </w:p>
    <w:p>
      <w:pPr>
        <w:keepNext w:val="0"/>
        <w:pageBreakBefore w:val="0"/>
        <w:spacing w:after="0" w:before="0" w:line="360" w:lineRule="auto"/>
        <w:jc w:val="both"/>
      </w:pPr>
      <w:r>
        <w:rPr>
          <w:rFonts w:ascii="Times New Roman" w:hAnsi="Times New Roman" w:cs="Times New Roman" w:eastAsia="Times New Roman"/>
          <w:b w:val="0"/>
          <w:i w:val="0"/>
          <w:color w:val="000000"/>
          <w:sz w:val="28"/>
          <w:u w:val="none"/>
        </w:rPr>
        <w:t>This project has been a tremendous learning experience, and I am truly grateful to everyone who has supported me along the way. First and foremost, I want to extend my deepest thanks to Dr. Rahul Wadekar, my internal project guide. His invaluable guidance and thoughtful suggestions made this project possible. I am also thankful to the team at Rosy Blue Securities Pvt. Ltd. and my company mentor for the practical exposure and support during my internship as a Dealer and Analyst. I am profoundly grateful to my parents, whose unwavering support and belief in me have been my greatest strength. I also want to express my sincere thanks to my friends, who have been incredibly committed and willing to help throughout my project work. I am deeply thankful to Dr. Rasika Mallya, Director of DES’s Navinchandra Mehta Institute of Technology and Development, for providing me the opportunity to work on this project and expand my knowledge and experience. I would also like to extend my heartfelt thanks to all the professors and staff of DES’s NMITD, especially the library staff, who were always helpful in providing the necessary books and articles for my project. Lastly, I am grateful to everyone who indirectly supported me and contributed to the success of this project. Your cooperation and invaluable support have been much appreciated.</w:t>
      </w:r>
    </w:p>
    <w:p>
      <w:pPr>
        <w:keepNext w:val="0"/>
        <w:pageBreakBefore/>
        <w:spacing w:after="240" w:before="0" w:line="360" w:lineRule="auto"/>
        <w:jc w:val="center"/>
      </w:pPr>
      <w:r>
        <w:rPr>
          <w:rFonts w:ascii="Times New Roman" w:hAnsi="Times New Roman" w:cs="Times New Roman" w:eastAsia="Times New Roman"/>
          <w:b/>
          <w:i w:val="0"/>
          <w:color w:val="000000"/>
          <w:sz w:val="28"/>
          <w:u w:val="single"/>
        </w:rPr>
        <w:t>EXECUTIVE SUMMARY</w:t>
      </w:r>
    </w:p>
    <w:p>
      <w:pPr>
        <w:keepNext w:val="0"/>
        <w:pageBreakBefore w:val="0"/>
        <w:spacing w:after="200" w:before="0" w:line="360" w:lineRule="auto"/>
        <w:jc w:val="both"/>
      </w:pPr>
      <w:r>
        <w:rPr>
          <w:rFonts w:ascii="Times New Roman" w:hAnsi="Times New Roman" w:cs="Times New Roman" w:eastAsia="Times New Roman"/>
          <w:b w:val="0"/>
          <w:i w:val="0"/>
          <w:color w:val="000000"/>
          <w:sz w:val="24"/>
          <w:u w:val="none"/>
        </w:rPr>
        <w:t>Summer training is crucial for management students, transforming them into well-rounded professionals. It bridges the gap between theoretical knowledge and practical application in real-world business scenarios.</w:t>
      </w:r>
    </w:p>
    <w:p>
      <w:pPr>
        <w:keepNext w:val="0"/>
        <w:pageBreakBefore w:val="0"/>
        <w:spacing w:after="200" w:before="0" w:line="360" w:lineRule="auto"/>
        <w:jc w:val="both"/>
      </w:pPr>
      <w:r>
        <w:rPr>
          <w:rFonts w:ascii="Times New Roman" w:hAnsi="Times New Roman" w:cs="Times New Roman" w:eastAsia="Times New Roman"/>
          <w:b w:val="0"/>
          <w:i w:val="0"/>
          <w:color w:val="000000"/>
          <w:sz w:val="24"/>
          <w:u w:val="none"/>
        </w:rPr>
        <w:t>This project, titled “A Study of the Fintech Business Model and Financial Performance of Pine Labs Limited,” examines how a merchant-commerce and payments platform earns revenue, and evaluates its financial performance using publicly available disclosures such as the prospectus, audited results and KPI data books.</w:t>
      </w:r>
    </w:p>
    <w:p>
      <w:pPr>
        <w:keepNext w:val="0"/>
        <w:pageBreakBefore w:val="0"/>
        <w:spacing w:after="200" w:before="0" w:line="360" w:lineRule="auto"/>
        <w:jc w:val="both"/>
      </w:pPr>
      <w:r>
        <w:rPr>
          <w:rFonts w:ascii="Times New Roman" w:hAnsi="Times New Roman" w:cs="Times New Roman" w:eastAsia="Times New Roman"/>
          <w:b w:val="0"/>
          <w:i w:val="0"/>
          <w:color w:val="000000"/>
          <w:sz w:val="24"/>
          <w:u w:val="none"/>
        </w:rPr>
        <w:t>Pine Labs is an India-founded fintech and commerce-technology company connect-ing merchants, consumer brands, banks and fintechs. Restated consolidated revenue from operations grew from ₹1,597.66 crore in FY23 to ₹2,710.59 crore in FY26, and profit for the year from ₹112.51 crore to ₹158.97 crore, while platform GTV expanded from about ₹4.40 lakh crore to ₹17.15 lakh crore over the same period.</w:t>
      </w:r>
    </w:p>
    <w:p>
      <w:pPr>
        <w:keepNext w:val="0"/>
        <w:pageBreakBefore w:val="0"/>
        <w:spacing w:after="200" w:before="0" w:line="360" w:lineRule="auto"/>
        <w:jc w:val="both"/>
      </w:pPr>
      <w:r>
        <w:rPr>
          <w:rFonts w:ascii="Times New Roman" w:hAnsi="Times New Roman" w:cs="Times New Roman" w:eastAsia="Times New Roman"/>
          <w:b w:val="0"/>
          <w:i w:val="0"/>
          <w:color w:val="000000"/>
          <w:sz w:val="24"/>
          <w:u w:val="none"/>
        </w:rPr>
        <w:t>The report applies ratio analysis and DuPont analysis to the audited financial statements, reviews the balance sheet, cash flows and operating KPIs, and sets them against industry context, peer comparisons and risk factors. Through this process, I learned that ratio analysis is instrumental in identifying past shortcomings and informing future strategies.</w:t>
      </w:r>
    </w:p>
    <w:p>
      <w:pPr>
        <w:keepNext w:val="0"/>
        <w:pageBreakBefore w:val="0"/>
        <w:spacing w:after="200" w:before="0" w:line="360" w:lineRule="auto"/>
        <w:jc w:val="both"/>
      </w:pPr>
      <w:r>
        <w:rPr>
          <w:rFonts w:ascii="Times New Roman" w:hAnsi="Times New Roman" w:cs="Times New Roman" w:eastAsia="Times New Roman"/>
          <w:b w:val="0"/>
          <w:i w:val="0"/>
          <w:color w:val="000000"/>
          <w:sz w:val="24"/>
          <w:u w:val="none"/>
        </w:rPr>
        <w:t>The internship part of the report records my work as a Dealer and Analyst at Rosy Blue Securities Pvt. Ltd., Mumbai—executing cash and F&amp;O trades on behalf of clients on terminals such as NEAT PLUS and CTCL, learning option strategies and chart reading, and developing EIC, company and business analysis skills.</w:t>
      </w:r>
    </w:p>
    <w:p>
      <w:pPr>
        <w:keepNext w:val="0"/>
        <w:pageBreakBefore w:val="0"/>
        <w:spacing w:after="200" w:before="0" w:line="360" w:lineRule="auto"/>
        <w:jc w:val="both"/>
      </w:pPr>
      <w:r>
        <w:rPr>
          <w:rFonts w:ascii="Times New Roman" w:hAnsi="Times New Roman" w:cs="Times New Roman" w:eastAsia="Times New Roman"/>
          <w:b w:val="0"/>
          <w:i w:val="0"/>
          <w:color w:val="000000"/>
          <w:sz w:val="24"/>
          <w:u w:val="none"/>
        </w:rPr>
        <w:t>Hence, it is essential for every organization, regardless of size, to prepare financial statements and analyze them using ratios. This approach not only enhances understanding of the company’s financial health but also aids in making informed decisions for the future.</w:t>
      </w:r>
    </w:p>
    <w:p>
      <w:pPr>
        <w:keepNext w:val="0"/>
        <w:pageBreakBefore/>
        <w:spacing w:after="0" w:before="0" w:line="240" w:lineRule="auto"/>
      </w:pPr>
      <w:r>
        <w:rPr>
          <w:rFonts w:ascii="Times New Roman" w:hAnsi="Times New Roman" w:cs="Times New Roman" w:eastAsia="Times New Roman"/>
          <w:b w:val="0"/>
          <w:i w:val="0"/>
          <w:color w:val="000000"/>
          <w:sz w:val="24"/>
          <w:u w:val="none"/>
        </w:rPr>
      </w:r>
    </w:p>
    <w:tbl>
      <w:tblPr>
        <w:tblStyle w:val="TableGrid"/>
        <w:tblW w:type="auto" w:w="0"/>
        <w:jc w:val="center"/>
        <w:tblLayout w:type="fixed"/>
        <w:tblLook w:firstColumn="1" w:firstRow="1" w:lastColumn="0" w:lastRow="0" w:noHBand="0" w:noVBand="1" w:val="04A0"/>
      </w:tblPr>
      <w:tblGrid>
        <w:gridCol w:w="3431"/>
        <w:gridCol w:w="3431"/>
        <w:gridCol w:w="3431"/>
      </w:tblGrid>
      <w:tr>
        <w:trPr>
          <w:tblHeader w:val="true"/>
        </w:trP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center"/>
            </w:pPr>
            <w:r/>
            <w:r>
              <w:rPr>
                <w:rFonts w:ascii="Times New Roman" w:hAnsi="Times New Roman" w:cs="Times New Roman" w:eastAsia="Times New Roman"/>
                <w:b/>
                <w:i w:val="0"/>
                <w:color w:val="000000"/>
                <w:sz w:val="24"/>
                <w:u w:val="none"/>
              </w:rPr>
              <w:t>CONTENT</w:t>
            </w:r>
          </w:p>
        </w:tc>
        <w:tc>
          <w:tcPr>
            <w:tcW w:type="dxa" w:w="1368"/>
            <w:vAlign w:val="top"/>
          </w:tcPr>
          <w:p>
            <w:pPr>
              <w:spacing w:after="80" w:before="20" w:line="276" w:lineRule="auto"/>
              <w:jc w:val="center"/>
            </w:pPr>
            <w:r/>
            <w:r>
              <w:rPr>
                <w:rFonts w:ascii="Times New Roman" w:hAnsi="Times New Roman" w:cs="Times New Roman" w:eastAsia="Times New Roman"/>
                <w:b/>
                <w:i w:val="0"/>
                <w:color w:val="000000"/>
                <w:sz w:val="24"/>
                <w:u w:val="none"/>
              </w:rPr>
              <w:t>PAGE NO.</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INTRODUCTION AND RESEARCH DESIGN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11.</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Background and rationale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Key concepts used in this report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Need, objectives and research questions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Methodology and scope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1.5</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Limitations and data discipline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1.6</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Brief review of relevant literature and framework</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COMPANY IDENTIFICATION AND KEY FINDINGS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15.</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2.1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Executive findings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INDIAN FINTECH AND PAYMENTS INDUSTRY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17.</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3.1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Industry structure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3.2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Market scale and current indicators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3.3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Industry economics and value creation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3.4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Opportunity areas and headwinds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3.5</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Competitive landscape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4</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PINE LABS: COMPANY PROFILE AND BUSINESS MODEL</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20.</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Company evolution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Two-platform architecture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Revenue by operating segment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Monetization model</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4.5</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Geographic footprint, customer base and strategy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4.6</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Recent initiatives and corporate actions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5</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PRODUCTS, SERVICES AND CUSTOMER JOURNEYS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24.</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5.1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Product map</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5.2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Illustrative merchant journey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5.3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Illustrative prepaid / issuing journey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5.4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Product evaluation framework</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5.5</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Innovation claims and evidence standard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6</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PESTLE AND PORTER’S FIVE FORCES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26.</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6.1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PESTLE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6.2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Porter’s Five Forces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6.3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Strategic implication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7</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SWOT, GOVERNANCE AND OWNERSHIP CONTEXT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28.</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7.1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SWOT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7.2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Governance and ownership considerations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7.3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Governance questions for investors and students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8</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FINANCIAL PERFORMANCE: INCOME STATEMENT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30.</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8.1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Four-year consolidated trend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8.2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Growth and margin interpretation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8.3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Segment growth and mix</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8.4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Q1 FY27 interim update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8.5</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Income-statement questions to carry forward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9</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BALANCE SHEET, FUNDING AND CASH FLOW</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33.</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9.1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Selected balance-sheet indicators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9.2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Funding and liquidity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9.3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Operating cash flow and funding movements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9.4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Working-capital interpretation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10</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RATIO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36.</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10.1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Core ratio dashboard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10.2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Supporting annual ratios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10.3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Interpretation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10.4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Important ratio caveats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11</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OPERATING KPIS AND PLATFORM ECONOMICS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38.</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11.1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Historical operating indicators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11.2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Q1 FY27 operating snapshot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11.3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What the monetization proxy says—and does not say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11.4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KPI interpretation cautions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12</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DUPONT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40.</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12.1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Method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12.2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Results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12.3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Interpretation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13</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PEER CONTEXT AND VALUATION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41.</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13.1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Qualitative peer comparison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13.2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Market and LTM calculation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13.3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P/B sensitivity: an illustrative expectation test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13.4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Valuation interpretation and limits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14</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LISTED-MARKET SNAPSHOT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44.</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14.1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BSE price snapshot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14.2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Scope of technical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15</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RISK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45.</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15.1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Risk register</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15.2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Early-warning dashboard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16</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ESG AND RESPONSIBLE FINTECH</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47.</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16.1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Environmental considerations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16.2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Social considerations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16.3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Governance and trust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16.4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Suggested ESG disclosures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17</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INTERNSHIP EXPERIENCE AND PROJECT LEARNING</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49.</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17.1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The internship organisation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17.2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My role: dealer and analyst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17.3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Trading terminals: NEAT PLUS and CTCL</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17.4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Cash market and F&amp;O market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17.5</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Executing trades on behalf of clients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17.6</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Option trading strategies and charts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17.7</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EIC, company and business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17.8</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Professional skills developed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18</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FINDINGS, SUGGESTIONS AND CONCLUSION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54.</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18.1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Major findings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18.2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Suggestions for Pine Labs (analyst recommendations)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18.3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Suggestions for investors and future student researchers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18.4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Conclusion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19</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RESEARCHER’S VIEW</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57.</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20</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INTERNSHIP CONTEXT AND PINE LABS CASE: TWO DIFFERENT ORGANISATIONS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65.</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21</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ROSY BLUE SECURITIES: PUBLIC SERVICE PROFILE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66.</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22</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HOW A BROKERAGE TRADE MOVES THROUGH THE MARKET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67.</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23</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DEALER DESK: FROM CLIENT INSTRUCTION TO EXCHANGE ORDER</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68.</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24</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MARKET, LIMIT AND CONDITIONAL ORDERS: EXECUTION IS NOT GUARANTEED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69.</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25</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PRE-TRADE RISK CHECKS AND CLIENT PROTECTION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70.</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26</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TRADE CONFIRMATION, EXCEPTIONS AND CLIENT COMMUNICATION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71.</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27</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T+1, OPTIONAL T+0 AND THE SEPARATION OF CLIENT ASSETS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72.</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28</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STOCK-BROKER GOVERNANCE AND OPERATING CONTROLS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73.</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29</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FROM A RESEARCH QUESTION TO A DEFENSIBLE VIEW</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74.</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30</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AN ANALYST NOTE: STRUCTURE, VALUATION AND DISCLOSURE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75.</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31</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“ANALYST” IS A ROLE LABEL; REGULATED ACTIVITY DEPENDS ON WHAT IS DONE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76.</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32</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DEALER AND ANALYST: GENERIC COMPETENCIES TO EVIDENCE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77.</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33</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PINE LABS AND A SECURITIES BROKER: COMPLEMENTARY, NOT IDENTICAL MODELS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79.</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34</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INSTITUTIONS AROUND A SECURITIES TRANSACTION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80.</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35</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PEER COMPARABILITY: WHY ONE-LINE MULTIPLES CAN MISLEAD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90.</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36</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PINE LABS PRICE CONTEXT: A DATED OBSERVATION, NOT A RETURN FORECAST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91.</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37</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KPI DASHBOARD: SIGNALS THAT CAN CONFIRM OR CHALLENGE THE THESIS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92.</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38</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PAYMENTS TECHNOLOGY: RELIABILITY, CYBERSECURITY AND AI CONTROLS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93.</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39</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DIFFERENT ACTIVITIES HAVE DIFFERENT RULES AND ACCOUNTABILITY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94.</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40</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TRUST, SUITABILITY AND FAIR TREATMENT ACROSS FINTECH AND BROKING</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95.</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41</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RESPONSIBLE FINTECH: STAKEHOLDERS, BENEFITS AND TRADE-OFFS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96.</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42</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SEPARATE FACTS, INFERENCES, ASSUMPTIONS AND JUDGMENTS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97.</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REFERENCES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58.</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APPENDIX A — COMPACT DATA SHEET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61.</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APPENDIX B — FORMULAS AND WORKED CALCULATIONS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62.</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APPENDIX C — GLOSSARY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63.</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APPENDIX D — FINAL SUBMISSION CHECKLIST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64.</w:t>
            </w:r>
          </w:p>
        </w:tc>
      </w:tr>
    </w:tbl>
    <w:p>
      <w:pPr>
        <w:keepNext w:val="0"/>
        <w:pageBreakBefore w:val="0"/>
        <w:spacing w:after="120" w:before="280" w:line="360" w:lineRule="auto"/>
        <w:jc w:val="left"/>
      </w:pPr>
      <w:r>
        <w:rPr>
          <w:rFonts w:ascii="Times New Roman" w:hAnsi="Times New Roman" w:cs="Times New Roman" w:eastAsia="Times New Roman"/>
          <w:b/>
          <w:i w:val="0"/>
          <w:color w:val="000000"/>
          <w:sz w:val="24"/>
          <w:u w:val="none"/>
        </w:rPr>
        <w:t>Reading and data conventions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2"/>
          <w:u w:val="none"/>
        </w:rPr>
        <w:t>₹ crore unless otherwise indicated; FY ends 31 March. Lakh crore means ₹1,00,000 crore. Percentages and multiples are rounded for readability.</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2"/>
          <w:u w:val="none"/>
        </w:rPr>
        <w:t>“Reported” refers to audited or interim financial statements. Adjusted EBITDA, contribution margin and operating KPIs are company-defined disclosures; author calculations are explicitly labelled.</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2"/>
          <w:u w:val="none"/>
        </w:rPr>
        <w:t>The analysis cut-off is 3 October 2026; the market-price snapshot uses the 1 October 2026 BSE close. The latest financial period used is Q1 FY27 (quarter ended 30 June 2026).</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2"/>
          <w:u w:val="none"/>
        </w:rPr>
        <w:t>The GitHub repository supplied by the student is cited as a source location for primary company documents, not as an independent validator of those documents. The company’s investor-relations page is also cited. [12,13]</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INTRODUCTION AND RESEARCH DESIGN</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Purpose, questions, evidence base and limits of a secondary-data study</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1.1 BACKGROUND AND RATIONALE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Fintech combines software, data, communications and regulated financial infrastructure to deliver or support payments, credit, savings, insurance and other financial services. Pine Labs is studied here through the merchant-commerce and payment-infrastructure lens: it supplies technology that allows in-store and online acceptance, transaction routing and processing, merchant affordability offers, prepaid programmes and financial APIs. This positioning makes it a useful case for examining how a platform can scale transaction volume without recognizing the full transaction value as revenue.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India’s digital-payment system is shaped by public rails, private networks, banks, fintechs and merchant technology providers. The Reserve Bank of India (RBI) reports rapid growth in payment volume and value over 2016–2025; NPCI’s UPI statistics show continuing scale through 2026. Such growth expands the addressable ecosystem, but does not guarantee high fee income for every participant. Economics depend on the specific role in the chain, the contractual fee, product mix, settlement exposure, customer acquisition cost and operating efficiency. [9,10]</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1.2 KEY CONCEPTS USED IN THIS REPORT</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 Core terminology</w:t>
      </w:r>
    </w:p>
    <w:tbl>
      <w:tblPr>
        <w:tblStyle w:val="TableGrid"/>
        <w:tblW w:type="auto" w:w="0"/>
        <w:jc w:val="center"/>
        <w:tblLayout w:type="fixed"/>
        <w:tblLook w:firstColumn="1" w:firstRow="1" w:lastColumn="0" w:lastRow="0" w:noHBand="0" w:noVBand="1" w:val="04A0"/>
      </w:tblPr>
      <w:tblGrid>
        <w:gridCol w:w="5146"/>
        <w:gridCol w:w="5146"/>
      </w:tblGrid>
      <w:tr>
        <w:tc>
          <w:tcPr>
            <w:tcW w:type="dxa" w:w="2038"/>
            <w:vAlign w:val="top"/>
          </w:tcPr>
          <w:p>
            <w:pPr>
              <w:spacing w:after="60" w:before="20" w:line="276" w:lineRule="auto"/>
              <w:jc w:val="center"/>
            </w:pPr>
            <w:r/>
            <w:r>
              <w:rPr>
                <w:rFonts w:ascii="Times New Roman" w:hAnsi="Times New Roman" w:cs="Times New Roman" w:eastAsia="Times New Roman"/>
                <w:b/>
                <w:i w:val="0"/>
                <w:color w:val="000000"/>
                <w:sz w:val="20"/>
                <w:u w:val="none"/>
              </w:rPr>
              <w:t>Term</w:t>
            </w:r>
          </w:p>
        </w:tc>
        <w:tc>
          <w:tcPr>
            <w:tcW w:type="dxa" w:w="7034"/>
            <w:vAlign w:val="top"/>
          </w:tcPr>
          <w:p>
            <w:pPr>
              <w:spacing w:after="60" w:before="20" w:line="276" w:lineRule="auto"/>
              <w:jc w:val="center"/>
            </w:pPr>
            <w:r/>
            <w:r>
              <w:rPr>
                <w:rFonts w:ascii="Times New Roman" w:hAnsi="Times New Roman" w:cs="Times New Roman" w:eastAsia="Times New Roman"/>
                <w:b/>
                <w:i w:val="0"/>
                <w:color w:val="000000"/>
                <w:sz w:val="20"/>
                <w:u w:val="none"/>
              </w:rPr>
              <w:t>Working definition</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Acquiring</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Merchant-facing acceptance of card or other digital-payment transactions, usually involving an acquirer, network and issuer.</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Issuing / processor</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Technology and programme services that help a bank, brand or fintech issue and service payment or prepaid products.</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DCP</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Digital checkout point; company KPI for an enabled acceptance location/checkout point. It is not necessarily a unique merchant.</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GTV</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Gross transaction value routed, processed or serviced on the company’s platforms under its definition. It is not company revenue, cash collected or profit.</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Contribution margin</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Company-defined revenue less specified direct costs; a management KPI, not a statutory subtotal.</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Adjusted EBITDA</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Company-defined EBITDA measure with disclosed adjustments. It is not reported PAT or operating cash flow and may exclude recurring economic costs.</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Payment aggregator</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An RBI-regulated intermediary that facilitates merchant payments and settlement, subject to the relevant legal and operational framework. Pine Labs’ exact role depends on the product and entity.</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Definitions are used for this project; company KPIs follow company documents. [1,3,5]</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1.3 NEED, OBJECTIVES AND RESEARCH QUESTIONS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study combines business-model analysis, industry structure, audited and restated financial information, interim operating indicators, ratio analysis, risk review and a dated valuation snapshot. The objectives are to:</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Explain Pine Labs’ two-platform operating model, customer groups and disclosed sources of monetization.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Assess the Indian payment and fintech context relevant to merchant acceptance, issuing, affordability and infrastructure.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Track consolidated revenue, profitability, balance-sheet funding and cash flow for FY23–FY26, with a Q1 FY27 update.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Interpret company KPIs such as GTV, transactions, merchants, DCPs and prepaid cards without equating volume with revenue.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Evaluate strategic, regulatory, operational, governance and ESG risks and compare Pine Labs qualitatively with selected peers.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Estimate selected valuation multiples using a clearly dated market price and explicitly stated assumptions.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 Research questions and propositions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367"/>
            <w:vAlign w:val="top"/>
          </w:tcPr>
          <w:p>
            <w:pPr>
              <w:spacing w:after="60" w:before="20" w:line="276" w:lineRule="auto"/>
              <w:jc w:val="center"/>
            </w:pPr>
            <w:r/>
            <w:r>
              <w:rPr>
                <w:rFonts w:ascii="Times New Roman" w:hAnsi="Times New Roman" w:cs="Times New Roman" w:eastAsia="Times New Roman"/>
                <w:b/>
                <w:i w:val="0"/>
                <w:color w:val="000000"/>
                <w:sz w:val="20"/>
                <w:u w:val="none"/>
              </w:rPr>
              <w:t>Question / proposition</w:t>
            </w:r>
          </w:p>
        </w:tc>
        <w:tc>
          <w:tcPr>
            <w:tcW w:type="dxa" w:w="2761"/>
            <w:vAlign w:val="top"/>
          </w:tcPr>
          <w:p>
            <w:pPr>
              <w:spacing w:after="60" w:before="20" w:line="276" w:lineRule="auto"/>
              <w:jc w:val="center"/>
            </w:pPr>
            <w:r/>
            <w:r>
              <w:rPr>
                <w:rFonts w:ascii="Times New Roman" w:hAnsi="Times New Roman" w:cs="Times New Roman" w:eastAsia="Times New Roman"/>
                <w:b/>
                <w:i w:val="0"/>
                <w:color w:val="000000"/>
                <w:sz w:val="20"/>
                <w:u w:val="none"/>
              </w:rPr>
              <w:t>Evidence approach</w:t>
            </w:r>
          </w:p>
        </w:tc>
        <w:tc>
          <w:tcPr>
            <w:tcW w:type="dxa" w:w="3944"/>
            <w:vAlign w:val="top"/>
          </w:tcPr>
          <w:p>
            <w:pPr>
              <w:spacing w:after="60" w:before="20" w:line="276" w:lineRule="auto"/>
              <w:jc w:val="center"/>
            </w:pPr>
            <w:r/>
            <w:r>
              <w:rPr>
                <w:rFonts w:ascii="Times New Roman" w:hAnsi="Times New Roman" w:cs="Times New Roman" w:eastAsia="Times New Roman"/>
                <w:b/>
                <w:i w:val="0"/>
                <w:color w:val="000000"/>
                <w:sz w:val="20"/>
                <w:u w:val="none"/>
              </w:rPr>
              <w:t>Assessment in this report</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How does Pine Labs monetize the platform?</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Prospectus, segment disclosures, Q1/FY26 letters</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Mapped to subscriptions, transaction/value-linked, processing/distribution and disclosed float-related income.</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Does GTV growth translate one-for-one into revenue?</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FY23–FY26 GTV and revenue; calculated yield proxy</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No. Volume scaled faster; revenue/GTV proxy declined, reflecting mix and measurement limits.</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Is the profitability inflection durable?</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Audited FY26; interim Q1 FY27; adjusted KPIs</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FY26 improved materially; Q1 shows positive PAT but lower contribution and adjusted EBITDA margins year on year.</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Has the capital structure improved?</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FY25/FY26 balance sheets and IPO disclosure</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Borrowings/equity reduced, while equity rose after listing; cash-flow classification remains important.</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Has operating cash conversion become predictable?</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CFO series and early-settlement disclosures</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Not established: FY23–FY26 CFO varies; Q1 FY27 differs sharply with/without early-settlement effects.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Propositions are analytical tests, not statistical hypotheses; the study uses secondary descriptive analysis.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1.4 METHODOLOGY AND SCOPE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Research design: descriptive, comparative and analytical case study. Unit of analysis: Pine Labs Limited and its consolidated subsidiaries as presented in company disclosures. Annual period: FY23–FY26; interim update: Q1 FY27, quarter ended 30 June 2026. Financial values are consolidated unless a table says otherwise. FY23–FY25 are described as restated prospectus comparatives; FY26 is audited; Q1 FY27 is unaudited / limited-reviewed interim information. [1–6]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Sources comprise the Pine Labs prospectus, audited FY26 results and KPI workbook, Q1 FY27 results and KPI workbook, selected call excerpts / press release, RBI Payment Systems Report, NPCI UPI statistics, and BSE market data. The Pine Labs GitHub repository supplied by the student was used to locate historical primary company files; current interim documents were checked against the official investor-relations site. [1–6,8–13]</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Analytical tools include year-on-year growth, CAGR, common-size and segment analysis, liquidity and leverage ratios, ROA/ROE, DuPont decomposition, revenue-to-GTV proxy, qualitative PESTLE / Five Forces / SWOT, and a dated P/E, P/S and P/B snapshot. Formulas appear in Appendix B. Calculations are rounded; differences of ₹0.01 crore may arise from reported rounding.</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1.5 LIMITATIONS AND DATA DISCIPLINE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Pine Labs became publicly listed in 2025, so the public track record is short. Older group information is prospectus-restated following the Singapore merger and is not identical to previously reported legal-entity accounts.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Company-defined contribution margin, adjusted EBITDA and platform KPIs are useful but not substitutes for audited revenue, PAT, cash flow or statutory segment results. Their definitions may be revised.</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GTV includes transaction activity routed or serviced across platform categories; overlapping categories must not be added. GTV is not revenue or a measure of funds available to shareholders.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Working-capital and settlement balances make reported CFO and cash balances sensitive to timing, earmarking and early-settlement activity. Other bank balances are not treated as unrestricted cash.</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Q1 FY27 is a single unaudited / limited-reviewed quarter. It is not annualized as a forecast. Company revenue-growth guidance is forward-looking, not a result.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No interviews, internal data, customer-level unit economics, complete daily price history, formal ESG assurance or verified internship records were supplied. Only the opening portion of the Q1 FY27 call transcript was reviewed; Q1 results and operating interpretations here rely on the shareholder letter, press release and KPI book. The market snapshot is not investment advice.</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1.6 BRIEF REVIEW OF RELEVANT LITERATURE AND FRAMEWORK</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 Research and analytical foundations</w:t>
      </w:r>
    </w:p>
    <w:tbl>
      <w:tblPr>
        <w:tblStyle w:val="TableGrid"/>
        <w:tblW w:type="auto" w:w="0"/>
        <w:jc w:val="center"/>
        <w:tblLayout w:type="fixed"/>
        <w:tblLook w:firstColumn="1" w:firstRow="1" w:lastColumn="0" w:lastRow="0" w:noHBand="0" w:noVBand="1" w:val="04A0"/>
      </w:tblPr>
      <w:tblGrid>
        <w:gridCol w:w="5146"/>
        <w:gridCol w:w="5146"/>
      </w:tblGrid>
      <w:tr>
        <w:tc>
          <w:tcPr>
            <w:tcW w:type="dxa" w:w="2695"/>
            <w:vAlign w:val="top"/>
          </w:tcPr>
          <w:p>
            <w:pPr>
              <w:spacing w:after="60" w:before="20" w:line="276" w:lineRule="auto"/>
              <w:jc w:val="center"/>
            </w:pPr>
            <w:r/>
            <w:r>
              <w:rPr>
                <w:rFonts w:ascii="Times New Roman" w:hAnsi="Times New Roman" w:cs="Times New Roman" w:eastAsia="Times New Roman"/>
                <w:b/>
                <w:i w:val="0"/>
                <w:color w:val="000000"/>
                <w:sz w:val="20"/>
                <w:u w:val="none"/>
              </w:rPr>
              <w:t>Source / framework</w:t>
            </w:r>
          </w:p>
        </w:tc>
        <w:tc>
          <w:tcPr>
            <w:tcW w:type="dxa" w:w="6377"/>
            <w:vAlign w:val="top"/>
          </w:tcPr>
          <w:p>
            <w:pPr>
              <w:spacing w:after="60" w:before="20" w:line="276" w:lineRule="auto"/>
              <w:jc w:val="center"/>
            </w:pPr>
            <w:r/>
            <w:r>
              <w:rPr>
                <w:rFonts w:ascii="Times New Roman" w:hAnsi="Times New Roman" w:cs="Times New Roman" w:eastAsia="Times New Roman"/>
                <w:b/>
                <w:i w:val="0"/>
                <w:color w:val="000000"/>
                <w:sz w:val="20"/>
                <w:u w:val="none"/>
              </w:rPr>
              <w:t>Relevance to this study</w:t>
            </w:r>
          </w:p>
        </w:tc>
      </w:tr>
      <w:tr>
        <w:tc>
          <w:tcPr>
            <w:tcW w:type="dxa" w:w="2695"/>
            <w:vAlign w:val="top"/>
          </w:tcPr>
          <w:p>
            <w:pPr>
              <w:spacing w:after="60" w:before="20" w:line="276" w:lineRule="auto"/>
            </w:pPr>
            <w:r/>
            <w:r>
              <w:rPr>
                <w:rFonts w:ascii="Times New Roman" w:hAnsi="Times New Roman" w:cs="Times New Roman" w:eastAsia="Times New Roman"/>
                <w:b w:val="0"/>
                <w:i w:val="0"/>
                <w:color w:val="000000"/>
                <w:sz w:val="20"/>
                <w:u w:val="none"/>
              </w:rPr>
              <w:t>RBI, Payment Systems Report (December 2025)</w:t>
            </w:r>
          </w:p>
        </w:tc>
        <w:tc>
          <w:tcPr>
            <w:tcW w:type="dxa" w:w="6377"/>
            <w:vAlign w:val="top"/>
          </w:tcPr>
          <w:p>
            <w:pPr>
              <w:spacing w:after="60" w:before="20" w:line="276" w:lineRule="auto"/>
            </w:pPr>
            <w:r/>
            <w:r>
              <w:rPr>
                <w:rFonts w:ascii="Times New Roman" w:hAnsi="Times New Roman" w:cs="Times New Roman" w:eastAsia="Times New Roman"/>
                <w:b w:val="0"/>
                <w:i w:val="0"/>
                <w:color w:val="000000"/>
                <w:sz w:val="20"/>
                <w:u w:val="none"/>
              </w:rPr>
              <w:t>Provides system-level evidence on payment volume, value, infrastructure and policy. It is an industry source, not a Pine Labs market-share validation. [9]</w:t>
            </w:r>
          </w:p>
        </w:tc>
      </w:tr>
      <w:tr>
        <w:tc>
          <w:tcPr>
            <w:tcW w:type="dxa" w:w="2695"/>
            <w:vAlign w:val="top"/>
          </w:tcPr>
          <w:p>
            <w:pPr>
              <w:spacing w:after="60" w:before="20" w:line="276" w:lineRule="auto"/>
            </w:pPr>
            <w:r/>
            <w:r>
              <w:rPr>
                <w:rFonts w:ascii="Times New Roman" w:hAnsi="Times New Roman" w:cs="Times New Roman" w:eastAsia="Times New Roman"/>
                <w:b w:val="0"/>
                <w:i w:val="0"/>
                <w:color w:val="000000"/>
                <w:sz w:val="20"/>
                <w:u w:val="none"/>
              </w:rPr>
              <w:t>Porter (1979), Five Forces</w:t>
            </w:r>
          </w:p>
        </w:tc>
        <w:tc>
          <w:tcPr>
            <w:tcW w:type="dxa" w:w="6377"/>
            <w:vAlign w:val="top"/>
          </w:tcPr>
          <w:p>
            <w:pPr>
              <w:spacing w:after="60" w:before="20" w:line="276" w:lineRule="auto"/>
            </w:pPr>
            <w:r/>
            <w:r>
              <w:rPr>
                <w:rFonts w:ascii="Times New Roman" w:hAnsi="Times New Roman" w:cs="Times New Roman" w:eastAsia="Times New Roman"/>
                <w:b w:val="0"/>
                <w:i w:val="0"/>
                <w:color w:val="000000"/>
                <w:sz w:val="20"/>
                <w:u w:val="none"/>
              </w:rPr>
              <w:t>Structures the assessment of rivalry, entry, substitutes, supplier power and buyer power; ratings in Chapter 6 are the author’s qualitative judgements. [14]</w:t>
            </w:r>
          </w:p>
        </w:tc>
      </w:tr>
      <w:tr>
        <w:tc>
          <w:tcPr>
            <w:tcW w:type="dxa" w:w="2695"/>
            <w:vAlign w:val="top"/>
          </w:tcPr>
          <w:p>
            <w:pPr>
              <w:spacing w:after="60" w:before="20" w:line="276" w:lineRule="auto"/>
            </w:pPr>
            <w:r/>
            <w:r>
              <w:rPr>
                <w:rFonts w:ascii="Times New Roman" w:hAnsi="Times New Roman" w:cs="Times New Roman" w:eastAsia="Times New Roman"/>
                <w:b w:val="0"/>
                <w:i w:val="0"/>
                <w:color w:val="000000"/>
                <w:sz w:val="20"/>
                <w:u w:val="none"/>
              </w:rPr>
              <w:t>DuPont identity and equity valuation</w:t>
            </w:r>
          </w:p>
        </w:tc>
        <w:tc>
          <w:tcPr>
            <w:tcW w:type="dxa" w:w="6377"/>
            <w:vAlign w:val="top"/>
          </w:tcPr>
          <w:p>
            <w:pPr>
              <w:spacing w:after="60" w:before="20" w:line="276" w:lineRule="auto"/>
            </w:pPr>
            <w:r/>
            <w:r>
              <w:rPr>
                <w:rFonts w:ascii="Times New Roman" w:hAnsi="Times New Roman" w:cs="Times New Roman" w:eastAsia="Times New Roman"/>
                <w:b w:val="0"/>
                <w:i w:val="0"/>
                <w:color w:val="000000"/>
                <w:sz w:val="20"/>
                <w:u w:val="none"/>
              </w:rPr>
              <w:t>Separates profit margin, asset turnover and leverage; the P/B sensitivity uses a simplified stable-growth relation and is illustrative only. [15]</w:t>
            </w:r>
          </w:p>
        </w:tc>
      </w:tr>
      <w:tr>
        <w:tc>
          <w:tcPr>
            <w:tcW w:type="dxa" w:w="2695"/>
            <w:vAlign w:val="top"/>
          </w:tcPr>
          <w:p>
            <w:pPr>
              <w:spacing w:after="60" w:before="20" w:line="276" w:lineRule="auto"/>
            </w:pPr>
            <w:r/>
            <w:r>
              <w:rPr>
                <w:rFonts w:ascii="Times New Roman" w:hAnsi="Times New Roman" w:cs="Times New Roman" w:eastAsia="Times New Roman"/>
                <w:b w:val="0"/>
                <w:i w:val="0"/>
                <w:color w:val="000000"/>
                <w:sz w:val="20"/>
                <w:u w:val="none"/>
              </w:rPr>
              <w:t>Pine Labs prospectus and investor disclosures</w:t>
            </w:r>
          </w:p>
        </w:tc>
        <w:tc>
          <w:tcPr>
            <w:tcW w:type="dxa" w:w="6377"/>
            <w:vAlign w:val="top"/>
          </w:tcPr>
          <w:p>
            <w:pPr>
              <w:spacing w:after="60" w:before="20" w:line="276" w:lineRule="auto"/>
            </w:pPr>
            <w:r/>
            <w:r>
              <w:rPr>
                <w:rFonts w:ascii="Times New Roman" w:hAnsi="Times New Roman" w:cs="Times New Roman" w:eastAsia="Times New Roman"/>
                <w:b w:val="0"/>
                <w:i w:val="0"/>
                <w:color w:val="000000"/>
                <w:sz w:val="20"/>
                <w:u w:val="none"/>
              </w:rPr>
              <w:t>Primary company evidence on operating architecture, financial history, risk factors and company-defined KPIs; issuer disclosures are not independent assurance of market claims. [1–6,8]</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Full citations and links are provided in the References section.</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COMPANY IDENTIFICATION AND KEY FINDINGS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A concise profile and the central results of the analysis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5. Company identification</w:t>
      </w:r>
    </w:p>
    <w:tbl>
      <w:tblPr>
        <w:tblStyle w:val="TableGrid"/>
        <w:tblW w:type="auto" w:w="0"/>
        <w:jc w:val="center"/>
        <w:tblLayout w:type="fixed"/>
        <w:tblLook w:firstColumn="1" w:firstRow="1" w:lastColumn="0" w:lastRow="0" w:noHBand="0" w:noVBand="1" w:val="04A0"/>
      </w:tblPr>
      <w:tblGrid>
        <w:gridCol w:w="5146"/>
        <w:gridCol w:w="5146"/>
      </w:tblGrid>
      <w:tr>
        <w:tc>
          <w:tcPr>
            <w:tcW w:type="dxa" w:w="2169"/>
            <w:vAlign w:val="top"/>
          </w:tcPr>
          <w:p>
            <w:pPr>
              <w:spacing w:after="60" w:before="20" w:line="276" w:lineRule="auto"/>
              <w:jc w:val="center"/>
            </w:pPr>
            <w:r/>
            <w:r>
              <w:rPr>
                <w:rFonts w:ascii="Times New Roman" w:hAnsi="Times New Roman" w:cs="Times New Roman" w:eastAsia="Times New Roman"/>
                <w:b/>
                <w:i w:val="0"/>
                <w:color w:val="000000"/>
                <w:sz w:val="20"/>
                <w:u w:val="none"/>
              </w:rPr>
              <w:t>Particular</w:t>
            </w:r>
          </w:p>
        </w:tc>
        <w:tc>
          <w:tcPr>
            <w:tcW w:type="dxa" w:w="6903"/>
            <w:vAlign w:val="top"/>
          </w:tcPr>
          <w:p>
            <w:pPr>
              <w:spacing w:after="60" w:before="20" w:line="276" w:lineRule="auto"/>
              <w:jc w:val="center"/>
            </w:pPr>
            <w:r/>
            <w:r>
              <w:rPr>
                <w:rFonts w:ascii="Times New Roman" w:hAnsi="Times New Roman" w:cs="Times New Roman" w:eastAsia="Times New Roman"/>
                <w:b/>
                <w:i w:val="0"/>
                <w:color w:val="000000"/>
                <w:sz w:val="20"/>
                <w:u w:val="none"/>
              </w:rPr>
              <w:t>Profile</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Legal name</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Pine Labs Limited (formerly Pine Labs Private Limited) [1,2]</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Incorporated</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18 May 1998; incorporated in New Delhi under the Companies Act, 1956. [1]</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Registered office</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Unit No. 408, 4th Floor, Time Tower, MG Road, Gurugram, Haryana 122002. [2]</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Business</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Technology infrastructure for digital payments, merchant commerce, affordability, prepaid and issuing / acquiring services. [1,5]</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Platforms</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Digital Infrastructure and Transaction Platform (DITP); Issuing and Acquiring Platform (IAP). [1,5]</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Listing identifiers</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NSE: PINELABS; BSE: 544606. [1,11]</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Financial year</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1 April to 31 March; reporting currency in this report is Indian rupees. [2]</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IPO</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Issue price ₹221 per share; fresh issue ₹2,080 crore and offer for sale approximately ₹1,819.9 crore. [1,2]</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Management references</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Amrish Rau, Managing Director and CEO; Sameer Kamath, CFO as identified in company disclosures reviewed. [2,5]</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Analysis cut-off</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3 October 2026; latest results Q1 FY27 ended 30 June 2026; market snapshot BSE close 1 October 2026.</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Compiled from the prospectus and company filings; administrative fields should be checked against the latest official filing before final submission. [1,2,5,11]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2.1 EXECUTIVE FINDINGS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6. Key findings at a glance</w:t>
      </w:r>
    </w:p>
    <w:tbl>
      <w:tblPr>
        <w:tblStyle w:val="TableGrid"/>
        <w:tblW w:type="auto" w:w="0"/>
        <w:jc w:val="center"/>
        <w:tblLayout w:type="fixed"/>
        <w:tblLook w:firstColumn="1" w:firstRow="1" w:lastColumn="0" w:lastRow="0" w:noHBand="0" w:noVBand="1" w:val="04A0"/>
      </w:tblPr>
      <w:tblGrid>
        <w:gridCol w:w="5146"/>
        <w:gridCol w:w="5146"/>
      </w:tblGrid>
      <w:tr>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Theme</w:t>
            </w:r>
          </w:p>
        </w:tc>
        <w:tc>
          <w:tcPr>
            <w:tcW w:type="dxa" w:w="7166"/>
            <w:vAlign w:val="top"/>
          </w:tcPr>
          <w:p>
            <w:pPr>
              <w:spacing w:after="60" w:before="20" w:line="276" w:lineRule="auto"/>
              <w:jc w:val="center"/>
            </w:pPr>
            <w:r/>
            <w:r>
              <w:rPr>
                <w:rFonts w:ascii="Times New Roman" w:hAnsi="Times New Roman" w:cs="Times New Roman" w:eastAsia="Times New Roman"/>
                <w:b/>
                <w:i w:val="0"/>
                <w:color w:val="000000"/>
                <w:sz w:val="20"/>
                <w:u w:val="none"/>
              </w:rPr>
              <w:t>Finding</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Scale and growth</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FY23–FY26 revenue CAGR is approximately 19.3%; platform GTV CAGR is approximately 57.4% over the same period. GTV and revenue growth are not directly interchangeable.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Profitability inflection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FY26 is the first positive PAT year in the cited FY23–FY26 series (FY23–FY25 prospectus-restated; FY26 audited): ₹112.51 crore. Q1 FY27 remained profitable at ₹19.57 crore.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Operating leverage</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Company-defined adjusted EBITDA margin rose from 8.94% in FY24 to 20.62% in FY26, then was about 17.1% in Q1 FY27; trend is promising but not linear.</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Business mix</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DITP accounted for roughly 67.8% of FY26 revenue and IAP 32.2%; IAP grew faster in FY26 and Q1 FY27, supporting diversification.</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Funding</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Borrowings excluding leases fell to ₹282.87 crore at FY26 year-end from ₹829.49 crore in FY25; the IPO increased paid-up equity and financial flexibility.</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Cash conversion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CFO was positive in FY25 and FY26 after outflows in FY23 and FY24. Interim Q1 FY27 settlement effects show that working capital remains volatile.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Valuation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At ₹167.55 on 1 October 2026, indicative multiples are about 6.83× LTM sales and 152× LTM PAT; sustained growth, higher returns and margin durability appear embedded in the price.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synthesis of company and market disclosures. All valuation figures are calculations, not company-published multiples.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chapters that follow examine the evidence behind each finding and distinguish reported figures from management metrics and author calculations.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INDIAN FINTECH AND PAYMENTS INDUSTRY</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System growth, value-chain economics and competitive context</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3.1 INDUSTRY STRUCTURE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Digital payments are delivered through a chain rather than a single provider. RBI and other authorities set rules and supervise relevant entities; NPCI and card networks provide payment rails; banks and regulated acquirers/issuers hold customer relationships and settlement obligations; technology firms provide gateways, terminal software, orchestration, fraud controls, reconciliation, stored-value programme processing and merchant tools. Pine Labs can participate in several layers through different group entities and contracts.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7. Simplified digital-payments value chain</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Layer</w:t>
            </w:r>
          </w:p>
        </w:tc>
        <w:tc>
          <w:tcPr>
            <w:tcW w:type="dxa" w:w="3484"/>
            <w:vAlign w:val="top"/>
          </w:tcPr>
          <w:p>
            <w:pPr>
              <w:spacing w:after="60" w:before="20" w:line="276" w:lineRule="auto"/>
              <w:jc w:val="center"/>
            </w:pPr>
            <w:r/>
            <w:r>
              <w:rPr>
                <w:rFonts w:ascii="Times New Roman" w:hAnsi="Times New Roman" w:cs="Times New Roman" w:eastAsia="Times New Roman"/>
                <w:b/>
                <w:i w:val="0"/>
                <w:color w:val="000000"/>
                <w:sz w:val="20"/>
                <w:u w:val="none"/>
              </w:rPr>
              <w:t>Typical participants / function</w:t>
            </w:r>
          </w:p>
        </w:tc>
        <w:tc>
          <w:tcPr>
            <w:tcW w:type="dxa" w:w="3681"/>
            <w:vAlign w:val="top"/>
          </w:tcPr>
          <w:p>
            <w:pPr>
              <w:spacing w:after="60" w:before="20" w:line="276" w:lineRule="auto"/>
              <w:jc w:val="center"/>
            </w:pPr>
            <w:r/>
            <w:r>
              <w:rPr>
                <w:rFonts w:ascii="Times New Roman" w:hAnsi="Times New Roman" w:cs="Times New Roman" w:eastAsia="Times New Roman"/>
                <w:b/>
                <w:i w:val="0"/>
                <w:color w:val="000000"/>
                <w:sz w:val="20"/>
                <w:u w:val="none"/>
              </w:rPr>
              <w:t>Pine Labs relevance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Rules and rails</w:t>
            </w:r>
          </w:p>
        </w:tc>
        <w:tc>
          <w:tcPr>
            <w:tcW w:type="dxa" w:w="3484"/>
            <w:vAlign w:val="top"/>
          </w:tcPr>
          <w:p>
            <w:pPr>
              <w:spacing w:after="60" w:before="20" w:line="276" w:lineRule="auto"/>
            </w:pPr>
            <w:r/>
            <w:r>
              <w:rPr>
                <w:rFonts w:ascii="Times New Roman" w:hAnsi="Times New Roman" w:cs="Times New Roman" w:eastAsia="Times New Roman"/>
                <w:b w:val="0"/>
                <w:i w:val="0"/>
                <w:color w:val="000000"/>
                <w:sz w:val="20"/>
                <w:u w:val="none"/>
              </w:rPr>
              <w:t>RBI, NPCI systems, card networks; standards, settlement and oversight</w:t>
            </w:r>
          </w:p>
        </w:tc>
        <w:tc>
          <w:tcPr>
            <w:tcW w:type="dxa" w:w="3681"/>
            <w:vAlign w:val="top"/>
          </w:tcPr>
          <w:p>
            <w:pPr>
              <w:spacing w:after="60" w:before="20" w:line="276" w:lineRule="auto"/>
            </w:pPr>
            <w:r/>
            <w:r>
              <w:rPr>
                <w:rFonts w:ascii="Times New Roman" w:hAnsi="Times New Roman" w:cs="Times New Roman" w:eastAsia="Times New Roman"/>
                <w:b w:val="0"/>
                <w:i w:val="0"/>
                <w:color w:val="000000"/>
                <w:sz w:val="20"/>
                <w:u w:val="none"/>
              </w:rPr>
              <w:t>Pine Labs integrates to rails and regulated partners; compliance obligations vary by activity.</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Issuers and acquirers</w:t>
            </w:r>
          </w:p>
        </w:tc>
        <w:tc>
          <w:tcPr>
            <w:tcW w:type="dxa" w:w="3484"/>
            <w:vAlign w:val="top"/>
          </w:tcPr>
          <w:p>
            <w:pPr>
              <w:spacing w:after="60" w:before="20" w:line="276" w:lineRule="auto"/>
            </w:pPr>
            <w:r/>
            <w:r>
              <w:rPr>
                <w:rFonts w:ascii="Times New Roman" w:hAnsi="Times New Roman" w:cs="Times New Roman" w:eastAsia="Times New Roman"/>
                <w:b w:val="0"/>
                <w:i w:val="0"/>
                <w:color w:val="000000"/>
                <w:sz w:val="20"/>
                <w:u w:val="none"/>
              </w:rPr>
              <w:t>Banks / licensed entities; customer accounts, card issuance, merchant acquiring and settlement</w:t>
            </w:r>
          </w:p>
        </w:tc>
        <w:tc>
          <w:tcPr>
            <w:tcW w:type="dxa" w:w="3681"/>
            <w:vAlign w:val="top"/>
          </w:tcPr>
          <w:p>
            <w:pPr>
              <w:spacing w:after="60" w:before="20" w:line="276" w:lineRule="auto"/>
            </w:pPr>
            <w:r/>
            <w:r>
              <w:rPr>
                <w:rFonts w:ascii="Times New Roman" w:hAnsi="Times New Roman" w:cs="Times New Roman" w:eastAsia="Times New Roman"/>
                <w:b w:val="0"/>
                <w:i w:val="0"/>
                <w:color w:val="000000"/>
                <w:sz w:val="20"/>
                <w:u w:val="none"/>
              </w:rPr>
              <w:t>Pine Labs supplies technology, processing, acceptance and programme services.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Technology and orchestration</w:t>
            </w:r>
          </w:p>
        </w:tc>
        <w:tc>
          <w:tcPr>
            <w:tcW w:type="dxa" w:w="3484"/>
            <w:vAlign w:val="top"/>
          </w:tcPr>
          <w:p>
            <w:pPr>
              <w:spacing w:after="60" w:before="20" w:line="276" w:lineRule="auto"/>
            </w:pPr>
            <w:r/>
            <w:r>
              <w:rPr>
                <w:rFonts w:ascii="Times New Roman" w:hAnsi="Times New Roman" w:cs="Times New Roman" w:eastAsia="Times New Roman"/>
                <w:b w:val="0"/>
                <w:i w:val="0"/>
                <w:color w:val="000000"/>
                <w:sz w:val="20"/>
                <w:u w:val="none"/>
              </w:rPr>
              <w:t>POS / checkout software, gateway, routing, tokens, reconciliation, APIs, fraud tools</w:t>
            </w:r>
          </w:p>
        </w:tc>
        <w:tc>
          <w:tcPr>
            <w:tcW w:type="dxa" w:w="3681"/>
            <w:vAlign w:val="top"/>
          </w:tcPr>
          <w:p>
            <w:pPr>
              <w:spacing w:after="60" w:before="20" w:line="276" w:lineRule="auto"/>
            </w:pPr>
            <w:r/>
            <w:r>
              <w:rPr>
                <w:rFonts w:ascii="Times New Roman" w:hAnsi="Times New Roman" w:cs="Times New Roman" w:eastAsia="Times New Roman"/>
                <w:b w:val="0"/>
                <w:i w:val="0"/>
                <w:color w:val="000000"/>
                <w:sz w:val="20"/>
                <w:u w:val="none"/>
              </w:rPr>
              <w:t>Core merchant and fintech infrastructure layer; multiple fee models.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Merchants, brands and users</w:t>
            </w:r>
          </w:p>
        </w:tc>
        <w:tc>
          <w:tcPr>
            <w:tcW w:type="dxa" w:w="3484"/>
            <w:vAlign w:val="top"/>
          </w:tcPr>
          <w:p>
            <w:pPr>
              <w:spacing w:after="60" w:before="20" w:line="276" w:lineRule="auto"/>
            </w:pPr>
            <w:r/>
            <w:r>
              <w:rPr>
                <w:rFonts w:ascii="Times New Roman" w:hAnsi="Times New Roman" w:cs="Times New Roman" w:eastAsia="Times New Roman"/>
                <w:b w:val="0"/>
                <w:i w:val="0"/>
                <w:color w:val="000000"/>
                <w:sz w:val="20"/>
                <w:u w:val="none"/>
              </w:rPr>
              <w:t>Retailers, e-commerce businesses, brands, employers and end customers</w:t>
            </w:r>
          </w:p>
        </w:tc>
        <w:tc>
          <w:tcPr>
            <w:tcW w:type="dxa" w:w="3681"/>
            <w:vAlign w:val="top"/>
          </w:tcPr>
          <w:p>
            <w:pPr>
              <w:spacing w:after="60" w:before="20" w:line="276" w:lineRule="auto"/>
            </w:pPr>
            <w:r/>
            <w:r>
              <w:rPr>
                <w:rFonts w:ascii="Times New Roman" w:hAnsi="Times New Roman" w:cs="Times New Roman" w:eastAsia="Times New Roman"/>
                <w:b w:val="0"/>
                <w:i w:val="0"/>
                <w:color w:val="000000"/>
                <w:sz w:val="20"/>
                <w:u w:val="none"/>
              </w:rPr>
              <w:t>Customers, acceptance locations, programme sponsors and payment users.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Illustrative market map; exact regulatory responsibility follows each contracted entity and product. [1,9]</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3.2 MARKET SCALE AND CURRENT INDICATORS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RBI’s Payment Systems Report, December 2025, describes digital-payment volume growth of roughly 33 times and value growth of nearly three times between 2016 and 2025. For H2 2025, the report records 14,242 crore transactions and ₹1,608 lakh crore in value across digital-payment systems. These system totals cover a broader set of payment types and definitions than Pine Labs’ platform GTV. [9]</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NPCI’s UPI statistics report monthly UPI volume of 24,508.96 million and transaction value of ₹29,82,355.95 crore for August 2026. The series is cited as an indicator of UPI scale, not as a direct addressable-market denominator for Pine Labs. [10]</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8. Industry indicators and interpretation</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038"/>
            <w:vAlign w:val="top"/>
          </w:tcPr>
          <w:p>
            <w:pPr>
              <w:spacing w:after="60" w:before="20" w:line="276" w:lineRule="auto"/>
              <w:jc w:val="center"/>
            </w:pPr>
            <w:r/>
            <w:r>
              <w:rPr>
                <w:rFonts w:ascii="Times New Roman" w:hAnsi="Times New Roman" w:cs="Times New Roman" w:eastAsia="Times New Roman"/>
                <w:b/>
                <w:i w:val="0"/>
                <w:color w:val="000000"/>
                <w:sz w:val="20"/>
                <w:u w:val="none"/>
              </w:rPr>
              <w:t>Indicator</w:t>
            </w:r>
          </w:p>
        </w:tc>
        <w:tc>
          <w:tcPr>
            <w:tcW w:type="dxa" w:w="2827"/>
            <w:vAlign w:val="top"/>
          </w:tcPr>
          <w:p>
            <w:pPr>
              <w:spacing w:after="60" w:before="20" w:line="276" w:lineRule="auto"/>
              <w:jc w:val="center"/>
            </w:pPr>
            <w:r/>
            <w:r>
              <w:rPr>
                <w:rFonts w:ascii="Times New Roman" w:hAnsi="Times New Roman" w:cs="Times New Roman" w:eastAsia="Times New Roman"/>
                <w:b/>
                <w:i w:val="0"/>
                <w:color w:val="000000"/>
                <w:sz w:val="20"/>
                <w:u w:val="none"/>
              </w:rPr>
              <w:t>Published value</w:t>
            </w:r>
          </w:p>
        </w:tc>
        <w:tc>
          <w:tcPr>
            <w:tcW w:type="dxa" w:w="4207"/>
            <w:vAlign w:val="top"/>
          </w:tcPr>
          <w:p>
            <w:pPr>
              <w:spacing w:after="60" w:before="20" w:line="276" w:lineRule="auto"/>
              <w:jc w:val="center"/>
            </w:pPr>
            <w:r/>
            <w:r>
              <w:rPr>
                <w:rFonts w:ascii="Times New Roman" w:hAnsi="Times New Roman" w:cs="Times New Roman" w:eastAsia="Times New Roman"/>
                <w:b/>
                <w:i w:val="0"/>
                <w:color w:val="000000"/>
                <w:sz w:val="20"/>
                <w:u w:val="none"/>
              </w:rPr>
              <w:t>Interpretation / caveat</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Digital payments, H2 2025</w:t>
            </w:r>
          </w:p>
        </w:tc>
        <w:tc>
          <w:tcPr>
            <w:tcW w:type="dxa" w:w="2827"/>
            <w:vAlign w:val="top"/>
          </w:tcPr>
          <w:p>
            <w:pPr>
              <w:spacing w:after="60" w:before="20" w:line="276" w:lineRule="auto"/>
            </w:pPr>
            <w:r/>
            <w:r>
              <w:rPr>
                <w:rFonts w:ascii="Times New Roman" w:hAnsi="Times New Roman" w:cs="Times New Roman" w:eastAsia="Times New Roman"/>
                <w:b w:val="0"/>
                <w:i w:val="0"/>
                <w:color w:val="000000"/>
                <w:sz w:val="20"/>
                <w:u w:val="none"/>
              </w:rPr>
              <w:t>14,242 crore transactions; ₹1,608 lakh crore value</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RBI system-wide measure; includes multiple instruments and participants, not comparable one-for-one with Pine Labs annual GTV.</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UPI, August 2026</w:t>
            </w:r>
          </w:p>
        </w:tc>
        <w:tc>
          <w:tcPr>
            <w:tcW w:type="dxa" w:w="2827"/>
            <w:vAlign w:val="top"/>
          </w:tcPr>
          <w:p>
            <w:pPr>
              <w:spacing w:after="60" w:before="20" w:line="276" w:lineRule="auto"/>
            </w:pPr>
            <w:r/>
            <w:r>
              <w:rPr>
                <w:rFonts w:ascii="Times New Roman" w:hAnsi="Times New Roman" w:cs="Times New Roman" w:eastAsia="Times New Roman"/>
                <w:b w:val="0"/>
                <w:i w:val="0"/>
                <w:color w:val="000000"/>
                <w:sz w:val="20"/>
                <w:u w:val="none"/>
              </w:rPr>
              <w:t>24,508.96 million transactions; ₹29,82,355.95 crore</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NPCI monthly UPI statistic; highlights network scale, not fee pool or Pine Labs revenue.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Pine Labs platform, FY26</w:t>
            </w:r>
          </w:p>
        </w:tc>
        <w:tc>
          <w:tcPr>
            <w:tcW w:type="dxa" w:w="2827"/>
            <w:vAlign w:val="top"/>
          </w:tcPr>
          <w:p>
            <w:pPr>
              <w:spacing w:after="60" w:before="20" w:line="276" w:lineRule="auto"/>
            </w:pPr>
            <w:r/>
            <w:r>
              <w:rPr>
                <w:rFonts w:ascii="Times New Roman" w:hAnsi="Times New Roman" w:cs="Times New Roman" w:eastAsia="Times New Roman"/>
                <w:b w:val="0"/>
                <w:i w:val="0"/>
                <w:color w:val="000000"/>
                <w:sz w:val="20"/>
                <w:u w:val="none"/>
              </w:rPr>
              <w:t>₹17.15 lakh crore GTV; 740.37 crore transactions</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Issuer-reported platform activity across its own definition; not a market share calculation.</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Pine Labs Q1 FY27</w:t>
            </w:r>
          </w:p>
        </w:tc>
        <w:tc>
          <w:tcPr>
            <w:tcW w:type="dxa" w:w="2827"/>
            <w:vAlign w:val="top"/>
          </w:tcPr>
          <w:p>
            <w:pPr>
              <w:spacing w:after="60" w:before="20" w:line="276" w:lineRule="auto"/>
            </w:pPr>
            <w:r/>
            <w:r>
              <w:rPr>
                <w:rFonts w:ascii="Times New Roman" w:hAnsi="Times New Roman" w:cs="Times New Roman" w:eastAsia="Times New Roman"/>
                <w:b w:val="0"/>
                <w:i w:val="0"/>
                <w:color w:val="000000"/>
                <w:sz w:val="20"/>
                <w:u w:val="none"/>
              </w:rPr>
              <w:t>₹4.22 lakh crore platform GTV; 201 crore transactions</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Quarterly period; do not compare with annual industry totals without normalising period and scope.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RBI, NPCI and company sources [3,5,6,9,10]. Figures are deliberately not converted into a market-share estimate because definitions overlap and differ.</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3.3 INDUSTRY ECONOMICS AND VALUE CREATION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Transaction scale is an input, not monetization. Routing a ₹1,000 payment does not mean ₹1,000 of revenue. The platform recognizes only contractual subscription, processing, value-linked or other service fees.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Mix matters. A merchant may generate card, UPI, affordability, online and in-store transactions with materially different pricing, direct costs and settlement characteristics.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Recurring value-added services can deepen merchant relationships. Reconciliation, loyalty, tokenization, risk tools, marketing, billing, data, checkout and working-capital solutions can increase revenue per client if adoption and retention are strong.</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Scale has a cost. Devices, field support, software, network availability, security, compliance, sales acquisition and payment operations require ongoing investment. A broad installed base can therefore improve reach while also increasing depreciation and service costs.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Regulation and trust are foundational. Payments are mission-critical. License boundaries, customer-fund handling, data protection, cyber resilience, fraud monitoring and timely settlement can affect both economics and reputation.</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3.4 OPPORTUNITY AREAS AND HEADWINDS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9. Industry opportunity / headwind scan</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761"/>
            <w:vAlign w:val="top"/>
          </w:tcPr>
          <w:p>
            <w:pPr>
              <w:spacing w:after="60" w:before="20" w:line="276" w:lineRule="auto"/>
              <w:jc w:val="center"/>
            </w:pPr>
            <w:r/>
            <w:r>
              <w:rPr>
                <w:rFonts w:ascii="Times New Roman" w:hAnsi="Times New Roman" w:cs="Times New Roman" w:eastAsia="Times New Roman"/>
                <w:b/>
                <w:i w:val="0"/>
                <w:color w:val="000000"/>
                <w:sz w:val="20"/>
                <w:u w:val="none"/>
              </w:rPr>
              <w:t>Opportunity</w:t>
            </w:r>
          </w:p>
        </w:tc>
        <w:tc>
          <w:tcPr>
            <w:tcW w:type="dxa" w:w="2893"/>
            <w:vAlign w:val="top"/>
          </w:tcPr>
          <w:p>
            <w:pPr>
              <w:spacing w:after="60" w:before="20" w:line="276" w:lineRule="auto"/>
              <w:jc w:val="center"/>
            </w:pPr>
            <w:r/>
            <w:r>
              <w:rPr>
                <w:rFonts w:ascii="Times New Roman" w:hAnsi="Times New Roman" w:cs="Times New Roman" w:eastAsia="Times New Roman"/>
                <w:b/>
                <w:i w:val="0"/>
                <w:color w:val="000000"/>
                <w:sz w:val="20"/>
                <w:u w:val="none"/>
              </w:rPr>
              <w:t>Headwind</w:t>
            </w:r>
          </w:p>
        </w:tc>
        <w:tc>
          <w:tcPr>
            <w:tcW w:type="dxa" w:w="3418"/>
            <w:vAlign w:val="top"/>
          </w:tcPr>
          <w:p>
            <w:pPr>
              <w:spacing w:after="60" w:before="20" w:line="276" w:lineRule="auto"/>
              <w:jc w:val="center"/>
            </w:pPr>
            <w:r/>
            <w:r>
              <w:rPr>
                <w:rFonts w:ascii="Times New Roman" w:hAnsi="Times New Roman" w:cs="Times New Roman" w:eastAsia="Times New Roman"/>
                <w:b/>
                <w:i w:val="0"/>
                <w:color w:val="000000"/>
                <w:sz w:val="20"/>
                <w:u w:val="none"/>
              </w:rPr>
              <w:t>Pine Labs implication</w:t>
            </w:r>
          </w:p>
        </w:tc>
      </w:tr>
      <w:tr>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SME digitisation and omnichannel acceptance</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Price-sensitive merchants and low-fee payment rails</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Grow value-added services and merchant lifetime value rather than relying only on device additions.</w:t>
            </w:r>
          </w:p>
        </w:tc>
      </w:tr>
      <w:tr>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Embedded affordability and bank-issued credit on UPI</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Consumer protection, credit quality and partner dependence</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Differentiate the orchestration layer while ensuring lender responsibility remains clear.</w:t>
            </w:r>
          </w:p>
        </w:tc>
      </w:tr>
      <w:tr>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Prepaid, gifting and enterprise programmes</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Seasonality, stored-value regulation and large-client procurement cycles</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Scale programme software and distribution; monitor customer concentration and breakage / float-related disclosures.</w:t>
            </w:r>
          </w:p>
        </w:tc>
      </w:tr>
      <w:tr>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Cross-border acceptance and issuing</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Local licensing, FX, settlement, geopolitics and partner risk</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Expand selectively with compliance, unit-economics and foreign-currency discipline.</w:t>
            </w:r>
          </w:p>
        </w:tc>
      </w:tr>
      <w:tr>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AI, agentic commerce and automation</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Fraud, consent, model risk, liability and uncertain adoption</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Treat pilots and launches as optionality until usage, safety and revenue contribution are evidenced.</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analysis informed by RBI report and Pine Labs disclosures. [1,5,9]</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3.5 COMPETITIVE LANDSCAPE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Competition includes banks and acquirers, terminal providers, payment aggregators, merchant SaaS platforms, issuer processors, prepaid / gifting platforms, wallets and global infrastructure providers. Selected companies are shown as a qualitative context only; they differ in geography, licensing, product mix, scale and accounting, so their reported revenue or margin is not an apples-to-apples comparison.</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10. Selected peer and adjacent-company context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169"/>
            <w:vAlign w:val="top"/>
          </w:tcPr>
          <w:p>
            <w:pPr>
              <w:spacing w:after="60" w:before="20" w:line="276" w:lineRule="auto"/>
              <w:jc w:val="center"/>
            </w:pPr>
            <w:r/>
            <w:r>
              <w:rPr>
                <w:rFonts w:ascii="Times New Roman" w:hAnsi="Times New Roman" w:cs="Times New Roman" w:eastAsia="Times New Roman"/>
                <w:b/>
                <w:i w:val="0"/>
                <w:color w:val="000000"/>
                <w:sz w:val="20"/>
                <w:u w:val="none"/>
              </w:rPr>
              <w:t>Company / group</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Primary overlap</w:t>
            </w:r>
          </w:p>
        </w:tc>
        <w:tc>
          <w:tcPr>
            <w:tcW w:type="dxa" w:w="3879"/>
            <w:vAlign w:val="top"/>
          </w:tcPr>
          <w:p>
            <w:pPr>
              <w:spacing w:after="60" w:before="20" w:line="276" w:lineRule="auto"/>
              <w:jc w:val="center"/>
            </w:pPr>
            <w:r/>
            <w:r>
              <w:rPr>
                <w:rFonts w:ascii="Times New Roman" w:hAnsi="Times New Roman" w:cs="Times New Roman" w:eastAsia="Times New Roman"/>
                <w:b/>
                <w:i w:val="0"/>
                <w:color w:val="000000"/>
                <w:sz w:val="20"/>
                <w:u w:val="none"/>
              </w:rPr>
              <w:t>Why not a direct financial comparable</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One 97 Communications (Paytm)</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Merchant payments, QR / devices, consumer app and financial-services distribution</w:t>
            </w:r>
          </w:p>
        </w:tc>
        <w:tc>
          <w:tcPr>
            <w:tcW w:type="dxa" w:w="3879"/>
            <w:vAlign w:val="top"/>
          </w:tcPr>
          <w:p>
            <w:pPr>
              <w:spacing w:after="60" w:before="20" w:line="276" w:lineRule="auto"/>
            </w:pPr>
            <w:r/>
            <w:r>
              <w:rPr>
                <w:rFonts w:ascii="Times New Roman" w:hAnsi="Times New Roman" w:cs="Times New Roman" w:eastAsia="Times New Roman"/>
                <w:b w:val="0"/>
                <w:i w:val="0"/>
                <w:color w:val="000000"/>
                <w:sz w:val="20"/>
                <w:u w:val="none"/>
              </w:rPr>
              <w:t>Consumer-facing wallet/app ecosystem and regulatory history produce different mix and revenue recognition.</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Razorpay (private)</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Online payments, merchant software and business banking tools</w:t>
            </w:r>
          </w:p>
        </w:tc>
        <w:tc>
          <w:tcPr>
            <w:tcW w:type="dxa" w:w="3879"/>
            <w:vAlign w:val="top"/>
          </w:tcPr>
          <w:p>
            <w:pPr>
              <w:spacing w:after="60" w:before="20" w:line="276" w:lineRule="auto"/>
            </w:pPr>
            <w:r/>
            <w:r>
              <w:rPr>
                <w:rFonts w:ascii="Times New Roman" w:hAnsi="Times New Roman" w:cs="Times New Roman" w:eastAsia="Times New Roman"/>
                <w:b w:val="0"/>
                <w:i w:val="0"/>
                <w:color w:val="000000"/>
                <w:sz w:val="20"/>
                <w:u w:val="none"/>
              </w:rPr>
              <w:t>Private-company disclosures are limited; stronger online emphasis.</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Zaggle Prepaid Ocean Services</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Corporate expense, employee benefits and prepaid / spend-management programmes</w:t>
            </w:r>
          </w:p>
        </w:tc>
        <w:tc>
          <w:tcPr>
            <w:tcW w:type="dxa" w:w="3879"/>
            <w:vAlign w:val="top"/>
          </w:tcPr>
          <w:p>
            <w:pPr>
              <w:spacing w:after="60" w:before="20" w:line="276" w:lineRule="auto"/>
            </w:pPr>
            <w:r/>
            <w:r>
              <w:rPr>
                <w:rFonts w:ascii="Times New Roman" w:hAnsi="Times New Roman" w:cs="Times New Roman" w:eastAsia="Times New Roman"/>
                <w:b w:val="0"/>
                <w:i w:val="0"/>
                <w:color w:val="000000"/>
                <w:sz w:val="20"/>
                <w:u w:val="none"/>
              </w:rPr>
              <w:t>Listed, but more focused on corporate spend and benefits than broad acquiring / merchant checkout.</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PhonePe (private)</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UPI consumer and merchant acceptance, financial and commerce services</w:t>
            </w:r>
          </w:p>
        </w:tc>
        <w:tc>
          <w:tcPr>
            <w:tcW w:type="dxa" w:w="3879"/>
            <w:vAlign w:val="top"/>
          </w:tcPr>
          <w:p>
            <w:pPr>
              <w:spacing w:after="60" w:before="20" w:line="276" w:lineRule="auto"/>
            </w:pPr>
            <w:r/>
            <w:r>
              <w:rPr>
                <w:rFonts w:ascii="Times New Roman" w:hAnsi="Times New Roman" w:cs="Times New Roman" w:eastAsia="Times New Roman"/>
                <w:b w:val="0"/>
                <w:i w:val="0"/>
                <w:color w:val="000000"/>
                <w:sz w:val="20"/>
                <w:u w:val="none"/>
              </w:rPr>
              <w:t>Large consumer platform; private and broader ecosystem; not a close same-period listed benchmark.</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Global processors (e.g., Adyen / Worldline)</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Acquiring, processing and cross-border acceptance</w:t>
            </w:r>
          </w:p>
        </w:tc>
        <w:tc>
          <w:tcPr>
            <w:tcW w:type="dxa" w:w="3879"/>
            <w:vAlign w:val="top"/>
          </w:tcPr>
          <w:p>
            <w:pPr>
              <w:spacing w:after="60" w:before="20" w:line="276" w:lineRule="auto"/>
            </w:pPr>
            <w:r/>
            <w:r>
              <w:rPr>
                <w:rFonts w:ascii="Times New Roman" w:hAnsi="Times New Roman" w:cs="Times New Roman" w:eastAsia="Times New Roman"/>
                <w:b w:val="0"/>
                <w:i w:val="0"/>
                <w:color w:val="000000"/>
                <w:sz w:val="20"/>
                <w:u w:val="none"/>
              </w:rPr>
              <w:t>Different geographies, regulation, scale, accounting and market maturity.</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Company names are used as qualitative reference points only; no peer multiples are calculated in this report.</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4</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PINE LABS: COMPANY PROFILE AND BUSINESS MODEL</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How a commerce-technology platform connects merchants, institutions and payment users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4.1 COMPANY EVOLUTION</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11. Selected corporate milestones</w:t>
      </w:r>
    </w:p>
    <w:tbl>
      <w:tblPr>
        <w:tblStyle w:val="TableGrid"/>
        <w:tblW w:type="auto" w:w="0"/>
        <w:jc w:val="center"/>
        <w:tblLayout w:type="fixed"/>
        <w:tblLook w:firstColumn="1" w:firstRow="1" w:lastColumn="0" w:lastRow="0" w:noHBand="0" w:noVBand="1" w:val="04A0"/>
      </w:tblPr>
      <w:tblGrid>
        <w:gridCol w:w="5146"/>
        <w:gridCol w:w="5146"/>
      </w:tblGrid>
      <w:tr>
        <w:tc>
          <w:tcPr>
            <w:tcW w:type="dxa" w:w="1775"/>
            <w:vAlign w:val="top"/>
          </w:tcPr>
          <w:p>
            <w:pPr>
              <w:spacing w:after="60" w:before="20" w:line="276" w:lineRule="auto"/>
              <w:jc w:val="center"/>
            </w:pPr>
            <w:r/>
            <w:r>
              <w:rPr>
                <w:rFonts w:ascii="Times New Roman" w:hAnsi="Times New Roman" w:cs="Times New Roman" w:eastAsia="Times New Roman"/>
                <w:b/>
                <w:i w:val="0"/>
                <w:color w:val="000000"/>
                <w:sz w:val="20"/>
                <w:u w:val="none"/>
              </w:rPr>
              <w:t>Period</w:t>
            </w:r>
          </w:p>
        </w:tc>
        <w:tc>
          <w:tcPr>
            <w:tcW w:type="dxa" w:w="7297"/>
            <w:vAlign w:val="top"/>
          </w:tcPr>
          <w:p>
            <w:pPr>
              <w:spacing w:after="60" w:before="20" w:line="276" w:lineRule="auto"/>
              <w:jc w:val="center"/>
            </w:pPr>
            <w:r/>
            <w:r>
              <w:rPr>
                <w:rFonts w:ascii="Times New Roman" w:hAnsi="Times New Roman" w:cs="Times New Roman" w:eastAsia="Times New Roman"/>
                <w:b/>
                <w:i w:val="0"/>
                <w:color w:val="000000"/>
                <w:sz w:val="20"/>
                <w:u w:val="none"/>
              </w:rPr>
              <w:t>Milestone / strategic relevance</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1998</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Pine Labs incorporated in India.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2005</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Plutus merchant-payment platform introduced, according to company history.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2017</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Expansion into Malaysia; regional growth outside India.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2019</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Qwikcilver acquisition expanded gift-card and prepaid programme capabilities.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2021</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Plural online payment-gateway brand introduced.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2022</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QFix, Mosambee and Setu acquisitions expanded adjacent merchant / fintech infrastructure capabilities.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2023</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Credit+ proposition added to the issuer / fintech stack.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6 Jun 2025</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Pine Labs Singapore merger became effective; prospectus comparatives were retrospectively presented from 1 Apr 2022 for relevant operating and financial comparisons.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Nov 2025</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IPO and listing as Pine Labs Limited; offer price ₹221 per share. [1,2]</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FY26 / Q1 FY27</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Agya became wholly owned in February 2026; Shopflo agreement signed after FY26 year-end and 100% acquisition was reported in Q1 FY27. [2,5]</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Company prospectus and subsequent filings. Acquisitions and launches are not evidence of realised synergies; integration outcomes need monitoring. [1,2,5]</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4.2 TWO-PLATFORM ARCHITECTURE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prospectus describes a Digital Infrastructure and Transaction Platform (DITP) and an Issuing and Acquiring Platform (IAP). DITP supports merchant acceptance and related transactions across in-store and online environments, affordability / value-added services and fintech infrastructure. IAP provides prepaid, issuer / acquirer and processing capabilities for brands, banks, fintechs and enterprises. The segment framework is a useful way to understand revenue; customer, product and payment-flow categories can overlap. [1,5]</w:t>
      </w:r>
    </w:p>
    <w:p>
      <w:pPr>
        <w:spacing w:before="120" w:after="120" w:line="240" w:lineRule="auto"/>
        <w:jc w:val="center"/>
      </w:pPr>
      <w:r>
        <w:drawing>
          <wp:inline xmlns:a="http://schemas.openxmlformats.org/drawingml/2006/main" xmlns:pic="http://schemas.openxmlformats.org/drawingml/2006/picture">
            <wp:extent cx="5760720" cy="2347087"/>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2347087"/>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Figure 1. Conceptual Pine Labs platform and value flow</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Author diagram based on the company’s platform and monetization descriptions. It is not a legal-entity or funds-flow map. [1,5]</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4.3 REVENUE BY OPERATING SEGMENT</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12. Revenue mix by platform (₹ crore except share)</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3121"/>
            <w:vAlign w:val="top"/>
          </w:tcPr>
          <w:p>
            <w:pPr>
              <w:spacing w:after="60" w:before="20" w:line="276" w:lineRule="auto"/>
              <w:jc w:val="center"/>
            </w:pPr>
            <w:r/>
            <w:r>
              <w:rPr>
                <w:rFonts w:ascii="Times New Roman" w:hAnsi="Times New Roman" w:cs="Times New Roman" w:eastAsia="Times New Roman"/>
                <w:b/>
                <w:i w:val="0"/>
                <w:color w:val="000000"/>
                <w:sz w:val="18"/>
                <w:u w:val="none"/>
              </w:rPr>
              <w:t>Segment / measure</w:t>
            </w:r>
          </w:p>
        </w:tc>
        <w:tc>
          <w:tcPr>
            <w:tcW w:type="dxa" w:w="1488"/>
            <w:vAlign w:val="top"/>
          </w:tcPr>
          <w:p>
            <w:pPr>
              <w:spacing w:after="60" w:before="20" w:line="276" w:lineRule="auto"/>
              <w:jc w:val="center"/>
            </w:pPr>
            <w:r/>
            <w:r>
              <w:rPr>
                <w:rFonts w:ascii="Times New Roman" w:hAnsi="Times New Roman" w:cs="Times New Roman" w:eastAsia="Times New Roman"/>
                <w:b/>
                <w:i w:val="0"/>
                <w:color w:val="000000"/>
                <w:sz w:val="18"/>
                <w:u w:val="none"/>
              </w:rPr>
              <w:t>FY24</w:t>
            </w:r>
          </w:p>
        </w:tc>
        <w:tc>
          <w:tcPr>
            <w:tcW w:type="dxa" w:w="1488"/>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1488"/>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c>
          <w:tcPr>
            <w:tcW w:type="dxa" w:w="1488"/>
            <w:vAlign w:val="top"/>
          </w:tcPr>
          <w:p>
            <w:pPr>
              <w:spacing w:after="60" w:before="20" w:line="276" w:lineRule="auto"/>
              <w:jc w:val="center"/>
            </w:pPr>
            <w:r/>
            <w:r>
              <w:rPr>
                <w:rFonts w:ascii="Times New Roman" w:hAnsi="Times New Roman" w:cs="Times New Roman" w:eastAsia="Times New Roman"/>
                <w:b/>
                <w:i w:val="0"/>
                <w:color w:val="000000"/>
                <w:sz w:val="18"/>
                <w:u w:val="none"/>
              </w:rPr>
              <w:t>Q1 FY27</w:t>
            </w:r>
          </w:p>
        </w:tc>
      </w:tr>
      <w:tr>
        <w:tc>
          <w:tcPr>
            <w:tcW w:type="dxa" w:w="3121"/>
            <w:vAlign w:val="top"/>
          </w:tcPr>
          <w:p>
            <w:pPr>
              <w:spacing w:after="60" w:before="20" w:line="276" w:lineRule="auto"/>
            </w:pPr>
            <w:r/>
            <w:r>
              <w:rPr>
                <w:rFonts w:ascii="Times New Roman" w:hAnsi="Times New Roman" w:cs="Times New Roman" w:eastAsia="Times New Roman"/>
                <w:b w:val="0"/>
                <w:i w:val="0"/>
                <w:color w:val="000000"/>
                <w:sz w:val="18"/>
                <w:u w:val="none"/>
              </w:rPr>
              <w:t>DITP</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1,276.43</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1,603.23</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1,836.82</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499.12</w:t>
            </w:r>
          </w:p>
        </w:tc>
      </w:tr>
      <w:tr>
        <w:tc>
          <w:tcPr>
            <w:tcW w:type="dxa" w:w="3121"/>
            <w:vAlign w:val="top"/>
          </w:tcPr>
          <w:p>
            <w:pPr>
              <w:spacing w:after="60" w:before="20" w:line="276" w:lineRule="auto"/>
            </w:pPr>
            <w:r/>
            <w:r>
              <w:rPr>
                <w:rFonts w:ascii="Times New Roman" w:hAnsi="Times New Roman" w:cs="Times New Roman" w:eastAsia="Times New Roman"/>
                <w:b w:val="0"/>
                <w:i w:val="0"/>
                <w:color w:val="000000"/>
                <w:sz w:val="18"/>
                <w:u w:val="none"/>
              </w:rPr>
              <w:t>IAP</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493.11</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671.05</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873.76</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237.80</w:t>
            </w:r>
          </w:p>
        </w:tc>
      </w:tr>
      <w:tr>
        <w:tc>
          <w:tcPr>
            <w:tcW w:type="dxa" w:w="3121"/>
            <w:vAlign w:val="top"/>
          </w:tcPr>
          <w:p>
            <w:pPr>
              <w:spacing w:after="60" w:before="20" w:line="276" w:lineRule="auto"/>
            </w:pPr>
            <w:r/>
            <w:r>
              <w:rPr>
                <w:rFonts w:ascii="Times New Roman" w:hAnsi="Times New Roman" w:cs="Times New Roman" w:eastAsia="Times New Roman"/>
                <w:b w:val="0"/>
                <w:i w:val="0"/>
                <w:color w:val="000000"/>
                <w:sz w:val="18"/>
                <w:u w:val="none"/>
              </w:rPr>
              <w:t>Total segment revenue (rounded)</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1,769.54</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2,274.28</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2,710.58</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736.92</w:t>
            </w:r>
          </w:p>
        </w:tc>
      </w:tr>
      <w:tr>
        <w:tc>
          <w:tcPr>
            <w:tcW w:type="dxa" w:w="3121"/>
            <w:vAlign w:val="top"/>
          </w:tcPr>
          <w:p>
            <w:pPr>
              <w:spacing w:after="60" w:before="20" w:line="276" w:lineRule="auto"/>
            </w:pPr>
            <w:r/>
            <w:r>
              <w:rPr>
                <w:rFonts w:ascii="Times New Roman" w:hAnsi="Times New Roman" w:cs="Times New Roman" w:eastAsia="Times New Roman"/>
                <w:b w:val="0"/>
                <w:i w:val="0"/>
                <w:color w:val="000000"/>
                <w:sz w:val="18"/>
                <w:u w:val="none"/>
              </w:rPr>
              <w:t>Consolidated revenue from operations</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1,769.55</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2,274.27</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2,710.59</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736.92</w:t>
            </w:r>
          </w:p>
        </w:tc>
      </w:tr>
      <w:tr>
        <w:tc>
          <w:tcPr>
            <w:tcW w:type="dxa" w:w="3121"/>
            <w:vAlign w:val="top"/>
          </w:tcPr>
          <w:p>
            <w:pPr>
              <w:spacing w:after="60" w:before="20" w:line="276" w:lineRule="auto"/>
            </w:pPr>
            <w:r/>
            <w:r>
              <w:rPr>
                <w:rFonts w:ascii="Times New Roman" w:hAnsi="Times New Roman" w:cs="Times New Roman" w:eastAsia="Times New Roman"/>
                <w:b w:val="0"/>
                <w:i w:val="0"/>
                <w:color w:val="000000"/>
                <w:sz w:val="18"/>
                <w:u w:val="none"/>
              </w:rPr>
              <w:t>IAP share of revenue</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27.9%</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29.5%</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32.2%</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32.3%</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FY24–FY25 restated prospectus / company KPI disclosures; FY26 audited and Q1 FY27 interim company disclosures. Segment totals may differ from consolidated revenue by ₹0.01 crore due to rounding. [1–6]</w:t>
      </w:r>
    </w:p>
    <w:p>
      <w:pPr>
        <w:spacing w:before="120" w:after="120" w:line="240" w:lineRule="auto"/>
        <w:jc w:val="center"/>
      </w:pPr>
      <w:r>
        <w:drawing>
          <wp:inline xmlns:a="http://schemas.openxmlformats.org/drawingml/2006/main" xmlns:pic="http://schemas.openxmlformats.org/drawingml/2006/picture">
            <wp:extent cx="5760720" cy="2501419"/>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2501419"/>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Figure 2. Annual revenue by segment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Company-reported segment revenue; annual FY24–FY26 only. Small ₹0.01 rounding differences may occur. [1–3]</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4.4 MONETIZATION MODEL</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13. Disclosed revenue streams by activity</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934"/>
            <w:vAlign w:val="top"/>
          </w:tcPr>
          <w:p>
            <w:pPr>
              <w:spacing w:after="60" w:before="20" w:line="276" w:lineRule="auto"/>
              <w:jc w:val="center"/>
            </w:pPr>
            <w:r/>
            <w:r>
              <w:rPr>
                <w:rFonts w:ascii="Times New Roman" w:hAnsi="Times New Roman" w:cs="Times New Roman" w:eastAsia="Times New Roman"/>
                <w:b/>
                <w:i w:val="0"/>
                <w:color w:val="000000"/>
                <w:sz w:val="20"/>
                <w:u w:val="none"/>
              </w:rPr>
              <w:t>Activity</w:t>
            </w:r>
          </w:p>
        </w:tc>
        <w:tc>
          <w:tcPr>
            <w:tcW w:type="dxa" w:w="3402"/>
            <w:vAlign w:val="top"/>
          </w:tcPr>
          <w:p>
            <w:pPr>
              <w:spacing w:after="60" w:before="20" w:line="276" w:lineRule="auto"/>
              <w:jc w:val="center"/>
            </w:pPr>
            <w:r/>
            <w:r>
              <w:rPr>
                <w:rFonts w:ascii="Times New Roman" w:hAnsi="Times New Roman" w:cs="Times New Roman" w:eastAsia="Times New Roman"/>
                <w:b/>
                <w:i w:val="0"/>
                <w:color w:val="000000"/>
                <w:sz w:val="20"/>
                <w:u w:val="none"/>
              </w:rPr>
              <w:t>Typical disclosed monetization</w:t>
            </w:r>
          </w:p>
        </w:tc>
        <w:tc>
          <w:tcPr>
            <w:tcW w:type="dxa" w:w="3736"/>
            <w:vAlign w:val="top"/>
          </w:tcPr>
          <w:p>
            <w:pPr>
              <w:spacing w:after="60" w:before="20" w:line="276" w:lineRule="auto"/>
              <w:jc w:val="center"/>
            </w:pPr>
            <w:r/>
            <w:r>
              <w:rPr>
                <w:rFonts w:ascii="Times New Roman" w:hAnsi="Times New Roman" w:cs="Times New Roman" w:eastAsia="Times New Roman"/>
                <w:b/>
                <w:i w:val="0"/>
                <w:color w:val="000000"/>
                <w:sz w:val="20"/>
                <w:u w:val="none"/>
              </w:rPr>
              <w:t>Analytical implication</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In-store DITP</w:t>
            </w:r>
          </w:p>
        </w:tc>
        <w:tc>
          <w:tcPr>
            <w:tcW w:type="dxa" w:w="3402"/>
            <w:vAlign w:val="top"/>
          </w:tcPr>
          <w:p>
            <w:pPr>
              <w:spacing w:after="60" w:before="20" w:line="276" w:lineRule="auto"/>
            </w:pPr>
            <w:r/>
            <w:r>
              <w:rPr>
                <w:rFonts w:ascii="Times New Roman" w:hAnsi="Times New Roman" w:cs="Times New Roman" w:eastAsia="Times New Roman"/>
                <w:b w:val="0"/>
                <w:i w:val="0"/>
                <w:color w:val="000000"/>
                <w:sz w:val="20"/>
                <w:u w:val="none"/>
              </w:rPr>
              <w:t>Digital-checkout-point / platform subscriptions and related service fees</w:t>
            </w:r>
          </w:p>
        </w:tc>
        <w:tc>
          <w:tcPr>
            <w:tcW w:type="dxa" w:w="3736"/>
            <w:vAlign w:val="top"/>
          </w:tcPr>
          <w:p>
            <w:pPr>
              <w:spacing w:after="60" w:before="20" w:line="276" w:lineRule="auto"/>
            </w:pPr>
            <w:r/>
            <w:r>
              <w:rPr>
                <w:rFonts w:ascii="Times New Roman" w:hAnsi="Times New Roman" w:cs="Times New Roman" w:eastAsia="Times New Roman"/>
                <w:b w:val="0"/>
                <w:i w:val="0"/>
                <w:color w:val="000000"/>
                <w:sz w:val="20"/>
                <w:u w:val="none"/>
              </w:rPr>
              <w:t>Creates a recurring element, but revenue per point depends on plan, product adoption and transaction volume.</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Online acceptance</w:t>
            </w:r>
          </w:p>
        </w:tc>
        <w:tc>
          <w:tcPr>
            <w:tcW w:type="dxa" w:w="3402"/>
            <w:vAlign w:val="top"/>
          </w:tcPr>
          <w:p>
            <w:pPr>
              <w:spacing w:after="60" w:before="20" w:line="276" w:lineRule="auto"/>
            </w:pPr>
            <w:r/>
            <w:r>
              <w:rPr>
                <w:rFonts w:ascii="Times New Roman" w:hAnsi="Times New Roman" w:cs="Times New Roman" w:eastAsia="Times New Roman"/>
                <w:b w:val="0"/>
                <w:i w:val="0"/>
                <w:color w:val="000000"/>
                <w:sz w:val="20"/>
                <w:u w:val="none"/>
              </w:rPr>
              <w:t>Value-linked transaction / processing fees and associated services</w:t>
            </w:r>
          </w:p>
        </w:tc>
        <w:tc>
          <w:tcPr>
            <w:tcW w:type="dxa" w:w="3736"/>
            <w:vAlign w:val="top"/>
          </w:tcPr>
          <w:p>
            <w:pPr>
              <w:spacing w:after="60" w:before="20" w:line="276" w:lineRule="auto"/>
            </w:pPr>
            <w:r/>
            <w:r>
              <w:rPr>
                <w:rFonts w:ascii="Times New Roman" w:hAnsi="Times New Roman" w:cs="Times New Roman" w:eastAsia="Times New Roman"/>
                <w:b w:val="0"/>
                <w:i w:val="0"/>
                <w:color w:val="000000"/>
                <w:sz w:val="20"/>
                <w:u w:val="none"/>
              </w:rPr>
              <w:t>Fee pool depends on payment method, merchant category, routing, refunds and pricing competition.</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Affordability and value-added services</w:t>
            </w:r>
          </w:p>
        </w:tc>
        <w:tc>
          <w:tcPr>
            <w:tcW w:type="dxa" w:w="3402"/>
            <w:vAlign w:val="top"/>
          </w:tcPr>
          <w:p>
            <w:pPr>
              <w:spacing w:after="60" w:before="20" w:line="276" w:lineRule="auto"/>
            </w:pPr>
            <w:r/>
            <w:r>
              <w:rPr>
                <w:rFonts w:ascii="Times New Roman" w:hAnsi="Times New Roman" w:cs="Times New Roman" w:eastAsia="Times New Roman"/>
                <w:b w:val="0"/>
                <w:i w:val="0"/>
                <w:color w:val="000000"/>
                <w:sz w:val="20"/>
                <w:u w:val="none"/>
              </w:rPr>
              <w:t>GTV-linked processing fees and service income; the lender partner bears consumer credit risk in the described model</w:t>
            </w:r>
          </w:p>
        </w:tc>
        <w:tc>
          <w:tcPr>
            <w:tcW w:type="dxa" w:w="3736"/>
            <w:vAlign w:val="top"/>
          </w:tcPr>
          <w:p>
            <w:pPr>
              <w:spacing w:after="60" w:before="20" w:line="276" w:lineRule="auto"/>
            </w:pPr>
            <w:r/>
            <w:r>
              <w:rPr>
                <w:rFonts w:ascii="Times New Roman" w:hAnsi="Times New Roman" w:cs="Times New Roman" w:eastAsia="Times New Roman"/>
                <w:b w:val="0"/>
                <w:i w:val="0"/>
                <w:color w:val="000000"/>
                <w:sz w:val="20"/>
                <w:u w:val="none"/>
              </w:rPr>
              <w:t>Revenue can scale with eligible transactions; lenders, issuers and merchant offers remain critical counterparties.</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Fintech infrastructure</w:t>
            </w:r>
          </w:p>
        </w:tc>
        <w:tc>
          <w:tcPr>
            <w:tcW w:type="dxa" w:w="3402"/>
            <w:vAlign w:val="top"/>
          </w:tcPr>
          <w:p>
            <w:pPr>
              <w:spacing w:after="60" w:before="20" w:line="276" w:lineRule="auto"/>
            </w:pPr>
            <w:r/>
            <w:r>
              <w:rPr>
                <w:rFonts w:ascii="Times New Roman" w:hAnsi="Times New Roman" w:cs="Times New Roman" w:eastAsia="Times New Roman"/>
                <w:b w:val="0"/>
                <w:i w:val="0"/>
                <w:color w:val="000000"/>
                <w:sz w:val="20"/>
                <w:u w:val="none"/>
              </w:rPr>
              <w:t>Transaction-based technology / processing fees for APIs and financial-institution use cases</w:t>
            </w:r>
          </w:p>
        </w:tc>
        <w:tc>
          <w:tcPr>
            <w:tcW w:type="dxa" w:w="3736"/>
            <w:vAlign w:val="top"/>
          </w:tcPr>
          <w:p>
            <w:pPr>
              <w:spacing w:after="60" w:before="20" w:line="276" w:lineRule="auto"/>
            </w:pPr>
            <w:r/>
            <w:r>
              <w:rPr>
                <w:rFonts w:ascii="Times New Roman" w:hAnsi="Times New Roman" w:cs="Times New Roman" w:eastAsia="Times New Roman"/>
                <w:b w:val="0"/>
                <w:i w:val="0"/>
                <w:color w:val="000000"/>
                <w:sz w:val="20"/>
                <w:u w:val="none"/>
              </w:rPr>
              <w:t>Potentially scalable, but requires product integration, reliability and partner adoption.</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IAP prepaid / issuing</w:t>
            </w:r>
          </w:p>
        </w:tc>
        <w:tc>
          <w:tcPr>
            <w:tcW w:type="dxa" w:w="3402"/>
            <w:vAlign w:val="top"/>
          </w:tcPr>
          <w:p>
            <w:pPr>
              <w:spacing w:after="60" w:before="20" w:line="276" w:lineRule="auto"/>
            </w:pPr>
            <w:r/>
            <w:r>
              <w:rPr>
                <w:rFonts w:ascii="Times New Roman" w:hAnsi="Times New Roman" w:cs="Times New Roman" w:eastAsia="Times New Roman"/>
                <w:b w:val="0"/>
                <w:i w:val="0"/>
                <w:color w:val="000000"/>
                <w:sz w:val="20"/>
                <w:u w:val="none"/>
              </w:rPr>
              <w:t>Processing and distribution fees; company disclosures also describe interest on certain customer funds and breakage income</w:t>
            </w:r>
          </w:p>
        </w:tc>
        <w:tc>
          <w:tcPr>
            <w:tcW w:type="dxa" w:w="3736"/>
            <w:vAlign w:val="top"/>
          </w:tcPr>
          <w:p>
            <w:pPr>
              <w:spacing w:after="60" w:before="20" w:line="276" w:lineRule="auto"/>
            </w:pPr>
            <w:r/>
            <w:r>
              <w:rPr>
                <w:rFonts w:ascii="Times New Roman" w:hAnsi="Times New Roman" w:cs="Times New Roman" w:eastAsia="Times New Roman"/>
                <w:b w:val="0"/>
                <w:i w:val="0"/>
                <w:color w:val="000000"/>
                <w:sz w:val="20"/>
                <w:u w:val="none"/>
              </w:rPr>
              <w:t>Stored-value balances may bring float-related income, but treatment and customer-fund obligations require careful review.</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Revenue categories paraphrase the company prospectus and investor materials; not a complete fee schedule. [1,5]</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4.5 GEOGRAPHIC FOOTPRINT, CUSTOMER BASE AND STRATEGY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Company materials describe operations spanning India and international markets across Southeast Asia, the Middle East and other regions, with 22+ countries referenced in Q1 FY27 materials. Q1 FY27 international revenue was approximately ₹114 crore, around 16% of total revenue. Geography adds diversification potential but also increases regulatory, foreign-exchange, settlement and execution complexity. [5,6,8]</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reported network at FY26 year-end included 11.03 lakh merchants, 20.28 lakh DCPs, 740.37 crore transactions and 86.55 crore prepaid cards issued during the year. Q1 FY27 disclosures reported 11.5 lakh merchants and 21.7 lakh DCPs. These are company-defined reach / activity indicators; they are not unique monthly active users or revenue-generating units by themselves. [3,5,6]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strategic logic is cross-sell: a merchant or issuer relationship can be extended from acceptance into checkout, affordability, loyalty, marketing, prepaid, reconciliation or API products. The central execution question is whether added layers increase retained revenue and contribution after support, device, software, sales, compliance and servicing costs.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4.6 RECENT INITIATIVES AND CORPORATE ACTIONS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Company materials describe a bank-issued Credit Line on UPI proposition; the bank is the credit provider. The report does not attribute the consumer loan or default risk to Pine Labs in this product without a specific contractual disclosure. [5,8]</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Pine Labs announced an agentic-payment protocol (P3P) on UPI and early merchant use cases in Q1 FY27. This is an emerging proposition; scale, safety, revenue contribution and liability are not yet established by a single quarter. [5,8]</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FY26 financial statements note the Agya acquisition and a post-year-end Shopflo agreement; Q1 FY27 materials report Shopflo’s acquisition for ₹88 crore. Integration, retention, product overlap and return on acquisition capital should be monitored. [2,5]</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Company disclosures describe conversion of approximately 57.95 crore compulsorily convertible preference shares into equity shares on a 1:1 basis in December 2025. The capital structure and per-share metrics should therefore use period-specific share counts. [2]</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5</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PRODUCTS, SERVICES AND CUSTOMER JOURNEYS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The practical mechanics behind payments, affordability and issuing</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5.1 PRODUCT MAP</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14. Products and service economics</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1934"/>
            <w:vAlign w:val="top"/>
          </w:tcPr>
          <w:p>
            <w:pPr>
              <w:spacing w:after="60" w:before="20" w:line="276" w:lineRule="auto"/>
              <w:jc w:val="center"/>
            </w:pPr>
            <w:r/>
            <w:r>
              <w:rPr>
                <w:rFonts w:ascii="Times New Roman" w:hAnsi="Times New Roman" w:cs="Times New Roman" w:eastAsia="Times New Roman"/>
                <w:b/>
                <w:i w:val="0"/>
                <w:color w:val="000000"/>
                <w:sz w:val="20"/>
                <w:u w:val="none"/>
              </w:rPr>
              <w:t>Product group</w:t>
            </w:r>
          </w:p>
        </w:tc>
        <w:tc>
          <w:tcPr>
            <w:tcW w:type="dxa" w:w="2001"/>
            <w:vAlign w:val="top"/>
          </w:tcPr>
          <w:p>
            <w:pPr>
              <w:spacing w:after="60" w:before="20" w:line="276" w:lineRule="auto"/>
              <w:jc w:val="center"/>
            </w:pPr>
            <w:r/>
            <w:r>
              <w:rPr>
                <w:rFonts w:ascii="Times New Roman" w:hAnsi="Times New Roman" w:cs="Times New Roman" w:eastAsia="Times New Roman"/>
                <w:b/>
                <w:i w:val="0"/>
                <w:color w:val="000000"/>
                <w:sz w:val="20"/>
                <w:u w:val="none"/>
              </w:rPr>
              <w:t>Primary customer</w:t>
            </w:r>
          </w:p>
        </w:tc>
        <w:tc>
          <w:tcPr>
            <w:tcW w:type="dxa" w:w="2735"/>
            <w:vAlign w:val="top"/>
          </w:tcPr>
          <w:p>
            <w:pPr>
              <w:spacing w:after="60" w:before="20" w:line="276" w:lineRule="auto"/>
              <w:jc w:val="center"/>
            </w:pPr>
            <w:r/>
            <w:r>
              <w:rPr>
                <w:rFonts w:ascii="Times New Roman" w:hAnsi="Times New Roman" w:cs="Times New Roman" w:eastAsia="Times New Roman"/>
                <w:b/>
                <w:i w:val="0"/>
                <w:color w:val="000000"/>
                <w:sz w:val="20"/>
                <w:u w:val="none"/>
              </w:rPr>
              <w:t>Illustrative service</w:t>
            </w:r>
          </w:p>
        </w:tc>
        <w:tc>
          <w:tcPr>
            <w:tcW w:type="dxa" w:w="2401"/>
            <w:vAlign w:val="top"/>
          </w:tcPr>
          <w:p>
            <w:pPr>
              <w:spacing w:after="60" w:before="20" w:line="276" w:lineRule="auto"/>
              <w:jc w:val="center"/>
            </w:pPr>
            <w:r/>
            <w:r>
              <w:rPr>
                <w:rFonts w:ascii="Times New Roman" w:hAnsi="Times New Roman" w:cs="Times New Roman" w:eastAsia="Times New Roman"/>
                <w:b/>
                <w:i w:val="0"/>
                <w:color w:val="000000"/>
                <w:sz w:val="20"/>
                <w:u w:val="none"/>
              </w:rPr>
              <w:t>Revenue / risk note</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Smart POS / in-store acceptance</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Retailers, hospitality, fuel and other merchants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Terminal, acceptance software, reconciliation and support</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Subscription / transaction / service-based fees vary by contract.</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Online payments / checkout</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E-commerce and direct-to-consumer merchants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Gateway, payment links, orchestration, checkout and token-related tools</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Value-linked processing and related technology fees.</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Affordability / flow</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Merchants, lenders and consumers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EMI, offers, bank / lender integration and transaction processing</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Processing / service fees; lender generally makes the credit decision and carries credit risk.</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Fintech infrastructure</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Banks, fintechs and platforms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APIs, issuer/acquirer processing, data and account/payment services</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Transaction-based or contracted technology fees.</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Prepaid / gifting / benefits</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Brands, employers, programmes and end users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Card / stored-value issuance, processing, fulfilment and programme management</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Processing / distribution fees; company disclosures note certain interest and breakage income.</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Merchant commerce services</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SMBs, enterprise and D2C</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Marketing, loyalty, campaigns, billing, analytics and commerce funnel tools</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May be subscription, service or campaign-based; adoption is a monetization test.</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New payment interfaces</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Banks, merchants and consumers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Credit line on UPI, agentic protocol and emerging payment experiences</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Early-stage opportunity; validate adoption, risk controls and unit economics.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Company product and business descriptions; exact commercial terms are contract-specific and are not disclosed in a public tariff. [1,5,8]</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5.2 ILLUSTRATIVE MERCHANT JOURNEY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Consider a consumer purchasing a ₹50,000 appliance in a physical store. The merchant device or software accepts a card, UPI or another supported instrument; the transaction is routed through the relevant bank, issuer and network; the merchant receives settlement according to the arrangement; and Pine Labs may provide the terminal, software, processing, affordability integration and related support. If an EMI offer is used, a lender / issuer makes the credit decision and is responsible for the lending exposure in the described partner model. Pine Labs’ recognized revenue is its contracted technology and service fee, not the ₹50,000 transaction value. The example describes a process, not a Pine Labs tariff or a particular contract. [1]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5.3 ILLUSTRATIVE PREPAID / ISSUING JOURNEY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brand may contract for gift or prepaid products, while Pine Labs supplies programme set-up, issuance interfaces, processing, fulfilment or distribution. A bank or programme sponsor may hold regulated responsibilities and customer funds. The company’s disclosures identify processing / distribution fees and, for certain customer-fund balances, interest and breakage income. Funds backing stored value remain subject to the applicable contractual and regulatory structure; they should not be treated as unrestricted shareholder cash. [1,2]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5.4 PRODUCT EVALUATION FRAMEWORK</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15. Questions to assess each product line</w:t>
      </w:r>
    </w:p>
    <w:tbl>
      <w:tblPr>
        <w:tblStyle w:val="TableGrid"/>
        <w:tblW w:type="auto" w:w="0"/>
        <w:jc w:val="center"/>
        <w:tblLayout w:type="fixed"/>
        <w:tblLook w:firstColumn="1" w:firstRow="1" w:lastColumn="0" w:lastRow="0" w:noHBand="0" w:noVBand="1" w:val="04A0"/>
      </w:tblPr>
      <w:tblGrid>
        <w:gridCol w:w="5146"/>
        <w:gridCol w:w="5146"/>
      </w:tblGrid>
      <w:tr>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7166"/>
            <w:vAlign w:val="top"/>
          </w:tcPr>
          <w:p>
            <w:pPr>
              <w:spacing w:after="60" w:before="20" w:line="276" w:lineRule="auto"/>
              <w:jc w:val="center"/>
            </w:pPr>
            <w:r/>
            <w:r>
              <w:rPr>
                <w:rFonts w:ascii="Times New Roman" w:hAnsi="Times New Roman" w:cs="Times New Roman" w:eastAsia="Times New Roman"/>
                <w:b/>
                <w:i w:val="0"/>
                <w:color w:val="000000"/>
                <w:sz w:val="20"/>
                <w:u w:val="none"/>
              </w:rPr>
              <w:t>Questions for the analyst</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Reach</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How many active merchants, banks or brands use the product? Are reported installations active and transacting?</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Monetization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What is billed: subscription, transaction fee, processing fee, distribution fee or another service? Is there recurring revenue?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Unit economics</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What are acquisition, installation, support, network, incentive, fraud and servicing costs per active unit?</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Risk allocation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Which entity handles funds, credit decisions, chargebacks, complaints, data and regulatory permissions?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Retention and cross-sell</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Does product adoption increase merchant / client retention and net revenue per relationship?</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Evidence</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Are volumes, revenue, margins and cash conversion disclosed consistently by period and segment?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framework; designed to avoid treating product announcements as proven economics.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5.5 INNOVATION CLAIMS AND EVIDENCE STANDARD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Q1 FY27 company materials highlight Credit Line on UPI, an agentic payment protocol, AI-related products and cross-border capabilities. These announcements can broaden the addressable market, but a launch, pilot or first customer should not be described as a scaled business without subsequent verified metrics. The report therefore treats them as strategic options and monitors: customer count, active use, repeat transactions, fee contribution, safety incidents, dispute rates, partner economics and return on development spend. [5,6,8]</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6</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PESTLE AND PORTER’S FIVE FORCES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External conditions and industry bargaining power</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6.1 PESTLE ANALYSIS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16. PESTLE assessment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512"/>
            <w:vAlign w:val="top"/>
          </w:tcPr>
          <w:p>
            <w:pPr>
              <w:spacing w:after="60" w:before="20" w:line="276" w:lineRule="auto"/>
              <w:jc w:val="center"/>
            </w:pPr>
            <w:r/>
            <w:r>
              <w:rPr>
                <w:rFonts w:ascii="Times New Roman" w:hAnsi="Times New Roman" w:cs="Times New Roman" w:eastAsia="Times New Roman"/>
                <w:b/>
                <w:i w:val="0"/>
                <w:color w:val="000000"/>
                <w:sz w:val="20"/>
                <w:u w:val="none"/>
              </w:rPr>
              <w:t>Factor</w:t>
            </w:r>
          </w:p>
        </w:tc>
        <w:tc>
          <w:tcPr>
            <w:tcW w:type="dxa" w:w="3747"/>
            <w:vAlign w:val="top"/>
          </w:tcPr>
          <w:p>
            <w:pPr>
              <w:spacing w:after="60" w:before="20" w:line="276" w:lineRule="auto"/>
              <w:jc w:val="center"/>
            </w:pPr>
            <w:r/>
            <w:r>
              <w:rPr>
                <w:rFonts w:ascii="Times New Roman" w:hAnsi="Times New Roman" w:cs="Times New Roman" w:eastAsia="Times New Roman"/>
                <w:b/>
                <w:i w:val="0"/>
                <w:color w:val="000000"/>
                <w:sz w:val="20"/>
                <w:u w:val="none"/>
              </w:rPr>
              <w:t>Industry context</w:t>
            </w:r>
          </w:p>
        </w:tc>
        <w:tc>
          <w:tcPr>
            <w:tcW w:type="dxa" w:w="3813"/>
            <w:vAlign w:val="top"/>
          </w:tcPr>
          <w:p>
            <w:pPr>
              <w:spacing w:after="60" w:before="20" w:line="276" w:lineRule="auto"/>
              <w:jc w:val="center"/>
            </w:pPr>
            <w:r/>
            <w:r>
              <w:rPr>
                <w:rFonts w:ascii="Times New Roman" w:hAnsi="Times New Roman" w:cs="Times New Roman" w:eastAsia="Times New Roman"/>
                <w:b/>
                <w:i w:val="0"/>
                <w:color w:val="000000"/>
                <w:sz w:val="20"/>
                <w:u w:val="none"/>
              </w:rPr>
              <w:t>Implication for Pine Labs</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Political / policy</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National digital-payment infrastructure, financial inclusion and cashless-commerce priorities support adoption; policy changes may alter merchant economics or permitted roles.</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Track RBI / government circulars, licensing boundaries and scheme changes.</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Economic</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Consumption, merchant sales, interest rates, FX and retail / e-commerce growth influence transactions and affordability.</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Diversify sectors and geographies; stress-test merchant and partner concentration.</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Social</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Convenience, trust, financial literacy and digital inclusion shape payment choice; users expect simple refunds and dispute resolution.</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Design for accessibility, consent, grievance handling and fraud prevention.</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Technological</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Cloud, APIs, tokenization, AI, identity tools and agentic interfaces create new services; outages or cyber incidents can rapidly undermine trust.</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Invest in resilience, secure software development, monitoring and tested recovery.</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Legal / regulatory</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Payments, stored value, data, cross-border transfers, consumer protection and outsourcing operate under detailed rules.</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Maintain entity-by-entity compliance maps and clear partner accountability. [1,9]</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Environmental</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Large terminal fleets and data workloads create device, energy and e-waste considerations.</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Report refurbishment / recycling, energy and supplier standards; the materials reviewed do not provide an independently assured full footprint.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Qualitative assessment by the author; regulatory facts should be verified against current RBI / statutory notices for live decisions. [1,9]</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6.2 PORTER’S FIVE FORCES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17. Porter’s Five Forces rating</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301"/>
            <w:vAlign w:val="top"/>
          </w:tcPr>
          <w:p>
            <w:pPr>
              <w:spacing w:after="60" w:before="20" w:line="276" w:lineRule="auto"/>
              <w:jc w:val="center"/>
            </w:pPr>
            <w:r/>
            <w:r>
              <w:rPr>
                <w:rFonts w:ascii="Times New Roman" w:hAnsi="Times New Roman" w:cs="Times New Roman" w:eastAsia="Times New Roman"/>
                <w:b/>
                <w:i w:val="0"/>
                <w:color w:val="000000"/>
                <w:sz w:val="20"/>
                <w:u w:val="none"/>
              </w:rPr>
              <w:t>Force</w:t>
            </w:r>
          </w:p>
        </w:tc>
        <w:tc>
          <w:tcPr>
            <w:tcW w:type="dxa" w:w="1315"/>
            <w:vAlign w:val="top"/>
          </w:tcPr>
          <w:p>
            <w:pPr>
              <w:spacing w:after="60" w:before="20" w:line="276" w:lineRule="auto"/>
              <w:jc w:val="center"/>
            </w:pPr>
            <w:r/>
            <w:r>
              <w:rPr>
                <w:rFonts w:ascii="Times New Roman" w:hAnsi="Times New Roman" w:cs="Times New Roman" w:eastAsia="Times New Roman"/>
                <w:b/>
                <w:i w:val="0"/>
                <w:color w:val="000000"/>
                <w:sz w:val="20"/>
                <w:u w:val="none"/>
              </w:rPr>
              <w:t>Author rating</w:t>
            </w:r>
          </w:p>
        </w:tc>
        <w:tc>
          <w:tcPr>
            <w:tcW w:type="dxa" w:w="5456"/>
            <w:vAlign w:val="top"/>
          </w:tcPr>
          <w:p>
            <w:pPr>
              <w:spacing w:after="60" w:before="20" w:line="276" w:lineRule="auto"/>
              <w:jc w:val="center"/>
            </w:pPr>
            <w:r/>
            <w:r>
              <w:rPr>
                <w:rFonts w:ascii="Times New Roman" w:hAnsi="Times New Roman" w:cs="Times New Roman" w:eastAsia="Times New Roman"/>
                <w:b/>
                <w:i w:val="0"/>
                <w:color w:val="000000"/>
                <w:sz w:val="20"/>
                <w:u w:val="none"/>
              </w:rPr>
              <w:t>Reasoning</w:t>
            </w:r>
          </w:p>
        </w:tc>
      </w:tr>
      <w:tr>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Rivalry among incumbents</w:t>
            </w:r>
          </w:p>
        </w:tc>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High</w:t>
            </w:r>
          </w:p>
        </w:tc>
        <w:tc>
          <w:tcPr>
            <w:tcW w:type="dxa" w:w="5456"/>
            <w:vAlign w:val="top"/>
          </w:tcPr>
          <w:p>
            <w:pPr>
              <w:spacing w:after="60" w:before="20" w:line="276" w:lineRule="auto"/>
            </w:pPr>
            <w:r/>
            <w:r>
              <w:rPr>
                <w:rFonts w:ascii="Times New Roman" w:hAnsi="Times New Roman" w:cs="Times New Roman" w:eastAsia="Times New Roman"/>
                <w:b w:val="0"/>
                <w:i w:val="0"/>
                <w:color w:val="000000"/>
                <w:sz w:val="20"/>
                <w:u w:val="none"/>
              </w:rPr>
              <w:t>Banks, aggregators, terminal networks, SaaS platforms and global processors compete on price, reliability, coverage, service and merchant outcomes.</w:t>
            </w:r>
          </w:p>
        </w:tc>
      </w:tr>
      <w:tr>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Threat of new entrants</w:t>
            </w:r>
          </w:p>
        </w:tc>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Moderate</w:t>
            </w:r>
          </w:p>
        </w:tc>
        <w:tc>
          <w:tcPr>
            <w:tcW w:type="dxa" w:w="5456"/>
            <w:vAlign w:val="top"/>
          </w:tcPr>
          <w:p>
            <w:pPr>
              <w:spacing w:after="60" w:before="20" w:line="276" w:lineRule="auto"/>
            </w:pPr>
            <w:r/>
            <w:r>
              <w:rPr>
                <w:rFonts w:ascii="Times New Roman" w:hAnsi="Times New Roman" w:cs="Times New Roman" w:eastAsia="Times New Roman"/>
                <w:b w:val="0"/>
                <w:i w:val="0"/>
                <w:color w:val="000000"/>
                <w:sz w:val="20"/>
                <w:u w:val="none"/>
              </w:rPr>
              <w:t>Software entry is feasible, but scale, bank/network integrations, certifications, security, field support and trust raise barriers.</w:t>
            </w:r>
          </w:p>
        </w:tc>
      </w:tr>
      <w:tr>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Buyer bargaining power</w:t>
            </w:r>
          </w:p>
        </w:tc>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High</w:t>
            </w:r>
          </w:p>
        </w:tc>
        <w:tc>
          <w:tcPr>
            <w:tcW w:type="dxa" w:w="5456"/>
            <w:vAlign w:val="top"/>
          </w:tcPr>
          <w:p>
            <w:pPr>
              <w:spacing w:after="60" w:before="20" w:line="276" w:lineRule="auto"/>
            </w:pPr>
            <w:r/>
            <w:r>
              <w:rPr>
                <w:rFonts w:ascii="Times New Roman" w:hAnsi="Times New Roman" w:cs="Times New Roman" w:eastAsia="Times New Roman"/>
                <w:b w:val="0"/>
                <w:i w:val="0"/>
                <w:color w:val="000000"/>
                <w:sz w:val="20"/>
                <w:u w:val="none"/>
              </w:rPr>
              <w:t>Large retailers, banks and brands can negotiate fees and multi-source providers; small merchants are fragmented but price-sensitive.</w:t>
            </w:r>
          </w:p>
        </w:tc>
      </w:tr>
      <w:tr>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Supplier / partner power</w:t>
            </w:r>
          </w:p>
        </w:tc>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Moderate to high</w:t>
            </w:r>
          </w:p>
        </w:tc>
        <w:tc>
          <w:tcPr>
            <w:tcW w:type="dxa" w:w="5456"/>
            <w:vAlign w:val="top"/>
          </w:tcPr>
          <w:p>
            <w:pPr>
              <w:spacing w:after="60" w:before="20" w:line="276" w:lineRule="auto"/>
            </w:pPr>
            <w:r/>
            <w:r>
              <w:rPr>
                <w:rFonts w:ascii="Times New Roman" w:hAnsi="Times New Roman" w:cs="Times New Roman" w:eastAsia="Times New Roman"/>
                <w:b w:val="0"/>
                <w:i w:val="0"/>
                <w:color w:val="000000"/>
                <w:sz w:val="20"/>
                <w:u w:val="none"/>
              </w:rPr>
              <w:t>Banks, card networks, payment rails, device vendors and cloud / technology providers are important dependencies; concentration can constrain economics.</w:t>
            </w:r>
          </w:p>
        </w:tc>
      </w:tr>
      <w:tr>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Threat of substitutes</w:t>
            </w:r>
          </w:p>
        </w:tc>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High</w:t>
            </w:r>
          </w:p>
        </w:tc>
        <w:tc>
          <w:tcPr>
            <w:tcW w:type="dxa" w:w="5456"/>
            <w:vAlign w:val="top"/>
          </w:tcPr>
          <w:p>
            <w:pPr>
              <w:spacing w:after="60" w:before="20" w:line="276" w:lineRule="auto"/>
            </w:pPr>
            <w:r/>
            <w:r>
              <w:rPr>
                <w:rFonts w:ascii="Times New Roman" w:hAnsi="Times New Roman" w:cs="Times New Roman" w:eastAsia="Times New Roman"/>
                <w:b w:val="0"/>
                <w:i w:val="0"/>
                <w:color w:val="000000"/>
                <w:sz w:val="20"/>
                <w:u w:val="none"/>
              </w:rPr>
              <w:t>Bank apps, UPI QR, direct bank acquiring, wallets, cash, in-house gateways and competing devices can replace part of a product stack.</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Ratings are qualitative judgements using Porter’s framework, not measured market shares. [14]</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6.3 STRATEGIC IMPLICATION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industry can grow rapidly while per-transaction economics remain contested. Pine Labs’ best defence is not simply a large terminal count: it is reliable merchant and issuer integration, differentiated software, high retention, efficient customer support, cross-sell, secure operations and the ability to prove that these services generate recurring contribution. A scale strategy that depends on hardware deployment or discounting without revenue per relationship may not produce durable returns.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7</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SWOT, GOVERNANCE AND OWNERSHIP CONTEXT</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Internal strengths, execution gaps and shareholder accountability</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7.1 SWOT ANALYSIS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18. SWOT matrix</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315"/>
            <w:vAlign w:val="top"/>
          </w:tcPr>
          <w:p>
            <w:pPr>
              <w:spacing w:after="60" w:before="20" w:line="276" w:lineRule="auto"/>
              <w:jc w:val="center"/>
            </w:pPr>
            <w:r/>
            <w:r>
              <w:rPr>
                <w:rFonts w:ascii="Times New Roman" w:hAnsi="Times New Roman" w:cs="Times New Roman" w:eastAsia="Times New Roman"/>
                <w:b/>
                <w:i w:val="0"/>
                <w:color w:val="000000"/>
                <w:sz w:val="20"/>
                <w:u w:val="none"/>
              </w:rPr>
              <w:t>Quadrant</w:t>
            </w:r>
          </w:p>
        </w:tc>
        <w:tc>
          <w:tcPr>
            <w:tcW w:type="dxa" w:w="5259"/>
            <w:vAlign w:val="top"/>
          </w:tcPr>
          <w:p>
            <w:pPr>
              <w:spacing w:after="60" w:before="20" w:line="276" w:lineRule="auto"/>
              <w:jc w:val="center"/>
            </w:pPr>
            <w:r/>
            <w:r>
              <w:rPr>
                <w:rFonts w:ascii="Times New Roman" w:hAnsi="Times New Roman" w:cs="Times New Roman" w:eastAsia="Times New Roman"/>
                <w:b/>
                <w:i w:val="0"/>
                <w:color w:val="000000"/>
                <w:sz w:val="20"/>
                <w:u w:val="none"/>
              </w:rPr>
              <w:t>Assessment</w:t>
            </w:r>
          </w:p>
        </w:tc>
        <w:tc>
          <w:tcPr>
            <w:tcW w:type="dxa" w:w="2498"/>
            <w:vAlign w:val="top"/>
          </w:tcPr>
          <w:p>
            <w:pPr>
              <w:spacing w:after="60" w:before="20" w:line="276" w:lineRule="auto"/>
              <w:jc w:val="center"/>
            </w:pPr>
            <w:r/>
            <w:r>
              <w:rPr>
                <w:rFonts w:ascii="Times New Roman" w:hAnsi="Times New Roman" w:cs="Times New Roman" w:eastAsia="Times New Roman"/>
                <w:b/>
                <w:i w:val="0"/>
                <w:color w:val="000000"/>
                <w:sz w:val="20"/>
                <w:u w:val="none"/>
              </w:rPr>
              <w:t>Evidence / note</w:t>
            </w:r>
          </w:p>
        </w:tc>
      </w:tr>
      <w:tr>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Strengths</w:t>
            </w:r>
          </w:p>
        </w:tc>
        <w:tc>
          <w:tcPr>
            <w:tcW w:type="dxa" w:w="5259"/>
            <w:vAlign w:val="top"/>
          </w:tcPr>
          <w:p>
            <w:pPr>
              <w:spacing w:after="60" w:before="20" w:line="276" w:lineRule="auto"/>
            </w:pPr>
            <w:r/>
            <w:r>
              <w:rPr>
                <w:rFonts w:ascii="Times New Roman" w:hAnsi="Times New Roman" w:cs="Times New Roman" w:eastAsia="Times New Roman"/>
                <w:b w:val="0"/>
                <w:i w:val="0"/>
                <w:color w:val="000000"/>
                <w:sz w:val="20"/>
                <w:u w:val="none"/>
              </w:rPr>
              <w:t>Large merchant acceptance and issuing footprint; two-platform model; broad product range; established bank, brand and merchant relationships; FY26 profitability; international presence.</w:t>
            </w:r>
          </w:p>
        </w:tc>
        <w:tc>
          <w:tcPr>
            <w:tcW w:type="dxa" w:w="2498"/>
            <w:vAlign w:val="top"/>
          </w:tcPr>
          <w:p>
            <w:pPr>
              <w:spacing w:after="60" w:before="20" w:line="276" w:lineRule="auto"/>
            </w:pPr>
            <w:r/>
            <w:r>
              <w:rPr>
                <w:rFonts w:ascii="Times New Roman" w:hAnsi="Times New Roman" w:cs="Times New Roman" w:eastAsia="Times New Roman"/>
                <w:b w:val="0"/>
                <w:i w:val="0"/>
                <w:color w:val="000000"/>
                <w:sz w:val="20"/>
                <w:u w:val="none"/>
              </w:rPr>
              <w:t>FY26 / Q1 operating KPIs; prospectus platform map. [1–6]</w:t>
            </w:r>
          </w:p>
        </w:tc>
      </w:tr>
      <w:tr>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Weaknesses</w:t>
            </w:r>
          </w:p>
        </w:tc>
        <w:tc>
          <w:tcPr>
            <w:tcW w:type="dxa" w:w="5259"/>
            <w:vAlign w:val="top"/>
          </w:tcPr>
          <w:p>
            <w:pPr>
              <w:spacing w:after="60" w:before="20" w:line="276" w:lineRule="auto"/>
            </w:pPr>
            <w:r/>
            <w:r>
              <w:rPr>
                <w:rFonts w:ascii="Times New Roman" w:hAnsi="Times New Roman" w:cs="Times New Roman" w:eastAsia="Times New Roman"/>
                <w:b w:val="0"/>
                <w:i w:val="0"/>
                <w:color w:val="000000"/>
                <w:sz w:val="20"/>
                <w:u w:val="none"/>
              </w:rPr>
              <w:t>Short listed-company record; FY23–FY25 statutory losses; low current reported ROE; complexity of group and acquisitions; working-capital volatility; limited public unit economics.</w:t>
            </w:r>
          </w:p>
        </w:tc>
        <w:tc>
          <w:tcPr>
            <w:tcW w:type="dxa" w:w="2498"/>
            <w:vAlign w:val="top"/>
          </w:tcPr>
          <w:p>
            <w:pPr>
              <w:spacing w:after="60" w:before="20" w:line="276" w:lineRule="auto"/>
            </w:pPr>
            <w:r/>
            <w:r>
              <w:rPr>
                <w:rFonts w:ascii="Times New Roman" w:hAnsi="Times New Roman" w:cs="Times New Roman" w:eastAsia="Times New Roman"/>
                <w:b w:val="0"/>
                <w:i w:val="0"/>
                <w:color w:val="000000"/>
                <w:sz w:val="20"/>
                <w:u w:val="none"/>
              </w:rPr>
              <w:t>Restated statements, audited FY26 and interim cash-flow disclosures. [1,2,5]</w:t>
            </w:r>
          </w:p>
        </w:tc>
      </w:tr>
      <w:tr>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Opportunities</w:t>
            </w:r>
          </w:p>
        </w:tc>
        <w:tc>
          <w:tcPr>
            <w:tcW w:type="dxa" w:w="5259"/>
            <w:vAlign w:val="top"/>
          </w:tcPr>
          <w:p>
            <w:pPr>
              <w:spacing w:after="60" w:before="20" w:line="276" w:lineRule="auto"/>
            </w:pPr>
            <w:r/>
            <w:r>
              <w:rPr>
                <w:rFonts w:ascii="Times New Roman" w:hAnsi="Times New Roman" w:cs="Times New Roman" w:eastAsia="Times New Roman"/>
                <w:b w:val="0"/>
                <w:i w:val="0"/>
                <w:color w:val="000000"/>
                <w:sz w:val="20"/>
                <w:u w:val="none"/>
              </w:rPr>
              <w:t>SMB / mid-market penetration; omnichannel checkout; value-added services; prepaid programmes; issuer processing; cross-border and bank-issued affordability; responsible automation.</w:t>
            </w:r>
          </w:p>
        </w:tc>
        <w:tc>
          <w:tcPr>
            <w:tcW w:type="dxa" w:w="2498"/>
            <w:vAlign w:val="top"/>
          </w:tcPr>
          <w:p>
            <w:pPr>
              <w:spacing w:after="60" w:before="20" w:line="276" w:lineRule="auto"/>
            </w:pPr>
            <w:r/>
            <w:r>
              <w:rPr>
                <w:rFonts w:ascii="Times New Roman" w:hAnsi="Times New Roman" w:cs="Times New Roman" w:eastAsia="Times New Roman"/>
                <w:b w:val="0"/>
                <w:i w:val="0"/>
                <w:color w:val="000000"/>
                <w:sz w:val="20"/>
                <w:u w:val="none"/>
              </w:rPr>
              <w:t>Company strategy and industry growth, subject to conversion into recurring revenue. [5,6,8,9]</w:t>
            </w:r>
          </w:p>
        </w:tc>
      </w:tr>
      <w:tr>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Threats</w:t>
            </w:r>
          </w:p>
        </w:tc>
        <w:tc>
          <w:tcPr>
            <w:tcW w:type="dxa" w:w="5259"/>
            <w:vAlign w:val="top"/>
          </w:tcPr>
          <w:p>
            <w:pPr>
              <w:spacing w:after="60" w:before="20" w:line="276" w:lineRule="auto"/>
            </w:pPr>
            <w:r/>
            <w:r>
              <w:rPr>
                <w:rFonts w:ascii="Times New Roman" w:hAnsi="Times New Roman" w:cs="Times New Roman" w:eastAsia="Times New Roman"/>
                <w:b w:val="0"/>
                <w:i w:val="0"/>
                <w:color w:val="000000"/>
                <w:sz w:val="20"/>
                <w:u w:val="none"/>
              </w:rPr>
              <w:t>Payment fee compression; regulatory and cyber events; bank/network dependence; customer concentration; rapid technology shifts; integration risk; high valuation expectations.</w:t>
            </w:r>
          </w:p>
        </w:tc>
        <w:tc>
          <w:tcPr>
            <w:tcW w:type="dxa" w:w="2498"/>
            <w:vAlign w:val="top"/>
          </w:tcPr>
          <w:p>
            <w:pPr>
              <w:spacing w:after="60" w:before="20" w:line="276" w:lineRule="auto"/>
            </w:pPr>
            <w:r/>
            <w:r>
              <w:rPr>
                <w:rFonts w:ascii="Times New Roman" w:hAnsi="Times New Roman" w:cs="Times New Roman" w:eastAsia="Times New Roman"/>
                <w:b w:val="0"/>
                <w:i w:val="0"/>
                <w:color w:val="000000"/>
                <w:sz w:val="20"/>
                <w:u w:val="none"/>
              </w:rPr>
              <w:t>Prospectus risk factors, customer concentration and the market snapshot. [1,11]</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Analyst synthesis; strengths and opportunities are not a forecast and do not remove execution risk.</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7.2 GOVERNANCE AND OWNERSHIP CONSIDERATIONS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prospectus states that Pine Labs did not have an identifiable promoter under the applicable definition at the offer stage. This disperses control across shareholders and makes board independence, transparent disclosures, related-party oversight, succession and accountability particularly important. The company’s 2025 IPO comprised a fresh issue of approximately ₹2,080 crore and an offer for sale of approximately ₹1,819.9 crore at ₹221 per share. [1,2]</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19. Governance / ownership review points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775"/>
            <w:vAlign w:val="top"/>
          </w:tcPr>
          <w:p>
            <w:pPr>
              <w:spacing w:after="60" w:before="20" w:line="276" w:lineRule="auto"/>
              <w:jc w:val="center"/>
            </w:pPr>
            <w:r/>
            <w:r>
              <w:rPr>
                <w:rFonts w:ascii="Times New Roman" w:hAnsi="Times New Roman" w:cs="Times New Roman" w:eastAsia="Times New Roman"/>
                <w:b/>
                <w:i w:val="0"/>
                <w:color w:val="000000"/>
                <w:sz w:val="20"/>
                <w:u w:val="none"/>
              </w:rPr>
              <w:t>Topic</w:t>
            </w:r>
          </w:p>
        </w:tc>
        <w:tc>
          <w:tcPr>
            <w:tcW w:type="dxa" w:w="3353"/>
            <w:vAlign w:val="top"/>
          </w:tcPr>
          <w:p>
            <w:pPr>
              <w:spacing w:after="60" w:before="20" w:line="276" w:lineRule="auto"/>
              <w:jc w:val="center"/>
            </w:pPr>
            <w:r/>
            <w:r>
              <w:rPr>
                <w:rFonts w:ascii="Times New Roman" w:hAnsi="Times New Roman" w:cs="Times New Roman" w:eastAsia="Times New Roman"/>
                <w:b/>
                <w:i w:val="0"/>
                <w:color w:val="000000"/>
                <w:sz w:val="20"/>
                <w:u w:val="none"/>
              </w:rPr>
              <w:t>Evidence in reviewed disclosures</w:t>
            </w:r>
          </w:p>
        </w:tc>
        <w:tc>
          <w:tcPr>
            <w:tcW w:type="dxa" w:w="3944"/>
            <w:vAlign w:val="top"/>
          </w:tcPr>
          <w:p>
            <w:pPr>
              <w:spacing w:after="60" w:before="20" w:line="276" w:lineRule="auto"/>
              <w:jc w:val="center"/>
            </w:pPr>
            <w:r/>
            <w:r>
              <w:rPr>
                <w:rFonts w:ascii="Times New Roman" w:hAnsi="Times New Roman" w:cs="Times New Roman" w:eastAsia="Times New Roman"/>
                <w:b/>
                <w:i w:val="0"/>
                <w:color w:val="000000"/>
                <w:sz w:val="20"/>
                <w:u w:val="none"/>
              </w:rPr>
              <w:t>Analytical note</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Promoter status</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Prospectus states no identifiable promoter at the IPO. [1]</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No promoter pledge thesis is applicable in the ordinary sense; post-listing ownership changes should be checked from exchange filings.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Audit</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FY26 consolidated statements are audited; audited report / results reviewed. [2]</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Users should read auditor qualifications, key audit matters and subsidiary-scope notes in the underlying annual report, not only headline results.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Equity incentives</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Company disclosures describe ESOP programmes and equity conversion activity. [2]</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Monitor dilution, compensation expense and fully diluted share count when assessing per-share returns.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M&amp;A and capital allocation</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Agya became wholly owned in FY26; Shopflo was announced / acquired around Q1 FY27. [2,5]</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Monitor acquisition price, integration cost, goodwill / impairment and measurable cross-sell synergies.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Customer concentration</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Top 10 customers were 30.95% of FY25 revenue; top 1 was 10.62%, top 5 22.30%. [1]</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Prospectus-dated FY25 disclosure; do not imply that it is the latest current concentration.</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Regulatory governance</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The business operates through multiple products, entities and partners. [1,9]</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A product-by-product map of licences, settlement responsibilities, data and complaints is needed for a complete diligence review.</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The report is not a legal due-diligence opinion. Current ownership and governance details should be verified in the latest BSE / NSE filings.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7.3 GOVERNANCE QUESTIONS FOR INVESTORS AND STUDENTS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Are non-GAAP measures reconciled consistently to audited statements, with all recurring compensation and acquisition costs visible?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Do the board and audit committee receive operational resilience, cyber, fraud, payment-dispute and customer-funds reporting?</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Are related-party transactions, acquisitions, contingent liabilities and overseas subsidiaries presented clearly and promptly?</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How are ESOP grants, share-based compensation, dilution and post-IPO capital allocation linked to per-share value creation?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Has customer concentration improved after the FY25 prospectus disclosure, and how much is attributable to the largest merchants or bank partners?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8</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FINANCIAL PERFORMANCE: INCOME STATEMENT</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Revenue growth, profitability and the Q1 FY27 update</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8.1 FOUR-YEAR CONSOLIDATED TREND</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20. Selected income and company-defined measures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3226"/>
            <w:vAlign w:val="top"/>
          </w:tcPr>
          <w:p>
            <w:pPr>
              <w:spacing w:after="60" w:before="20" w:line="276" w:lineRule="auto"/>
              <w:jc w:val="center"/>
            </w:pPr>
            <w:r/>
            <w:r>
              <w:rPr>
                <w:rFonts w:ascii="Times New Roman" w:hAnsi="Times New Roman" w:cs="Times New Roman" w:eastAsia="Times New Roman"/>
                <w:b/>
                <w:i w:val="0"/>
                <w:color w:val="000000"/>
                <w:sz w:val="18"/>
                <w:u w:val="none"/>
              </w:rPr>
              <w:t>Measure</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FY23</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FY24</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Revenue from operations (₹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1,597.66</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1,769.55</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2,274.27</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2,710.59</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Year-on-year growth</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10.8%</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28.5%</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19.2%</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Profit / (loss) after tax (₹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(265.15)</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(341.90)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(145.49)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112.51</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PAT margin</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(16.6%)</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(19.3%)</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(6.4%)</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4.2%</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Company-defined adjusted EBITDA (₹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158.19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356.60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558.87</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Company-defined adjusted EBITDA margin</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8.94%</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15.68%</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20.62%</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Contribution margin (₹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1,385.38</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1,728.89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2,041.19</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Contribution margin % of revenue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78.3%</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76.0%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75.3%</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FY23–FY25 revenue / PAT: restated prospectus comparatives; FY26: audited consolidated results. FY24–FY26 adjusted EBITDA / contribution margin use the Q4 FY26 company KPI workbook consistently; these company-defined measures may differ marginally from the prospectus KPI table and are not statutory EBITDA or gross profit. [1–3]</w:t>
      </w:r>
    </w:p>
    <w:p>
      <w:pPr>
        <w:spacing w:before="120" w:after="120" w:line="240" w:lineRule="auto"/>
        <w:jc w:val="center"/>
      </w:pPr>
      <w:r>
        <w:drawing>
          <wp:inline xmlns:a="http://schemas.openxmlformats.org/drawingml/2006/main" xmlns:pic="http://schemas.openxmlformats.org/drawingml/2006/picture">
            <wp:extent cx="5760720" cy="2041687"/>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2041687"/>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Figure 3. Revenue growth and reported PAT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Revenue and PAT in ₹ crore. FY23–FY25 restated; FY26 audited. [1,2]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8.2 GROWTH AND MARGIN INTERPRETATION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Revenue increased by about 69.7% cumulatively between FY23 and FY26, equivalent to a 19.3% CAGR. Growth accelerated in FY25 and moderated to 19.2% in FY26. Revenue scale therefore expanded across the full period, but the annual path was not uniform. [1,2]</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company reported PAT losses through FY25, with the loss narrowing from ₹341.90 crore in FY24 to ₹145.49 crore in FY25. FY26 delivered ₹112.51 crore of audited PAT. Total FY26 income was ₹2,847.15 crore, total expenses ₹2,706.37 crore, PBT ₹137.28 crore and tax expense ₹24.77 crore. The change is a meaningful inflection, but one profitable year is not enough to establish a mature earnings base. [1,2]</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Adjusted EBITDA improved more quickly than revenue from FY24 to FY26. Management’s measure rose from ₹158.19 crore to ₹558.87 crore, and margin from 8.94% to 20.62%. The Q1 FY27 figure of approximately ₹126 crore and 17.1% margin was lower year on year on the company’s disclosures. The margin decline alongside continued revenue growth suggests mix, investment and cost dynamics need to be monitored; management explanations are not independently tested here. [2,3,5,6]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prospectus reconciliation defines Adjusted EBITDA as EBITDA less other income, with specified additions including impairment, exceptional items, share-based payment expense, net foreign-exchange loss, certain provisions written back, fund-raising / acquisition / restructuring professional fees and acquisition-linked employment incentives; certain purchase-consideration writebacks are deducted. These are company-defined adjustments, and some may recur economically. Adjusted EBITDA is not reported EBITDA, PAT or operating cash flow; the reconciliation should be read alongside audited results. [1–3]</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Contribution margin increased in rupees but declined as a share of revenue from 78.3% in FY24 to 75.3% in FY26 and 72.3% in Q1 FY27. That pattern is consistent with growing lower-contribution or more heavily processed activity, although product-level economics are not fully public. It is therefore important not to interpret the absolute contribution-margin increase as margin expansion. [2,3,5,6]</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8.3 SEGMENT GROWTH AND MIX</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DITP generated about 67.8% of FY26 revenue; IAP generated roughly 32.2%. FY26 revenue grew around 14.6% in DITP and 30.2% in IAP using rounded disclosed segment data. Q1 FY27 disclosures report DITP growth of about 15% year on year and IAP growth of about 31%. The faster IAP growth increases diversification, but segment margins and working-capital requirements are not fully comparable from public headline data. [2,3,5,6]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prospectus reports that the top 10 customers represented 30.95% of FY25 revenue, compared with 35.17% in FY24 and 38.67% in FY23. This is evidence of declining concentration over that historical interval, but the disclosure is dated FY25 and should not be described as the current position. [1]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8.4 Q1 FY27 INTERIM UPDATE</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21. Q1 FY27 performance snapshot (quarter ended 30 June 2026)</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185"/>
            <w:vAlign w:val="top"/>
          </w:tcPr>
          <w:p>
            <w:pPr>
              <w:spacing w:after="60" w:before="20" w:line="276" w:lineRule="auto"/>
              <w:jc w:val="center"/>
            </w:pPr>
            <w:r/>
            <w:r>
              <w:rPr>
                <w:rFonts w:ascii="Times New Roman" w:hAnsi="Times New Roman" w:cs="Times New Roman" w:eastAsia="Times New Roman"/>
                <w:b/>
                <w:i w:val="0"/>
                <w:color w:val="000000"/>
                <w:sz w:val="20"/>
                <w:u w:val="none"/>
              </w:rPr>
              <w:t>Metric</w:t>
            </w:r>
          </w:p>
        </w:tc>
        <w:tc>
          <w:tcPr>
            <w:tcW w:type="dxa" w:w="2980"/>
            <w:vAlign w:val="top"/>
          </w:tcPr>
          <w:p>
            <w:pPr>
              <w:spacing w:after="60" w:before="20" w:line="276" w:lineRule="auto"/>
              <w:jc w:val="center"/>
            </w:pPr>
            <w:r/>
            <w:r>
              <w:rPr>
                <w:rFonts w:ascii="Times New Roman" w:hAnsi="Times New Roman" w:cs="Times New Roman" w:eastAsia="Times New Roman"/>
                <w:b/>
                <w:i w:val="0"/>
                <w:color w:val="000000"/>
                <w:sz w:val="20"/>
                <w:u w:val="none"/>
              </w:rPr>
              <w:t>Q1 FY27</w:t>
            </w:r>
          </w:p>
        </w:tc>
        <w:tc>
          <w:tcPr>
            <w:tcW w:type="dxa" w:w="3907"/>
            <w:vAlign w:val="top"/>
          </w:tcPr>
          <w:p>
            <w:pPr>
              <w:spacing w:after="60" w:before="20" w:line="276" w:lineRule="auto"/>
              <w:jc w:val="center"/>
            </w:pPr>
            <w:r/>
            <w:r>
              <w:rPr>
                <w:rFonts w:ascii="Times New Roman" w:hAnsi="Times New Roman" w:cs="Times New Roman" w:eastAsia="Times New Roman"/>
                <w:b/>
                <w:i w:val="0"/>
                <w:color w:val="000000"/>
                <w:sz w:val="20"/>
                <w:u w:val="none"/>
              </w:rPr>
              <w:t>Context / status</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Revenue from operations</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₹736.92 crore</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+19.65% year on year</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PAT</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₹19.57 crore</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₹4.79 crore in Q1 FY26</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DITP / IAP revenue</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₹499.12 crore / ₹237.80 crore</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DITP about +15%; IAP about +31% year on year</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Contribution margin</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₹532.62 crore; 72.3%</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Margin lower year on year</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Adjusted EBITDA</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Approximately ₹126 crore; 17.1%</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Company-defined; margin lower year on year</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International revenue</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Approximately ₹114 crore / ~16%</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Company disclosure; scope may be segment/geography-defined</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FY27 revenue guidance</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21%–23.5% growth</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Management guidance on the Q4 FY26 call; forward-looking, not a reported result. [4]</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Q1 FY27 results, KPI data book and press release; FY27 revenue guidance was reiterated on the Q4 FY26 call. Interim figures are unaudited / limited-reviewed; adjusted measures and guidance are company-defined. [4–6,8]</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8.5 INCOME-STATEMENT QUESTIONS TO CARRY FORWARD</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Can Pine Labs maintain positive PAT after changes in other income, ESOP costs, acquisition-related items and tax?</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Can adjusted EBITDA growth translate into recurring free cash flow after capital expenditure, lease payments and settlement balances?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Will higher-IAP mix support or dilute contribution margin and cash conversion?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Can revenue per merchant, DCP and transaction remain resilient as high-volume, lower-fee payment types expand?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9</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BALANCE SHEET, FUNDING AND CASH FLOW</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Liquidity, settlement obligations, borrowings and cash conversion</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9.1 SELECTED BALANCE-SHEET INDICATORS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22. Selected consolidated balance-sheet items (₹ crore)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4207"/>
            <w:vAlign w:val="top"/>
          </w:tcPr>
          <w:p>
            <w:pPr>
              <w:spacing w:after="60" w:before="20" w:line="276" w:lineRule="auto"/>
              <w:jc w:val="center"/>
            </w:pPr>
            <w:r/>
            <w:r>
              <w:rPr>
                <w:rFonts w:ascii="Times New Roman" w:hAnsi="Times New Roman" w:cs="Times New Roman" w:eastAsia="Times New Roman"/>
                <w:b/>
                <w:i w:val="0"/>
                <w:color w:val="000000"/>
                <w:sz w:val="20"/>
                <w:u w:val="none"/>
              </w:rPr>
              <w:t>Item</w:t>
            </w:r>
          </w:p>
        </w:tc>
        <w:tc>
          <w:tcPr>
            <w:tcW w:type="dxa" w:w="2432"/>
            <w:vAlign w:val="top"/>
          </w:tcPr>
          <w:p>
            <w:pPr>
              <w:spacing w:after="60" w:before="20" w:line="276" w:lineRule="auto"/>
              <w:jc w:val="center"/>
            </w:pPr>
            <w:r/>
            <w:r>
              <w:rPr>
                <w:rFonts w:ascii="Times New Roman" w:hAnsi="Times New Roman" w:cs="Times New Roman" w:eastAsia="Times New Roman"/>
                <w:b/>
                <w:i w:val="0"/>
                <w:color w:val="000000"/>
                <w:sz w:val="20"/>
                <w:u w:val="none"/>
              </w:rPr>
              <w:t>31 Mar 2025</w:t>
            </w:r>
          </w:p>
        </w:tc>
        <w:tc>
          <w:tcPr>
            <w:tcW w:type="dxa" w:w="2432"/>
            <w:vAlign w:val="top"/>
          </w:tcPr>
          <w:p>
            <w:pPr>
              <w:spacing w:after="60" w:before="20" w:line="276" w:lineRule="auto"/>
              <w:jc w:val="center"/>
            </w:pPr>
            <w:r/>
            <w:r>
              <w:rPr>
                <w:rFonts w:ascii="Times New Roman" w:hAnsi="Times New Roman" w:cs="Times New Roman" w:eastAsia="Times New Roman"/>
                <w:b/>
                <w:i w:val="0"/>
                <w:color w:val="000000"/>
                <w:sz w:val="20"/>
                <w:u w:val="none"/>
              </w:rPr>
              <w:t>31 Mar 2026</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Total assets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10,715.73</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13,296.96</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Current assets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8,241.14</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10,884.33</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Total equity</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3,506.14</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5,895.41</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Current liabilities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6,953.84</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7,184.12</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Cash and cash equivalents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951.46</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1,393.08</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Other bank balances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5,081.67</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6,832.84</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Prepaid-card liabilities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4,772.63</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5,383.85</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Borrowings, excluding leases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829.49</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282.87</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FY26 audited consolidated balance sheet and comparative FY25 figures. Cash and other bank balances are shown separately; some bank balances relate to customer / settlement or other restricted purposes. [2]</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balance sheet reflects the scale and mechanics of payments processing. A large cash-looking balance should not be assumed to be freely distributable: other bank balances include deposits / earmarked amounts and the group also carries substantial prepaid-card and settlement obligations. FY26 cash equivalents of ₹1,393.08 crore and other bank balances of ₹6,832.84 crore must be read alongside ₹5,383.85 crore of prepaid-card liabilities and related operating balances. [2]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9.2 FUNDING AND LIQUIDITY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Borrowings excluding leases fell by approximately ₹546.62 crore, from ₹829.49 crore at FY25 year-end to ₹282.87 crore at FY26 year-end. Borrowings/equity reduced from approximately 0.24× to 0.05×, while equity increased to ₹5,895.41 crore after the listing and related capital movements. This is a stronger reported capital structure, but debt ratios do not capture all settlement, lease, customer-fund or contingent obligations. [2]</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current ratio increased from roughly 1.18× in FY25 to 1.52× in FY26. This is not a stand-alone solvency conclusion: current assets include bank balances and operating receivables, while current liabilities include obligations arising from prepaid and transaction activity. A more complete liquidity assessment would map maturity, restriction, counterparty and settlement timing for each balance.</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9.3 OPERATING CASH FLOW AND FUNDING MOVEMENTS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23. Operating cash flow trend</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3347"/>
            <w:vAlign w:val="top"/>
          </w:tcPr>
          <w:p>
            <w:pPr>
              <w:spacing w:after="60" w:before="20" w:line="276" w:lineRule="auto"/>
              <w:jc w:val="center"/>
            </w:pPr>
            <w:r/>
            <w:r>
              <w:rPr>
                <w:rFonts w:ascii="Times New Roman" w:hAnsi="Times New Roman" w:cs="Times New Roman" w:eastAsia="Times New Roman"/>
                <w:b/>
                <w:i w:val="0"/>
                <w:color w:val="000000"/>
                <w:sz w:val="18"/>
                <w:u w:val="none"/>
              </w:rPr>
              <w:t>Measure</w:t>
            </w:r>
          </w:p>
        </w:tc>
        <w:tc>
          <w:tcPr>
            <w:tcW w:type="dxa" w:w="1431"/>
            <w:vAlign w:val="top"/>
          </w:tcPr>
          <w:p>
            <w:pPr>
              <w:spacing w:after="60" w:before="20" w:line="276" w:lineRule="auto"/>
              <w:jc w:val="center"/>
            </w:pPr>
            <w:r/>
            <w:r>
              <w:rPr>
                <w:rFonts w:ascii="Times New Roman" w:hAnsi="Times New Roman" w:cs="Times New Roman" w:eastAsia="Times New Roman"/>
                <w:b/>
                <w:i w:val="0"/>
                <w:color w:val="000000"/>
                <w:sz w:val="18"/>
                <w:u w:val="none"/>
              </w:rPr>
              <w:t>FY23</w:t>
            </w:r>
          </w:p>
        </w:tc>
        <w:tc>
          <w:tcPr>
            <w:tcW w:type="dxa" w:w="1431"/>
            <w:vAlign w:val="top"/>
          </w:tcPr>
          <w:p>
            <w:pPr>
              <w:spacing w:after="60" w:before="20" w:line="276" w:lineRule="auto"/>
              <w:jc w:val="center"/>
            </w:pPr>
            <w:r/>
            <w:r>
              <w:rPr>
                <w:rFonts w:ascii="Times New Roman" w:hAnsi="Times New Roman" w:cs="Times New Roman" w:eastAsia="Times New Roman"/>
                <w:b/>
                <w:i w:val="0"/>
                <w:color w:val="000000"/>
                <w:sz w:val="18"/>
                <w:u w:val="none"/>
              </w:rPr>
              <w:t>FY24</w:t>
            </w:r>
          </w:p>
        </w:tc>
        <w:tc>
          <w:tcPr>
            <w:tcW w:type="dxa" w:w="1431"/>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1431"/>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r>
      <w:tr>
        <w:tc>
          <w:tcPr>
            <w:tcW w:type="dxa" w:w="3347"/>
            <w:vAlign w:val="top"/>
          </w:tcPr>
          <w:p>
            <w:pPr>
              <w:spacing w:after="60" w:before="20" w:line="276" w:lineRule="auto"/>
            </w:pPr>
            <w:r/>
            <w:r>
              <w:rPr>
                <w:rFonts w:ascii="Times New Roman" w:hAnsi="Times New Roman" w:cs="Times New Roman" w:eastAsia="Times New Roman"/>
                <w:b w:val="0"/>
                <w:i w:val="0"/>
                <w:color w:val="000000"/>
                <w:sz w:val="18"/>
                <w:u w:val="none"/>
              </w:rPr>
              <w:t>Net cash from operating activities (₹ crore)</w:t>
            </w:r>
          </w:p>
        </w:tc>
        <w:tc>
          <w:tcPr>
            <w:tcW w:type="dxa" w:w="1431"/>
            <w:vAlign w:val="top"/>
          </w:tcPr>
          <w:p>
            <w:pPr>
              <w:spacing w:after="60" w:before="20" w:line="276" w:lineRule="auto"/>
            </w:pPr>
            <w:r/>
            <w:r>
              <w:rPr>
                <w:rFonts w:ascii="Times New Roman" w:hAnsi="Times New Roman" w:cs="Times New Roman" w:eastAsia="Times New Roman"/>
                <w:b w:val="0"/>
                <w:i w:val="0"/>
                <w:color w:val="000000"/>
                <w:sz w:val="18"/>
                <w:u w:val="none"/>
              </w:rPr>
              <w:t>(152.36)</w:t>
            </w:r>
          </w:p>
        </w:tc>
        <w:tc>
          <w:tcPr>
            <w:tcW w:type="dxa" w:w="1431"/>
            <w:vAlign w:val="top"/>
          </w:tcPr>
          <w:p>
            <w:pPr>
              <w:spacing w:after="60" w:before="20" w:line="276" w:lineRule="auto"/>
            </w:pPr>
            <w:r/>
            <w:r>
              <w:rPr>
                <w:rFonts w:ascii="Times New Roman" w:hAnsi="Times New Roman" w:cs="Times New Roman" w:eastAsia="Times New Roman"/>
                <w:b w:val="0"/>
                <w:i w:val="0"/>
                <w:color w:val="000000"/>
                <w:sz w:val="18"/>
                <w:u w:val="none"/>
              </w:rPr>
              <w:t>(229.01)</w:t>
            </w:r>
          </w:p>
        </w:tc>
        <w:tc>
          <w:tcPr>
            <w:tcW w:type="dxa" w:w="1431"/>
            <w:vAlign w:val="top"/>
          </w:tcPr>
          <w:p>
            <w:pPr>
              <w:spacing w:after="60" w:before="20" w:line="276" w:lineRule="auto"/>
            </w:pPr>
            <w:r/>
            <w:r>
              <w:rPr>
                <w:rFonts w:ascii="Times New Roman" w:hAnsi="Times New Roman" w:cs="Times New Roman" w:eastAsia="Times New Roman"/>
                <w:b w:val="0"/>
                <w:i w:val="0"/>
                <w:color w:val="000000"/>
                <w:sz w:val="18"/>
                <w:u w:val="none"/>
              </w:rPr>
              <w:t>49.72</w:t>
            </w:r>
          </w:p>
        </w:tc>
        <w:tc>
          <w:tcPr>
            <w:tcW w:type="dxa" w:w="1431"/>
            <w:vAlign w:val="top"/>
          </w:tcPr>
          <w:p>
            <w:pPr>
              <w:spacing w:after="60" w:before="20" w:line="276" w:lineRule="auto"/>
            </w:pPr>
            <w:r/>
            <w:r>
              <w:rPr>
                <w:rFonts w:ascii="Times New Roman" w:hAnsi="Times New Roman" w:cs="Times New Roman" w:eastAsia="Times New Roman"/>
                <w:b w:val="0"/>
                <w:i w:val="0"/>
                <w:color w:val="000000"/>
                <w:sz w:val="18"/>
                <w:u w:val="none"/>
              </w:rPr>
              <w:t>395.39</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FY23–FY25 restated prospectus cash-flow information; FY26 audited cash-flow statement. [1,2]</w:t>
      </w:r>
    </w:p>
    <w:p>
      <w:pPr>
        <w:spacing w:before="120" w:after="120" w:line="240" w:lineRule="auto"/>
        <w:jc w:val="center"/>
      </w:pPr>
      <w:r>
        <w:drawing>
          <wp:inline xmlns:a="http://schemas.openxmlformats.org/drawingml/2006/main" xmlns:pic="http://schemas.openxmlformats.org/drawingml/2006/picture">
            <wp:extent cx="5760720" cy="2456283"/>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2456283"/>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Figure 4. Operating cash flow has improved but remains period-sensitive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Net operating cash flow in ₹ crore. [1,2]</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24. FY26 cash-flow statement summary (₹ crore)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592"/>
            <w:vAlign w:val="top"/>
          </w:tcPr>
          <w:p>
            <w:pPr>
              <w:spacing w:after="60" w:before="20" w:line="276" w:lineRule="auto"/>
              <w:jc w:val="center"/>
            </w:pPr>
            <w:r/>
            <w:r>
              <w:rPr>
                <w:rFonts w:ascii="Times New Roman" w:hAnsi="Times New Roman" w:cs="Times New Roman" w:eastAsia="Times New Roman"/>
                <w:b/>
                <w:i w:val="0"/>
                <w:color w:val="000000"/>
                <w:sz w:val="20"/>
                <w:u w:val="none"/>
              </w:rPr>
              <w:t>Cash-flow category</w:t>
            </w:r>
          </w:p>
        </w:tc>
        <w:tc>
          <w:tcPr>
            <w:tcW w:type="dxa" w:w="1490"/>
            <w:vAlign w:val="top"/>
          </w:tcPr>
          <w:p>
            <w:pPr>
              <w:spacing w:after="60" w:before="20" w:line="276" w:lineRule="auto"/>
              <w:jc w:val="center"/>
            </w:pPr>
            <w:r/>
            <w:r>
              <w:rPr>
                <w:rFonts w:ascii="Times New Roman" w:hAnsi="Times New Roman" w:cs="Times New Roman" w:eastAsia="Times New Roman"/>
                <w:b/>
                <w:i w:val="0"/>
                <w:color w:val="000000"/>
                <w:sz w:val="20"/>
                <w:u w:val="none"/>
              </w:rPr>
              <w:t>FY26</w:t>
            </w:r>
          </w:p>
        </w:tc>
        <w:tc>
          <w:tcPr>
            <w:tcW w:type="dxa" w:w="4990"/>
            <w:vAlign w:val="top"/>
          </w:tcPr>
          <w:p>
            <w:pPr>
              <w:spacing w:after="60" w:before="20" w:line="276" w:lineRule="auto"/>
              <w:jc w:val="center"/>
            </w:pPr>
            <w:r/>
            <w:r>
              <w:rPr>
                <w:rFonts w:ascii="Times New Roman" w:hAnsi="Times New Roman" w:cs="Times New Roman" w:eastAsia="Times New Roman"/>
                <w:b/>
                <w:i w:val="0"/>
                <w:color w:val="000000"/>
                <w:sz w:val="20"/>
                <w:u w:val="none"/>
              </w:rPr>
              <w:t>What it represents / caveat</w:t>
            </w:r>
          </w:p>
        </w:tc>
      </w:tr>
      <w:tr>
        <w:tc>
          <w:tcPr>
            <w:tcW w:type="dxa" w:w="2592"/>
            <w:vAlign w:val="top"/>
          </w:tcPr>
          <w:p>
            <w:pPr>
              <w:spacing w:after="60" w:before="20" w:line="276" w:lineRule="auto"/>
            </w:pPr>
            <w:r/>
            <w:r>
              <w:rPr>
                <w:rFonts w:ascii="Times New Roman" w:hAnsi="Times New Roman" w:cs="Times New Roman" w:eastAsia="Times New Roman"/>
                <w:b w:val="0"/>
                <w:i w:val="0"/>
                <w:color w:val="000000"/>
                <w:sz w:val="20"/>
                <w:u w:val="none"/>
              </w:rPr>
              <w:t>Operating activities</w:t>
            </w:r>
          </w:p>
        </w:tc>
        <w:tc>
          <w:tcPr>
            <w:tcW w:type="dxa" w:w="1490"/>
            <w:vAlign w:val="top"/>
          </w:tcPr>
          <w:p>
            <w:pPr>
              <w:spacing w:after="60" w:before="20" w:line="276" w:lineRule="auto"/>
            </w:pPr>
            <w:r/>
            <w:r>
              <w:rPr>
                <w:rFonts w:ascii="Times New Roman" w:hAnsi="Times New Roman" w:cs="Times New Roman" w:eastAsia="Times New Roman"/>
                <w:b w:val="0"/>
                <w:i w:val="0"/>
                <w:color w:val="000000"/>
                <w:sz w:val="20"/>
                <w:u w:val="none"/>
              </w:rPr>
              <w:t>+395.39</w:t>
            </w:r>
          </w:p>
        </w:tc>
        <w:tc>
          <w:tcPr>
            <w:tcW w:type="dxa" w:w="4990"/>
            <w:vAlign w:val="top"/>
          </w:tcPr>
          <w:p>
            <w:pPr>
              <w:spacing w:after="60" w:before="20" w:line="276" w:lineRule="auto"/>
            </w:pPr>
            <w:r/>
            <w:r>
              <w:rPr>
                <w:rFonts w:ascii="Times New Roman" w:hAnsi="Times New Roman" w:cs="Times New Roman" w:eastAsia="Times New Roman"/>
                <w:b w:val="0"/>
                <w:i w:val="0"/>
                <w:color w:val="000000"/>
                <w:sz w:val="20"/>
                <w:u w:val="none"/>
              </w:rPr>
              <w:t>Cash from operations after working-capital movements; not equivalent to adjusted EBITDA.</w:t>
            </w:r>
          </w:p>
        </w:tc>
      </w:tr>
      <w:tr>
        <w:tc>
          <w:tcPr>
            <w:tcW w:type="dxa" w:w="2592"/>
            <w:vAlign w:val="top"/>
          </w:tcPr>
          <w:p>
            <w:pPr>
              <w:spacing w:after="60" w:before="20" w:line="276" w:lineRule="auto"/>
            </w:pPr>
            <w:r/>
            <w:r>
              <w:rPr>
                <w:rFonts w:ascii="Times New Roman" w:hAnsi="Times New Roman" w:cs="Times New Roman" w:eastAsia="Times New Roman"/>
                <w:b w:val="0"/>
                <w:i w:val="0"/>
                <w:color w:val="000000"/>
                <w:sz w:val="20"/>
                <w:u w:val="none"/>
              </w:rPr>
              <w:t>Investing activities</w:t>
            </w:r>
          </w:p>
        </w:tc>
        <w:tc>
          <w:tcPr>
            <w:tcW w:type="dxa" w:w="1490"/>
            <w:vAlign w:val="top"/>
          </w:tcPr>
          <w:p>
            <w:pPr>
              <w:spacing w:after="60" w:before="20" w:line="276" w:lineRule="auto"/>
            </w:pPr>
            <w:r/>
            <w:r>
              <w:rPr>
                <w:rFonts w:ascii="Times New Roman" w:hAnsi="Times New Roman" w:cs="Times New Roman" w:eastAsia="Times New Roman"/>
                <w:b w:val="0"/>
                <w:i w:val="0"/>
                <w:color w:val="000000"/>
                <w:sz w:val="20"/>
                <w:u w:val="none"/>
              </w:rPr>
              <w:t>−1,338.87</w:t>
            </w:r>
          </w:p>
        </w:tc>
        <w:tc>
          <w:tcPr>
            <w:tcW w:type="dxa" w:w="4990"/>
            <w:vAlign w:val="top"/>
          </w:tcPr>
          <w:p>
            <w:pPr>
              <w:spacing w:after="60" w:before="20" w:line="276" w:lineRule="auto"/>
            </w:pPr>
            <w:r/>
            <w:r>
              <w:rPr>
                <w:rFonts w:ascii="Times New Roman" w:hAnsi="Times New Roman" w:cs="Times New Roman" w:eastAsia="Times New Roman"/>
                <w:b w:val="0"/>
                <w:i w:val="0"/>
                <w:color w:val="000000"/>
                <w:sz w:val="20"/>
                <w:u w:val="none"/>
              </w:rPr>
              <w:t>Includes deposit placements / maturities as well as capital expenditure and investments; not all outflow is growth capex.</w:t>
            </w:r>
          </w:p>
        </w:tc>
      </w:tr>
      <w:tr>
        <w:tc>
          <w:tcPr>
            <w:tcW w:type="dxa" w:w="2592"/>
            <w:vAlign w:val="top"/>
          </w:tcPr>
          <w:p>
            <w:pPr>
              <w:spacing w:after="60" w:before="20" w:line="276" w:lineRule="auto"/>
            </w:pPr>
            <w:r/>
            <w:r>
              <w:rPr>
                <w:rFonts w:ascii="Times New Roman" w:hAnsi="Times New Roman" w:cs="Times New Roman" w:eastAsia="Times New Roman"/>
                <w:b w:val="0"/>
                <w:i w:val="0"/>
                <w:color w:val="000000"/>
                <w:sz w:val="20"/>
                <w:u w:val="none"/>
              </w:rPr>
              <w:t>Financing activities</w:t>
            </w:r>
          </w:p>
        </w:tc>
        <w:tc>
          <w:tcPr>
            <w:tcW w:type="dxa" w:w="1490"/>
            <w:vAlign w:val="top"/>
          </w:tcPr>
          <w:p>
            <w:pPr>
              <w:spacing w:after="60" w:before="20" w:line="276" w:lineRule="auto"/>
            </w:pPr>
            <w:r/>
            <w:r>
              <w:rPr>
                <w:rFonts w:ascii="Times New Roman" w:hAnsi="Times New Roman" w:cs="Times New Roman" w:eastAsia="Times New Roman"/>
                <w:b w:val="0"/>
                <w:i w:val="0"/>
                <w:color w:val="000000"/>
                <w:sz w:val="20"/>
                <w:u w:val="none"/>
              </w:rPr>
              <w:t>+1,972.17</w:t>
            </w:r>
          </w:p>
        </w:tc>
        <w:tc>
          <w:tcPr>
            <w:tcW w:type="dxa" w:w="4990"/>
            <w:vAlign w:val="top"/>
          </w:tcPr>
          <w:p>
            <w:pPr>
              <w:spacing w:after="60" w:before="20" w:line="276" w:lineRule="auto"/>
            </w:pPr>
            <w:r/>
            <w:r>
              <w:rPr>
                <w:rFonts w:ascii="Times New Roman" w:hAnsi="Times New Roman" w:cs="Times New Roman" w:eastAsia="Times New Roman"/>
                <w:b w:val="0"/>
                <w:i w:val="0"/>
                <w:color w:val="000000"/>
                <w:sz w:val="20"/>
                <w:u w:val="none"/>
              </w:rPr>
              <w:t>Includes IPO / equity financing and financing outflows; interpret alongside capital-structure notes.</w:t>
            </w:r>
          </w:p>
        </w:tc>
      </w:tr>
      <w:tr>
        <w:tc>
          <w:tcPr>
            <w:tcW w:type="dxa" w:w="2592"/>
            <w:vAlign w:val="top"/>
          </w:tcPr>
          <w:p>
            <w:pPr>
              <w:spacing w:after="60" w:before="20" w:line="276" w:lineRule="auto"/>
            </w:pPr>
            <w:r/>
            <w:r>
              <w:rPr>
                <w:rFonts w:ascii="Times New Roman" w:hAnsi="Times New Roman" w:cs="Times New Roman" w:eastAsia="Times New Roman"/>
                <w:b w:val="0"/>
                <w:i w:val="0"/>
                <w:color w:val="000000"/>
                <w:sz w:val="20"/>
                <w:u w:val="none"/>
              </w:rPr>
              <w:t>Net increase in cash and cash equivalents</w:t>
            </w:r>
          </w:p>
        </w:tc>
        <w:tc>
          <w:tcPr>
            <w:tcW w:type="dxa" w:w="1490"/>
            <w:vAlign w:val="top"/>
          </w:tcPr>
          <w:p>
            <w:pPr>
              <w:spacing w:after="60" w:before="20" w:line="276" w:lineRule="auto"/>
            </w:pPr>
            <w:r/>
            <w:r>
              <w:rPr>
                <w:rFonts w:ascii="Times New Roman" w:hAnsi="Times New Roman" w:cs="Times New Roman" w:eastAsia="Times New Roman"/>
                <w:b w:val="0"/>
                <w:i w:val="0"/>
                <w:color w:val="000000"/>
                <w:sz w:val="20"/>
                <w:u w:val="none"/>
              </w:rPr>
              <w:t>+1,028.69</w:t>
            </w:r>
          </w:p>
        </w:tc>
        <w:tc>
          <w:tcPr>
            <w:tcW w:type="dxa" w:w="4990"/>
            <w:vAlign w:val="top"/>
          </w:tcPr>
          <w:p>
            <w:pPr>
              <w:spacing w:after="60" w:before="20" w:line="276" w:lineRule="auto"/>
            </w:pPr>
            <w:r/>
            <w:r>
              <w:rPr>
                <w:rFonts w:ascii="Times New Roman" w:hAnsi="Times New Roman" w:cs="Times New Roman" w:eastAsia="Times New Roman"/>
                <w:b w:val="0"/>
                <w:i w:val="0"/>
                <w:color w:val="000000"/>
                <w:sz w:val="20"/>
                <w:u w:val="none"/>
              </w:rPr>
              <w:t>Cash-flow statement basis; ending cash can differ from balance-sheet cash due to overdrafts / classification.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FY26 audited consolidated cash-flow statement. [2]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9.4 WORKING-CAPITAL INTERPRETATION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FY26 investing cash outflow should not be read as ₹1,338.87 crore of plant and equipment investment: deposit placements and maturities are significant. Likewise, CFO can be influenced by changes in prepaid-card liabilities, earmarked bank balances, merchant settlements, receivables and early-settlement arrangements. Company materials report Q1 FY27 CFO of approximately +₹78 crore excluding early settlement and approximately −₹159 crore including it. That gap highlights timing and presentation effects; neither number alone should be treated as a normalized run-rate. [2,5,6]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Cash conversion is therefore an important diligence item. Track operating cash flow against reported PAT and adjusted EBITDA, reconcile early settlement and customer balances, separate restricted from unrestricted cash, and observe several quarters rather than annualizing one quarter.</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10</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RATIO ANALYSIS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Profitability, efficiency, liquidity and leverage with formula notes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10.1 CORE RATIO DASHBOARD</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25. Ratio dashboard (selected years)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1879"/>
            <w:vAlign w:val="top"/>
          </w:tcPr>
          <w:p>
            <w:pPr>
              <w:spacing w:after="60" w:before="20" w:line="276" w:lineRule="auto"/>
              <w:jc w:val="center"/>
            </w:pPr>
            <w:r/>
            <w:r>
              <w:rPr>
                <w:rFonts w:ascii="Times New Roman" w:hAnsi="Times New Roman" w:cs="Times New Roman" w:eastAsia="Times New Roman"/>
                <w:b/>
                <w:i w:val="0"/>
                <w:color w:val="000000"/>
                <w:sz w:val="18"/>
                <w:u w:val="none"/>
              </w:rPr>
              <w:t>Ratio</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18"/>
                <w:u w:val="none"/>
              </w:rPr>
              <w:t>Formula / basis</w:t>
            </w:r>
          </w:p>
        </w:tc>
        <w:tc>
          <w:tcPr>
            <w:tcW w:type="dxa" w:w="972"/>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972"/>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c>
          <w:tcPr>
            <w:tcW w:type="dxa" w:w="2981"/>
            <w:vAlign w:val="top"/>
          </w:tcPr>
          <w:p>
            <w:pPr>
              <w:spacing w:after="60" w:before="20" w:line="276" w:lineRule="auto"/>
              <w:jc w:val="center"/>
            </w:pPr>
            <w:r/>
            <w:r>
              <w:rPr>
                <w:rFonts w:ascii="Times New Roman" w:hAnsi="Times New Roman" w:cs="Times New Roman" w:eastAsia="Times New Roman"/>
                <w:b/>
                <w:i w:val="0"/>
                <w:color w:val="000000"/>
                <w:sz w:val="18"/>
                <w:u w:val="none"/>
              </w:rPr>
              <w:t>Interpretation</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Revenue growth</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Revenueₜ / Revenueₜ₋₁ − 1</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28.5%</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19.2%</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Growth normalised from FY25 peak.</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PAT margin</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PAT / revenue</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(6.4%)</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4.2%</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Turned positive in FY26; one year is not a trend.</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Adjusted EBITDA margin</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Company-defined adjusted EBITDA / revenue</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15.68%</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20.62%</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Improved annually, but fell to about 17.1% in Q1 FY27.</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Current ratio</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Current assets / current liabilities</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1.18×</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1.52×</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Improved; settlement and prepaid balances make this broad measure.</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Borrowings / equity</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Borrowings ex leases / total equity</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0.24×</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0.05×</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Lower bank borrowing relative to a larger post-IPO equity base.</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Return on average assets</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PAT / average total assets</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(1.43%)</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0.94%</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FY26 positive but still modest.</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Return on average equity</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PAT / average equity</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(4.13%)</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2.39%</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Equity base grew; reported return remains low.</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Revenue / average assets</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Revenue / average assets</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0.22×</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0.23×</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Asset turnover changed little FY25–FY26.</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CFO / PAT</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CFO / PAT</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Not meaningful</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3.51×</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FY25 PAT was negative; FY26 ratio is affected by working-capital timing and is not a stable conversion assumption.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calculations using company-reported audited / restated statements and KPIs; see Appendix B. FY25–FY26 values rounded. FY25 CFO/PAT is not meaningful because PAT was negative; FY26 CFO/PAT = 395.39/112.51, but the ratio is affected by working-capital timing. [1–3]</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10.2 SUPPORTING ANNUAL RATIOS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26. Profitability, liquidity and leverage series</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3479"/>
            <w:vAlign w:val="top"/>
          </w:tcPr>
          <w:p>
            <w:pPr>
              <w:spacing w:after="60" w:before="20" w:line="276" w:lineRule="auto"/>
              <w:jc w:val="center"/>
            </w:pPr>
            <w:r/>
            <w:r>
              <w:rPr>
                <w:rFonts w:ascii="Times New Roman" w:hAnsi="Times New Roman" w:cs="Times New Roman" w:eastAsia="Times New Roman"/>
                <w:b/>
                <w:i w:val="0"/>
                <w:color w:val="000000"/>
                <w:sz w:val="20"/>
                <w:u w:val="none"/>
              </w:rPr>
              <w:t>Ratio</w:t>
            </w:r>
          </w:p>
        </w:tc>
        <w:tc>
          <w:tcPr>
            <w:tcW w:type="dxa" w:w="1864"/>
            <w:vAlign w:val="top"/>
          </w:tcPr>
          <w:p>
            <w:pPr>
              <w:spacing w:after="60" w:before="20" w:line="276" w:lineRule="auto"/>
              <w:jc w:val="center"/>
            </w:pPr>
            <w:r/>
            <w:r>
              <w:rPr>
                <w:rFonts w:ascii="Times New Roman" w:hAnsi="Times New Roman" w:cs="Times New Roman" w:eastAsia="Times New Roman"/>
                <w:b/>
                <w:i w:val="0"/>
                <w:color w:val="000000"/>
                <w:sz w:val="20"/>
                <w:u w:val="none"/>
              </w:rPr>
              <w:t>FY24</w:t>
            </w:r>
          </w:p>
        </w:tc>
        <w:tc>
          <w:tcPr>
            <w:tcW w:type="dxa" w:w="1864"/>
            <w:vAlign w:val="top"/>
          </w:tcPr>
          <w:p>
            <w:pPr>
              <w:spacing w:after="60" w:before="20" w:line="276" w:lineRule="auto"/>
              <w:jc w:val="center"/>
            </w:pPr>
            <w:r/>
            <w:r>
              <w:rPr>
                <w:rFonts w:ascii="Times New Roman" w:hAnsi="Times New Roman" w:cs="Times New Roman" w:eastAsia="Times New Roman"/>
                <w:b/>
                <w:i w:val="0"/>
                <w:color w:val="000000"/>
                <w:sz w:val="20"/>
                <w:u w:val="none"/>
              </w:rPr>
              <w:t>FY25</w:t>
            </w:r>
          </w:p>
        </w:tc>
        <w:tc>
          <w:tcPr>
            <w:tcW w:type="dxa" w:w="1864"/>
            <w:vAlign w:val="top"/>
          </w:tcPr>
          <w:p>
            <w:pPr>
              <w:spacing w:after="60" w:before="20" w:line="276" w:lineRule="auto"/>
              <w:jc w:val="center"/>
            </w:pPr>
            <w:r/>
            <w:r>
              <w:rPr>
                <w:rFonts w:ascii="Times New Roman" w:hAnsi="Times New Roman" w:cs="Times New Roman" w:eastAsia="Times New Roman"/>
                <w:b/>
                <w:i w:val="0"/>
                <w:color w:val="000000"/>
                <w:sz w:val="20"/>
                <w:u w:val="none"/>
              </w:rPr>
              <w:t>FY26</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PAT margin</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(19.3%)</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(6.4%)</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4.2%</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Current ratio</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1.23×</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1.18×</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1.52×</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Borrowings / equity (ex leases)</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0.15×</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0.24×</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0.05×</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ROA on average assets</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(3.60%)</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(1.43%)</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0.94%</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ROE on average equity</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(9.39%)</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(4.13%)</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2.39%</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Revenue / average assets</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0.19×</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0.22×</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0.23×</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Analyst calculations using the restated / audited consolidated information. Average balance-sheet values use opening and closing balances; FY24–FY26 only. [1,2]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10.3 INTERPRETATION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Profitability: PAT margin improved from negative levels to 4.2% in FY26. The low base means modest changes in other income, expenses or tax can produce large percentage changes.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Liquidity: the current ratio is above 1×, but it is not a cash-availability measure where balances are earmarked or tied to customer programmes.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Leverage: borrowings/equity fell materially. This improves resilience to interest expense but does not remove counterparty, settlement, lease or operational risk.</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Returns: ROE of about 2.4% in FY26 is low relative to the equity base; the listing and recent profitability make the three-year book-value series structurally non-steady.</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Cash conversion: FY26 CFO/PAT is high at about 3.5×, but the CFO series is volatile and reflects movements in customer and settlement balances. A multi-year normalized figure is more useful than one annual ratio.</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10.4 IMPORTANT RATIO CAVEATS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All balance-sheet ratios use reported year-end classifications and do not adjust for restricted deposits, merchant settlement funds, leases, ESOP dilution or contingent obligations. FY23–FY25 are prospectus-restated; the merger and IPO change comparability. The company-defined adjusted EBITDA and contribution margin are presented separately from statutory margins. The valuation ratios in Chapter 13 use an October 2026 price and mixed-date financial denominators, and are therefore indicative only.</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11</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OPERATING KPIS AND PLATFORM ECONOMICS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Scale, monetization proxies and company-defined operating metrics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11.1 HISTORICAL OPERATING INDICATORS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27. Scale and activity indicators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3223"/>
            <w:vAlign w:val="top"/>
          </w:tcPr>
          <w:p>
            <w:pPr>
              <w:spacing w:after="60" w:before="20" w:line="276" w:lineRule="auto"/>
              <w:jc w:val="center"/>
            </w:pPr>
            <w:r/>
            <w:r>
              <w:rPr>
                <w:rFonts w:ascii="Times New Roman" w:hAnsi="Times New Roman" w:cs="Times New Roman" w:eastAsia="Times New Roman"/>
                <w:b/>
                <w:i w:val="0"/>
                <w:color w:val="000000"/>
                <w:sz w:val="18"/>
                <w:u w:val="none"/>
              </w:rPr>
              <w:t>KPI</w:t>
            </w:r>
          </w:p>
        </w:tc>
        <w:tc>
          <w:tcPr>
            <w:tcW w:type="dxa" w:w="1462"/>
            <w:vAlign w:val="top"/>
          </w:tcPr>
          <w:p>
            <w:pPr>
              <w:spacing w:after="60" w:before="20" w:line="276" w:lineRule="auto"/>
              <w:jc w:val="center"/>
            </w:pPr>
            <w:r/>
            <w:r>
              <w:rPr>
                <w:rFonts w:ascii="Times New Roman" w:hAnsi="Times New Roman" w:cs="Times New Roman" w:eastAsia="Times New Roman"/>
                <w:b/>
                <w:i w:val="0"/>
                <w:color w:val="000000"/>
                <w:sz w:val="18"/>
                <w:u w:val="none"/>
              </w:rPr>
              <w:t>FY23</w:t>
            </w:r>
          </w:p>
        </w:tc>
        <w:tc>
          <w:tcPr>
            <w:tcW w:type="dxa" w:w="1462"/>
            <w:vAlign w:val="top"/>
          </w:tcPr>
          <w:p>
            <w:pPr>
              <w:spacing w:after="60" w:before="20" w:line="276" w:lineRule="auto"/>
              <w:jc w:val="center"/>
            </w:pPr>
            <w:r/>
            <w:r>
              <w:rPr>
                <w:rFonts w:ascii="Times New Roman" w:hAnsi="Times New Roman" w:cs="Times New Roman" w:eastAsia="Times New Roman"/>
                <w:b/>
                <w:i w:val="0"/>
                <w:color w:val="000000"/>
                <w:sz w:val="18"/>
                <w:u w:val="none"/>
              </w:rPr>
              <w:t>FY24</w:t>
            </w:r>
          </w:p>
        </w:tc>
        <w:tc>
          <w:tcPr>
            <w:tcW w:type="dxa" w:w="1462"/>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1462"/>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Platform GTV (₹ lakh crore)</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4.40</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6.08</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11.42</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17.15</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Transactions (crore)</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257</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344</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569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740.37</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Merchants (lakh)</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5.30</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6.44</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9.54</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11.03</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DCPs (lakh)</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11.9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13.9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17.8</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20.28</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Prepaid cards issued during year (crore)</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49.52</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52.90</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71.30</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86.55</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International revenue share</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8.5%</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10.9%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14.9%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14.9%</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Revenue / GTV proxy (basis points)</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36.3</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29.1</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19.9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15.8</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Company data books / prospectus; values rounded. GTV categories can overlap and should not be summed. Revenue/GTV basis-point proxy is the author’s ratio of consolidated revenue to total reported platform GTV, not a contractual take rate. [1,3]</w:t>
      </w:r>
    </w:p>
    <w:p>
      <w:pPr>
        <w:spacing w:before="120" w:after="120" w:line="240" w:lineRule="auto"/>
        <w:jc w:val="center"/>
      </w:pPr>
      <w:r>
        <w:drawing>
          <wp:inline xmlns:a="http://schemas.openxmlformats.org/drawingml/2006/main" xmlns:pic="http://schemas.openxmlformats.org/drawingml/2006/picture">
            <wp:extent cx="5760720" cy="238418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2384180"/>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Figure 5. Platform GTV increased faster than recognized revenue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GTV in ₹ lakh crore. Company-defined platform GTV; this is not revenue or market share. [1,3]</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11.2 Q1 FY27 OPERATING SNAPSHOT</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28. Q1 FY27 operating metrics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169"/>
            <w:vAlign w:val="top"/>
          </w:tcPr>
          <w:p>
            <w:pPr>
              <w:spacing w:after="60" w:before="20" w:line="276" w:lineRule="auto"/>
              <w:jc w:val="center"/>
            </w:pPr>
            <w:r/>
            <w:r>
              <w:rPr>
                <w:rFonts w:ascii="Times New Roman" w:hAnsi="Times New Roman" w:cs="Times New Roman" w:eastAsia="Times New Roman"/>
                <w:b/>
                <w:i w:val="0"/>
                <w:color w:val="000000"/>
                <w:sz w:val="20"/>
                <w:u w:val="none"/>
              </w:rPr>
              <w:t>Metric</w:t>
            </w:r>
          </w:p>
        </w:tc>
        <w:tc>
          <w:tcPr>
            <w:tcW w:type="dxa" w:w="2630"/>
            <w:vAlign w:val="top"/>
          </w:tcPr>
          <w:p>
            <w:pPr>
              <w:spacing w:after="60" w:before="20" w:line="276" w:lineRule="auto"/>
              <w:jc w:val="center"/>
            </w:pPr>
            <w:r/>
            <w:r>
              <w:rPr>
                <w:rFonts w:ascii="Times New Roman" w:hAnsi="Times New Roman" w:cs="Times New Roman" w:eastAsia="Times New Roman"/>
                <w:b/>
                <w:i w:val="0"/>
                <w:color w:val="000000"/>
                <w:sz w:val="20"/>
                <w:u w:val="none"/>
              </w:rPr>
              <w:t>Q1 FY27</w:t>
            </w:r>
          </w:p>
        </w:tc>
        <w:tc>
          <w:tcPr>
            <w:tcW w:type="dxa" w:w="4273"/>
            <w:vAlign w:val="top"/>
          </w:tcPr>
          <w:p>
            <w:pPr>
              <w:spacing w:after="60" w:before="20" w:line="276" w:lineRule="auto"/>
              <w:jc w:val="center"/>
            </w:pPr>
            <w:r/>
            <w:r>
              <w:rPr>
                <w:rFonts w:ascii="Times New Roman" w:hAnsi="Times New Roman" w:cs="Times New Roman" w:eastAsia="Times New Roman"/>
                <w:b/>
                <w:i w:val="0"/>
                <w:color w:val="000000"/>
                <w:sz w:val="20"/>
                <w:u w:val="none"/>
              </w:rPr>
              <w:t>Interpretation</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Platform GTV</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₹4.22 lakh crore</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Includes DITP ~₹4.04 lakh crore and IAP ~₹0.18 lakh crore per company KPI classification; categories may overlap.</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Transactions</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201 crore</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Approximately 2.01 billion company-reported platform transactions during the quarter.</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DCPs</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21.7 lakh</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Live touchpoints at period end; not every point necessarily transacts every month.</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Merchants</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11.5 lakh</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Company-reported merchant network; definition and activity status follow company KPI book.</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International revenue</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~₹114 crore; about 16%</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Quarterly company disclosure; international share has increased vs FY23 prospectus data.</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Flow / affordability GTV</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Subset of platform GTV</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Do not add to total platform GTV; use the company’s classification and footnotes.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Q1 FY27 shareholder letter and KPI data book. [5,6]</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11.3 WHAT THE MONETIZATION PROXY SAYS—AND DOES NOT SAY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Dividing consolidated revenue by platform GTV gives a broad revenue-yield proxy of about 36 basis points in FY23, 29 in FY24, 20 in FY25 and 16 in FY26. The decline does not establish that Pine Labs cut price on a like-for-like transaction: GTV and revenue cover different product mixes, customer contracts, periods and possibly overlapping platform definitions. The ratio is a signal to investigate product mix and monetization, not an actual take rate. [1,3]</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operational priorities are therefore to disclose consistent revenue per active DCP / merchant, active-device rates, net revenue and contribution by product, cohort retention, cost to serve, and cash conversion by segment. These would help distinguish beneficial scale from low-yield volume growth.</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11.4 KPI INTERPRETATION CAUTIONS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GTV is transaction value, not assets managed, deposits, GMV recognized as revenue or credit extended by Pine Labs.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DCP counts can exceed merchant counts because a merchant may operate more than one checkout point.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Prepaid cards issued are cumulative or period issuance counts as specified by the data book; they are not a measure of active balances or revenue.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International revenue share is company-reported and can shift with acquisitions, consolidation and foreign-exchange movement.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Flow / affordability volume is a subset within the platform measurement and is not additive to the total.</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12</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DUPONT ANALYSIS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Breaking down returns on equity into margin, efficiency and leverage</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12.1 METHOD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three-factor DuPont identity decomposes return on equity (ROE) into net profit margin × revenue / average assets × average assets / average equity. This helps show whether a change in shareholder return is driven by profitability, asset efficiency or financial leverage. It does not correct for merger restatements, equity issuance or cash restrictions; those changes must be interpreted separately. [15]</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ROE = (PAT / revenue) × (revenue / average total assets) × (average total assets / average total equity). The product is algebraically equal to PAT / average equity when the same consolidated figures and periods are used.</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12.2 RESULTS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29. DuPont decomposition</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3353"/>
            <w:vAlign w:val="top"/>
          </w:tcPr>
          <w:p>
            <w:pPr>
              <w:spacing w:after="60" w:before="20" w:line="276" w:lineRule="auto"/>
              <w:jc w:val="center"/>
            </w:pPr>
            <w:r/>
            <w:r>
              <w:rPr>
                <w:rFonts w:ascii="Times New Roman" w:hAnsi="Times New Roman" w:cs="Times New Roman" w:eastAsia="Times New Roman"/>
                <w:b/>
                <w:i w:val="0"/>
                <w:color w:val="000000"/>
                <w:sz w:val="20"/>
                <w:u w:val="none"/>
              </w:rPr>
              <w:t>Component</w:t>
            </w:r>
          </w:p>
        </w:tc>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FY24</w:t>
            </w:r>
          </w:p>
        </w:tc>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FY25</w:t>
            </w:r>
          </w:p>
        </w:tc>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FY26</w:t>
            </w:r>
          </w:p>
        </w:tc>
      </w:tr>
      <w:tr>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Net profit margin</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(19.32%)</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(6.40%)</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4.15%</w:t>
            </w:r>
          </w:p>
        </w:tc>
      </w:tr>
      <w:tr>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Revenue / average assets</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0.186×</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0.223×</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0.226×</w:t>
            </w:r>
          </w:p>
        </w:tc>
      </w:tr>
      <w:tr>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Average assets / average equity</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2.61×</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2.89×</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2.55×</w:t>
            </w:r>
          </w:p>
        </w:tc>
      </w:tr>
      <w:tr>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ROE from DuPont</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(9.39%)</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(4.13%)</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2.39%</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calculation using reported PAT, revenue and opening / closing consolidated balance-sheet figures. [1,2]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12.3 INTERPRETATION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Losses drove negative ROE in FY24 and FY25. FY26 moved to a positive ROE of approximately 2.4%, almost entirely because PAT margin turned positive; asset turnover was broadly stable at about 0.23× and the average equity multiplier declined from 2.89× to 2.55×. Lower leverage reduced balance-sheet risk but also means that higher sustainable ROE must be earned through stronger margins and/or asset productivity rather than debt alone.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result is not a mature steady-state return. Equity expanded after the IPO and share conversions, so book value and average equity grew faster than operating history. A single year’s ROE should not be extrapolated into a terminal forecast.</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13</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PEER CONTEXT AND VALUATION</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Relative positioning and a transparent, dated market-multiple snapshot</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13.1 QUALITATIVE PEER COMPARISON</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30. Qualitative peer set</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1643"/>
            <w:vAlign w:val="top"/>
          </w:tcPr>
          <w:p>
            <w:pPr>
              <w:spacing w:after="60" w:before="20" w:line="276" w:lineRule="auto"/>
              <w:jc w:val="center"/>
            </w:pPr>
            <w:r/>
            <w:r>
              <w:rPr>
                <w:rFonts w:ascii="Times New Roman" w:hAnsi="Times New Roman" w:cs="Times New Roman" w:eastAsia="Times New Roman"/>
                <w:b/>
                <w:i w:val="0"/>
                <w:color w:val="000000"/>
                <w:sz w:val="20"/>
                <w:u w:val="none"/>
              </w:rPr>
              <w:t>Company / group</w:t>
            </w:r>
          </w:p>
        </w:tc>
        <w:tc>
          <w:tcPr>
            <w:tcW w:type="dxa" w:w="2367"/>
            <w:vAlign w:val="top"/>
          </w:tcPr>
          <w:p>
            <w:pPr>
              <w:spacing w:after="60" w:before="20" w:line="276" w:lineRule="auto"/>
              <w:jc w:val="center"/>
            </w:pPr>
            <w:r/>
            <w:r>
              <w:rPr>
                <w:rFonts w:ascii="Times New Roman" w:hAnsi="Times New Roman" w:cs="Times New Roman" w:eastAsia="Times New Roman"/>
                <w:b/>
                <w:i w:val="0"/>
                <w:color w:val="000000"/>
                <w:sz w:val="20"/>
                <w:u w:val="none"/>
              </w:rPr>
              <w:t>Main overlap</w:t>
            </w:r>
          </w:p>
        </w:tc>
        <w:tc>
          <w:tcPr>
            <w:tcW w:type="dxa" w:w="2761"/>
            <w:vAlign w:val="top"/>
          </w:tcPr>
          <w:p>
            <w:pPr>
              <w:spacing w:after="60" w:before="20" w:line="276" w:lineRule="auto"/>
              <w:jc w:val="center"/>
            </w:pPr>
            <w:r/>
            <w:r>
              <w:rPr>
                <w:rFonts w:ascii="Times New Roman" w:hAnsi="Times New Roman" w:cs="Times New Roman" w:eastAsia="Times New Roman"/>
                <w:b/>
                <w:i w:val="0"/>
                <w:color w:val="000000"/>
                <w:sz w:val="20"/>
                <w:u w:val="none"/>
              </w:rPr>
              <w:t>Potential differentiation / fit</w:t>
            </w:r>
          </w:p>
        </w:tc>
        <w:tc>
          <w:tcPr>
            <w:tcW w:type="dxa" w:w="2301"/>
            <w:vAlign w:val="top"/>
          </w:tcPr>
          <w:p>
            <w:pPr>
              <w:spacing w:after="60" w:before="20" w:line="276" w:lineRule="auto"/>
              <w:jc w:val="center"/>
            </w:pPr>
            <w:r/>
            <w:r>
              <w:rPr>
                <w:rFonts w:ascii="Times New Roman" w:hAnsi="Times New Roman" w:cs="Times New Roman" w:eastAsia="Times New Roman"/>
                <w:b/>
                <w:i w:val="0"/>
                <w:color w:val="000000"/>
                <w:sz w:val="20"/>
                <w:u w:val="none"/>
              </w:rPr>
              <w:t>Comparability note</w:t>
            </w:r>
          </w:p>
        </w:tc>
      </w:tr>
      <w:tr>
        <w:tc>
          <w:tcPr>
            <w:tcW w:type="dxa" w:w="1643"/>
            <w:vAlign w:val="top"/>
          </w:tcPr>
          <w:p>
            <w:pPr>
              <w:spacing w:after="60" w:before="20" w:line="276" w:lineRule="auto"/>
            </w:pPr>
            <w:r/>
            <w:r>
              <w:rPr>
                <w:rFonts w:ascii="Times New Roman" w:hAnsi="Times New Roman" w:cs="Times New Roman" w:eastAsia="Times New Roman"/>
                <w:b w:val="0"/>
                <w:i w:val="0"/>
                <w:color w:val="000000"/>
                <w:sz w:val="20"/>
                <w:u w:val="none"/>
              </w:rPr>
              <w:t>Pine Labs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In-store / online acceptance; affordability; prepaid and issuer processing; APIs</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Broad dual platform, merchant and institutional relationships, international operations</w:t>
            </w:r>
          </w:p>
        </w:tc>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Public company; newly listed; consolidated history is restated and short.</w:t>
            </w:r>
          </w:p>
        </w:tc>
      </w:tr>
      <w:tr>
        <w:tc>
          <w:tcPr>
            <w:tcW w:type="dxa" w:w="1643"/>
            <w:vAlign w:val="top"/>
          </w:tcPr>
          <w:p>
            <w:pPr>
              <w:spacing w:after="60" w:before="20" w:line="276" w:lineRule="auto"/>
            </w:pPr>
            <w:r/>
            <w:r>
              <w:rPr>
                <w:rFonts w:ascii="Times New Roman" w:hAnsi="Times New Roman" w:cs="Times New Roman" w:eastAsia="Times New Roman"/>
                <w:b w:val="0"/>
                <w:i w:val="0"/>
                <w:color w:val="000000"/>
                <w:sz w:val="20"/>
                <w:u w:val="none"/>
              </w:rPr>
              <w:t>Paytm / One 97</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Consumer payments, merchant tools and financial-services distribution</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Large consumer / merchant ecosystem; distinct product and regulatory mix</w:t>
            </w:r>
          </w:p>
        </w:tc>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Listed; use only as context, not a same-model valuation peer.</w:t>
            </w:r>
          </w:p>
        </w:tc>
      </w:tr>
      <w:tr>
        <w:tc>
          <w:tcPr>
            <w:tcW w:type="dxa" w:w="1643"/>
            <w:vAlign w:val="top"/>
          </w:tcPr>
          <w:p>
            <w:pPr>
              <w:spacing w:after="60" w:before="20" w:line="276" w:lineRule="auto"/>
            </w:pPr>
            <w:r/>
            <w:r>
              <w:rPr>
                <w:rFonts w:ascii="Times New Roman" w:hAnsi="Times New Roman" w:cs="Times New Roman" w:eastAsia="Times New Roman"/>
                <w:b w:val="0"/>
                <w:i w:val="0"/>
                <w:color w:val="000000"/>
                <w:sz w:val="20"/>
                <w:u w:val="none"/>
              </w:rPr>
              <w:t>Zaggle</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Corporate prepaid, benefits, spend and expense-management technology</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Closer in prepaid / enterprise programmes</w:t>
            </w:r>
          </w:p>
        </w:tc>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Listed but narrower and different revenue mix.</w:t>
            </w:r>
          </w:p>
        </w:tc>
      </w:tr>
      <w:tr>
        <w:tc>
          <w:tcPr>
            <w:tcW w:type="dxa" w:w="1643"/>
            <w:vAlign w:val="top"/>
          </w:tcPr>
          <w:p>
            <w:pPr>
              <w:spacing w:after="60" w:before="20" w:line="276" w:lineRule="auto"/>
            </w:pPr>
            <w:r/>
            <w:r>
              <w:rPr>
                <w:rFonts w:ascii="Times New Roman" w:hAnsi="Times New Roman" w:cs="Times New Roman" w:eastAsia="Times New Roman"/>
                <w:b w:val="0"/>
                <w:i w:val="0"/>
                <w:color w:val="000000"/>
                <w:sz w:val="20"/>
                <w:u w:val="none"/>
              </w:rPr>
              <w:t>Razorpay</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Online acceptance, merchant software and business-finance tools</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Online and merchant-SaaS adjacency</w:t>
            </w:r>
          </w:p>
        </w:tc>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Private; public financial comparability limited.</w:t>
            </w:r>
          </w:p>
        </w:tc>
      </w:tr>
      <w:tr>
        <w:tc>
          <w:tcPr>
            <w:tcW w:type="dxa" w:w="1643"/>
            <w:vAlign w:val="top"/>
          </w:tcPr>
          <w:p>
            <w:pPr>
              <w:spacing w:after="60" w:before="20" w:line="276" w:lineRule="auto"/>
            </w:pPr>
            <w:r/>
            <w:r>
              <w:rPr>
                <w:rFonts w:ascii="Times New Roman" w:hAnsi="Times New Roman" w:cs="Times New Roman" w:eastAsia="Times New Roman"/>
                <w:b w:val="0"/>
                <w:i w:val="0"/>
                <w:color w:val="000000"/>
                <w:sz w:val="20"/>
                <w:u w:val="none"/>
              </w:rPr>
              <w:t>Adyen / Worldline</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Global acquiring, processing and cross-border services</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Infrastructure / acquiring benchmark</w:t>
            </w:r>
          </w:p>
        </w:tc>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Different markets, scale, licensing and accounting; not a local peer multiple set.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Qualitative description only; company disclosures and public descriptions. No peer valuation multiples are asserted.</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13.2 MARKET AND LTM CALCULATION</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31. Illustrative valuation snapshot as at 1 October 2026</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630"/>
            <w:vAlign w:val="top"/>
          </w:tcPr>
          <w:p>
            <w:pPr>
              <w:spacing w:after="60" w:before="20" w:line="276" w:lineRule="auto"/>
              <w:jc w:val="center"/>
            </w:pPr>
            <w:r/>
            <w:r>
              <w:rPr>
                <w:rFonts w:ascii="Times New Roman" w:hAnsi="Times New Roman" w:cs="Times New Roman" w:eastAsia="Times New Roman"/>
                <w:b/>
                <w:i w:val="0"/>
                <w:color w:val="000000"/>
                <w:sz w:val="20"/>
                <w:u w:val="none"/>
              </w:rPr>
              <w:t>Item</w:t>
            </w:r>
          </w:p>
        </w:tc>
        <w:tc>
          <w:tcPr>
            <w:tcW w:type="dxa" w:w="2235"/>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4207"/>
            <w:vAlign w:val="top"/>
          </w:tcPr>
          <w:p>
            <w:pPr>
              <w:spacing w:after="60" w:before="20" w:line="276" w:lineRule="auto"/>
              <w:jc w:val="center"/>
            </w:pPr>
            <w:r/>
            <w:r>
              <w:rPr>
                <w:rFonts w:ascii="Times New Roman" w:hAnsi="Times New Roman" w:cs="Times New Roman" w:eastAsia="Times New Roman"/>
                <w:b/>
                <w:i w:val="0"/>
                <w:color w:val="000000"/>
                <w:sz w:val="20"/>
                <w:u w:val="none"/>
              </w:rPr>
              <w:t>Method / date caveat</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BSE close price</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₹167.55</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1 Oct 2026 close [11]</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Paid-up shares / capital proxy</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~115.39 crore shares</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₹115.39 crore paid-up equity capital at 30 Jun 2026; ₹1 face value; rounded basic count [5]</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Indicative equity market value</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₹19,334 crore</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Price × approximate paid-up shares; not fully diluted</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LTM revenue</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₹2,831.60 crore</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FY26 + Q1 FY27 − Q1 FY26</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LTM PAT</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₹127.29 crore</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FY26 + Q1 FY27 − Q1 FY26</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Indicative P/S</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6.83×</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Approx. market value / LTM revenue</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Indicative P/E</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152×</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Approx. market value / LTM PAT; positive but early earnings base</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Indicative P/B</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3.28×</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Market value / FY26 closing equity; mixed-date snapshot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calculations from BSE price, company interim paid-up capital and results. These are not company-published multiples; approximate share count excludes potential dilution and uses a rounded capital figure. [2,5,11]</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LTM calculations are: revenue = ₹2,710.59 crore + ₹736.92 crore − ₹615.91 crore = ₹2,831.60 crore; PAT = ₹112.51 crore + ₹19.57 crore − ₹4.79 crore = ₹127.29 crore. The market-cap proxy is approximately ₹19,334 crore. The 1 October close was about 24.2% below the ₹221 IPO issue price; this is a price comparison, not a total-return calculation and excludes dividends / corporate actions. [2,5,11]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13.3 P/B SENSITIVITY: AN ILLUSTRATIVE EXPECTATION TEST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Because Pine Labs’ current P/E is unusually sensitive to a relatively small positive PAT base, a simplified stable-growth P/B identity can illustrate the return expectations implied by a higher book multiple. Under P/B = (sustainable ROE − g) / (cost of equity − g), assume a 12% cost of equity and 4% long-term growth. Those assumptions are illustrative and are not Pine Labs forecasts. [15]</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32. Illustrative justified P/B sensitivity</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Sustainable ROE assumption</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Illustrative P/B at Ke 12%, g 4%</w:t>
            </w:r>
          </w:p>
        </w:tc>
      </w:tr>
      <w:tr>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12%</w:t>
            </w:r>
          </w:p>
        </w:tc>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1.00×</w:t>
            </w:r>
          </w:p>
        </w:tc>
      </w:tr>
      <w:tr>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16%</w:t>
            </w:r>
          </w:p>
        </w:tc>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1.50×</w:t>
            </w:r>
          </w:p>
        </w:tc>
      </w:tr>
      <w:tr>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20%</w:t>
            </w:r>
          </w:p>
        </w:tc>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2.00×</w:t>
            </w:r>
          </w:p>
        </w:tc>
      </w:tr>
      <w:tr>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24%</w:t>
            </w:r>
          </w:p>
        </w:tc>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2.50×</w:t>
            </w:r>
          </w:p>
        </w:tc>
      </w:tr>
      <w:tr>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30%</w:t>
            </w:r>
          </w:p>
        </w:tc>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3.25×</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calculation using the stable-growth relation. The market snapshot P/B of about 3.28× is close to the illustrative 30% ROE case, versus reported FY26 ROE of about 2.4%. This is not a price target or proof that 30% ROE will occur.</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13.4 VALUATION INTERPRETATION AND LIMITS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The LTM P/E of roughly 152× is high; it reflects both market expectations and the small recent earnings denominator. It can fall quickly if profit scales, or rise sharply if profit disappoints.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A P/S of roughly 6.8× requires meaningful future revenue growth and/or improved contribution and net margins to support equity value. It should not be compared without adjusting for business mix and cash obligations.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P/B uses FY26 closing equity while price is dated October 2026. Post-year-end share issues, ESOPs, acquisitions and results may alter both book value and share count.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Other bank balances include settlement / customer-related amounts, so a reliable enterprise-value calculation would require a careful unrestricted-cash and debt bridge; this report does not publish an EV/EBITDA multiple.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No discounted-cash-flow target is calculated because public cash-flow history is settlement-sensitive, earnings are early-cycle, and a forecast would require unsupported assumptions.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14</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LISTED-MARKET SNAPSHOT</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A dated price-range illustration, not a technical trading recommendation</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14.1 BSE PRICE SNAPSHOT</w:t>
      </w:r>
    </w:p>
    <w:p>
      <w:pPr>
        <w:spacing w:before="120" w:after="120" w:line="240" w:lineRule="auto"/>
        <w:jc w:val="center"/>
      </w:pPr>
      <w:r>
        <w:drawing>
          <wp:inline xmlns:a="http://schemas.openxmlformats.org/drawingml/2006/main" xmlns:pic="http://schemas.openxmlformats.org/drawingml/2006/picture">
            <wp:extent cx="5760720" cy="1824609"/>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1824609"/>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Figure 6. BSE price range and IPO issue-price reference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BSE quote page: close ₹167.55 and 52-week range ₹134.75–₹283.70 on 1 October 2026; IPO issue price ₹221 from prospectus. [1,11]</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33. Listed-market reference points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958"/>
            <w:vAlign w:val="top"/>
          </w:tcPr>
          <w:p>
            <w:pPr>
              <w:spacing w:after="60" w:before="20" w:line="276" w:lineRule="auto"/>
              <w:jc w:val="center"/>
            </w:pPr>
            <w:r/>
            <w:r>
              <w:rPr>
                <w:rFonts w:ascii="Times New Roman" w:hAnsi="Times New Roman" w:cs="Times New Roman" w:eastAsia="Times New Roman"/>
                <w:b/>
                <w:i w:val="0"/>
                <w:color w:val="000000"/>
                <w:sz w:val="20"/>
                <w:u w:val="none"/>
              </w:rPr>
              <w:t>Reference</w:t>
            </w:r>
          </w:p>
        </w:tc>
        <w:tc>
          <w:tcPr>
            <w:tcW w:type="dxa" w:w="1841"/>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4273"/>
            <w:vAlign w:val="top"/>
          </w:tcPr>
          <w:p>
            <w:pPr>
              <w:spacing w:after="60" w:before="20" w:line="276" w:lineRule="auto"/>
              <w:jc w:val="center"/>
            </w:pPr>
            <w:r/>
            <w:r>
              <w:rPr>
                <w:rFonts w:ascii="Times New Roman" w:hAnsi="Times New Roman" w:cs="Times New Roman" w:eastAsia="Times New Roman"/>
                <w:b/>
                <w:i w:val="0"/>
                <w:color w:val="000000"/>
                <w:sz w:val="20"/>
                <w:u w:val="none"/>
              </w:rPr>
              <w:t>Comment</w:t>
            </w:r>
          </w:p>
        </w:tc>
      </w:tr>
      <w:tr>
        <w:tc>
          <w:tcPr>
            <w:tcW w:type="dxa" w:w="2958"/>
            <w:vAlign w:val="top"/>
          </w:tcPr>
          <w:p>
            <w:pPr>
              <w:spacing w:after="60" w:before="20" w:line="276" w:lineRule="auto"/>
            </w:pPr>
            <w:r/>
            <w:r>
              <w:rPr>
                <w:rFonts w:ascii="Times New Roman" w:hAnsi="Times New Roman" w:cs="Times New Roman" w:eastAsia="Times New Roman"/>
                <w:b w:val="0"/>
                <w:i w:val="0"/>
                <w:color w:val="000000"/>
                <w:sz w:val="20"/>
                <w:u w:val="none"/>
              </w:rPr>
              <w:t>BSE closing price, 1 Oct 2026</w:t>
            </w:r>
          </w:p>
        </w:tc>
        <w:tc>
          <w:tcPr>
            <w:tcW w:type="dxa" w:w="1841"/>
            <w:vAlign w:val="top"/>
          </w:tcPr>
          <w:p>
            <w:pPr>
              <w:spacing w:after="60" w:before="20" w:line="276" w:lineRule="auto"/>
            </w:pPr>
            <w:r/>
            <w:r>
              <w:rPr>
                <w:rFonts w:ascii="Times New Roman" w:hAnsi="Times New Roman" w:cs="Times New Roman" w:eastAsia="Times New Roman"/>
                <w:b w:val="0"/>
                <w:i w:val="0"/>
                <w:color w:val="000000"/>
                <w:sz w:val="20"/>
                <w:u w:val="none"/>
              </w:rPr>
              <w:t>₹167.55</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Official BSE quote page; time-stamped close.</w:t>
            </w:r>
          </w:p>
        </w:tc>
      </w:tr>
      <w:tr>
        <w:tc>
          <w:tcPr>
            <w:tcW w:type="dxa" w:w="2958"/>
            <w:vAlign w:val="top"/>
          </w:tcPr>
          <w:p>
            <w:pPr>
              <w:spacing w:after="60" w:before="20" w:line="276" w:lineRule="auto"/>
            </w:pPr>
            <w:r/>
            <w:r>
              <w:rPr>
                <w:rFonts w:ascii="Times New Roman" w:hAnsi="Times New Roman" w:cs="Times New Roman" w:eastAsia="Times New Roman"/>
                <w:b w:val="0"/>
                <w:i w:val="0"/>
                <w:color w:val="000000"/>
                <w:sz w:val="20"/>
                <w:u w:val="none"/>
              </w:rPr>
              <w:t>BSE 52-week low / high</w:t>
            </w:r>
          </w:p>
        </w:tc>
        <w:tc>
          <w:tcPr>
            <w:tcW w:type="dxa" w:w="1841"/>
            <w:vAlign w:val="top"/>
          </w:tcPr>
          <w:p>
            <w:pPr>
              <w:spacing w:after="60" w:before="20" w:line="276" w:lineRule="auto"/>
            </w:pPr>
            <w:r/>
            <w:r>
              <w:rPr>
                <w:rFonts w:ascii="Times New Roman" w:hAnsi="Times New Roman" w:cs="Times New Roman" w:eastAsia="Times New Roman"/>
                <w:b w:val="0"/>
                <w:i w:val="0"/>
                <w:color w:val="000000"/>
                <w:sz w:val="20"/>
                <w:u w:val="none"/>
              </w:rPr>
              <w:t>₹134.75 / ₹283.70</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As displayed by BSE on the snapshot date; period is rolling and date-dependent.</w:t>
            </w:r>
          </w:p>
        </w:tc>
      </w:tr>
      <w:tr>
        <w:tc>
          <w:tcPr>
            <w:tcW w:type="dxa" w:w="2958"/>
            <w:vAlign w:val="top"/>
          </w:tcPr>
          <w:p>
            <w:pPr>
              <w:spacing w:after="60" w:before="20" w:line="276" w:lineRule="auto"/>
            </w:pPr>
            <w:r/>
            <w:r>
              <w:rPr>
                <w:rFonts w:ascii="Times New Roman" w:hAnsi="Times New Roman" w:cs="Times New Roman" w:eastAsia="Times New Roman"/>
                <w:b w:val="0"/>
                <w:i w:val="0"/>
                <w:color w:val="000000"/>
                <w:sz w:val="20"/>
                <w:u w:val="none"/>
              </w:rPr>
              <w:t>IPO issue price</w:t>
            </w:r>
          </w:p>
        </w:tc>
        <w:tc>
          <w:tcPr>
            <w:tcW w:type="dxa" w:w="1841"/>
            <w:vAlign w:val="top"/>
          </w:tcPr>
          <w:p>
            <w:pPr>
              <w:spacing w:after="60" w:before="20" w:line="276" w:lineRule="auto"/>
            </w:pPr>
            <w:r/>
            <w:r>
              <w:rPr>
                <w:rFonts w:ascii="Times New Roman" w:hAnsi="Times New Roman" w:cs="Times New Roman" w:eastAsia="Times New Roman"/>
                <w:b w:val="0"/>
                <w:i w:val="0"/>
                <w:color w:val="000000"/>
                <w:sz w:val="20"/>
                <w:u w:val="none"/>
              </w:rPr>
              <w:t>₹221</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Offer price in the prospectus; comparison does not include dividends.</w:t>
            </w:r>
          </w:p>
        </w:tc>
      </w:tr>
      <w:tr>
        <w:tc>
          <w:tcPr>
            <w:tcW w:type="dxa" w:w="2958"/>
            <w:vAlign w:val="top"/>
          </w:tcPr>
          <w:p>
            <w:pPr>
              <w:spacing w:after="60" w:before="20" w:line="276" w:lineRule="auto"/>
            </w:pPr>
            <w:r/>
            <w:r>
              <w:rPr>
                <w:rFonts w:ascii="Times New Roman" w:hAnsi="Times New Roman" w:cs="Times New Roman" w:eastAsia="Times New Roman"/>
                <w:b w:val="0"/>
                <w:i w:val="0"/>
                <w:color w:val="000000"/>
                <w:sz w:val="20"/>
                <w:u w:val="none"/>
              </w:rPr>
              <w:t>Price versus issue price</w:t>
            </w:r>
          </w:p>
        </w:tc>
        <w:tc>
          <w:tcPr>
            <w:tcW w:type="dxa" w:w="1841"/>
            <w:vAlign w:val="top"/>
          </w:tcPr>
          <w:p>
            <w:pPr>
              <w:spacing w:after="60" w:before="20" w:line="276" w:lineRule="auto"/>
            </w:pPr>
            <w:r/>
            <w:r>
              <w:rPr>
                <w:rFonts w:ascii="Times New Roman" w:hAnsi="Times New Roman" w:cs="Times New Roman" w:eastAsia="Times New Roman"/>
                <w:b w:val="0"/>
                <w:i w:val="0"/>
                <w:color w:val="000000"/>
                <w:sz w:val="20"/>
                <w:u w:val="none"/>
              </w:rPr>
              <w:t>−24.2%</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Calculated from closing price / issue price − 1; not total shareholder return.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calculation from the BSE quote page and Pine Labs prospectus. [1,11]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14.2 SCOPE OF TECHNICAL ANALYSIS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chart is a price-range snapshot, not a time-series chart. RSI, MACD, moving averages, support / resistance, beta and volatility were not computed because a validated adjusted daily-price series was not assembled for this report. Intraday quotes from third-party sites differed from the BSE close; the BSE official close is used consistently. A technical signal would require an explicitly sourced, corporate-action-adjusted daily series and an identified time horizon.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an academic report, the market chapter should be refreshed before final submission if the evaluation requires a live-price date, and the valuation calculations should be updated using the same market date and fully diluted share count.</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15</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RISK ANALYSIS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Principal business, financial, regulatory and market risks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15.1 RISK REGISTER</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34. Risk register (qualitative ratings)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1775"/>
            <w:vAlign w:val="top"/>
          </w:tcPr>
          <w:p>
            <w:pPr>
              <w:spacing w:after="60" w:before="20" w:line="276" w:lineRule="auto"/>
              <w:jc w:val="center"/>
            </w:pPr>
            <w:r/>
            <w:r>
              <w:rPr>
                <w:rFonts w:ascii="Times New Roman" w:hAnsi="Times New Roman" w:cs="Times New Roman" w:eastAsia="Times New Roman"/>
                <w:b/>
                <w:i w:val="0"/>
                <w:color w:val="000000"/>
                <w:sz w:val="18"/>
                <w:u w:val="none"/>
              </w:rPr>
              <w:t>Risk</w:t>
            </w:r>
          </w:p>
        </w:tc>
        <w:tc>
          <w:tcPr>
            <w:tcW w:type="dxa" w:w="1025"/>
            <w:vAlign w:val="top"/>
          </w:tcPr>
          <w:p>
            <w:pPr>
              <w:spacing w:after="60" w:before="20" w:line="276" w:lineRule="auto"/>
              <w:jc w:val="center"/>
            </w:pPr>
            <w:r/>
            <w:r>
              <w:rPr>
                <w:rFonts w:ascii="Times New Roman" w:hAnsi="Times New Roman" w:cs="Times New Roman" w:eastAsia="Times New Roman"/>
                <w:b/>
                <w:i w:val="0"/>
                <w:color w:val="000000"/>
                <w:sz w:val="18"/>
                <w:u w:val="none"/>
              </w:rPr>
              <w:t>Likelihood</w:t>
            </w:r>
          </w:p>
        </w:tc>
        <w:tc>
          <w:tcPr>
            <w:tcW w:type="dxa" w:w="986"/>
            <w:vAlign w:val="top"/>
          </w:tcPr>
          <w:p>
            <w:pPr>
              <w:spacing w:after="60" w:before="20" w:line="276" w:lineRule="auto"/>
              <w:jc w:val="center"/>
            </w:pPr>
            <w:r/>
            <w:r>
              <w:rPr>
                <w:rFonts w:ascii="Times New Roman" w:hAnsi="Times New Roman" w:cs="Times New Roman" w:eastAsia="Times New Roman"/>
                <w:b/>
                <w:i w:val="0"/>
                <w:color w:val="000000"/>
                <w:sz w:val="18"/>
                <w:u w:val="none"/>
              </w:rPr>
              <w:t>Impact</w:t>
            </w:r>
          </w:p>
        </w:tc>
        <w:tc>
          <w:tcPr>
            <w:tcW w:type="dxa" w:w="2958"/>
            <w:vAlign w:val="top"/>
          </w:tcPr>
          <w:p>
            <w:pPr>
              <w:spacing w:after="60" w:before="20" w:line="276" w:lineRule="auto"/>
              <w:jc w:val="center"/>
            </w:pPr>
            <w:r/>
            <w:r>
              <w:rPr>
                <w:rFonts w:ascii="Times New Roman" w:hAnsi="Times New Roman" w:cs="Times New Roman" w:eastAsia="Times New Roman"/>
                <w:b/>
                <w:i w:val="0"/>
                <w:color w:val="000000"/>
                <w:sz w:val="18"/>
                <w:u w:val="none"/>
              </w:rPr>
              <w:t>Exposure</w:t>
            </w:r>
          </w:p>
        </w:tc>
        <w:tc>
          <w:tcPr>
            <w:tcW w:type="dxa" w:w="2327"/>
            <w:vAlign w:val="top"/>
          </w:tcPr>
          <w:p>
            <w:pPr>
              <w:spacing w:after="60" w:before="20" w:line="276" w:lineRule="auto"/>
              <w:jc w:val="center"/>
            </w:pPr>
            <w:r/>
            <w:r>
              <w:rPr>
                <w:rFonts w:ascii="Times New Roman" w:hAnsi="Times New Roman" w:cs="Times New Roman" w:eastAsia="Times New Roman"/>
                <w:b/>
                <w:i w:val="0"/>
                <w:color w:val="000000"/>
                <w:sz w:val="18"/>
                <w:u w:val="none"/>
              </w:rPr>
              <w:t>Monitoring / mitigation</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Payment regulation / licence perimeter</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Rules on aggregators, stored value, cross-border payments, outsourcing and customer-fund handling may change; obligations depend on entity / product.</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Map permissions and obligations by entity; monitor RBI notices and audit findings.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Cybersecurity, fraud and service continuity</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A platform outage, data incident or fraud spike can affect customers, settlement and reputation.</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Track uptime, incident rates, recovery tests, fraud loss and independent security assurance.</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Price / fee compression and monetization</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Large transaction volumes may have low yield; UPI and competing providers can pressure pricing.</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Track revenue/GTV by product, active DCPs, contribution and renewal economics.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Customer and partner concentration</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Top 10 customers were 30.95% of FY25 revenue; major banks, networks and merchants influence volume.</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Update latest concentration, churn, renewal pipeline and counterparty exposure.</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Cash conversion / settlement timing</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Medium–High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Operating cash flow is volatile; prepaid, settlement and early-settlement balances affect reported CFO.</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Reconcile restricted cash, early settlements, days receivable, prepaid liabilities and normalized CFO.</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Acquisition integration / goodwill</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Multiple acquisitions and new products create integration and impairment risk.</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Track product migration, customer retention, synergies, integration spend and acquired cash flows.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International execution / FX</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Medium–High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Local licences, currency, settlement and partner requirements can increase complexity.</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Report geography-level revenue, contribution, working capital, FX and regulatory status.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Share dilution / incentives</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ESOPs and equity conversions affect fully diluted share count and per-share value.</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Use fully diluted shares and reconcile compensation expense / grants.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Valuation / expectations</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A high P/E and P/S leave limited tolerance for growth, margin or cash-flow disappointment.</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Stress-test operating scenarios; distinguish business quality from entry valuation.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Likelihood and impact ratings are the author’s qualitative assessment, not company ratings or a quantitative probability model. Customer concentration refers to FY25 prospectus disclosure. [1,2,5,11]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15.2 EARLY-WARNING DASHBOARD</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35. Indicators to track each quarter</w:t>
      </w:r>
    </w:p>
    <w:tbl>
      <w:tblPr>
        <w:tblStyle w:val="TableGrid"/>
        <w:tblW w:type="auto" w:w="0"/>
        <w:jc w:val="center"/>
        <w:tblLayout w:type="fixed"/>
        <w:tblLook w:firstColumn="1" w:firstRow="1" w:lastColumn="0" w:lastRow="0" w:noHBand="0" w:noVBand="1" w:val="04A0"/>
      </w:tblPr>
      <w:tblGrid>
        <w:gridCol w:w="5146"/>
        <w:gridCol w:w="5146"/>
      </w:tblGrid>
      <w:tr>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Risk area</w:t>
            </w:r>
          </w:p>
        </w:tc>
        <w:tc>
          <w:tcPr>
            <w:tcW w:type="dxa" w:w="7166"/>
            <w:vAlign w:val="top"/>
          </w:tcPr>
          <w:p>
            <w:pPr>
              <w:spacing w:after="60" w:before="20" w:line="276" w:lineRule="auto"/>
              <w:jc w:val="center"/>
            </w:pPr>
            <w:r/>
            <w:r>
              <w:rPr>
                <w:rFonts w:ascii="Times New Roman" w:hAnsi="Times New Roman" w:cs="Times New Roman" w:eastAsia="Times New Roman"/>
                <w:b/>
                <w:i w:val="0"/>
                <w:color w:val="000000"/>
                <w:sz w:val="20"/>
                <w:u w:val="none"/>
              </w:rPr>
              <w:t>Useful leading indicator</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Monetization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Revenue/GTV by product and geography; active DCP rate; recurring service revenue; net revenue per active merchant.</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Margin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Contribution margin by segment; adjusted EBITDA reconciliation; reported PAT and share-based payment expense.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Cash</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CFO-to-PAT over rolling 12 months; customer / settlement balances; unrestricted cash; early settlement amounts.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Concentration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Top 10 / top 1 revenue, top bank and network dependencies, churn / renewal and payment-method mix.</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Resilience</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Payment uptime, confirmed cyber events, fraud loss, dispute/refund rates, settlement delay and recovery test results.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Capital allocation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Acquisition cash outlay vs acquired contribution, impairment, capex, ESOP dilution and return on invested capital.</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Author’s suggested monitoring schedule. Public disclosure may not provide all indicators.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16</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ESG AND RESPONSIBLE FINTECH</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Environmental footprint, customer outcomes and governance priorities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16.1 ENVIRONMENTAL CONSIDERATIONS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payments-technology company has a physical footprint through POS terminals, accessories, device logistics and end-of-life electronic equipment, alongside cloud / data-centre and office energy use. Pine Labs’ large DCP base makes device durability, repair, reuse and compliant e-waste handling relevant. The disclosures reviewed for this project do not provide a complete, independently assured emissions inventory or a verified device take-back rate; no ESG performance score is assigned.</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16.2 SOCIAL CONSIDERATIONS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Digital acceptance can help smaller merchants participate in formal commerce, but merchant fees, settlement predictability and accessible support influence whether benefits are shared.</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Affordability and credit-linked products require transparent consent, clear lender identity, fair communication, complaint resolution and responsible treatment of declined or delinquent customers.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Payment security, fraud prevention, accessibility and language support affect end users as much as merchants.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Workforce considerations include field-team safety, diversity, skill development and fair treatment across direct employees and contractors.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16.3 GOVERNANCE AND TRUST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Payments are trust-intensive. Strong governance requires clear accountability for customer money, data access, algorithmic or AI decisions, outsourcing, cyber incidents, settlement delays, dispute handling and cross-border processing. The absence of an identifiable promoter at the IPO and a complex acquisition history heighten the importance of board oversight, independent challenge, audit quality and transparent non-GAAP reporting. [1,2]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16.4 SUGGESTED ESG DISCLOSURES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36. Potential metrics for future disclosure</w:t>
      </w:r>
    </w:p>
    <w:tbl>
      <w:tblPr>
        <w:tblStyle w:val="TableGrid"/>
        <w:tblW w:type="auto" w:w="0"/>
        <w:jc w:val="center"/>
        <w:tblLayout w:type="fixed"/>
        <w:tblLook w:firstColumn="1" w:firstRow="1" w:lastColumn="0" w:lastRow="0" w:noHBand="0" w:noVBand="1" w:val="04A0"/>
      </w:tblPr>
      <w:tblGrid>
        <w:gridCol w:w="5146"/>
        <w:gridCol w:w="5146"/>
      </w:tblGrid>
      <w:tr>
        <w:tc>
          <w:tcPr>
            <w:tcW w:type="dxa" w:w="2038"/>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7034"/>
            <w:vAlign w:val="top"/>
          </w:tcPr>
          <w:p>
            <w:pPr>
              <w:spacing w:after="60" w:before="20" w:line="276" w:lineRule="auto"/>
              <w:jc w:val="center"/>
            </w:pPr>
            <w:r/>
            <w:r>
              <w:rPr>
                <w:rFonts w:ascii="Times New Roman" w:hAnsi="Times New Roman" w:cs="Times New Roman" w:eastAsia="Times New Roman"/>
                <w:b/>
                <w:i w:val="0"/>
                <w:color w:val="000000"/>
                <w:sz w:val="20"/>
                <w:u w:val="none"/>
              </w:rPr>
              <w:t>Suggested measurable indicator</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Environment</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Scope 1–3 emissions; energy per transaction; terminal repair / refurbishment rate; e-waste collection and certified recycling.</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Merchant inclusion</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Small / micro-merchant share, rural / tier distribution, activation and survival rates, settlement timeliness.</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Consumer protection</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Complaints per million transactions, resolution time, fraud loss / chargeback rates, credit-product consent and lender clarity.</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People</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Workforce composition, safety incidents, training, contractor coverage and employee turnover.</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Governance / cyber</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Material incidents, uptime, recovery tests, risk committee oversight, privacy complaints and third-party assurance.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Capital allocation</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Acquisition-level integration and return metrics; ESOP dilution; board evaluation and related-party transparency.</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Recommendations by the author; not claims that these metrics are currently reported.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17</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INTERNSHIP EXPERIENCE AND PROJECT LEARNING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I completed my summer internship at </w:t>
      </w:r>
      <w:r>
        <w:rPr>
          <w:rFonts w:ascii="Times New Roman" w:hAnsi="Times New Roman" w:cs="Times New Roman" w:eastAsia="Times New Roman"/>
          <w:b/>
          <w:i w:val="0"/>
          <w:color w:val="000000"/>
          <w:sz w:val="24"/>
          <w:u w:val="none"/>
        </w:rPr>
        <w:t>Rosy Blue Securities Pvt. Ltd.</w:t>
      </w:r>
      <w:r>
        <w:rPr>
          <w:rFonts w:ascii="Times New Roman" w:hAnsi="Times New Roman" w:cs="Times New Roman" w:eastAsia="Times New Roman"/>
          <w:b w:val="0"/>
          <w:i w:val="0"/>
          <w:color w:val="000000"/>
          <w:sz w:val="24"/>
          <w:u w:val="none"/>
        </w:rPr>
        <w:t xml:space="preserve">, Mumbai, as a </w:t>
      </w:r>
      <w:r>
        <w:rPr>
          <w:rFonts w:ascii="Times New Roman" w:hAnsi="Times New Roman" w:cs="Times New Roman" w:eastAsia="Times New Roman"/>
          <w:b/>
          <w:i w:val="0"/>
          <w:color w:val="000000"/>
          <w:sz w:val="24"/>
          <w:u w:val="none"/>
        </w:rPr>
        <w:t>Dealer and Analyst</w:t>
      </w:r>
      <w:r>
        <w:rPr>
          <w:rFonts w:ascii="Times New Roman" w:hAnsi="Times New Roman" w:cs="Times New Roman" w:eastAsia="Times New Roman"/>
          <w:b w:val="0"/>
          <w:i w:val="0"/>
          <w:color w:val="000000"/>
          <w:sz w:val="24"/>
          <w:u w:val="none"/>
        </w:rPr>
        <w:t>. This chapter records the organisation where I worked, the role I performed, the trading terminals and market segments I learned, and the professional and analytical skills I developed during the internship period.</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17.1 THE INTERNSHIP ORGANISATION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Rosy Blue Securities Pvt. Ltd. is a Mumbai-based stock-broking firm that provides trading and investment services to retail and HNI clients in the Indian securities market. The firm facilitates dealing in the </w:t>
      </w:r>
      <w:r>
        <w:rPr>
          <w:rFonts w:ascii="Times New Roman" w:hAnsi="Times New Roman" w:cs="Times New Roman" w:eastAsia="Times New Roman"/>
          <w:b/>
          <w:i w:val="0"/>
          <w:color w:val="000000"/>
          <w:sz w:val="24"/>
          <w:u w:val="none"/>
        </w:rPr>
        <w:t>Cash segment</w:t>
      </w:r>
      <w:r>
        <w:rPr>
          <w:rFonts w:ascii="Times New Roman" w:hAnsi="Times New Roman" w:cs="Times New Roman" w:eastAsia="Times New Roman"/>
          <w:b w:val="0"/>
          <w:i w:val="0"/>
          <w:color w:val="000000"/>
          <w:sz w:val="24"/>
          <w:u w:val="none"/>
        </w:rPr>
        <w:t xml:space="preserve"> and the </w:t>
      </w:r>
      <w:r>
        <w:rPr>
          <w:rFonts w:ascii="Times New Roman" w:hAnsi="Times New Roman" w:cs="Times New Roman" w:eastAsia="Times New Roman"/>
          <w:b/>
          <w:i w:val="0"/>
          <w:color w:val="000000"/>
          <w:sz w:val="24"/>
          <w:u w:val="none"/>
        </w:rPr>
        <w:t>Futures &amp; Options (F&amp;O) segment</w:t>
      </w:r>
      <w:r>
        <w:rPr>
          <w:rFonts w:ascii="Times New Roman" w:hAnsi="Times New Roman" w:cs="Times New Roman" w:eastAsia="Times New Roman"/>
          <w:b w:val="0"/>
          <w:i w:val="0"/>
          <w:color w:val="000000"/>
          <w:sz w:val="24"/>
          <w:u w:val="none"/>
        </w:rPr>
        <w:t xml:space="preserve"> of the exchange, supported by back-office, depository and client-servicing functions. The dealing desk is the operational centre of the business: client instructions are received during market hours, routed to the exchange through trading terminals, confirmed back to the client and settled through the back office.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firm works within the regulatory framework set by SEBI and the stock exchanges. Client onboarding involves KYC documentation, client codes and risk disclosures, and every order executed on the terminal carries the client code for which it belongs. Observing this discipline taught me that a broking business runs on trust, records and compliance as much as on market skills.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Working at the dealing desk gave me first-hand exposure to live market working—order flow, price movement, margins, exposure and the speed at which decisions must be taken. It also showed me how compliance, client relationships and market knowledge come together in a securities broking business.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17.2 MY ROLE: DEALER AND ANALYST</w:t>
      </w:r>
    </w:p>
    <w:p>
      <w:pPr>
        <w:keepNext w:val="0"/>
        <w:pageBreakBefore w:val="0"/>
        <w:spacing w:after="80" w:before="0" w:line="360" w:lineRule="auto"/>
        <w:jc w:val="both"/>
      </w:pPr>
      <w:r>
        <w:rPr>
          <w:rFonts w:ascii="Times New Roman" w:hAnsi="Times New Roman" w:cs="Times New Roman" w:eastAsia="Times New Roman"/>
          <w:b w:val="0"/>
          <w:i w:val="0"/>
          <w:color w:val="000000"/>
          <w:sz w:val="24"/>
          <w:u w:val="none"/>
        </w:rPr>
        <w:t xml:space="preserve">I worked in the dual role of </w:t>
      </w:r>
      <w:r>
        <w:rPr>
          <w:rFonts w:ascii="Times New Roman" w:hAnsi="Times New Roman" w:cs="Times New Roman" w:eastAsia="Times New Roman"/>
          <w:b/>
          <w:i w:val="0"/>
          <w:color w:val="000000"/>
          <w:sz w:val="24"/>
          <w:u w:val="none"/>
        </w:rPr>
        <w:t>Dealer</w:t>
      </w:r>
      <w:r>
        <w:rPr>
          <w:rFonts w:ascii="Times New Roman" w:hAnsi="Times New Roman" w:cs="Times New Roman" w:eastAsia="Times New Roman"/>
          <w:b w:val="0"/>
          <w:i w:val="0"/>
          <w:color w:val="000000"/>
          <w:sz w:val="24"/>
          <w:u w:val="none"/>
        </w:rPr>
        <w:t xml:space="preserve"> and </w:t>
      </w:r>
      <w:r>
        <w:rPr>
          <w:rFonts w:ascii="Times New Roman" w:hAnsi="Times New Roman" w:cs="Times New Roman" w:eastAsia="Times New Roman"/>
          <w:b/>
          <w:i w:val="0"/>
          <w:color w:val="000000"/>
          <w:sz w:val="24"/>
          <w:u w:val="none"/>
        </w:rPr>
        <w:t>Analyst</w:t>
      </w:r>
      <w:r>
        <w:rPr>
          <w:rFonts w:ascii="Times New Roman" w:hAnsi="Times New Roman" w:cs="Times New Roman" w:eastAsia="Times New Roman"/>
          <w:b w:val="0"/>
          <w:i w:val="0"/>
          <w:color w:val="000000"/>
          <w:sz w:val="24"/>
          <w:u w:val="none"/>
        </w:rPr>
        <w:t>. A typical day began before market hours with preparing the market watch, checking overnight cues and client instructions for the opening; the market hours were spent on the terminal executing and tracking orders; and the post-market time went into reconciling executed trades, updating records and preparing observations for the next session. My main duties and work performed during the internship were:</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Executed buying and selling of shares and derivatives on behalf of clients, strictly as per the instructions given by the clients.</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Operated trading terminals such as NEAT PLUS and CTCL for order entry, modification and cancellation.</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Tracked clients’ open positions, margins and exposure during market hours and reported order and trade status to clients.</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Learned the working of the Cash market and the F&amp;O market, including lot sizes, expiries and mark-to-market margins.</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Studied and applied option trading strategies and read trading charts to support dealing decisions.</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Prepared market and company-related observations to assist the analyst-side discussions with clients.</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Managed client relationships through clear communication, quick query resolution and timely reporting.</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Maintained records of trades executed and followed the firm’s compliance and confidentiality norms.</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80" w:before="0" w:line="360" w:lineRule="auto"/>
        <w:jc w:val="left"/>
      </w:pPr>
      <w:r>
        <w:rPr>
          <w:rFonts w:ascii="Times New Roman" w:hAnsi="Times New Roman" w:cs="Times New Roman" w:eastAsia="Times New Roman"/>
          <w:b/>
          <w:i w:val="0"/>
          <w:color w:val="000000"/>
          <w:sz w:val="24"/>
          <w:u w:val="none"/>
        </w:rPr>
        <w:t>My internship at a glance:</w:t>
      </w:r>
    </w:p>
    <w:tbl>
      <w:tblPr>
        <w:tblStyle w:val="TableGrid"/>
        <w:tblW w:type="auto" w:w="0"/>
        <w:jc w:val="center"/>
        <w:tblLayout w:type="fixed"/>
        <w:tblLook w:firstColumn="1" w:firstRow="1" w:lastColumn="0" w:lastRow="0" w:noHBand="0" w:noVBand="1" w:val="04A0"/>
      </w:tblPr>
      <w:tblGrid>
        <w:gridCol w:w="5146"/>
        <w:gridCol w:w="5146"/>
      </w:tblGrid>
      <w:tr>
        <w:tc>
          <w:tcPr>
            <w:tcW w:type="dxa" w:w="2736"/>
            <w:vAlign w:val="top"/>
          </w:tcPr>
          <w:p>
            <w:pPr>
              <w:spacing w:after="60" w:before="20" w:line="276" w:lineRule="auto"/>
              <w:jc w:val="left"/>
            </w:pPr>
            <w:r/>
            <w:r>
              <w:rPr>
                <w:rFonts w:ascii="Times New Roman" w:hAnsi="Times New Roman" w:cs="Times New Roman" w:eastAsia="Times New Roman"/>
                <w:b/>
                <w:i w:val="0"/>
                <w:color w:val="000000"/>
                <w:sz w:val="22"/>
                <w:u w:val="none"/>
              </w:rPr>
              <w:t>Internship host</w:t>
            </w:r>
          </w:p>
        </w:tc>
        <w:tc>
          <w:tcPr>
            <w:tcW w:type="dxa" w:w="6336"/>
            <w:vAlign w:val="top"/>
          </w:tcPr>
          <w:p>
            <w:pPr>
              <w:spacing w:after="60" w:before="20" w:line="276" w:lineRule="auto"/>
              <w:jc w:val="left"/>
            </w:pPr>
            <w:r/>
            <w:r>
              <w:rPr>
                <w:rFonts w:ascii="Times New Roman" w:hAnsi="Times New Roman" w:cs="Times New Roman" w:eastAsia="Times New Roman"/>
                <w:b w:val="0"/>
                <w:i w:val="0"/>
                <w:color w:val="000000"/>
                <w:sz w:val="22"/>
                <w:u w:val="none"/>
              </w:rPr>
              <w:t>Rosy Blue Securities Pvt. Ltd., Mumbai</w:t>
            </w:r>
          </w:p>
        </w:tc>
      </w:tr>
      <w:tr>
        <w:tc>
          <w:tcPr>
            <w:tcW w:type="dxa" w:w="2736"/>
            <w:vAlign w:val="top"/>
          </w:tcPr>
          <w:p>
            <w:pPr>
              <w:spacing w:after="60" w:before="20" w:line="276" w:lineRule="auto"/>
              <w:jc w:val="left"/>
            </w:pPr>
            <w:r/>
            <w:r>
              <w:rPr>
                <w:rFonts w:ascii="Times New Roman" w:hAnsi="Times New Roman" w:cs="Times New Roman" w:eastAsia="Times New Roman"/>
                <w:b/>
                <w:i w:val="0"/>
                <w:color w:val="000000"/>
                <w:sz w:val="22"/>
                <w:u w:val="none"/>
              </w:rPr>
              <w:t>My role</w:t>
            </w:r>
          </w:p>
        </w:tc>
        <w:tc>
          <w:tcPr>
            <w:tcW w:type="dxa" w:w="6336"/>
            <w:vAlign w:val="top"/>
          </w:tcPr>
          <w:p>
            <w:pPr>
              <w:spacing w:after="60" w:before="20" w:line="276" w:lineRule="auto"/>
              <w:jc w:val="left"/>
            </w:pPr>
            <w:r/>
            <w:r>
              <w:rPr>
                <w:rFonts w:ascii="Times New Roman" w:hAnsi="Times New Roman" w:cs="Times New Roman" w:eastAsia="Times New Roman"/>
                <w:b w:val="0"/>
                <w:i w:val="0"/>
                <w:color w:val="000000"/>
                <w:sz w:val="22"/>
                <w:u w:val="none"/>
              </w:rPr>
              <w:t>Dealer and Analyst</w:t>
            </w:r>
          </w:p>
        </w:tc>
      </w:tr>
      <w:tr>
        <w:tc>
          <w:tcPr>
            <w:tcW w:type="dxa" w:w="2736"/>
            <w:vAlign w:val="top"/>
          </w:tcPr>
          <w:p>
            <w:pPr>
              <w:spacing w:after="60" w:before="20" w:line="276" w:lineRule="auto"/>
              <w:jc w:val="left"/>
            </w:pPr>
            <w:r/>
            <w:r>
              <w:rPr>
                <w:rFonts w:ascii="Times New Roman" w:hAnsi="Times New Roman" w:cs="Times New Roman" w:eastAsia="Times New Roman"/>
                <w:b/>
                <w:i w:val="0"/>
                <w:color w:val="000000"/>
                <w:sz w:val="22"/>
                <w:u w:val="none"/>
              </w:rPr>
              <w:t>Market segments handled</w:t>
            </w:r>
          </w:p>
        </w:tc>
        <w:tc>
          <w:tcPr>
            <w:tcW w:type="dxa" w:w="6336"/>
            <w:vAlign w:val="top"/>
          </w:tcPr>
          <w:p>
            <w:pPr>
              <w:spacing w:after="60" w:before="20" w:line="276" w:lineRule="auto"/>
              <w:jc w:val="left"/>
            </w:pPr>
            <w:r/>
            <w:r>
              <w:rPr>
                <w:rFonts w:ascii="Times New Roman" w:hAnsi="Times New Roman" w:cs="Times New Roman" w:eastAsia="Times New Roman"/>
                <w:b w:val="0"/>
                <w:i w:val="0"/>
                <w:color w:val="000000"/>
                <w:sz w:val="22"/>
                <w:u w:val="none"/>
              </w:rPr>
              <w:t>Cash market and F&amp;O market</w:t>
            </w:r>
          </w:p>
        </w:tc>
      </w:tr>
      <w:tr>
        <w:tc>
          <w:tcPr>
            <w:tcW w:type="dxa" w:w="2736"/>
            <w:vAlign w:val="top"/>
          </w:tcPr>
          <w:p>
            <w:pPr>
              <w:spacing w:after="60" w:before="20" w:line="276" w:lineRule="auto"/>
              <w:jc w:val="left"/>
            </w:pPr>
            <w:r/>
            <w:r>
              <w:rPr>
                <w:rFonts w:ascii="Times New Roman" w:hAnsi="Times New Roman" w:cs="Times New Roman" w:eastAsia="Times New Roman"/>
                <w:b/>
                <w:i w:val="0"/>
                <w:color w:val="000000"/>
                <w:sz w:val="22"/>
                <w:u w:val="none"/>
              </w:rPr>
              <w:t>Trading terminals used</w:t>
            </w:r>
          </w:p>
        </w:tc>
        <w:tc>
          <w:tcPr>
            <w:tcW w:type="dxa" w:w="6336"/>
            <w:vAlign w:val="top"/>
          </w:tcPr>
          <w:p>
            <w:pPr>
              <w:spacing w:after="60" w:before="20" w:line="276" w:lineRule="auto"/>
              <w:jc w:val="left"/>
            </w:pPr>
            <w:r/>
            <w:r>
              <w:rPr>
                <w:rFonts w:ascii="Times New Roman" w:hAnsi="Times New Roman" w:cs="Times New Roman" w:eastAsia="Times New Roman"/>
                <w:b w:val="0"/>
                <w:i w:val="0"/>
                <w:color w:val="000000"/>
                <w:sz w:val="22"/>
                <w:u w:val="none"/>
              </w:rPr>
              <w:t>NEAT PLUS, CTCL</w:t>
            </w:r>
          </w:p>
        </w:tc>
      </w:tr>
      <w:tr>
        <w:tc>
          <w:tcPr>
            <w:tcW w:type="dxa" w:w="2736"/>
            <w:vAlign w:val="top"/>
          </w:tcPr>
          <w:p>
            <w:pPr>
              <w:spacing w:after="60" w:before="20" w:line="276" w:lineRule="auto"/>
              <w:jc w:val="left"/>
            </w:pPr>
            <w:r/>
            <w:r>
              <w:rPr>
                <w:rFonts w:ascii="Times New Roman" w:hAnsi="Times New Roman" w:cs="Times New Roman" w:eastAsia="Times New Roman"/>
                <w:b/>
                <w:i w:val="0"/>
                <w:color w:val="000000"/>
                <w:sz w:val="22"/>
                <w:u w:val="none"/>
              </w:rPr>
              <w:t>Core work</w:t>
            </w:r>
          </w:p>
        </w:tc>
        <w:tc>
          <w:tcPr>
            <w:tcW w:type="dxa" w:w="6336"/>
            <w:vAlign w:val="top"/>
          </w:tcPr>
          <w:p>
            <w:pPr>
              <w:spacing w:after="60" w:before="20" w:line="276" w:lineRule="auto"/>
              <w:jc w:val="left"/>
            </w:pPr>
            <w:r/>
            <w:r>
              <w:rPr>
                <w:rFonts w:ascii="Times New Roman" w:hAnsi="Times New Roman" w:cs="Times New Roman" w:eastAsia="Times New Roman"/>
                <w:b w:val="0"/>
                <w:i w:val="0"/>
                <w:color w:val="000000"/>
                <w:sz w:val="22"/>
                <w:u w:val="none"/>
              </w:rPr>
              <w:t>Buying and selling / trading on behalf of clients as per their instructions; analysis support to the desk</w:t>
            </w:r>
          </w:p>
        </w:tc>
      </w:tr>
      <w:tr>
        <w:tc>
          <w:tcPr>
            <w:tcW w:type="dxa" w:w="2736"/>
            <w:vAlign w:val="top"/>
          </w:tcPr>
          <w:p>
            <w:pPr>
              <w:spacing w:after="60" w:before="20" w:line="276" w:lineRule="auto"/>
              <w:jc w:val="left"/>
            </w:pPr>
            <w:r/>
            <w:r>
              <w:rPr>
                <w:rFonts w:ascii="Times New Roman" w:hAnsi="Times New Roman" w:cs="Times New Roman" w:eastAsia="Times New Roman"/>
                <w:b/>
                <w:i w:val="0"/>
                <w:color w:val="000000"/>
                <w:sz w:val="22"/>
                <w:u w:val="none"/>
              </w:rPr>
              <w:t>Key learning</w:t>
            </w:r>
          </w:p>
        </w:tc>
        <w:tc>
          <w:tcPr>
            <w:tcW w:type="dxa" w:w="6336"/>
            <w:vAlign w:val="top"/>
          </w:tcPr>
          <w:p>
            <w:pPr>
              <w:spacing w:after="60" w:before="20" w:line="276" w:lineRule="auto"/>
              <w:jc w:val="left"/>
            </w:pPr>
            <w:r/>
            <w:r>
              <w:rPr>
                <w:rFonts w:ascii="Times New Roman" w:hAnsi="Times New Roman" w:cs="Times New Roman" w:eastAsia="Times New Roman"/>
                <w:b w:val="0"/>
                <w:i w:val="0"/>
                <w:color w:val="000000"/>
                <w:sz w:val="22"/>
                <w:u w:val="none"/>
              </w:rPr>
              <w:t>Option strategies, trading charts, EIC / company / business analysis, client relationship management, quick decision making</w:t>
            </w:r>
          </w:p>
        </w:tc>
      </w:tr>
      <w:tr>
        <w:tc>
          <w:tcPr>
            <w:tcW w:type="dxa" w:w="2736"/>
            <w:vAlign w:val="top"/>
          </w:tcPr>
          <w:p>
            <w:pPr>
              <w:spacing w:after="60" w:before="20" w:line="276" w:lineRule="auto"/>
              <w:jc w:val="left"/>
            </w:pPr>
            <w:r/>
            <w:r>
              <w:rPr>
                <w:rFonts w:ascii="Times New Roman" w:hAnsi="Times New Roman" w:cs="Times New Roman" w:eastAsia="Times New Roman"/>
                <w:b/>
                <w:i w:val="0"/>
                <w:color w:val="000000"/>
                <w:sz w:val="22"/>
                <w:u w:val="none"/>
              </w:rPr>
              <w:t>Internship period</w:t>
            </w:r>
          </w:p>
        </w:tc>
        <w:tc>
          <w:tcPr>
            <w:tcW w:type="dxa" w:w="6336"/>
            <w:vAlign w:val="top"/>
          </w:tcPr>
          <w:p>
            <w:pPr>
              <w:spacing w:after="60" w:before="20" w:line="276" w:lineRule="auto"/>
              <w:jc w:val="left"/>
            </w:pPr>
            <w:r/>
            <w:r>
              <w:rPr>
                <w:rFonts w:ascii="Times New Roman" w:hAnsi="Times New Roman" w:cs="Times New Roman" w:eastAsia="Times New Roman"/>
                <w:b w:val="0"/>
                <w:i w:val="0"/>
                <w:color w:val="000000"/>
                <w:sz w:val="22"/>
                <w:u w:val="none"/>
              </w:rPr>
              <w:t>From ______ to ______ (as per authentic records)</w:t>
            </w:r>
          </w:p>
        </w:tc>
      </w:tr>
    </w:tbl>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17.3 TRADING TERMINALS: NEAT PLUS AND CTCL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The primary dealing tool I learned was the exchange trading terminal. </w:t>
      </w:r>
      <w:r>
        <w:rPr>
          <w:rFonts w:ascii="Times New Roman" w:hAnsi="Times New Roman" w:cs="Times New Roman" w:eastAsia="Times New Roman"/>
          <w:b/>
          <w:i w:val="0"/>
          <w:color w:val="000000"/>
          <w:sz w:val="24"/>
          <w:u w:val="none"/>
        </w:rPr>
        <w:t>NEAT PLUS</w:t>
      </w:r>
      <w:r>
        <w:rPr>
          <w:rFonts w:ascii="Times New Roman" w:hAnsi="Times New Roman" w:cs="Times New Roman" w:eastAsia="Times New Roman"/>
          <w:b w:val="0"/>
          <w:i w:val="0"/>
          <w:color w:val="000000"/>
          <w:sz w:val="24"/>
          <w:u w:val="none"/>
        </w:rPr>
        <w:t xml:space="preserve"> is the NSE trading terminal through which dealers view the live market watch, place orders, modify or cancel them and track order and trade status. I learned to set up market watches, read the bid-ask screen, enter market and limit orders correctly, and verify each trade confirmation before reporting it to the client.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I also learned </w:t>
      </w:r>
      <w:r>
        <w:rPr>
          <w:rFonts w:ascii="Times New Roman" w:hAnsi="Times New Roman" w:cs="Times New Roman" w:eastAsia="Times New Roman"/>
          <w:b/>
          <w:i w:val="0"/>
          <w:color w:val="000000"/>
          <w:sz w:val="24"/>
          <w:u w:val="none"/>
        </w:rPr>
        <w:t>CTCL (Computer to Computer Link)</w:t>
      </w:r>
      <w:r>
        <w:rPr>
          <w:rFonts w:ascii="Times New Roman" w:hAnsi="Times New Roman" w:cs="Times New Roman" w:eastAsia="Times New Roman"/>
          <w:b w:val="0"/>
          <w:i w:val="0"/>
          <w:color w:val="000000"/>
          <w:sz w:val="24"/>
          <w:u w:val="none"/>
        </w:rPr>
        <w:t>, which connects the firm’s order-management setup to the exchange for faster, higher-volume order flow. Working on both terminals taught me the importance of accuracy—a wrong client code, quantity or price can create real losses—and of speed, because dealing decisions are time-bound during market hours.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every order I followed the same lifecycle on the terminal: order entry, order confirmation from the exchange, trade confirmation, and end-of-day matching with the contract note. This habit removed errors and gave clients a clear, verifiable record of what was executed on their instruction.</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17.4 CASH MARKET AND F&amp;O MARKET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In the </w:t>
      </w:r>
      <w:r>
        <w:rPr>
          <w:rFonts w:ascii="Times New Roman" w:hAnsi="Times New Roman" w:cs="Times New Roman" w:eastAsia="Times New Roman"/>
          <w:b/>
          <w:i w:val="0"/>
          <w:color w:val="000000"/>
          <w:sz w:val="24"/>
          <w:u w:val="none"/>
        </w:rPr>
        <w:t>Cash market</w:t>
      </w:r>
      <w:r>
        <w:rPr>
          <w:rFonts w:ascii="Times New Roman" w:hAnsi="Times New Roman" w:cs="Times New Roman" w:eastAsia="Times New Roman"/>
          <w:b w:val="0"/>
          <w:i w:val="0"/>
          <w:color w:val="000000"/>
          <w:sz w:val="24"/>
          <w:u w:val="none"/>
        </w:rPr>
        <w:t>, I learned delivery-based buying and selling of equity shares, order types, the T+1 settlement cycle and the role of the demat account in delivering or receiving shares. Cash-segment dealing required attention to liquidity, circuit limits and price bands of each scrip.</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In the </w:t>
      </w:r>
      <w:r>
        <w:rPr>
          <w:rFonts w:ascii="Times New Roman" w:hAnsi="Times New Roman" w:cs="Times New Roman" w:eastAsia="Times New Roman"/>
          <w:b/>
          <w:i w:val="0"/>
          <w:color w:val="000000"/>
          <w:sz w:val="24"/>
          <w:u w:val="none"/>
        </w:rPr>
        <w:t>F&amp;O market</w:t>
      </w:r>
      <w:r>
        <w:rPr>
          <w:rFonts w:ascii="Times New Roman" w:hAnsi="Times New Roman" w:cs="Times New Roman" w:eastAsia="Times New Roman"/>
          <w:b w:val="0"/>
          <w:i w:val="0"/>
          <w:color w:val="000000"/>
          <w:sz w:val="24"/>
          <w:u w:val="none"/>
        </w:rPr>
        <w:t>, I learned how futures and options work: contract lots, expiry cycles, mark-to-market margins, premium and settlement. I saw how positions are monitored intraday and how margin calls arise when the market moves against a position. Handling client orders in this segment required extra care because leveraged positions can build or lose value quickly.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Understanding both segments together changed the way I read the market: the cash segment reflects ownership and delivery interest, while the derivatives segment reveals expectations, hedging demand and leverage. The desk used both, and I learned to switch context quickly when moving from one client instruction to another.</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17.5 EXECUTING TRADES ON BEHALF OF CLIENTS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A core part of my internship was </w:t>
      </w:r>
      <w:r>
        <w:rPr>
          <w:rFonts w:ascii="Times New Roman" w:hAnsi="Times New Roman" w:cs="Times New Roman" w:eastAsia="Times New Roman"/>
          <w:b/>
          <w:i w:val="0"/>
          <w:color w:val="000000"/>
          <w:sz w:val="24"/>
          <w:u w:val="none"/>
        </w:rPr>
        <w:t>engaged in buying and selling / trading on behalf of clients, as per the guidance and instructions given by the clients</w:t>
      </w:r>
      <w:r>
        <w:rPr>
          <w:rFonts w:ascii="Times New Roman" w:hAnsi="Times New Roman" w:cs="Times New Roman" w:eastAsia="Times New Roman"/>
          <w:b w:val="0"/>
          <w:i w:val="0"/>
          <w:color w:val="000000"/>
          <w:sz w:val="24"/>
          <w:u w:val="none"/>
        </w:rPr>
        <w:t>. The dealing discipline I followed was: receive the instruction, confirm the scrip, quantity, price and segment with the client, enter the order on the terminal, verify the execution, and report the filled quantity and rate back to the client without delay.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Some orders were at-limit and waited in the order book, some were modified mid-session, and some had to be cancelled and re-quoted. Each of these situations trained me to keep the client informed in plain, precise language and to stay calm when the market moved fast.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I learned that a dealer never takes positions on his own assumption for a client account—the client’s instruction is the mandate. Confidentiality of client identity, holdings and orders was maintained at all times, and any unusual instruction was escalated to the supervisor before execution.</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17.6 OPTION TRADING STRATEGIES AND CHARTS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I learned commonly used </w:t>
      </w:r>
      <w:r>
        <w:rPr>
          <w:rFonts w:ascii="Times New Roman" w:hAnsi="Times New Roman" w:cs="Times New Roman" w:eastAsia="Times New Roman"/>
          <w:b/>
          <w:i w:val="0"/>
          <w:color w:val="000000"/>
          <w:sz w:val="24"/>
          <w:u w:val="none"/>
        </w:rPr>
        <w:t>option trading strategies</w:t>
      </w:r>
      <w:r>
        <w:rPr>
          <w:rFonts w:ascii="Times New Roman" w:hAnsi="Times New Roman" w:cs="Times New Roman" w:eastAsia="Times New Roman"/>
          <w:b w:val="0"/>
          <w:i w:val="0"/>
          <w:color w:val="000000"/>
          <w:sz w:val="24"/>
          <w:u w:val="none"/>
        </w:rPr>
        <w:t>: buying calls and puts for directional views, covered calls and protective puts for holding positions, vertical spreads to limit cost and risk, and straddles and strangles for volatile, range-bound or event-based views. For each strategy I understood the payoff shape, the breakeven points and the risk it carries.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Alongside this, I learned to read </w:t>
      </w:r>
      <w:r>
        <w:rPr>
          <w:rFonts w:ascii="Times New Roman" w:hAnsi="Times New Roman" w:cs="Times New Roman" w:eastAsia="Times New Roman"/>
          <w:b/>
          <w:i w:val="0"/>
          <w:color w:val="000000"/>
          <w:sz w:val="24"/>
          <w:u w:val="none"/>
        </w:rPr>
        <w:t>trading charts</w:t>
      </w:r>
      <w:r>
        <w:rPr>
          <w:rFonts w:ascii="Times New Roman" w:hAnsi="Times New Roman" w:cs="Times New Roman" w:eastAsia="Times New Roman"/>
          <w:b w:val="0"/>
          <w:i w:val="0"/>
          <w:color w:val="000000"/>
          <w:sz w:val="24"/>
          <w:u w:val="none"/>
        </w:rPr>
        <w:t>—candlestick patterns, support and resistance levels, trend lines, moving averages and volumes. Chart reading helped me understand how desk members time entries and exits, place price limits for client orders and judge whether a stock is trending or range-bound during the session.</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17.7 EIC, COMPANY AND BUSINESS ANALYSIS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On the analysis side, I learned how </w:t>
      </w:r>
      <w:r>
        <w:rPr>
          <w:rFonts w:ascii="Times New Roman" w:hAnsi="Times New Roman" w:cs="Times New Roman" w:eastAsia="Times New Roman"/>
          <w:b/>
          <w:i w:val="0"/>
          <w:color w:val="000000"/>
          <w:sz w:val="24"/>
          <w:u w:val="none"/>
        </w:rPr>
        <w:t>EIC analysis (Economy–Industry–Company)</w:t>
      </w:r>
      <w:r>
        <w:rPr>
          <w:rFonts w:ascii="Times New Roman" w:hAnsi="Times New Roman" w:cs="Times New Roman" w:eastAsia="Times New Roman"/>
          <w:b w:val="0"/>
          <w:i w:val="0"/>
          <w:color w:val="000000"/>
          <w:sz w:val="24"/>
          <w:u w:val="none"/>
        </w:rPr>
        <w:t xml:space="preserve"> is done. At the economy level, indicators such as GDP growth, inflation, interest rates and liquidity set the market backdrop. At the industry level, demand, competition and regulation decide the outlook of a sector. At the company level, I learned to read financial statements, compute ratios and judge management quality.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I also learned </w:t>
      </w:r>
      <w:r>
        <w:rPr>
          <w:rFonts w:ascii="Times New Roman" w:hAnsi="Times New Roman" w:cs="Times New Roman" w:eastAsia="Times New Roman"/>
          <w:b/>
          <w:i w:val="0"/>
          <w:color w:val="000000"/>
          <w:sz w:val="24"/>
          <w:u w:val="none"/>
        </w:rPr>
        <w:t>company analysis</w:t>
      </w:r>
      <w:r>
        <w:rPr>
          <w:rFonts w:ascii="Times New Roman" w:hAnsi="Times New Roman" w:cs="Times New Roman" w:eastAsia="Times New Roman"/>
          <w:b w:val="0"/>
          <w:i w:val="0"/>
          <w:color w:val="000000"/>
          <w:sz w:val="24"/>
          <w:u w:val="none"/>
        </w:rPr>
        <w:t xml:space="preserve"> and </w:t>
      </w:r>
      <w:r>
        <w:rPr>
          <w:rFonts w:ascii="Times New Roman" w:hAnsi="Times New Roman" w:cs="Times New Roman" w:eastAsia="Times New Roman"/>
          <w:b/>
          <w:i w:val="0"/>
          <w:color w:val="000000"/>
          <w:sz w:val="24"/>
          <w:u w:val="none"/>
        </w:rPr>
        <w:t>business analysis</w:t>
      </w:r>
      <w:r>
        <w:rPr>
          <w:rFonts w:ascii="Times New Roman" w:hAnsi="Times New Roman" w:cs="Times New Roman" w:eastAsia="Times New Roman"/>
          <w:b w:val="0"/>
          <w:i w:val="0"/>
          <w:color w:val="000000"/>
          <w:sz w:val="24"/>
          <w:u w:val="none"/>
        </w:rPr>
        <w:t>—understanding a company’s business model, revenue drivers, cost structure, competitive position and risks before forming any view on its shares. In practice, I followed one company through the internship period: its price behaviour on the terminal, its quarterly numbers and the way the desk discussed its prospects with clients.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learning connects directly with the fundamental-analysis case on Pine Labs Limited presented in this report, where the EIC and company-level tools are applied to a real listed fintech company. The internship showed me the dealing-desk side of the same market that the case study examines from the research side.</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17.8 PROFESSIONAL SKILLS DEVELOPED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The internship strengthened professional skills that classroom study alone cannot: clear </w:t>
      </w:r>
      <w:r>
        <w:rPr>
          <w:rFonts w:ascii="Times New Roman" w:hAnsi="Times New Roman" w:cs="Times New Roman" w:eastAsia="Times New Roman"/>
          <w:b/>
          <w:i w:val="0"/>
          <w:color w:val="000000"/>
          <w:sz w:val="24"/>
          <w:u w:val="none"/>
        </w:rPr>
        <w:t>communication</w:t>
      </w:r>
      <w:r>
        <w:rPr>
          <w:rFonts w:ascii="Times New Roman" w:hAnsi="Times New Roman" w:cs="Times New Roman" w:eastAsia="Times New Roman"/>
          <w:b w:val="0"/>
          <w:i w:val="0"/>
          <w:color w:val="000000"/>
          <w:sz w:val="24"/>
          <w:u w:val="none"/>
        </w:rPr>
        <w:t xml:space="preserve"> with clients and colleagues, </w:t>
      </w:r>
      <w:r>
        <w:rPr>
          <w:rFonts w:ascii="Times New Roman" w:hAnsi="Times New Roman" w:cs="Times New Roman" w:eastAsia="Times New Roman"/>
          <w:b/>
          <w:i w:val="0"/>
          <w:color w:val="000000"/>
          <w:sz w:val="24"/>
          <w:u w:val="none"/>
        </w:rPr>
        <w:t>client relationship management</w:t>
      </w:r>
      <w:r>
        <w:rPr>
          <w:rFonts w:ascii="Times New Roman" w:hAnsi="Times New Roman" w:cs="Times New Roman" w:eastAsia="Times New Roman"/>
          <w:b w:val="0"/>
          <w:i w:val="0"/>
          <w:color w:val="000000"/>
          <w:sz w:val="24"/>
          <w:u w:val="none"/>
        </w:rPr>
        <w:t xml:space="preserve">, </w:t>
      </w:r>
      <w:r>
        <w:rPr>
          <w:rFonts w:ascii="Times New Roman" w:hAnsi="Times New Roman" w:cs="Times New Roman" w:eastAsia="Times New Roman"/>
          <w:b/>
          <w:i w:val="0"/>
          <w:color w:val="000000"/>
          <w:sz w:val="24"/>
          <w:u w:val="none"/>
        </w:rPr>
        <w:t>quick decision making</w:t>
      </w:r>
      <w:r>
        <w:rPr>
          <w:rFonts w:ascii="Times New Roman" w:hAnsi="Times New Roman" w:cs="Times New Roman" w:eastAsia="Times New Roman"/>
          <w:b w:val="0"/>
          <w:i w:val="0"/>
          <w:color w:val="000000"/>
          <w:sz w:val="24"/>
          <w:u w:val="none"/>
        </w:rPr>
        <w:t xml:space="preserve"> during live market hours, accuracy under time pressure, teamwork with the back office, and ethical conduct in a regulated business. Handling queries from clients of different experience levels taught me to explain market matters simply, honestly and without guaranteeing outcomes.</w:t>
      </w:r>
    </w:p>
    <w:p>
      <w:pPr>
        <w:keepNext w:val="0"/>
        <w:pageBreakBefore w:val="0"/>
        <w:spacing w:after="80" w:before="0" w:line="360" w:lineRule="auto"/>
        <w:jc w:val="both"/>
      </w:pPr>
      <w:r>
        <w:rPr>
          <w:rFonts w:ascii="Times New Roman" w:hAnsi="Times New Roman" w:cs="Times New Roman" w:eastAsia="Times New Roman"/>
          <w:b w:val="0"/>
          <w:i w:val="0"/>
          <w:color w:val="000000"/>
          <w:sz w:val="24"/>
          <w:u w:val="none"/>
        </w:rPr>
        <w:t>Summary of work performed during the internship:</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Dealing and execution in the Cash and F&amp;O market on behalf of clients as per their instructions.</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Handling trading terminals (NEAT PLUS, CTCL) for order management.</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Position, margin and exposure tracking during market hours.</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Option strategy and chart-based market observation for the desk.</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EIC, company and business analysis notes supporting client discussions.</w:t>
      </w:r>
    </w:p>
    <w:p>
      <w:pPr>
        <w:keepNext w:val="0"/>
        <w:pageBreakBefore w:val="0"/>
        <w:spacing w:after="80" w:before="0" w:line="360" w:lineRule="auto"/>
        <w:ind w:left="360"/>
        <w:jc w:val="both"/>
      </w:pPr>
      <w:r>
        <w:rPr>
          <w:rFonts w:ascii="Times New Roman" w:hAnsi="Times New Roman" w:cs="Times New Roman" w:eastAsia="Times New Roman"/>
          <w:b w:val="0"/>
          <w:i w:val="0"/>
          <w:color w:val="000000"/>
          <w:sz w:val="24"/>
          <w:u w:val="none"/>
        </w:rPr>
        <w:t>- Client communication, relationship management and query resolution.</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18</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FINDINGS, SUGGESTIONS AND CONCLUSION</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Evidence-led synthesis and practical priorities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18.1 MAJOR FINDINGS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A scalable platform: Pine Labs combines merchant acceptance, affordability, issuer / prepaid processing and fintech infrastructure. The strategy is to cross-sell multiple services into merchant, brand, bank and fintech relationships.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Strong activity growth: FY23–FY26 GTV rose from about ₹4.40 lakh crore to ₹17.15 lakh crore, while revenue grew at a 19.3% CAGR. GTV expands faster than recognized revenue, underscoring different product yields and definitions.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Profitability inflection: FY26 was the first positive PAT year in the cited FY23–FY25 prospectus-restated plus audited FY26 series; Q1 FY27 remained profitable. Adjusted EBITDA strengthened, but contribution and adjusted EBITDA margins were lower year on year in Q1 FY27.</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Balance-sheet de-risking: Borrowings excluding leases declined and reported equity increased after listing. However, settlement and prepaid-card balances are important; not every bank balance is freely available.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Cash conversion is not yet settled: FY25 and FY26 operating cash flow turned positive after prior outflows, while Q1 FY27 differs materially depending on early-settlement treatment.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Diversification is progressing: IAP grew faster than DITP in FY26 and Q1 FY27, and international revenue became a larger share. Mix and regulatory complexity increase alongside diversification.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Valuation is demanding: A market-cap proxy near ₹19,334 crore, with approximately 6.8× LTM sales and 152× LTM PAT, relies on future growth, sustained margins and improving returns.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18.2 SUGGESTIONS FOR PINE LABS (ANALYST RECOMMENDATIONS)</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Publish a consistent product-level bridge from GTV to recognized revenue and contribution, including active DCPs, monetization yield and direct cost per product.</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Provide a quarterly cash-conversion reconciliation that distinguishes customer / settlement balances, restricted deposits and early-settlement effects from unrestricted operating cash.</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Protect quality of growth: disclose recurring versus transactional revenue, customer concentration and retention as the platform adds products and geographies.</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Use a disciplined acquisition scorecard for Agya, Shopflo and other acquired capabilities—purchase consideration, integration cost, cross-sell, retention and post-deal cash contribution.</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Continue to strengthen cyber, resilience, fraud, consumer-protection and third-party governance as agentic and credit-linked payments evolve.</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Expand environmental reporting for terminal lifecycle, repair and e-waste; consider transparent inclusion and service-quality metrics for smaller merchants.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18.3 SUGGESTIONS FOR INVESTORS AND FUTURE STUDENT RESEARCHERS</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Update price, shares outstanding, cash and balance-sheet data on the same date before calculating valuation multiples; use fully diluted shares for per-share work.</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Read the underlying audited report, auditor’s report and notes—not only shareholder letters or adjusted EBITDA charts.</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Compare peers only after aligning geography, regulation, segment mix, accounting and period; for private companies, mark information as unavailable rather than infer it.</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For future project editions, add verified internship documentation or primary interviews only with permission, accurate notes and appropriate consent.</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Revisit customer concentration, revenue yield, segment margins and cash conversion after several additional quarters to test durability.</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18.4 CONCLUSION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has built a broad merchant and institutional technology platform in a rapidly digitising payment ecosystem. Its FY26 audited results mark an important transition from a multi-year loss record to positive PAT, with continued growth and profitability in Q1 FY27. Strong transaction scale and broader product reach are clear advantages, but neither is sufficient by itself: the lasting value proposition depends on repeatable margins, disciplined cash conversion, secure operations, transparent risk allocation and returns on capital.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available evidence supports a constructive view of Pine Labs’ strategic position, balanced by material risks. The most important analytical tension is the gap between very rapid platform-activity growth and slower revenue growth / declining revenue-to-GTV proxy, alongside a high market valuation relative to recently reported earnings. The next test is not simply further growth in GTV; it is converting that growth into recurring, profitable and cash-generative revenue.</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19</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RESEARCHER’S VIEW</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Balanced synthesis as at 3 October 2026</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39. Research view dashboard</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2169"/>
            <w:vAlign w:val="top"/>
          </w:tcPr>
          <w:p>
            <w:pPr>
              <w:spacing w:after="60" w:before="20" w:line="276" w:lineRule="auto"/>
              <w:jc w:val="center"/>
            </w:pPr>
            <w:r/>
            <w:r>
              <w:rPr>
                <w:rFonts w:ascii="Times New Roman" w:hAnsi="Times New Roman" w:cs="Times New Roman" w:eastAsia="Times New Roman"/>
                <w:b/>
                <w:i w:val="0"/>
                <w:color w:val="000000"/>
                <w:sz w:val="20"/>
                <w:u w:val="none"/>
              </w:rPr>
              <w:t>Assessment</w:t>
            </w:r>
          </w:p>
        </w:tc>
        <w:tc>
          <w:tcPr>
            <w:tcW w:type="dxa" w:w="4996"/>
            <w:vAlign w:val="top"/>
          </w:tcPr>
          <w:p>
            <w:pPr>
              <w:spacing w:after="60" w:before="20" w:line="276" w:lineRule="auto"/>
              <w:jc w:val="center"/>
            </w:pPr>
            <w:r/>
            <w:r>
              <w:rPr>
                <w:rFonts w:ascii="Times New Roman" w:hAnsi="Times New Roman" w:cs="Times New Roman" w:eastAsia="Times New Roman"/>
                <w:b/>
                <w:i w:val="0"/>
                <w:color w:val="000000"/>
                <w:sz w:val="20"/>
                <w:u w:val="none"/>
              </w:rPr>
              <w:t>Reason</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Business positioning</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Constructive</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Broad merchant / issuer stack with several routes to cross-sell and international opportunity.</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Growth</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Positive, monitor quality</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Revenue and GTV scaled over FY23–FY26; Q1 FY27 revenue growth remained near 20%.</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Profitability</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Improving, not yet mature</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FY26 PAT positive and adjusted EBITDA stronger; Q1 FY27 margins were lower year on year.</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Balance sheet</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Improved</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Borrowings/equity reduced after IPO; settlement obligations and other bank balances require careful reading.</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Cash conversion</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Unsettled</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Annual CFO improved, but historic volatility and Q1 early-settlement effects remain material.</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Valuation</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Demanding</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Indicative P/E ~152× and P/S ~6.8× at 1 Oct 2026; value depends on sustained growth and materially higher returns.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Overall academic view</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Watch / valuation-sensitive</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Strong structural opportunity, but require evidence of repeatable profit, cash conversion and improving unit economics before assuming the current growth trajectory is durable.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Author’s analytical opinion, not financial advice, a target price or a recommendation to buy or sell. Data and price date stated throughout.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view is intentionally conditional. It should be revisited after additional audited years and several interim periods demonstrate how revenue, contribution, PAT, operating cash flow and fully diluted share count evolve together.</w:t>
      </w:r>
    </w:p>
    <w:p>
      <w:pPr>
        <w:keepNext/>
        <w:pageBreakBefore/>
        <w:spacing w:after="280" w:before="0" w:line="360" w:lineRule="auto"/>
        <w:jc w:val="center"/>
      </w:pPr>
      <w:r>
        <w:rPr>
          <w:rFonts w:ascii="Times New Roman" w:hAnsi="Times New Roman" w:cs="Times New Roman" w:eastAsia="Times New Roman"/>
          <w:b/>
          <w:i w:val="0"/>
          <w:color w:val="000000"/>
          <w:sz w:val="28"/>
          <w:u w:val="none"/>
        </w:rPr>
        <w:t>REFERENCES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Primary company and official industry sources are prioritised. The Pine Labs GitHub repository below is the user-supplied source location for company documents; where current Q1 FY27 documents were hosted on the investor-relations site, that official link is listed separately. Accessed / analysis cut-off: 3 October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[1] Pine Labs Limited. Prospectus (11 November 2025).</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Company history, business model, risk factors, customer concentration and restated consolidated FY23–FY25 information. Relevant internal pages include approximately 60–77, 252–263, 281–295 and 337–344. File in student-supplied repository: Pine-Labs-Limited-Prospectus.pdf.</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[2] Pine Labs Limited. Shareholder Letter and Audited Consolidated Results, Q4 / FY26 (25 May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FY26 audited statements, balance sheet, cash flow, acquisitions, capital and management commentary. File in supplied repository: Pine_Labs_Ltd_Shareholder_Letter_and_Results_Q4_FY26_with_financials.pdf.</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[3] Pine Labs Limited. KPI Data Book, Q4 FY26.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Company-defined GTV, merchant, DCP, transaction, segment and adjusted operating measures. File in supplied repository: PineLabs-KPI-Data-Book-Q4-FY26.xlsx.</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[4] Pine Labs Limited. Q4 FY26 Earnings Call Transcript (May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Management discussion of FY26 performance, strategy and guidance. File in supplied repository: PineLabsLimited_Earnings_Call_Transcript_Q4_FY26.pdf.</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[5] Pine Labs Limited. Q1 FY27 Shareholder Letter and Results (quarter ended 30 June 2026; published July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Interim results, platform update, business and management commentary.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[6] Pine Labs Limited. KPI Data Book, Q1 FY27.</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Interim company-defined operating KPIs, segment metrics and cash-flow reconciliation.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[7] Pine Labs Limited. Q1 FY27 Earnings Call Transcript (July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Opening portion of the transcript was reviewed; no unreviewed transcript content is relied on for this report.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[8] Pine Labs Limited. Q1 FY27 Press Release (July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Company announcement of interim results and selected product / business updates.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[9] Reserve Bank of India. Payment Systems Report, December 2025 (published 18 May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System-wide payments context and industry statistics.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[10] National Payments Corporation of India. UPI Product Statistics.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Monthly UPI transaction volume and value series; August 2026 observation cited as industry context.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[11] BSE Limited. Pine Labs Limited (BSE scrip 544606), quote page.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Official price snapshot and BSE displayed 52-week range used for 1 October 2026 market analysis.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[12] Pine Labs Limited. Investor Relations — Financial Results.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Official results index for company documents.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[13] GitHub. nscrypto1968/Pine-Labs repository.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Student-supplied repository used to locate the source documents listed above; snapshot reviewed at commit a92962d9013a09c3ef162976fed986b8eb28e7b5.</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[14] Porter, M. E. (1979). “How Competitive Forces Shape Strategy.” Harvard Business Review, 57(2), 137–145.</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Framework source for the qualitative Five Forces assessment.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[15] Damodaran, A. Investment Valuation: Tools and Techniques for Determining the Value of Any Asset, 3rd ed. Wiley.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Reference for return decomposition / equity valuation concepts; the report’s simplified P/B sensitivity is an illustrative calculation, not a forecast.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pageBreakBefore/>
        <w:spacing w:after="280" w:before="0" w:line="360" w:lineRule="auto"/>
        <w:jc w:val="center"/>
      </w:pPr>
      <w:r>
        <w:rPr>
          <w:rFonts w:ascii="Times New Roman" w:hAnsi="Times New Roman" w:cs="Times New Roman" w:eastAsia="Times New Roman"/>
          <w:b/>
          <w:i w:val="0"/>
          <w:color w:val="000000"/>
          <w:sz w:val="28"/>
          <w:u w:val="none"/>
        </w:rPr>
        <w:t>APPENDIX A — COMPACT DATA SHEET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Amounts are in ₹ crore unless specified. This is a transcription / calculation aid, not a replacement for the source statements. Rounding and reported comparative conventions apply.</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40. A1. Core financial series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3226"/>
            <w:vAlign w:val="top"/>
          </w:tcPr>
          <w:p>
            <w:pPr>
              <w:spacing w:after="60" w:before="20" w:line="276" w:lineRule="auto"/>
              <w:jc w:val="center"/>
            </w:pPr>
            <w:r/>
            <w:r>
              <w:rPr>
                <w:rFonts w:ascii="Times New Roman" w:hAnsi="Times New Roman" w:cs="Times New Roman" w:eastAsia="Times New Roman"/>
                <w:b/>
                <w:i w:val="0"/>
                <w:color w:val="000000"/>
                <w:sz w:val="18"/>
                <w:u w:val="none"/>
              </w:rPr>
              <w:t>Measure</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FY23</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FY24</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Revenue from operations</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1,597.66</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1,769.55</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2,274.27</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2,710.59</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PAT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(265.15)</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(341.90)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(145.49)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112.51</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CFO</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(152.36)</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(229.01)</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49.72</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395.39</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Adjusted EBITDA (company-defined)</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158.19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356.60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558.87</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Adjusted EBITDA margin</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8.94%</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15.68%</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20.62%</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Platform GTV (₹ lakh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4.40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6.08</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11.42</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17.15</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Transactions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257</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344</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569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740.37</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Sources [1–3]; figures rounded.</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41. A2. FY26 balance-sheet and cash-flow snapshot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630"/>
            <w:vAlign w:val="top"/>
          </w:tcPr>
          <w:p>
            <w:pPr>
              <w:spacing w:after="60" w:before="20" w:line="276" w:lineRule="auto"/>
              <w:jc w:val="center"/>
            </w:pPr>
            <w:r/>
            <w:r>
              <w:rPr>
                <w:rFonts w:ascii="Times New Roman" w:hAnsi="Times New Roman" w:cs="Times New Roman" w:eastAsia="Times New Roman"/>
                <w:b/>
                <w:i w:val="0"/>
                <w:color w:val="000000"/>
                <w:sz w:val="20"/>
                <w:u w:val="none"/>
              </w:rPr>
              <w:t>Item</w:t>
            </w:r>
          </w:p>
        </w:tc>
        <w:tc>
          <w:tcPr>
            <w:tcW w:type="dxa" w:w="2367"/>
            <w:vAlign w:val="top"/>
          </w:tcPr>
          <w:p>
            <w:pPr>
              <w:spacing w:after="60" w:before="20" w:line="276" w:lineRule="auto"/>
              <w:jc w:val="center"/>
            </w:pPr>
            <w:r/>
            <w:r>
              <w:rPr>
                <w:rFonts w:ascii="Times New Roman" w:hAnsi="Times New Roman" w:cs="Times New Roman" w:eastAsia="Times New Roman"/>
                <w:b/>
                <w:i w:val="0"/>
                <w:color w:val="000000"/>
                <w:sz w:val="20"/>
                <w:u w:val="none"/>
              </w:rPr>
              <w:t>FY26 value</w:t>
            </w:r>
          </w:p>
        </w:tc>
        <w:tc>
          <w:tcPr>
            <w:tcW w:type="dxa" w:w="4076"/>
            <w:vAlign w:val="top"/>
          </w:tcPr>
          <w:p>
            <w:pPr>
              <w:spacing w:after="60" w:before="20" w:line="276" w:lineRule="auto"/>
              <w:jc w:val="center"/>
            </w:pPr>
            <w:r/>
            <w:r>
              <w:rPr>
                <w:rFonts w:ascii="Times New Roman" w:hAnsi="Times New Roman" w:cs="Times New Roman" w:eastAsia="Times New Roman"/>
                <w:b/>
                <w:i w:val="0"/>
                <w:color w:val="000000"/>
                <w:sz w:val="20"/>
                <w:u w:val="none"/>
              </w:rPr>
              <w:t>Interpretation note</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Total assets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13,296.96</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Audited consolidated.</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Total equity</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5,895.41</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Post-listing equity base.</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Borrowings ex leases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282.87</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Excludes lease liabilities.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Cash equivalents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1,393.08</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Separate from other bank balances.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Other bank balances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6,832.84</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Includes restricted / earmarked categories.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Prepaid-card liabilities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5,383.85</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Customer-programme obligations.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CFO / CFI / CFF</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+395.39 / −1,338.87 / +1,972.17</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Cash-flow statement categories.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FY26 audited results [2].</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42. A3. Q1 FY27 interim snapshot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630"/>
            <w:vAlign w:val="top"/>
          </w:tcPr>
          <w:p>
            <w:pPr>
              <w:spacing w:after="60" w:before="20" w:line="276" w:lineRule="auto"/>
              <w:jc w:val="center"/>
            </w:pPr>
            <w:r/>
            <w:r>
              <w:rPr>
                <w:rFonts w:ascii="Times New Roman" w:hAnsi="Times New Roman" w:cs="Times New Roman" w:eastAsia="Times New Roman"/>
                <w:b/>
                <w:i w:val="0"/>
                <w:color w:val="000000"/>
                <w:sz w:val="20"/>
                <w:u w:val="none"/>
              </w:rPr>
              <w:t>Metric</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3418"/>
            <w:vAlign w:val="top"/>
          </w:tcPr>
          <w:p>
            <w:pPr>
              <w:spacing w:after="60" w:before="20" w:line="276" w:lineRule="auto"/>
              <w:jc w:val="center"/>
            </w:pPr>
            <w:r/>
            <w:r>
              <w:rPr>
                <w:rFonts w:ascii="Times New Roman" w:hAnsi="Times New Roman" w:cs="Times New Roman" w:eastAsia="Times New Roman"/>
                <w:b/>
                <w:i w:val="0"/>
                <w:color w:val="000000"/>
                <w:sz w:val="20"/>
                <w:u w:val="none"/>
              </w:rPr>
              <w:t>Status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Revenue</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₹736.92 crore</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Unaudited / limited-reviewed</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PAT</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₹19.57 crore</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Unaudited / limited-reviewed</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DITP / IAP revenue</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₹499.12 / ₹237.80 crore</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Company segment disclosures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Contribution margin</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₹532.62 crore / 72.3%</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Company-defined KPI</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Adjusted EBITDA</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~₹126 crore / 17.1%</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Company-defined KPI</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GTV / transactions</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₹4.22 lakh crore / 201 crore</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Company operating metrics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DCPs / merchants</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21.7 lakh / 11.5 lakh</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Company operating metrics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Q1 FY27 results and data book [5,6].</w:t>
      </w:r>
    </w:p>
    <w:p>
      <w:pPr>
        <w:keepNext/>
        <w:pageBreakBefore/>
        <w:spacing w:after="280" w:before="0" w:line="360" w:lineRule="auto"/>
        <w:jc w:val="center"/>
      </w:pPr>
      <w:r>
        <w:rPr>
          <w:rFonts w:ascii="Times New Roman" w:hAnsi="Times New Roman" w:cs="Times New Roman" w:eastAsia="Times New Roman"/>
          <w:b/>
          <w:i w:val="0"/>
          <w:color w:val="000000"/>
          <w:sz w:val="28"/>
          <w:u w:val="none"/>
        </w:rPr>
        <w:t>APPENDIX B — FORMULAS AND WORKED CALCULATIONS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43. Formula reference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038"/>
            <w:vAlign w:val="top"/>
          </w:tcPr>
          <w:p>
            <w:pPr>
              <w:spacing w:after="60" w:before="20" w:line="276" w:lineRule="auto"/>
              <w:jc w:val="center"/>
            </w:pPr>
            <w:r/>
            <w:r>
              <w:rPr>
                <w:rFonts w:ascii="Times New Roman" w:hAnsi="Times New Roman" w:cs="Times New Roman" w:eastAsia="Times New Roman"/>
                <w:b/>
                <w:i w:val="0"/>
                <w:color w:val="000000"/>
                <w:sz w:val="20"/>
                <w:u w:val="none"/>
              </w:rPr>
              <w:t>Measure</w:t>
            </w:r>
          </w:p>
        </w:tc>
        <w:tc>
          <w:tcPr>
            <w:tcW w:type="dxa" w:w="2893"/>
            <w:vAlign w:val="top"/>
          </w:tcPr>
          <w:p>
            <w:pPr>
              <w:spacing w:after="60" w:before="20" w:line="276" w:lineRule="auto"/>
              <w:jc w:val="center"/>
            </w:pPr>
            <w:r/>
            <w:r>
              <w:rPr>
                <w:rFonts w:ascii="Times New Roman" w:hAnsi="Times New Roman" w:cs="Times New Roman" w:eastAsia="Times New Roman"/>
                <w:b/>
                <w:i w:val="0"/>
                <w:color w:val="000000"/>
                <w:sz w:val="20"/>
                <w:u w:val="none"/>
              </w:rPr>
              <w:t>Formula</w:t>
            </w:r>
          </w:p>
        </w:tc>
        <w:tc>
          <w:tcPr>
            <w:tcW w:type="dxa" w:w="4142"/>
            <w:vAlign w:val="top"/>
          </w:tcPr>
          <w:p>
            <w:pPr>
              <w:spacing w:after="60" w:before="20" w:line="276" w:lineRule="auto"/>
              <w:jc w:val="center"/>
            </w:pPr>
            <w:r/>
            <w:r>
              <w:rPr>
                <w:rFonts w:ascii="Times New Roman" w:hAnsi="Times New Roman" w:cs="Times New Roman" w:eastAsia="Times New Roman"/>
                <w:b/>
                <w:i w:val="0"/>
                <w:color w:val="000000"/>
                <w:sz w:val="20"/>
                <w:u w:val="none"/>
              </w:rPr>
              <w:t>Worked illustration</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Revenue growth</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(Current-period revenue ÷ prior-period revenue) − 1</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2,710.59 ÷ 2,274.27 − 1 ≈ 19.2%.</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CAGR</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(Ending value ÷ beginning value)^(1 / years) − 1</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Revenue FY23–FY26: (2,710.59 ÷ 1,597.66)^(1/3) − 1 ≈ 19.3%.</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PAT margin</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PAT ÷ revenue from operations</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112.51 ÷ 2,710.59 ≈ 4.15%.</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Current ratio</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Current assets ÷ current liabilities</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10,884.33 ÷ 7,184.12 ≈ 1.52×.</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Borrowings / equity</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Borrowings excluding leases ÷ total equity</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282.87 ÷ 5,895.41 ≈ 0.05×.</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ROA</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PAT ÷ average total assets</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112.51 ÷ [(10,715.73 + 13,296.96) / 2] ≈ 0.94%.</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ROE</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PAT ÷ average total equity</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112.51 ÷ [(3,506.14 + 5,895.41) / 2] ≈ 2.39%.</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Revenue / GTV proxy</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Revenue (₹ crore) ÷ [GTV (₹ lakh crore) × 100,000] × 10,000</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2,710.59 ÷ (17.15 × 100,000) × 10,000 ≈ 15.8 bps. Not a contractual take rate.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TTM revenue</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FY26 + Q1 FY27 − Q1 FY26</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2,710.59 + 736.92 − 615.91 = ₹2,831.60 crore.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TTM PAT</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FY26 + Q1 FY27 − Q1 FY26</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112.51 + 19.57 − 4.79 = ₹127.29 crore.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Market-cap proxy</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BSE price × approximate paid-up shares</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₹167.55 × 115.39 crore ≈ ₹19,333.6 crore.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Indicative P/E</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Market-cap proxy ÷ TTM PAT</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19,333.6 ÷ 127.29 ≈ 152×; not company-published.</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Indicative P/S</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Market-cap proxy ÷ TTM revenue</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19,333.6 ÷ 2,831.60 ≈ 6.83×; not company-published.</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Indicative P/B</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Market-cap proxy ÷ FY26 closing equity</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19,332.9 ÷ 5,895.41 ≈ 3.28×; mixed-date comparison.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Calculations are author-derived from reported figures [1–6,11]; values rounded. Use a consistent price date and fully diluted share count for updated analysis.</w:t>
      </w:r>
    </w:p>
    <w:p>
      <w:pPr>
        <w:keepNext/>
        <w:pageBreakBefore/>
        <w:spacing w:after="280" w:before="0" w:line="360" w:lineRule="auto"/>
        <w:jc w:val="center"/>
      </w:pPr>
      <w:r>
        <w:rPr>
          <w:rFonts w:ascii="Times New Roman" w:hAnsi="Times New Roman" w:cs="Times New Roman" w:eastAsia="Times New Roman"/>
          <w:b/>
          <w:i w:val="0"/>
          <w:color w:val="000000"/>
          <w:sz w:val="28"/>
          <w:u w:val="none"/>
        </w:rPr>
        <w:t>APPENDIX C — GLOSSARY</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44. Key terms</w:t>
      </w:r>
    </w:p>
    <w:tbl>
      <w:tblPr>
        <w:tblStyle w:val="TableGrid"/>
        <w:tblW w:type="auto" w:w="0"/>
        <w:jc w:val="center"/>
        <w:tblLayout w:type="fixed"/>
        <w:tblLook w:firstColumn="1" w:firstRow="1" w:lastColumn="0" w:lastRow="0" w:noHBand="0" w:noVBand="1" w:val="04A0"/>
      </w:tblPr>
      <w:tblGrid>
        <w:gridCol w:w="5146"/>
        <w:gridCol w:w="5146"/>
      </w:tblGrid>
      <w:tr>
        <w:tc>
          <w:tcPr>
            <w:tcW w:type="dxa" w:w="2367"/>
            <w:vAlign w:val="top"/>
          </w:tcPr>
          <w:p>
            <w:pPr>
              <w:spacing w:after="60" w:before="20" w:line="276" w:lineRule="auto"/>
              <w:jc w:val="center"/>
            </w:pPr>
            <w:r/>
            <w:r>
              <w:rPr>
                <w:rFonts w:ascii="Times New Roman" w:hAnsi="Times New Roman" w:cs="Times New Roman" w:eastAsia="Times New Roman"/>
                <w:b/>
                <w:i w:val="0"/>
                <w:color w:val="000000"/>
                <w:sz w:val="20"/>
                <w:u w:val="none"/>
              </w:rPr>
              <w:t>Term</w:t>
            </w:r>
          </w:p>
        </w:tc>
        <w:tc>
          <w:tcPr>
            <w:tcW w:type="dxa" w:w="6705"/>
            <w:vAlign w:val="top"/>
          </w:tcPr>
          <w:p>
            <w:pPr>
              <w:spacing w:after="60" w:before="20" w:line="276" w:lineRule="auto"/>
              <w:jc w:val="center"/>
            </w:pPr>
            <w:r/>
            <w:r>
              <w:rPr>
                <w:rFonts w:ascii="Times New Roman" w:hAnsi="Times New Roman" w:cs="Times New Roman" w:eastAsia="Times New Roman"/>
                <w:b/>
                <w:i w:val="0"/>
                <w:color w:val="000000"/>
                <w:sz w:val="20"/>
                <w:u w:val="none"/>
              </w:rPr>
              <w:t>Definition</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Acquirer</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Entity that enables merchants to accept a payment instrument and receives / settles transaction proceeds under applicable arrangements.</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Affordability</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Merchant or lender-linked offer such as instalments or other payment options; underwriting and lending may be performed by a regulated partner.</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CFO / CFI / CFF</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Cash flow from operating / investing / financing activities.</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Contribution margin</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Company-defined measure after specified direct costs; definition should be read in the relevant KPI book.</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DCP</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Digital checkout point; company operating KPI.</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DITP</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Digital Infrastructure and Transaction Platform.</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GTV</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Gross transaction value processed / routed / serviced under the company’s definition; not revenue.</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IAP</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Issuing and Acquiring Platform.</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PAT</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Profit after tax.</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Prepaid-card liability</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Obligation related to stored-value / prepaid programmes; not equivalent to unrestricted corporate debt or free cash.</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Restated financials</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Historical consolidated statements retrospectively presented / adjusted in the prospectus for comparability, including the Singapore merger.</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UPI</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Unified Payments Interface, operated through NPCI member banks and participating applications.</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Adjusted EBITDA</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Management-defined non-GAAP measure; check the period-specific reconciliation and adjustments.</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TTM / LTM</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Trailing twelve months; in this report FY26 plus Q1 FY27 less Q1 FY26.</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Definitions are tailored for this report; legal / accounting definitions in regulations and financial statements take precedence.</w:t>
      </w:r>
    </w:p>
    <w:p>
      <w:pPr>
        <w:keepNext/>
        <w:pageBreakBefore/>
        <w:spacing w:after="280" w:before="0" w:line="360" w:lineRule="auto"/>
        <w:jc w:val="center"/>
      </w:pPr>
      <w:r>
        <w:rPr>
          <w:rFonts w:ascii="Times New Roman" w:hAnsi="Times New Roman" w:cs="Times New Roman" w:eastAsia="Times New Roman"/>
          <w:b/>
          <w:i w:val="0"/>
          <w:color w:val="000000"/>
          <w:sz w:val="28"/>
          <w:u w:val="none"/>
        </w:rPr>
        <w:t>APPENDIX D — FINAL SUBMISSION CHECKLIST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Before submitting to the institute, verify the following. Items requiring official records should be completed before final submission.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Insert the official institute / university name, faculty guide, academic session and required front-matter wording.</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Confirm that the assignment combines a Pine Labs company-research case with the Rosy Blue Securities internship component; use only accurate labels.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Verify the internship particulars used in this report: Rosy Blue Securities Pvt. Ltd. as host and Dealer &amp; Analyst as the role. Add exact dates, department, supervisor and the authentic internship certificate before final submission.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Check that the name, roll number and programme are correct: Nikhil Udaypratap Singh; M-16158; MMS (Finance), University of Mumbai.</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Refresh the latest market price and all valuation calculations if the submission date is later than 3 October 2026.</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Confirm the exact share count and fully diluted basis from the latest official filing before using per-share multiples or market capitalization in a live recommendation.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Read the underlying FY26 audit report and the Q1 FY27 interim review report; confirm any qualifications, notes and subsequent events.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Update company-defined KPI definitions and all source links; verify each table against the original statement and workbook.</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Run the institute’s plagiarism / citation process and add any mandatory cover sheet, declaration or formatting requirement.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Have the faculty guide review the report’s analysis, source conventions and use of the word “internship”.</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20</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INTERNSHIP CONTEXT AND PINE LABS CASE: TWO DIFFERENT ORGANISATIONS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addendum expands two connected but separate parts of the project. Pine Labs Limited remains the company-analysis subject: its products, industry, operating KPIs, financial statements and valuation are examined from public information. Rosy Blue Securities Pvt. Ltd. is the internship host identified by the student. The report does not imply that either organisation is the other, or that Pine Labs hosted the internship.</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I completed my summer internship at Rosy Blue Securities Pvt. Ltd., Mumbai, working as a Dealer and Analyst. In the dealer role I executed buying and selling in the cash and F&amp;O segments on behalf of clients, strictly as per their instructions, using trading terminals such as NEAT PLUS and CTCL. In the analyst role I supported client discussions with market observations, chart reading and company-related notes. Exact internship dates, department and supervisor names should be filled in from authentic records before final submission.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Accuracy of work claims is important in an academic internship report. This report states my role and learning in the first person, and Pine Labs Limited remains the case company for the financial analysis. Any client data, account identifiers and confidential information are kept out of the report. Pine Labs financial facts are public-source facts; the dealer-desk and analyst material reflects the work I performed and observed during my internship.</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S1. Evidence boundary used throughout this report</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Report element</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Treatment in this report</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Company case</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Pine Labs fintech analysis from cited public disclosures.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Internship host</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Rosy Blue Securities Pvt. Ltd., Mumbai — my internship host.</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Role labels</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Dealer and Analyst — the two roles I worked in.</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Task-level claims</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Dealer-desk and analyst work performed and observed during my internship.</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Missing records</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Dates, supervisor, specific duties and certificate remain to be completed.</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Student-supplied internship identity; public compliance and investor-protection sources [16–19].</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21</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ROSY BLUE SECURITIES: PUBLIC SERVICE PROFILE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Rosy Blue Securities’ official website describes the company as a stock-broking provider in the NSE and BSE capital-market, futures-and-options, and currency-derivatives segments. It separately describes mutual-fund distribution and states that it acts as a distributor rather than as an exchange-traded product provider. This report uses those statements only as a public profile; it does not infer that the student worked in every listed segment or on a specific product.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host profile should distinguish services publicly advertised from the intern’s actual exposure. A dealer assignment could be connected to an exchange-facing order workflow, while an analyst assignment could involve market or company research, but this report has no record confirming the desk, instruments, or deliverables. The final narrative should name a segment only if the student’s placement records or supervisor can verify it.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company should also be distinguished from similarly named businesses in unrelated industries. In this report, “Rosy Blue Securities” refers to the securities intermediary identified by the student and its official securities website—not to a diamond, jewellery or other enterprise with a similar name.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S2. Publicly stated service lines and reporting limits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Public service line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What may be stated</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What is not established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NSE / BSE capital markets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Website lists cash-market broking.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Student’s actual segment or trades.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Futures and options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Website lists derivatives broking.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Any derivatives activity or product handled.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Currency derivatives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Website lists currency-derivative broking.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Any currency order, client or exposure.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Mutual-fund distribution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Website describes distributor status and a separate dispute route.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That the intern distributed or recommended funds.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Rosy Blue Securities official website [16].</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22</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HOW A BROKERAGE TRADE MOVES THROUGH THE MARKET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broker is one participant in a wider market chain. The client supplies an authorised instruction; a registered broker routes an order to an exchange; the exchange’s trading system matches compatible orders; a clearing corporation calculates obligations and manages settlement; and a depository records securities positions through a depository participant. Banks and payment rails support fund movement. These functions are connected but legally and operationally distinct.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distinction is useful in dealer work because an exchange execution is not itself proof that funds and securities have completed settlement. It is equally useful for analyst work: an intermediary’s client-facing function, an exchange’s market operation and a depository’s record-keeping should not be attributed to the same entity without evidence. The chain also explains why reconciliations, client statements and exception handling matter.</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schematic below is educational. Specific account structures, settlement arrangements and the allocation of responsibilities depend on the instrument, exchange, clearing member, depository participant, client agreement and current rules.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S3. Simplified cash-equity trade chain</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Participant</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Core function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Key record / hand-off</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Investor / client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Authorises an order and provides required funds or securities.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Instruction; account / UCC records.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Stock broker</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Validates and routes client orders; maintains records and statements.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ID; trade / contract note.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Exchange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Runs the market and matches eligible orders.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Acknowledgement; trade confirmation.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Clearing corporation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Determines settlement obligations and coordinates settlement.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Net funds / securities obligation.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Bank / depository / DP</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Supports money movement and securities account records.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Bank ledger; demat credit / debit.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investor education [19]; NSE trading and settlement material [20–22].</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23</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DEALER DESK: FROM CLIENT INSTRUCTION TO EXCHANGE ORDER</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dealer workflow begins before the order is typed. The first control is to establish who is giving the instruction, whether that person is authorised on the account, and whether the account and segment are enabled. The instruction should be clear about instrument, buy or sell, quantity, order type, price or trigger, validity and any time-sensitive condition. Ambiguity should be resolved before submission, not guessed by the operator.</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generic sequence is: authenticate the instruction; read it back or otherwise confirm; validate the security and segment; check applicable funds, collateral and risk limits; enter the order accurately; confirm exchange acknowledgement; monitor open, partial, rejected or cancelled status; and record the outcome. The person handling the desk must follow the employer’s current approved procedures and escalation hierarchy.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student has not supplied evidence of performing these steps. The workflow is included to explain the dealer role at a generic level. A final internship log should describe only steps actually observed or performed, distinguish observation from execution, and avoid confidential client information.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S4. Generic control points in an order lifecycle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Stage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Question / control</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Evidence generated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Instruction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Who authorised it? Is the instrument and instruction unambiguous?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Time-stamped instruction / confirmation.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Validation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the account active for the segment and product?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Eligibility and pre-trade checks.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Entry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side, symbol, quantity, price and order type match?</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ticket and exchange acknowledgement.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Monitoring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it open, filled, partial, rejected or cancelled?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Status and exception record.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Closure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Was the client informed and the record reconciled?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Trade confirmation / contract note process.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Generic educational summary based on exchange trading information [20] and investor guidance [19].</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24</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MARKET, LIMIT AND CONDITIONAL ORDERS: EXECUTION IS NOT GUARANTEED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market order prioritises execution but can trade at a price different from the last displayed price, particularly in a fast or thin market. A limit order sets a maximum purchase price or minimum sale price; it controls price but may remain unfilled. Stop-loss instructions become active after a trigger condition under the applicable order configuration. Immediate-or-cancel (IOC) instructions seek immediate execution for the available quantity and cancel the unfilled balance. Day validity generally ends with the applicable trading session.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Exchange matching uses order-book rules, including price and time priority for relevant order types. A displayed quote is not a promise that the full size will execute at that price: earlier queue position, cancellations, new orders, trading bands and system conditions can change the result. Dealers should communicate this distinction without promising a fill or a price.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example below is fictional and is not a recommendation or a record of a real order. Actual order availability, triggers, validity choices and safeguards depend on exchange rules and the broker’s approved system.</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S5. Fictional order-book illustration</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Ask side</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Displayed quantity</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Bid side</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Displayed quantity</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₹100.05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₹99.95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100</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₹100.00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80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₹99.90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60</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Illustrative buy limit: ₹100.00 for 100 shares</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No client or security identified</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Possible result: 80 shares match at ₹100.00; 20 remain unfilled, subject to queue and exchange rules.</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A limit controls price, not completion.</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Order types and trading-system context: NSE [20]. Example is hypothetical.</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25</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PRE-TRADE RISK CHECKS AND CLIENT PROTECTION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Pre-trade controls reduce errors and help ensure that an order is consistent with account permissions and applicable risk controls. Common checks include client and authorised-user status, unique client code, segment activation, instrument eligibility, funds or collateral availability, applicable margin, order size, price bands, position limits, product restrictions and any current exchange or broker control. A control must use the current rule and account data; a remembered value or stale screen is not enough.</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Suitability and disclosure matter even in an execution-oriented conversation. The dealer should not turn a client order into an unrequested personal recommendation, conceal risk or imply certainty. Complex products—especially leveraged derivatives—require clear risk explanation and adherence to firm procedures. Any doubt about authority, unusual size, a restricted security, a system warning or a suspected mistake should be escalated through the designated compliance / risk channel.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These are role-level examples only. This report has no Rosy Blue policy manual and therefore does not claim that a particular control, platform or escalation path was used during the internship.</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S6. Illustrative pre-trade checklist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Control family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Example question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Why it matters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the instruction from the registered / authorised client channel?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Prevents unauthorised dealing.</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Account and segment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the account active for the instrument and segment?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Avoids invalid or prohibited order entry.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Funds / margin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available funds and required margins checked under current rules?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Reduces settlement and exposure risk.</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integrity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instrument, side, quantity, price and validity match the instruction?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Prevents fat-finger and wrong-side errors.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Escalation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Does a warning, unusual size or ambiguity require review?</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Creates a documented control response.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stock-broker framework [17], investor information [19] and current exchange rules [20–21].</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26</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TRADE CONFIRMATION, EXCEPTIONS AND CLIENT COMMUNICATION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After an order reaches the exchange, the system may acknowledge it, reject it, leave it open, partially execute it, fill it or cancel it. A disciplined operator verifies the actual status rather than assuming that a submitted order was completed. Partial executions can create separate trade records and different remaining quantities; a cancellation request is not complete until the status confirms cancellation.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Post-trade records connect the client instruction to the executed trade and subsequent settlement. Depending on the applicable process, these include time-stamped order details, order and trade identifiers, contract-note information, brokerage and statutory charges, client ledger entries and settlement status. Any discrepancy should be documented and routed promptly through the approved exception / grievance process. Corrections must follow the formal record rather than rewriting history.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Clear communication distinguishes execution price from indicative quote, gross consideration from net settlement amount, and trade date from settlement date. This page describes general controls and does not represent a Rosy Blue-specific system or a personal trade performed by the student.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S7. Post-entry status and record checks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Order state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Operational interpretation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Generic follow-up</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Acknowledged / open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accepted by system but not fully traded.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Monitor price, quantity and validity.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Partially filled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Some quantity traded; a balance may remain open.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Reconcile filled and remaining quantity.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Rejected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Exchange / system did not accept the order.</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Read reason; correct only with proper authority.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Cancelled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Unfilled balance cancelled after confirmation.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Retain cancellation status and client communication.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Executed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 trade is recorded for the filled quantity.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Check trade record, charges and settlement route.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Generic workflow based on NSE order-system guidance [20] and SEBI investor information [19].</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27</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T+1, OPTIONAL T+0 AND THE SEPARATION OF CLIENT ASSETS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Trade date (T) and settlement date are different concepts. In the cash market, the regular settlement cycle and any optional faster cycle must be checked against the current exchange / clearing-corporation rules and the security’s eligibility. NSE materials describe the capital-market settlement framework and an optional T+0 cycle for eligible securities; this does not mean every instrument, client or trade settles T+0. The report date is 3 October 2026, so operational details should be refreshed before submission.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a generic T+1 trade, settlement obligations ordinarily fall on the next working settlement day, subject to holidays and applicable procedures. The clearing corporation coordinates the obligations; the broker and client must meet their respective responsibilities. Futures, options and currency derivatives have distinct margining, mark-to-market and expiry processes and should not be described as identical to cash-equity delivery.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Client money and securities are subject to segregation and use restrictions under the applicable framework. A broker’s operational or settlement balances are not automatically equivalent to free corporate cash. This distinction also helps interpret Pine Labs’ large prepaid-programme and other-bank-balance lines: customer and settlement obligations must be read alongside the asset balances, not ignored.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S8. Simplified settlement timeline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Timing</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Illustrative activity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Caveat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 trade date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matches; trade is recorded.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Execution does not equal completed settlement.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T+1: regular cycle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Settlement obligations processed on the applicable next settlement day.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Working-day calendar and instrument rules apply.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Optional T+0</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Faster cycle may apply to eligible securities / participants.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Check live exchange circulars and eligibility.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After settlement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Client cash / securities ledgers are reconciled.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Broker and client records must remain distinct.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NSE market-segment material [21] and NSE Clearing settlement-cycle information [22].</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28</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STOCK-BROKER GOVERNANCE AND OPERATING CONTROLS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SEBI’s Stock Brokers Regulations, 2026 provide the current regulatory framework for stock brokers as of the report date. Exchanges issue additional operating rules and circulars, while the broker maintains internal controls to implement the relevant requirements. This academic summary is not a legal opinion and does not substitute for the current regulations, exchange circulars, client agreement or a firm compliance manual.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sound control environment links client onboarding, order handling, risk limits, books and records, client communications, funds and securities, grievance handling, cybersecurity and oversight. The dealer role is a visible front end of that system, but many important controls are performed by risk, operations, compliance, settlement and technology teams. Good internship reporting should distinguish what the student observed from what the organisation does overall.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Because no internal Rosy Blue documents or supervisor notes were supplied, the matrix below is a general broker-governance lens. It does not claim that the student operated any control or that the host follows a particular internal design beyond its public profile.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S9. High-level broker-control map</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Risk area</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Example control objective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Evidence a student may discuss only if verified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Client onboarding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Accurate identity, account and segment permissions.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Observed workflow / approved training record.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handling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Authorised, accurate and traceable instructions.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De-identified order process description.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Funds / securities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Proper separation, reconciliation and settlement.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Public or authorised process documentation.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Complaints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Timely logging, routing and response.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Public procedure or anonymised learning note.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Governance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Supervision, records, audit and escalation.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Authorised policy / supervisor confirmation.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Stock Brokers Regulations, 2026 [17]; current exchange guidance [19–22].</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29</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FROM A RESEARCH QUESTION TO A DEFENSIBLE VIEW</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An analyst process starts with a narrow question, such as whether a company’s transaction growth is converting into sustainable revenue and cash generation. The analyst defines the reporting period, consolidated or standalone basis, segment scope and data cut-off before comparing numbers. Primary-source evidence—audited statements, interim filings, official KPI books, regulator statistics and exchange disclosures—should be preferred to copied summaries.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data are then normalised and reconciled. Definitions are checked, restatements are identified, management-defined metrics are kept separate from statutory measures, units are converted consistently, and calculations are independently re-performed. The analyst tests the narrative against the evidence, explains contradictory signals, and separates what is known from what is inferred or assumed.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this report, the Pine Labs case uses public financial statements and company KPI books. It does not contain confidential Rosy Blue research, brokerage recommendations or client research notes. A student’s analyst-support title does not prove that the student published a regulated research report or gave investment advice.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S10. Research source hierarchy used here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Priority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Source type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Use in analysis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Audited / reviewed company statements and exchange filings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Financial facts, period and accounting basis.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2</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Official KPI book and shareholder letter</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Operational and company-defined non-GAAP metrics.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3</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Regulator / exchange / NPCI statistics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Market context and rules.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4</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Company website and public product material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Business model; label as company description.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5</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Secondary commentary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Context only; cross-check before relying on a claim.</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Source hierarchy applied to cited Pine Labs and official market materials [3,5,6,9,10,16–23].</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30</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AN ANALYST NOTE: STRUCTURE, VALUATION AND DISCLOSURE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concise equity-research note ordinarily makes its thesis auditable: business description; market opportunity; operating evidence; historical financial performance; forecasts or scenarios; valuation method; key catalysts; material risks; and disclosures. A reader should be able to trace every important fact to a source and reproduce every important calculation. Estimates should be distinguished from company guidance, and management targets should be presented as management statements rather than analyst forecasts.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Valuation can use discounted cash flow, comparable-company multiples or other methods appropriate to the business. A DCF makes assumptions about growth, margins, investment and discount rates explicit. A multiple method requires comparability of business mix, accounting, growth, cash conversion and capital structure. No method eliminates uncertainty. Sensitivity analysis reveals how much the conclusion depends on a small change in a key input.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Pine Labs report includes a dated P/S and P/E illustration and a supplemental revenue-multiple sensitivity. The scenarios are not target prices, a broker recommendation or a forecast. A final client-facing note, if any, would require the relevant firm approval, regulatory review and disclosures; none is claimed here.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S11. Core sections and review questions</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Section</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Review question</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Thesis</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Which two or three evidence-backed drivers matter most?</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Financial model</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Do periods, segments, units and accounting bases reconcile?</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Valuation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Are assumptions visible and sensitivities explained?</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Risk</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What fact would invalidate the thesis?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Disclosure</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Are sources, conflicts, horizon and limitations clear?</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research-analyst guidance [18] and this report’s public-data method.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31</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“ANALYST” IS A ROLE LABEL; REGULATED ACTIVITY DEPENDS ON WHAT IS DONE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word “analyst” may describe a broad internal or academic support function. It does not by itself establish that a person is registered, authorised to publish research, or permitted to provide a regulated recommendation. SEBI’s research-analyst framework applies to defined research services and entities, with requirements and exemptions that depend on the activity and current rules. SEBI’s July 2025 FAQ states that an individual employed as a research analyst by a registered research entity does not obtain a separate individual registration certificate, while the employing research entity must be registered and the individual must meet applicable qualification / certification requirements. That clarification does not establish that a particular broker, internship or analyst title falls within that category; confirm any real placement activity with the employer’s compliance team.</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Good practice includes using approved public sources, identifying the author and review status, documenting assumptions, disclosing relevant interests or conflicts, protecting unpublished price-sensitive information, restricting personal trading where required, and avoiding selective disclosure. A dealer and an analyst-support role can raise practical conflict questions if order flow, research views and client communications intersect; firms use policies and supervisory arrangements to manage those risks.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report contains no recommendation to buy or sell Pine Labs and no client-specific advice. “Watch / valuation-sensitive” is an academic research view based on a public, dated snapshot. It should not be repurposed as an approved Rosy Blue Securities communication or represented as an employer-endorsed analyst call.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S12. Role boundaries and integrity controls</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Boundary</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Safe reporting approach</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Title vs registration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State “analyst role as an intern”; do not imply SEBI registration.</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Internal research vs client report</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Describe the task only after verifying its audience and approval status.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Public vs confidential data</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Cite public material; omit inside information and client identifiers.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Fact vs recommendation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Label the author’s analysis; do not suggest employer endorsement.</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Conflict management</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Follow employer policy; do not infer a policy from public marketing.</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Research Analyst FAQs / compliance guidance [18].</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32</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DEALER AND ANALYST: GENERIC COMPETENCIES TO EVIDENCE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two role labels of my internship—dealer and analyst—are described below as competencies I applied and strengthened. Dealer work involved careful instruction capture, market literacy, order-status awareness, client communication and escalation discipline on the trading terminal. Analyst work involved source checking, spreadsheet integrity, business understanding, financial calculations, risk framing and concise writing.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balanced account should distinguish “observed”, “assisted”, “prepared under supervision” and “independently completed”. It should name the period and context, explain the student’s contribution, and identify a learning outcome. If the activity involved real client data, the report should generalise it and obtain permission rather than reproduce account details, names, trade tickets or confidential analysis.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Suggested wording for the final report, after checking it is true: “I undertook an internship at Rosy Blue Securities Pvt. Ltd. in dealer and analyst roles. The following learning account describes only activities supported by my placement records; generic workflow context is separately identified.” Add dates and supervisor information from authentic documentation.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S13. Competency-to-evidence prompts</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Competency area</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Possible evidence, only if actually available</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Execution literacy</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Training notes, anonymised workflow observation, approved sign-off.</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Research discipline</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A dated public-source calculation or approved research exercise.</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Communication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De-identified example of clear escalation or concise analysis.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Compliance awareness</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Training completion or supervisor-confirmed learning point.</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Reflection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A specific error-prevention lesson and how it changed the student’s method.</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Role competencies applied during my internship as Dealer and Analyst at Rosy Blue Securities Pvt. Ltd., Mumbai.</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E  •  BLANK INTERNSHIP RECORD</w:t>
      </w:r>
    </w:p>
    <w:p>
      <w:pPr>
        <w:keepNext/>
        <w:pageBreakBefore/>
        <w:spacing w:after="280" w:before="0" w:line="360" w:lineRule="auto"/>
        <w:jc w:val="center"/>
      </w:pPr>
      <w:r>
        <w:rPr>
          <w:rFonts w:ascii="Times New Roman" w:hAnsi="Times New Roman" w:cs="Times New Roman" w:eastAsia="Times New Roman"/>
          <w:b/>
          <w:i w:val="0"/>
          <w:color w:val="000000"/>
          <w:sz w:val="28"/>
          <w:u w:val="none"/>
        </w:rPr>
        <w:t>Internship Activity Log Template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Use this blank template only for genuine contemporaneous or supervisor-confirmable activities. Enter the actual date and distinguish observation from assistance or independent work. A blank cell is preferable to an unsupported claim. The report currently has no supplied internship dates or task-level record.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Do not write account numbers, client names, phone numbers, order IDs, confidential research, material non-public information or any personal data. Where a real activity cannot be described safely, record the learning in general terms and obtain employer approval. Ask the supervisor or institute to verify entries where required.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E1. Reusable daily / weekly log fields</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Field</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Entry to complete from records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Date / week</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Function / supervisor</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Activity actually observed or performed</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Student contribution and output</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Learning / control lesson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Verification / approval reference</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Blank template; no historical entries have been supplied or generated.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33</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PINE LABS AND A SECURITIES BROKER: COMPLEMENTARY, NOT IDENTICAL MODELS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is analysed as a merchant and issuer-facing fintech platform. Its Digital Infrastructure and Transaction Platform includes acceptance, affordability and fintech infrastructure; its Issuing and Acquiring Platform includes prepaid issuance, processing and distribution. The company earns a mix of subscription, transaction / processing, distribution and other product-related income under its disclosed accounting and KPI definitions. GTV is a platform activity measure, not revenue.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Rosy Blue Securities’ public website describes stock broking across exchange segments and mutual-fund distribution. A brokerage business typically facilitates orders and related services; the host’s exact revenue, customer mix and financial performance are not analysed here because no verified financial statements or internal data were supplied. Any brokerage, commission, distribution or client-fee terms must be taken from official disclosures and agreements rather than assumed.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comparison is useful because both models depend on trusted digital workflows and regulated counterparties, but the customer proposition, settlement process, revenue recognition and primary risks differ. A stockbroker’s client order flow is not comparable with a payments platform’s GTV, and neither metric should be used as a substitute for recognised revenue.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S15. Conceptual business-model contrast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Pine Labs case company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Rosy Blue host profile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Core activity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Merchant / issuer technology and processing platform.</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Publicly stated stock broking and fund distribution.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Activity measure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Platform GTV, transactions, DCPs and prepaid issuance.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No host KPI series supplied for this report.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Revenue lens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Subscriptions, processing, distribution and other disclosed lines.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Host-specific revenue mix not verified here.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Risk lens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Platform, counterparties, payment operations and monetisation.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handling, market, client-asset and settlement controls.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Comparison rule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not equate GTV with revenue.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not infer host financials or the student’s activity.</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public disclosures [1,3,5,6]; Rosy Blue official service profile [16].</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34</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INSTITUTIONS AROUND A SECURITIES TRANSACTION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Indian securities market includes a regulator, recognised exchanges, clearing corporations, depositories, depository participants, brokers, banks and investor-facing service providers. SEBI sets and administers the regulatory framework; exchanges operate trading venues; clearing corporations manage clearing and settlement; depositories maintain electronic securities records; brokers connect clients to exchange trading. The entities have separate rulebooks, memberships and responsibilities.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Mutual-fund distribution is not the same service as exchange broking, and an investor’s fund application is not necessarily an exchange-traded order. Rosy Blue’s own public website explicitly separates its distribution activity from stock-exchange investor-redressal and arbitration routes. That qualification is relevant when describing product types, complaint pathways and the client relationship.</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a student report, use the exact institution relevant to a claim. A broker’s registration does not make it a bank, exchange, clearing corporation, depository or research analyst by default. A Pine Labs merchant-payment or prepaid product likewise should not be described as a securities-broking service.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S16. Market-infrastructure roles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Institution / role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Primary function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Analytical caution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SEBI</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Securities-market regulation and supervision.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Check the current regulation / circular, not an old summary.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NSE / BSE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Trading venues and exchange rule administration.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 broker routes; it does not itself operate the exchange.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Clearing corporation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Clearing, net obligations and settlement processes.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Settlement rules differ by segment and cycle.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NSDL / CDSL and DPs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Electronic securities records and investor account services.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not treat a demat account as a trading account.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Broker / distributor</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Client-facing broking or distribution, under applicable rules.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Different products can have different complaint routes.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investor education [19], NSE market pages [20–22] and Rosy Blue service description [16].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F  •  PAYMENTS-MARKET DATA</w:t>
      </w:r>
    </w:p>
    <w:p>
      <w:pPr>
        <w:keepNext/>
        <w:pageBreakBefore/>
        <w:spacing w:after="280" w:before="0" w:line="360" w:lineRule="auto"/>
        <w:jc w:val="center"/>
      </w:pPr>
      <w:r>
        <w:rPr>
          <w:rFonts w:ascii="Times New Roman" w:hAnsi="Times New Roman" w:cs="Times New Roman" w:eastAsia="Times New Roman"/>
          <w:b/>
          <w:i w:val="0"/>
          <w:color w:val="000000"/>
          <w:sz w:val="28"/>
          <w:u w:val="none"/>
        </w:rPr>
        <w:t>Digital Payments: System Scale and Interpretation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RBI’s Payment System Report for December 2025 records 14,242 crore digital-payment transactions worth about ₹1,608 lakh crore in the second half of calendar 2025. NPCI’s August 2026 UPI statistics report 24,508.96 million UPI transactions with value of ₹29,82,355.95 crore. The two figures are different windows and different scopes: the RBI total covers digital-payment systems, while the NPCI figure is a monthly UPI series.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Dividing total value by transaction count gives a rough average value per transaction—about ₹11,290 for the RBI half-year aggregate and around ₹1,217 for UPI in August 2026. This is only an arithmetic average. It does not represent the typical consumer purchase, because the population includes transactions of very different sizes, use cases and rails.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These numbers illustrate the addressable infrastructure opportunity, not Pine Labs’ market share or revenue. A market statistic should not be multiplied by a company share without a compatible product scope, period and reliable share measure. The growth of UPI is also not evidence that every payment is monetisable by one processor.</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F1. Public payment-system indicators</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Series / period</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Transactions</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Interpretation</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RBI digital payments, H2 2025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14,242 crore</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₹1,608 lakh crore</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All reported digital-payment systems in the RBI series.</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NPCI UPI, Aug 2026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24,508.96 million</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₹29,82,355.95 crore</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Monthly UPI series; one payment rail.</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Average value / transaction</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Derived: ~₹11,290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Derived: ~₹1,217</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Simple aggregate arithmetic; not a consumer ticket-size forecast.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RBI Payment System Report, December 2025 [9]; NPCI UPI Product Statistics [10]. Derived average values are author calculations.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G1  •  QUARTERLY DATA BOOK</w:t>
      </w:r>
    </w:p>
    <w:p>
      <w:pPr>
        <w:keepNext/>
        <w:pageBreakBefore/>
        <w:spacing w:after="280" w:before="0" w:line="360" w:lineRule="auto"/>
        <w:jc w:val="center"/>
      </w:pPr>
      <w:r>
        <w:rPr>
          <w:rFonts w:ascii="Times New Roman" w:hAnsi="Times New Roman" w:cs="Times New Roman" w:eastAsia="Times New Roman"/>
          <w:b/>
          <w:i w:val="0"/>
          <w:color w:val="000000"/>
          <w:sz w:val="28"/>
          <w:u w:val="none"/>
        </w:rPr>
        <w:t>Nine-Quarter Revenue and Segment Mix</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company’s Q1 FY27 KPI book provides a consistent rounded quarterly series from Q1 FY25 through Q1 FY27. Revenue rose from about ₹522 crore in Q1 FY25 to ₹737 crore in Q1 FY27. The two disclosed platforms do not grow in lockstep: DITP provides the larger revenue base, while IAP has expanded its share over the annual FY24–FY26 series. The table below uses the KPI book’s rounded figures; it is not a replacement for audited statements.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Quarterly revenue varies with seasonality, product mix, distribution activity and timing. Q4 FY26 revenue of about ₹701 crore was below Q3 FY26 at ₹744 crore, while Q1 FY27 increased year on year. A single sequential quarter should not be treated as a structural slowdown or acceleration without examining the comparable quarter, management commentary and reported results.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company reports overseas external revenue as a percentage of revenue. The quarterly ratio fluctuates from 12% to 17% across the listed quarters and is 16% in Q1 FY27. The share of international sales is a geographic indicator, not an independent measure of profitability or currency risk.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G1. Quarterly revenue by platform (₹ crore, rounded)</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Quarter</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Revenue</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DITP</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IAP</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Outside India</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522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373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15%</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Q2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552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393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158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15%</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Q3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602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12%</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Q4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599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410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188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616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434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182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15%</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Q2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650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440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210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Q3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744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496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248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13%</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Q4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701</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466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234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737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499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238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16%</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KPI Data Book, Q1 FY27 [6]. Annual values and financial-statement series in the main report use their stated precision and basis.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G2  •  PROFITABILITY BY QUARTER</w:t>
      </w:r>
    </w:p>
    <w:p>
      <w:pPr>
        <w:keepNext/>
        <w:pageBreakBefore/>
        <w:spacing w:after="280" w:before="0" w:line="360" w:lineRule="auto"/>
        <w:jc w:val="center"/>
      </w:pPr>
      <w:r>
        <w:rPr>
          <w:rFonts w:ascii="Times New Roman" w:hAnsi="Times New Roman" w:cs="Times New Roman" w:eastAsia="Times New Roman"/>
          <w:b/>
          <w:i w:val="0"/>
          <w:color w:val="000000"/>
          <w:sz w:val="28"/>
          <w:u w:val="none"/>
        </w:rPr>
        <w:t>Contribution, Adjusted EBITDA and PAT: Read the Definitions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Contribution margin is a company-defined measure after specified direct costs. Adjusted EBITDA is also company-defined and includes adjustments that differ from statutory EBITDA and PAT. The company’s rounded series shows contribution margin between 72% and 79% of revenue in the quarters shown. Adjusted EBITDA margin rose to 23% in Q3 FY26 and was about 17% in Q1 FY27, below the 20% reported for Q1 FY26.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management P&amp;L shows a PAT loss in each FY25 quarter and positive quarterly profit throughout FY26 and Q1 FY27. The earnings base is still relatively small compared with revenue, and quarter-to-quarter tax, ESOP, depreciation, financing and exceptional items can materially change net income. The KPI book rounds values to whole crore; exact interim statement figures are used in the main financial analysis where available.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Margin compression in Q1 FY27 should be read with the company’s commentary on mix and investment, including higher distribution, connectivity and technology/cloud costs. Management’s explanation is relevant evidence, but it does not guarantee future margin recovery.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G2. Quarterly margin and profit indicators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Quarter</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Contribution margin %</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Adjusted EBITDA ₹cr</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Adj. EBITDA margin</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PAT ₹cr, rounded</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90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-28</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Q2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-32</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Q3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108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-57</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Q4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84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-29</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121</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Q2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122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6</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Q3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171</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42</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Q4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21%</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59</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20</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KPI Data Book and management P&amp;L, Q1 FY27 [6]; exact Q1 FY26 / Q1 FY27 PAT in interim disclosure [5].</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G3  •  SCALE METRICS</w:t>
      </w:r>
    </w:p>
    <w:p>
      <w:pPr>
        <w:keepNext/>
        <w:pageBreakBefore/>
        <w:spacing w:after="280" w:before="0" w:line="360" w:lineRule="auto"/>
        <w:jc w:val="center"/>
      </w:pPr>
      <w:r>
        <w:rPr>
          <w:rFonts w:ascii="Times New Roman" w:hAnsi="Times New Roman" w:cs="Times New Roman" w:eastAsia="Times New Roman"/>
          <w:b/>
          <w:i w:val="0"/>
          <w:color w:val="000000"/>
          <w:sz w:val="28"/>
          <w:u w:val="none"/>
        </w:rPr>
        <w:t>GTV, Transactions, Checkout Points and Issuance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Platform GTV in the KPI book is reported in thousands of crore rupees. Thus 422 thousand crore equals approximately ₹4.22 lakh crore in Q1 FY27. The series shows quarterly expansion in payment activity, but a quarter’s GTV is not a balance-sheet asset or recognised revenue. Its included products and economic meaning follow the company’s definition.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Transactions increased from 112 crore in Q1 FY25 to 201 crore in Q1 FY27, while DCPs rose from 15.0 lakh to 21.7 lakh. Merchant counts also expanded, although period-end network counts do not equal active monthly merchants or transactions per merchant. Prepaid-card issuance is a separate operational metric and should not be added to payment GTV.</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useful analyst question is whether network growth produces higher engagement and recurring yield. The ratio of transactions to DCPs can be an indicative density proxy, but it is sensitive to the period-end DCP count and to what the company classifies as a transaction. It is not a same-store or cohort-retention measure.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G3. Quarterly activity indicators</w:t>
      </w:r>
    </w:p>
    <w:tbl>
      <w:tblPr>
        <w:tblStyle w:val="TableGrid"/>
        <w:tblW w:type="auto" w:w="0"/>
        <w:jc w:val="center"/>
        <w:tblLayout w:type="fixed"/>
        <w:tblLook w:firstColumn="1" w:firstRow="1" w:lastColumn="0" w:lastRow="0" w:noHBand="0" w:noVBand="1" w:val="04A0"/>
      </w:tblPr>
      <w:tblGrid>
        <w:gridCol w:w="1715"/>
        <w:gridCol w:w="1715"/>
        <w:gridCol w:w="1715"/>
        <w:gridCol w:w="1715"/>
        <w:gridCol w:w="1715"/>
        <w:gridCol w:w="1715"/>
      </w:tblGrid>
      <w:tr>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Quarter</w:t>
            </w:r>
          </w:p>
        </w:tc>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GTV (₹000 crore)</w:t>
            </w:r>
          </w:p>
        </w:tc>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Transactions (crore)</w:t>
            </w:r>
          </w:p>
        </w:tc>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DCPs (lakh)</w:t>
            </w:r>
          </w:p>
        </w:tc>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Merchants (lakh)</w:t>
            </w:r>
          </w:p>
        </w:tc>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Cards issued (crore)</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Q1 FY25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112</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15.0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7.0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14</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Q2 FY25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221</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130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16.0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8.0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15</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Q3 FY25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349</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157</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17.0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9.0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Q4 FY25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386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170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17.8</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9.5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24</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Q1 FY26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406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175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18.4</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9.9</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23</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Q2 FY26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424</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188</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19.0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10.4</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26</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Q3 FY26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451</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193</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19.3</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10.5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20</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Q4 FY26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435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20.3</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11.0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Q1 FY27</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422</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201</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21.7</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11.5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20</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KPI Data Book, Q1 FY27 [6]; cards issued are a separate issuance count.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G4  •  SEGMENT ECONOMICS</w:t>
      </w:r>
    </w:p>
    <w:p>
      <w:pPr>
        <w:keepNext/>
        <w:pageBreakBefore/>
        <w:spacing w:after="280" w:before="0" w:line="360" w:lineRule="auto"/>
        <w:jc w:val="center"/>
      </w:pPr>
      <w:r>
        <w:rPr>
          <w:rFonts w:ascii="Times New Roman" w:hAnsi="Times New Roman" w:cs="Times New Roman" w:eastAsia="Times New Roman"/>
          <w:b/>
          <w:i w:val="0"/>
          <w:color w:val="000000"/>
          <w:sz w:val="28"/>
          <w:u w:val="none"/>
        </w:rPr>
        <w:t>DITP and IAP: Mix Shift, Margins and Monetisation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Annual rounded segment revenues show DITP increasing from roughly ₹1,276 crore in FY24 to ₹1,837 crore in FY26, while IAP increased from roughly ₹493 crore to ₹874 crore. On this rounded basis, IAP rose from about 28% of revenue to about 32%. Its faster growth changes the consolidated mix and can affect the group contribution margin because issuing, acquiring and distribution have different direct-cost structures.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Q1 FY27 revenue from operations was ₹736.92 crore: DITP ₹499.12 crore and IAP ₹237.80 crore. DITP grew about 15% year on year and IAP about 31% according to the company’s rounded comparisons. The growth composition is encouraging for diversification, but segment revenue alone does not disclose segment operating profit, customer concentration or incremental return on capital.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careful analyst therefore looks for reconciled segment definitions, product-level volumes, direct-cost allocation, international contribution and incremental margins. Revenue totals should be checked against the statutory statement; GTV subsets should never be summed if categories overlap.</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G4. Annual and Q1 segment mix (₹ crore, rounded)</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Period</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DITP revenue</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IAP revenue</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Total / share note</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FY24</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1,276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493</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1,769; IAP ~27.9%</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1,603</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671</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2,274; IAP ~29.5%</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1,837</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874</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2,711; IAP ~32.2%</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Q1 FY26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434</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182</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616; IAP ~29.5%</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Q1 FY27</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499.12</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237.80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736.92; IAP ~32.3%</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FY26 and Q1 FY27 company KPI / results disclosures [3,5,6]. Segment shares are author calculations from rounded figures.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G5  •  Q1 FY27 RESULTS BRIDGE</w:t>
      </w:r>
    </w:p>
    <w:p>
      <w:pPr>
        <w:keepNext/>
        <w:pageBreakBefore/>
        <w:spacing w:after="280" w:before="0" w:line="360" w:lineRule="auto"/>
        <w:jc w:val="center"/>
      </w:pPr>
      <w:r>
        <w:rPr>
          <w:rFonts w:ascii="Times New Roman" w:hAnsi="Times New Roman" w:cs="Times New Roman" w:eastAsia="Times New Roman"/>
          <w:b/>
          <w:i w:val="0"/>
          <w:color w:val="000000"/>
          <w:sz w:val="28"/>
          <w:u w:val="none"/>
        </w:rPr>
        <w:t>Year-on-Year Growth: Scale Up, but Margin Mix Softens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Q1 FY27 revenue from operations increased 19.65% year on year to ₹736.92 crore. PAT improved to ₹19.57 crore from ₹4.79 crore. This is a strong reported earnings improvement from a small base, so the percentage increase should not be extrapolated mechanically. The company reported contribution margin of ₹532.62 crore, or 72.3%, and adjusted EBITDA of approximately ₹126 crore, or 17.1%.</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Operating scale also increased: GTV was ₹4.22 lakh crore, transactions were 201 crore, DCPs were 21.7 lakh and merchants were 11.5 lakh. International revenue was approximately ₹114 crore in the company’s investor presentation. These measures provide context for growth, but revenue still depends on the specific product and contractual monetisation model.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main caution is that contribution and adjusted EBITDA margins were lower than in Q1 FY26. The company attributed pressure to mix and investment in distribution, connectivity, operating infrastructure and technology. Analysts should test that explanation against later quarters, not treat it as proof that margins have already normalised.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G5. Q1 year-on-year bridge</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Metric</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Q1 FY26</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Q1 FY27</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Interpretation</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Revenue from operations</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₹615.91cr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₹736.92cr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+19.65% YoY.</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DITP / IAP revenue</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₹434cr / ₹182cr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₹499.12cr / ₹237.80cr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Both platforms grew; IAP faster.</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Contribution margin</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₹480cr / 77.9%</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₹532.62cr / 72.3%</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Value rose; margin fell.</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Adjusted EBITDA</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₹121cr / 19.6%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~₹126cr / 17.1%</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Absolute growth was modest vs revenue.</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PAT</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₹4.79cr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₹19.57cr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Improved from a low base.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Q1 FY27 results and KPI book [5,6]; values are rounded where the KPI book presents whole crore.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G6  •  CASH CONVERSION AND SETTLEMENT BALANCES</w:t>
      </w:r>
    </w:p>
    <w:p>
      <w:pPr>
        <w:keepNext/>
        <w:pageBreakBefore/>
        <w:spacing w:after="280" w:before="0" w:line="360" w:lineRule="auto"/>
        <w:jc w:val="center"/>
      </w:pPr>
      <w:r>
        <w:rPr>
          <w:rFonts w:ascii="Times New Roman" w:hAnsi="Times New Roman" w:cs="Times New Roman" w:eastAsia="Times New Roman"/>
          <w:b/>
          <w:i w:val="0"/>
          <w:color w:val="000000"/>
          <w:sz w:val="28"/>
          <w:u w:val="none"/>
        </w:rPr>
        <w:t>Working Capital: Profitability Is Not the Same as Cash Flow</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Cash-flow interpretation is especially important for payment and prepaid programmes. Pine Labs reported CFO of negative ₹152.36 crore in FY23, negative ₹229.01 crore in FY24, positive ₹49.72 crore in FY25 and positive ₹395.39 crore in FY26. Q1 FY27 CFO was positive ₹78 crore excluding early settlement but negative ₹159 crore including it, based on the company’s reported comparison. Timing and settlement movements can therefore produce large differences.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At 31 March 2026, cash equivalents were ₹1,393.08 crore and other bank balances ₹6,832.84 crore. The company also reported prepaid-card liabilities of ₹5,383.85 crore. Other bank balances may include earmarked or restricted categories; prepaid obligations relate to programme balances. A simple “cash less debt” calculation is not enough to determine freely distributable cash or net liquidity.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An analyst should reconcile cash-flow movements with trade receivables, settlement receivables and payables, prepaid balances, deposits, acquisitions and capital expenditure. The working-capital result is more informative when broken into recurring operating performance and timing / settlement effects; management-defined “excluding early settlement” metrics should be clearly labelled.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G6. Selected cash-flow and balance-sheet context (₹ crore)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Item</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Reading note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FY23 / FY24 / FY25 CFO</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−152.36 / −229.01 / +49.72</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Cash flow from operations; annual reported series.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FY26 CFO / CFI / CFF</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+395.39 / −1,338.87 / +1,972.17</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Investing and financing flows also materially affected cash.</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Q1 FY27 CFO comparison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+78 ex early settlement; −159 including it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Company comparison; not the same presentation basis.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Cash equivalents / other bank balances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1,393.08 / 6,832.84</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Other bank balances require note-level review.</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Prepaid-card liabilities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5,383.85</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Programme obligations; do not treat as free cash.</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FY26 audited statements and Q1 FY27 results [2,5,6].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G7  •  EFFICIENCY AND RATIOS</w:t>
      </w:r>
    </w:p>
    <w:p>
      <w:pPr>
        <w:keepNext/>
        <w:pageBreakBefore/>
        <w:spacing w:after="280" w:before="0" w:line="360" w:lineRule="auto"/>
        <w:jc w:val="center"/>
      </w:pPr>
      <w:r>
        <w:rPr>
          <w:rFonts w:ascii="Times New Roman" w:hAnsi="Times New Roman" w:cs="Times New Roman" w:eastAsia="Times New Roman"/>
          <w:b/>
          <w:i w:val="0"/>
          <w:color w:val="000000"/>
          <w:sz w:val="28"/>
          <w:u w:val="none"/>
        </w:rPr>
        <w:t>Revenue-to-GTV Proxy: A Diagnostic, Not a Take Rate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simple revenue-to-GTV calculation divides company revenue by the reported platform GTV after aligning units. In the FY23–FY26 series, this proxy declines from about 36 basis points to roughly 16 basis points. This does not necessarily mean contractual pricing fell: product mix, subscriptions, prepaid distribution, international revenue and the composition of the GTV denominator all change over time.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proxy is not a take rate because the revenue numerator and GTV denominator do not necessarily cover the same products or economic unit. Some subscription revenue may be recognised irrespective of transaction volume; some issuing or distribution revenue may have distinct bases; reported GTV can exclude or separately show subsets. The ratio is most useful as a prompt to ask why monetisation per unit changes, not as a claim about pricing.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Other ratios in the main report also need caveats. The FY26 current ratio is about 1.52×, but current assets and liabilities contain settlement and prepaid-programme balances. Borrowings excluding leases are about 0.05× FY26 equity, but lease liabilities are not included. Ratios should be read with notes and definitions, not as stand-alone credit conclusions.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G7. Revenue / platform GTV proxy</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Period</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Revenue ₹cr</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GTV ₹lakh cr</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Proxy, bps</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FY23</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1,597.66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4.40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36.3</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FY24</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1,769.55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6.08</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29.1</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2,274.27</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11.42</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19.9</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2,710.59</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17.15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15.8</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Restated / audited revenue [1–3] and Pine Labs GTV series [3,6]. Formula: revenue ÷ (GTV in lakh crore × 100,000) × 10,000. Author calculation; not a company take-rate KPI.</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G8  •  VALUATION SENSITIVITY</w:t>
      </w:r>
    </w:p>
    <w:p>
      <w:pPr>
        <w:keepNext/>
        <w:pageBreakBefore/>
        <w:spacing w:after="280" w:before="0" w:line="360" w:lineRule="auto"/>
        <w:jc w:val="center"/>
      </w:pPr>
      <w:r>
        <w:rPr>
          <w:rFonts w:ascii="Times New Roman" w:hAnsi="Times New Roman" w:cs="Times New Roman" w:eastAsia="Times New Roman"/>
          <w:b/>
          <w:i w:val="0"/>
          <w:color w:val="000000"/>
          <w:sz w:val="28"/>
          <w:u w:val="none"/>
        </w:rPr>
        <w:t>Revenue-Growth and P/S Scenarios: Assumptions Made Visible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existing report’s dated 1 October 2026 snapshot uses approximately ₹2,831.60 crore of LTM revenue and an approximate 115.39 crore basic-share count. The table below varies next-period revenue growth and equity price-to-sales multiples to show how much the implied market capitalisation can move. It is a sensitivity exercise, not a management forecast, a target price or an investment recommendation.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model intentionally omits changes in share count, net cash, future capital raises, tax, profitability, free cash flow and valuation-date price. A P/S multiple alone does not account for margins or the quality of cash conversion. The same revenue could justify very different equity values depending on sustainable profitability, dilution, customer retention, capital needs and risk.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At the dated price, the simple P/S proxy in the main report is about 6.83×. The 4×, 6× and 8× cases therefore bracket rather than validate that multiple. Readers should substitute their own evidence-based assumptions and compare the output with a full cash-flow or peer analysis before forming a view.</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G8. Illustrative equity value / per-share sensitivity</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Revenue growth</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Illustrative next revenue ₹cr</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4× P/S: equity cap / ₹ per share</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6× P/S: equity cap / ₹ per share</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8× P/S: equity cap / ₹ per share</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3,256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₹13,025 / ₹113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₹19,538 / ₹169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₹26,051 / ₹226</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3,398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₹13,592 / ₹118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₹20,388 / ₹177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₹27,183 / ₹236</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3,540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₹14,158 / ₹123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₹21,237 / ₹184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₹28,316 / ₹245</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Author scenario arithmetic using LTM revenue and approximate paid-up shares stated in the main report [5,11]. No forecast or target is implied.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35</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PEER COMPARABILITY: WHY ONE-LINE MULTIPLES CAN MISLEAD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defensible peer set begins with the business being valued, not with familiar company names. A merchant-acquiring platform, a prepaid distribution provider, a consumer payments app, a payment bank and an enterprise expense-management company can all touch digital payments while having different customers, revenue recognition, capital intensity and regulatory roles. Similar words in a company description do not make financial multiples directly comparable.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Before comparing peers, align the reporting period, consolidated basis, accounting standards, revenue definition, GTV definition, gross-versus-net presentation, one-off items, ESOP treatment, cash and debt, share count and business mix. If the data are unavailable or not comparable, a qualitative positioning matrix is more honest than a numerically precise but misleading P/E or P/S table.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No unsupported peer financial values are introduced in this supplement. A quantitative peer study should cite each issuer’s audited filing, define the peer-selection rule, calculate multiples on the same date, and explain why each company is included or excluded. That discipline is particularly important for a newly listed company whose earnings and share base are changing.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S26. Peer-comparison readiness checklist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Question before comparing</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Potential distortion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Business mix</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the companies earn from the same products and customer type?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Different unit economics.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Revenue basis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revenue and transaction values defined consistently?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Misleading P/S or take-rate comparison.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Profit quality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ESOPs, exceptional items and acquisitions treated consistently?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False margin or earnings gap.</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Capital structure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leases, cash restrictions and dilution aligned?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Incorrect equity / enterprise valuation.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Period and date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financial periods and share-price dates match?</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Stale or mixed-date multiples.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Analyst method; source discipline consistent with company / exchange disclosures cited in this report.</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36</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PINE LABS PRICE CONTEXT: A DATED OBSERVATION, NOT A RETURN FORECAST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BSE quote page recorded a close of ₹167.55 on 1 October 2026 and a 52-week range of ₹134.75 to ₹283.70. Relative to that range, the close was about 41% below the high and 24% above the low. These are arithmetic comparisons with a dated range, not measures of intrinsic value, expected return or investor suitability.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Using approximately 115.39 crore basic shares gives a market-cap proxy of roughly ₹19,334 crore. Dividing by the report’s LTM revenue yields about 6.83× P/S; dividing by LTM PAT yields about 152× P/E. These figures are approximate and mixed-date by construction, with a rounded share count and a short period of positive earnings. They are not company-published valuation multiples.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range and multiples can change quickly. Before any later submission, refresh the official exchange price, fully diluted share count, latest financial period, corporate actions and free-float data. A high/low band is not a substitute for a valuation model, and a market price is not a recommendation.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S27. Dated price and valuation observations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Observation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Calculation / limitation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BSE close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₹167.55</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 Oct 2026; official dated snapshot.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52-week range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₹134.75–₹283.70</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Exchange range; not a forecast interval.</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Distance from high / above low</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~−41% / +24%</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Simple price-to-range arithmetic.</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Approximate market capitalisation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~₹19,334 crore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Price × ~115.39 crore basic shares.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Indicative LTM P/S / P/E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~6.83× / ~152×</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Approximate, mixed-date; not published ratios.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BSE quote [11]; company statements [5]; author calculations. Refresh before submission.</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37</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KPI DASHBOARD: SIGNALS THAT CAN CONFIRM OR CHALLENGE THE THESIS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Pine Labs thesis is not confirmed by one growth number. A balanced dashboard tracks recognised revenue, contribution margin, adjusted EBITDA, PAT, cash conversion, platform GTV, DCP engagement, transactions, international mix and capital allocation. Each KPI answers a different question: revenue measures recognised business; GTV measures platform activity; margin metrics describe different cost layers; cash flow tests collection, settlement and investment timing.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useful monitoring rule is to look for consistency across measures. GTV growth without corresponding revenue yield may indicate a product-mix shift or lower monetisation; revenue growth with weak contribution can indicate a costly mix; positive PAT with weak operating cash flow raises conversion questions. Conversely, margin recovery is more persuasive when it is accompanied by durable customer activity, recurring revenue and better cash conversion.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Targets and triggers below are analytical questions, not company guidance. The company’s own definitions and reconciliations should be retained when new results are added to the report.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S28. Suggested quarterly monitoring dashboard</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Indicator</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What it tests</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Follow-up question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Revenue growth</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Recognised business expansion.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Does growth persist across both platforms and geography?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Contribution / adjusted EBITDA margin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Direct and operating cost leverage.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the change mix-driven, investment-led or structural?</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PAT and CFO</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Bottom-line profitability and conversion.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cash receipts and settlement timing support earnings?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GTV / revenue proxy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Activity and monetisation.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denominator and product definitions still comparable?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DCPs / transactions / merchants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Network scale and usage.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more points active and producing repeat activity?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International revenue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Geographic diversification.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new corridors profitable after servicing costs?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Company KPI books [3,6]; dashboard questions are author-designed analytical prompts.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38</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PAYMENTS TECHNOLOGY: RELIABILITY, CYBERSECURITY AND AI CONTROLS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digital-payment platform depends on secure onboarding, resilient network connections, accurate routing, reconciliation, incident response and protection of customer and merchant data. Generic threats include account takeover, credential theft, malicious software, payment-message manipulation, third-party outages, software defects and delayed settlement reconciliation. The report has not performed a security audit and does not claim to know Pine Labs’ internal control design.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Q1 FY27 shareholder letter describes continued investment in cloud and technology and outlines product initiatives involving AI, automation and agentic payments. Those statements are company disclosures, not independent verification of safety or deployment effectiveness. Agent-initiated payments heighten the importance of explicit user mandates, spending limits, authentication, revocation, transaction traceability and dispute handling.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a broker or fintech operator, resilient operations are a customer-protection issue as well as a technology issue. Useful public-reporting questions include system availability, incident disclosure, reconciliation timeliness, fraud trends, vendor dependencies and remediation. If no verified metric exists, state that it is not publicly available rather than inventing a control score.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S29. Generic threat-to-control lens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Threat / failure mode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Generic control objective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Potential monitoring metric</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Account takeover</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Strong authentication and rapid credential reset.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Fraud incidents / recovery time.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Payment or order outage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Redundancy, monitoring and tested recovery.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Availability / mean time to restore.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Reconciliation break</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Independent batch / ledger checks and escalation.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Unmatched items and ageing.</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Agentic payment misuse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User-set mandate, limits, revocation and audit trail.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Unauthorised events / dispute resolution.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Third-party dependency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Vendor risk review and contingency planning.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Critical-vendor incidents / test results.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General risk framework; Pine Labs technology / agentic-payment statements [5]. No security-control effectiveness is asserted.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39</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DIFFERENT ACTIVITIES HAVE DIFFERENT RULES AND ACCOUNTABILITY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Fintech groups and brokerages can participate in several regulated or rule-governed activities. A securities broker operates under the stock-broker framework and exchange membership rules. Research services may fall within the research-analyst framework. Payment acceptance, aggregation, issuing, prepaid instruments, lending and mutual-fund distribution can each have different authorisations, regulated counterparties and consumer-disclosure requirements. The precise perimeter depends on the legal entity, contractual role and product.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company disclosures describe a technology and processing platform and note that partner lenders bear credit risk in relevant affordability arrangements. That does not eliminate every operational, conduct or data obligation. Likewise, Rosy Blue’s public broking and distribution services should not be collapsed into one complaint route or treated as proof that the student worked in a regulated research function.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project does not provide a legal opinion on the exact licence or regulated status of a specific product. For a real workplace issue, use the entity’s current registration details, regulator directions, exchange circulars, client agreement and compliance advice. In academic writing, state the entity and activity precisely and cite the correct rule source.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S30. Activity-to-rule mapping (high level)</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Activity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Likely framework lens</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Report-writing boundary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Stock broking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SEBI Stock Brokers Regulations and exchange rules.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Rosy Blue public service profile; do not infer intern authority.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Published research</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SEBI Research Analyst framework where applicable.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 role title alone does not establish registration.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Payments / processing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Applicable RBI directions, network rules and contracts.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Describe Pine Labs only from product-specific sources.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Credit / affordability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Lender’s regulated credit role plus platform / merchant obligations.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not attribute partner underwriting to the processor.</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Mutual-fund distribution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Applicable distribution and product disclosure rules.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Separate from exchange-traded broking and redressal.</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broker and RA sources [17–19]; company / host public descriptions [1,5,16]. Product-level legal analysis is outside scope.</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40</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TRUST, SUITABILITY AND FAIR TREATMENT ACROSS FINTECH AND BROKING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Customer trust is created through clear information and reliable execution, not only by product reach. For a securities client, key expectations include transparent charges, accurate order status, appropriate risk disclosure, secure handling of funds and securities, and an accessible complaint route. For a merchant or payment user, important issues include correct settlement, transparent pricing, fraud response, data privacy and clear explanations of any affordability or credit offer.</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public materials describe affordability programmes alongside payment technology; the company has stated that lending partners bear the credit risk in relevant arrangements. The customer experience can still involve several entities, so the responsible lender, processor, merchant and support channel should be identified accurately. A broker’s exchange grievance route may differ from a distributor’s route; Rosy Blue’s public site itself draws this distinction for mutual-fund distribution.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generic role description should not imply that an intern advised a client or resolved a complaint. If the student observed a customer-protection process, describe it at a high level, with approval, and omit personal information.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S31. Customer-protection questions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Issue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Question for an analyst / dealer</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Evidence to seek</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Pricing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charges, taxes and deductions understandable?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Tariff / contract / official disclosure.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Risk</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Does the client understand leverage, credit or settlement risk?</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Approved risk disclosure and communication.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Reliability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orders, payments and settlement reconciled?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Public controls or authorised process evidence.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Privacy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only necessary customer data collected and retained?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Applicable policy / public privacy terms.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Redressal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Which entity handles the complaint and escalation?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Correct product-specific grievance route.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investor materials [19]; Rosy Blue service disclosures [16]; Pine Labs public materials [1,5].</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41</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RESPONSIBLE FINTECH: STAKEHOLDERS, BENEFITS AND TRADE-OFFS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Responsible fintech requires balancing access and convenience with reliability, privacy, inclusion and fair treatment. For a merchant platform, digital acceptance can support business formalisation and improve payment choice; it can also create device, connectivity, fraud, outage and data-management risks. Prepaid and affordability products can improve the customer proposition, but transparent terms and appropriate partner conduct remain important.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Environmental questions include the lifecycle, repairability and recycling of payment devices; data-centre energy; transport and servicing; and e-waste management. Social questions include accessibility for small merchants, financial literacy, digital exclusion, fraud protection and the risk of over-borrowing in credit-linked products. Governance questions include cybersecurity, third-party oversight, responsible AI, conflicts, grievance handling and the reliability of public KPI definitions.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report does not assign a proprietary ESG score or claim an independent assurance review. The matrix is a diligence agenda: where a company does not publish comparable data, the appropriate conclusion is that evidence is limited, not that the issue is immaterial.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S32. Stakeholder and responsibility matrix</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Potential benefit</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Risk / diligence question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Environmental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Digitised workflows may reduce some paper processes.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Device lifecycle, e-waste and cloud energy disclosure.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Social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Broader merchant acceptance and payment choice.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Fraud, accessibility, affordability and complaint outcomes.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Governance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Scalable technology and published performance data.</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Cybersecurity, data use, AI oversight and KPI consistency.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Employees / partners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New product and technology skill development.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Training, conduct, vendor resilience and accountability.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Investors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Growth opportunity and expanding platform use.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Cash conversion, capital allocation and clear risk disclosure.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Analytical framework; company-stated products and risk allocations should be verified in primary disclosures [1,5].</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42</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SEPARATE FACTS, INFERENCES, ASSUMPTIONS AND JUDGMENTS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transparent report labels different kinds of statements. A fact is directly disclosed or calculated from a cited source. An inference explains what the evidence may mean. An assumption is an input used in a scenario. A judgment is the author’s conclusion after weighing evidence and uncertainty. Mixing these categories can make a speculative statement sound like a reported fact.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Pine Labs, FY26 audited revenue of ₹2,710.59 crore and the reported FY26 platform GTV of ₹17.15 lakh crore are facts from the cited sources. The conclusion that revenue grew more slowly than platform GTV is a calculation and an inference; it does not prove falling contractual pricing. A 20% growth or 6× P/S case in the supplement is an assumption; it is not company guidance. The “watch / valuation-sensitive” view is an author judgment, not an employer recommendation.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thesis should be revisited when new filings arrive. Evidence that would strengthen it includes durable revenue growth, stable or improving margins and repeatable cash conversion. Evidence that would weaken it includes falling monetisation, sustained cost inflation, poor cash conversion, adverse product regulation or material customer / counterparty concentration.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S33. Example evidence labels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Statement</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Category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How to present it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FY26 revenue ₹2,710.59 crore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Reported fact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Cite the audited consolidated statement.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Revenue CAGR about 19.3%</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 calculation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Show period and formula.</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Revenue yield may be changing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Inference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Explain alternative mix / definition causes.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20% growth and 6× P/S case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Scenario assumption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Label as illustrative, not a forecast.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“Watch / valuation-sensitive”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 judgment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State date, horizon and no-recommendation status.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public disclosures [1–6,11]; scenario calculations and interpretation by author.</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H  •  REFLECTIVE LEARNING WORKSHEET</w:t>
      </w:r>
    </w:p>
    <w:p>
      <w:pPr>
        <w:keepNext/>
        <w:pageBreakBefore/>
        <w:spacing w:after="280" w:before="0" w:line="360" w:lineRule="auto"/>
        <w:jc w:val="center"/>
      </w:pPr>
      <w:r>
        <w:rPr>
          <w:rFonts w:ascii="Times New Roman" w:hAnsi="Times New Roman" w:cs="Times New Roman" w:eastAsia="Times New Roman"/>
          <w:b/>
          <w:i w:val="0"/>
          <w:color w:val="000000"/>
          <w:sz w:val="28"/>
          <w:u w:val="none"/>
        </w:rPr>
        <w:t>Internship Reflection and Evidence of Learning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useful reflection is specific without revealing confidential information. Describe one situation that actually occurred, the student’s responsibility, the action taken or observation made, the result that can be verified, and the learning that followed. If an example cannot be supported, leave it blank. Do not convert the generic process descriptions in this report into first-person claims.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prompts below support a balanced account of my two role labels—dealer and analyst. They differentiate desk observation, supervised assistance and work personally completed, and should name the exact dates and supervisor only from authentic records.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H1. Personal reflection prompts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Theme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Question for the student</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Evidence / note to add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Dealer learning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What did I learn about instruction clarity, status and escalation?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Analyst learning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How did I check a source or calculation?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Compliance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What risk or confidentiality boundary did I learn to respect?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Challenge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What genuine difficulty occurred and how was it addressed?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Development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What skill will I build next and how will progress be checked?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Blank reflective template; no personal examples were supplied.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APPENDIX I  •  ILLUSTRATIVE CASE ONLY</w:t>
      </w:r>
    </w:p>
    <w:p>
      <w:pPr>
        <w:keepNext/>
        <w:pageBreakBefore/>
        <w:spacing w:after="280" w:before="0" w:line="360" w:lineRule="auto"/>
        <w:jc w:val="center"/>
      </w:pPr>
      <w:r>
        <w:rPr>
          <w:rFonts w:ascii="Times New Roman" w:hAnsi="Times New Roman" w:cs="Times New Roman" w:eastAsia="Times New Roman"/>
          <w:b/>
          <w:i w:val="0"/>
          <w:color w:val="000000"/>
          <w:sz w:val="28"/>
          <w:u w:val="none"/>
        </w:rPr>
        <w:t>Mock Order Workflow and a Public-Data Analyst Note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training example uses a fictitious “ABC Ltd.” and a hypothetical book: offers are 80 shares at ₹100.00 and 40 at ₹100.05. A hypothetical client instruction to buy 100 shares with a ₹100.00 limit could match up to 80 shares at ₹100.00; the remaining 20 would not execute at a higher price under that limit and could remain open subject to exchange priority and order validity. The example is not a real client, order, security or internship task.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disciplined workflow would first confirm the authorised instruction, account and segment eligibility, funds / risk controls, instrument, side, quantity, limit and validity; then submit and verify the status. Any partial fill, cancellation or rejection must be recorded accurately. The dealer must not promise that the unfilled quantity will trade.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separate public-data analyst exercise on Pine Labs might state: reported FY26 revenue was ₹2,710.59 crore; Q1 FY27 revenue increased year on year; contribution and adjusted EBITDA margins were lower year on year in Q1 FY27. The research question is whether scale converts into sustainable revenue yield, margins and cash flow. That question is analytical, not a buy/sell instruction.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Exhibit I1. Fictional order example and evidence discipline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Step</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Illustrative action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Limit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 Clarify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Confirm buy 100 shares, limit ₹100.00, valid day.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Fictional only; no client instruction exists.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2. Check</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Check authority, account, segment, funds and order fields.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No real account or broker system used.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3. Submit / observe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Up to 80 may fill at ₹100.00; balance may remain open.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Actual matching depends on live queue and rules.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4. Record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Confirm actual status; communicate and reconcile.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No real execution or internship claim.</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Order-mechanics framework [20]; Pine Labs public facts [2,5,6]. Fictional worked example; not investment advice.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SUPPLEMENTARY REFERENCES  •  FINAL SUBMISSION CHECKLIST</w:t>
      </w:r>
    </w:p>
    <w:p>
      <w:pPr>
        <w:keepNext/>
        <w:pageBreakBefore/>
        <w:spacing w:after="280" w:before="0" w:line="360" w:lineRule="auto"/>
        <w:jc w:val="center"/>
      </w:pPr>
      <w:r>
        <w:rPr>
          <w:rFonts w:ascii="Times New Roman" w:hAnsi="Times New Roman" w:cs="Times New Roman" w:eastAsia="Times New Roman"/>
          <w:b/>
          <w:i w:val="0"/>
          <w:color w:val="000000"/>
          <w:sz w:val="28"/>
          <w:u w:val="none"/>
        </w:rPr>
        <w:t>Official Sources and Completion Notes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[16] Rosy Blue Securities Pvt. Ltd., official service profile.  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[17] SEBI, Stock Brokers Regulations, 2026 (8 January 2026).  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[18] SEBI, Circular / FAQs on Research Analysts (23 July 2025).  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[19] SEBI Investor, Understanding Brokers.  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[20] NSE, Equity Market Trading System.  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[21] NSE, Equity Market Segments / settlement-cycle links.  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[22] NSE Clearing, Capital Market Settlement Cycle.  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[23] Pine Labs, KPI and Financials Data Book, Q1 FY27.  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Before submission: add the authentic internship dates, department, supervisor, actual duties and the internship certificate; obtain the guide’s signature and the college stamp; update market data if the submission date changes; check all calculations and institute formatting; and retain the distinction between Pine Labs (case company) and Rosy Blue Securities (internship host).</w:t>
      </w:r>
    </w:p>
    <w:p>
      <w:pPr>
        <w:keepNext w:val="0"/>
        <w:pageBreakBefore/>
        <w:spacing w:after="200" w:before="0" w:line="360" w:lineRule="auto"/>
        <w:jc w:val="center"/>
      </w:pPr>
      <w:r>
        <w:rPr>
          <w:rFonts w:ascii="Times New Roman" w:hAnsi="Times New Roman" w:cs="Times New Roman" w:eastAsia="Times New Roman"/>
          <w:b/>
          <w:i w:val="0"/>
          <w:color w:val="000000"/>
          <w:sz w:val="28"/>
          <w:u w:val="single"/>
        </w:rPr>
        <w:t>REVIEW NOTE — PAGES TO CHECK AND COMPLETE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following pages carry details that must be verified, signed or completed before final submission to the institute: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PAGE(S)</w:t>
            </w:r>
          </w:p>
        </w:tc>
        <w:tc>
          <w:tcPr>
            <w:tcW w:type="dxa" w:w="2880"/>
            <w:vAlign w:val="top"/>
          </w:tcPr>
          <w:p>
            <w:pPr>
              <w:spacing w:after="80" w:before="20" w:line="276" w:lineRule="auto"/>
              <w:jc w:val="center"/>
            </w:pPr>
            <w:r/>
            <w:r>
              <w:rPr>
                <w:rFonts w:ascii="Times New Roman" w:hAnsi="Times New Roman" w:cs="Times New Roman" w:eastAsia="Times New Roman"/>
                <w:b/>
                <w:i w:val="0"/>
                <w:color w:val="000000"/>
                <w:sz w:val="22"/>
                <w:u w:val="none"/>
              </w:rPr>
              <w:t>ITEM</w:t>
            </w:r>
          </w:p>
        </w:tc>
        <w:tc>
          <w:tcPr>
            <w:tcW w:type="dxa" w:w="4824"/>
            <w:vAlign w:val="top"/>
          </w:tcPr>
          <w:p>
            <w:pPr>
              <w:spacing w:after="80" w:before="20" w:line="276" w:lineRule="auto"/>
              <w:jc w:val="center"/>
            </w:pPr>
            <w:r/>
            <w:r>
              <w:rPr>
                <w:rFonts w:ascii="Times New Roman" w:hAnsi="Times New Roman" w:cs="Times New Roman" w:eastAsia="Times New Roman"/>
                <w:b/>
                <w:i w:val="0"/>
                <w:color w:val="000000"/>
                <w:sz w:val="22"/>
                <w:u w:val="none"/>
              </w:rPr>
              <w:t>WHAT TO REVIEW / CHANGE</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 1</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Title page</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Verify name, roll number, batch (2025–2027) and guide name.</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 2</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Institute certificate</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College stamp and signatures of the Director and Project Guide.</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 3</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Experience certificate</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Fill exact internship dates (____ to ____); print on company letterhead; authorised signatory and company seal.</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 4</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Declaration</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Student signature and date.</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 5</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Acknowledgement</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Optionally add the company mentor’s name.</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Pages 7–9</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Index</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Re-verify the listed page numbers after any edits.</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Pages 49–53</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Chapter 17 — Internship Experience</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Verify host (Rosy Blue Securities Pvt. Ltd.), role (Dealer &amp; Analyst), terminals (NEAT PLUS, CTCL), segments (Cash, F&amp;O), exact dates, branch and supervisor details from authentic records.</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 65</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Chapter 20 — Internship context</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Confirm the role statement matches the internship certificate.</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 66</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Chapter 21 — Host profile</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Confirm company profile details against the official website.</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 77</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Chapter 32 — Dealer/Analyst competencies</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Align the competency list with the actual work performed.</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 97</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Chapter 42 — Internship reflection</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Complete the reflection answers from personal evidence.</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 58</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References</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Confirm all cited sources and links are accessible.</w:t>
            </w:r>
          </w:p>
        </w:tc>
      </w:tr>
      <w:t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2"/>
                <w:u w:val="none"/>
              </w:rPr>
              <w:t>Page 64</w:t>
            </w:r>
          </w:p>
        </w:tc>
        <w:tc>
          <w:tcPr>
            <w:tcW w:type="dxa" w:w="2880"/>
            <w:vAlign w:val="top"/>
          </w:tcPr>
          <w:p>
            <w:pPr>
              <w:spacing w:after="80" w:before="20" w:line="276" w:lineRule="auto"/>
              <w:jc w:val="left"/>
            </w:pPr>
            <w:r/>
            <w:r>
              <w:rPr>
                <w:rFonts w:ascii="Times New Roman" w:hAnsi="Times New Roman" w:cs="Times New Roman" w:eastAsia="Times New Roman"/>
                <w:b w:val="0"/>
                <w:i w:val="0"/>
                <w:color w:val="000000"/>
                <w:sz w:val="22"/>
                <w:u w:val="none"/>
              </w:rPr>
              <w:t>Appendix D — Submission checklist</w:t>
            </w:r>
          </w:p>
        </w:tc>
        <w:tc>
          <w:tcPr>
            <w:tcW w:type="dxa" w:w="4824"/>
            <w:vAlign w:val="top"/>
          </w:tcPr>
          <w:p>
            <w:pPr>
              <w:spacing w:after="80" w:before="20" w:line="276" w:lineRule="auto"/>
              <w:jc w:val="left"/>
            </w:pPr>
            <w:r/>
            <w:r>
              <w:rPr>
                <w:rFonts w:ascii="Times New Roman" w:hAnsi="Times New Roman" w:cs="Times New Roman" w:eastAsia="Times New Roman"/>
                <w:b w:val="0"/>
                <w:i w:val="0"/>
                <w:color w:val="000000"/>
                <w:sz w:val="22"/>
                <w:u w:val="none"/>
              </w:rPr>
              <w:t>Tick each item after completion.</w:t>
            </w:r>
          </w:p>
        </w:tc>
      </w:tr>
    </w:tbl>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jc w:val="center"/>
      </w:pPr>
      <w:r>
        <w:rPr>
          <w:rFonts w:ascii="Times New Roman" w:hAnsi="Times New Roman" w:cs="Times New Roman" w:eastAsia="Times New Roman"/>
          <w:b/>
          <w:i w:val="0"/>
          <w:color w:val="000000"/>
          <w:sz w:val="24"/>
          <w:u w:val="none"/>
        </w:rPr>
        <w:t>END OF REPORT</w:t>
      </w:r>
    </w:p>
    <w:sectPr w:rsidR="00FC693F" w:rsidRPr="0006063C" w:rsidSect="00034616">
      <w:footerReference w:type="default" r:id="rId9"/>
      <w:pgSz w:w="11906" w:h="16838"/>
      <w:pgMar w:top="1440" w:right="893" w:bottom="1008" w:left="720" w:header="720" w:footer="504" w:gutter="0"/>
      <w:pgBorders w:offsetFrom="page">
        <w:top w:val="thickThinSmallGap" w:sz="36" w:space="24" w:color="000000"/>
        <w:left w:val="thickThinSmallGap" w:sz="36" w:space="24" w:color="000000"/>
        <w:bottom w:val="thickThinSmallGap" w:sz="36" w:space="24" w:color="000000"/>
        <w:right w:val="thickThinSmallGap" w:sz="36"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left"/>
    </w:pPr>
    <w:r>
      <w:rPr>
        <w:rFonts w:ascii="Times New Roman" w:hAnsi="Times New Roman" w:cs="Times New Roman"/>
        <w:sz w:val="22"/>
      </w:rPr>
      <w:fldChar w:fldCharType="begin"/>
    </w:r>
    <w:r>
      <w:rPr>
        <w:rFonts w:ascii="Times New Roman" w:hAnsi="Times New Roman" w:cs="Times New Roman"/>
        <w:sz w:val="22"/>
      </w:rPr>
      <w:instrText xml:space="preserve"> PAGE </w:instrText>
    </w:r>
    <w:r>
      <w:rPr>
        <w:rFonts w:ascii="Times New Roman" w:hAnsi="Times New Roman" w:cs="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