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line="240" w:lineRule="auto"/>
        <w:jc w:val="center"/>
      </w:pPr>
      <w:r>
        <w:drawing>
          <wp:inline xmlns:a="http://schemas.openxmlformats.org/drawingml/2006/main" xmlns:pic="http://schemas.openxmlformats.org/drawingml/2006/picture">
            <wp:extent cx="4846320" cy="1083185"/>
            <wp:docPr id="1" name="Picture 1"/>
            <wp:cNvGraphicFramePr>
              <a:graphicFrameLocks noChangeAspect="1"/>
            </wp:cNvGraphicFramePr>
            <a:graphic>
              <a:graphicData uri="http://schemas.openxmlformats.org/drawingml/2006/picture">
                <pic:pic>
                  <pic:nvPicPr>
                    <pic:cNvPr id="0" name="nmitd_masthead.png"/>
                    <pic:cNvPicPr/>
                  </pic:nvPicPr>
                  <pic:blipFill>
                    <a:blip r:embed="rId13"/>
                    <a:stretch>
                      <a:fillRect/>
                    </a:stretch>
                  </pic:blipFill>
                  <pic:spPr>
                    <a:xfrm>
                      <a:off x="0" y="0"/>
                      <a:ext cx="4846320" cy="1083185"/>
                    </a:xfrm>
                    <a:prstGeom prst="rect"/>
                  </pic:spPr>
                </pic:pic>
              </a:graphicData>
            </a:graphic>
          </wp:inline>
        </w:drawing>
      </w:r>
    </w:p>
    <w:p>
      <w:pPr>
        <w:spacing w:after="160" w:line="276" w:lineRule="auto"/>
        <w:jc w:val="center"/>
      </w:pPr>
      <w:r>
        <w:rPr>
          <w:rFonts w:ascii="Times New Roman" w:hAnsi="Times New Roman" w:eastAsia="Times New Roman" w:cs="Times New Roman"/>
          <w:b/>
          <w:color w:val="000000"/>
          <w:sz w:val="28"/>
          <w:szCs w:val="28"/>
        </w:rPr>
        <w:t>SUMMER INTERNSHIP PROJECT REPORT</w:t>
      </w:r>
    </w:p>
    <w:p>
      <w:pPr>
        <w:keepLines/>
        <w:spacing w:before="40" w:after="40" w:line="276" w:lineRule="auto"/>
        <w:jc w:val="center"/>
      </w:pPr>
      <w:r>
        <w:rPr>
          <w:rFonts w:ascii="Times New Roman" w:hAnsi="Times New Roman" w:eastAsia="Times New Roman" w:cs="Times New Roman"/>
          <w:b/>
          <w:color w:val="000000"/>
          <w:sz w:val="28"/>
          <w:szCs w:val="28"/>
        </w:rPr>
        <w:t>A STUDY OF THE FINTECH BUSINESS MODEL AND</w:t>
        <w:br/>
        <w:t>FINANCIAL PERFORMANCE OF PINE LABS LIMITED</w:t>
      </w:r>
    </w:p>
    <w:p>
      <w:pPr>
        <w:spacing w:after="200" w:line="276" w:lineRule="auto"/>
        <w:jc w:val="center"/>
      </w:pPr>
      <w:r>
        <w:rPr>
          <w:rFonts w:ascii="Times New Roman" w:hAnsi="Times New Roman" w:eastAsia="Times New Roman" w:cs="Times New Roman"/>
          <w:b/>
          <w:color w:val="000000"/>
          <w:sz w:val="20"/>
          <w:szCs w:val="20"/>
        </w:rPr>
        <w:t>Submitted in partial fulfilment for the award of the degree of</w:t>
      </w:r>
    </w:p>
    <w:p>
      <w:pPr>
        <w:spacing w:after="60" w:line="276" w:lineRule="auto"/>
        <w:jc w:val="center"/>
      </w:pPr>
      <w:r>
        <w:rPr>
          <w:rFonts w:ascii="Times New Roman" w:hAnsi="Times New Roman" w:eastAsia="Times New Roman" w:cs="Times New Roman"/>
          <w:b/>
          <w:color w:val="000000"/>
          <w:sz w:val="26"/>
          <w:szCs w:val="26"/>
        </w:rPr>
        <w:t>MASTER OF MANAGEMENT STUDIES</w:t>
      </w:r>
    </w:p>
    <w:p>
      <w:pPr>
        <w:spacing w:after="260" w:line="276" w:lineRule="auto"/>
        <w:jc w:val="center"/>
      </w:pPr>
      <w:r>
        <w:rPr>
          <w:rFonts w:ascii="Times New Roman" w:hAnsi="Times New Roman" w:eastAsia="Times New Roman" w:cs="Times New Roman"/>
          <w:b/>
          <w:color w:val="000000"/>
          <w:sz w:val="26"/>
          <w:szCs w:val="26"/>
        </w:rPr>
        <w:t>FINANCE</w:t>
      </w:r>
    </w:p>
    <w:p>
      <w:pPr>
        <w:spacing w:after="260" w:line="276" w:lineRule="auto"/>
        <w:jc w:val="center"/>
      </w:pPr>
      <w:r>
        <w:rPr>
          <w:rFonts w:ascii="Times New Roman" w:hAnsi="Times New Roman" w:eastAsia="Times New Roman" w:cs="Times New Roman"/>
          <w:b/>
          <w:color w:val="000000"/>
          <w:sz w:val="26"/>
          <w:szCs w:val="26"/>
        </w:rPr>
        <w:t>UNIVERSITY OF MUMBAI</w:t>
      </w:r>
    </w:p>
    <w:p>
      <w:pPr>
        <w:spacing w:before="160" w:after="100" w:line="276" w:lineRule="auto"/>
        <w:jc w:val="center"/>
      </w:pPr>
      <w:r>
        <w:rPr>
          <w:rFonts w:ascii="Times New Roman" w:hAnsi="Times New Roman" w:eastAsia="Times New Roman" w:cs="Times New Roman"/>
          <w:b/>
          <w:color w:val="000000"/>
          <w:sz w:val="24"/>
          <w:szCs w:val="24"/>
        </w:rPr>
        <w:t>Submitted by</w:t>
      </w:r>
    </w:p>
    <w:p>
      <w:pPr>
        <w:spacing w:after="100" w:line="276" w:lineRule="auto"/>
        <w:jc w:val="center"/>
      </w:pPr>
      <w:r>
        <w:rPr>
          <w:rFonts w:ascii="Times New Roman" w:hAnsi="Times New Roman" w:eastAsia="Times New Roman" w:cs="Times New Roman"/>
          <w:b/>
          <w:color w:val="000000"/>
          <w:sz w:val="26"/>
          <w:szCs w:val="26"/>
        </w:rPr>
        <w:t>NIKHIL UDAYPRATAP SINGH</w:t>
      </w:r>
    </w:p>
    <w:p>
      <w:pPr>
        <w:spacing w:after="260" w:line="276" w:lineRule="auto"/>
        <w:jc w:val="center"/>
      </w:pPr>
      <w:r>
        <w:rPr>
          <w:rFonts w:ascii="Times New Roman" w:hAnsi="Times New Roman" w:eastAsia="Times New Roman" w:cs="Times New Roman"/>
          <w:b/>
          <w:color w:val="000000"/>
          <w:sz w:val="28"/>
          <w:szCs w:val="28"/>
        </w:rPr>
        <w:t>ROLL NO. M-16158  •  ACADEMIC YEAR 2026–2027</w:t>
      </w:r>
    </w:p>
    <w:p>
      <w:pPr>
        <w:spacing w:before="160" w:after="100" w:line="276" w:lineRule="auto"/>
        <w:jc w:val="center"/>
      </w:pPr>
      <w:r>
        <w:rPr>
          <w:rFonts w:ascii="Times New Roman" w:hAnsi="Times New Roman" w:eastAsia="Times New Roman" w:cs="Times New Roman"/>
          <w:b/>
          <w:color w:val="000000"/>
          <w:sz w:val="28"/>
          <w:szCs w:val="28"/>
        </w:rPr>
        <w:t>Under the guidance of</w:t>
      </w:r>
    </w:p>
    <w:p>
      <w:pPr>
        <w:spacing w:after="700" w:line="276" w:lineRule="auto"/>
        <w:jc w:val="center"/>
      </w:pPr>
      <w:r>
        <w:rPr>
          <w:rFonts w:ascii="Times New Roman" w:hAnsi="Times New Roman" w:eastAsia="Times New Roman" w:cs="Times New Roman"/>
          <w:b/>
          <w:color w:val="000000"/>
          <w:sz w:val="26"/>
          <w:szCs w:val="26"/>
        </w:rPr>
        <w:t>DR. RAHUL N. WADEKAR</w:t>
      </w:r>
    </w:p>
    <w:p>
      <w:pPr>
        <w:spacing w:before="120" w:after="160" w:line="276" w:lineRule="auto"/>
        <w:jc w:val="center"/>
      </w:pPr>
      <w:r>
        <w:rPr>
          <w:rFonts w:ascii="Times New Roman" w:hAnsi="Times New Roman" w:eastAsia="Times New Roman" w:cs="Times New Roman"/>
          <w:b/>
          <w:color w:val="000000"/>
          <w:sz w:val="28"/>
          <w:szCs w:val="28"/>
        </w:rPr>
        <w:t>DES’S NAVINCHANDRA MEHTA INSTITUTE OF TECHNOLOGY</w:t>
        <w:br/>
        <w:t>AND DEVELOPMENT, MUMBAI – 400028</w:t>
      </w:r>
    </w:p>
    <w:p>
      <w:pPr>
        <w:spacing w:before="100" w:after="100" w:line="276" w:lineRule="auto"/>
        <w:jc w:val="center"/>
      </w:pPr>
      <w:r>
        <w:rPr>
          <w:rFonts w:ascii="Times New Roman" w:hAnsi="Times New Roman" w:eastAsia="Times New Roman" w:cs="Times New Roman"/>
          <w:i/>
          <w:color w:val="000000"/>
          <w:sz w:val="20"/>
          <w:szCs w:val="20"/>
        </w:rPr>
        <w:t>Research cut-off: 3 October 2026  |  Latest financial period: Q1 FY27</w:t>
      </w:r>
    </w:p>
    <w:p>
      <w:r>
        <w:br w:type="page"/>
      </w:r>
    </w:p>
    <w:p>
      <w:pPr>
        <w:keepNext/>
        <w:spacing w:after="260" w:before="0" w:line="240" w:lineRule="auto"/>
        <w:jc w:val="center"/>
      </w:pPr>
      <w:r>
        <w:rPr>
          <w:rFonts w:ascii="Times New Roman" w:hAnsi="Times New Roman" w:eastAsia="Times New Roman" w:cs="Times New Roman"/>
          <w:b/>
          <w:i w:val="0"/>
          <w:color w:val="000000"/>
          <w:sz w:val="28"/>
          <w:szCs w:val="28"/>
        </w:rPr>
        <w:t>CERTIFICATE</w:t>
      </w:r>
    </w:p>
    <w:p>
      <w:pPr>
        <w:spacing w:after="100" w:line="360" w:lineRule="auto"/>
        <w:jc w:val="both"/>
      </w:pPr>
      <w:r>
        <w:rPr>
          <w:rFonts w:ascii="Times New Roman" w:hAnsi="Times New Roman" w:eastAsia="Times New Roman" w:cs="Times New Roman"/>
          <w:color w:val="000000"/>
          <w:sz w:val="24"/>
          <w:szCs w:val="24"/>
        </w:rPr>
        <w:t>This is to certify that the Summer Internship Project report titled “A Study of the Fintech Business Model and Financial Performance of Pine Labs Limited”, submitted in partial fulfilment for the award of the Master of Management Studies (MMS) degree by Nikhil Udaypratap Singh (Roll No. M-16158), is a record of research work carried out by the student during the academic year 2026–2027 under my guidance and has been found satisfactory. The project work is original and has not been submitted earlier for the award of any degree, diploma or associateship of any other university or institute.</w:t>
      </w:r>
    </w:p>
    <w:p>
      <w:pPr>
        <w:spacing w:before="40" w:after="140" w:line="276" w:lineRule="auto"/>
        <w:jc w:val="center"/>
      </w:pPr>
      <w:r>
        <w:rPr>
          <w:rFonts w:ascii="Times New Roman" w:hAnsi="Times New Roman" w:eastAsia="Times New Roman" w:cs="Times New Roman"/>
          <w:i/>
          <w:color w:val="000000"/>
          <w:sz w:val="20"/>
          <w:szCs w:val="20"/>
        </w:rPr>
        <w:t>The report is based on public disclosures and secondary research. The internship host organisation, Rosy Blue Securities Pvt. Ltd., is distinct from the case company, Pine Labs Limited.</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100" w:type="dxa"/>
              <w:start w:w="80" w:type="dxa"/>
              <w:bottom w:w="100" w:type="dxa"/>
              <w:end w:w="80" w:type="dxa"/>
              <w:left w:w="100" w:type="dxa"/>
              <w:right w:w="100" w:type="dxa"/>
            </w:tcMar>
            <w:vAlign w:val="center"/>
          </w:tcPr>
          <w:p>
            <w:pPr>
              <w:spacing w:after="0" w:before="0" w:line="240" w:lineRule="auto"/>
              <w:jc w:val="center"/>
            </w:pPr>
            <w:r>
              <w:rPr>
                <w:rFonts w:ascii="Times New Roman" w:hAnsi="Times New Roman" w:eastAsia="Times New Roman" w:cs="Times New Roman"/>
                <w:b/>
                <w:color w:val="000000"/>
                <w:sz w:val="20"/>
                <w:szCs w:val="20"/>
              </w:rPr>
              <w:t>INSTITUTE SEAL /</w:t>
              <w:br/>
              <w:t>COLLEGE STAMP</w:t>
            </w:r>
          </w:p>
        </w:tc>
      </w:tr>
    </w:tbl>
    <w:p>
      <w:pPr>
        <w:spacing w:after="400"/>
      </w:pPr>
    </w:p>
    <w:tbl>
      <w:tblPr>
        <w:tblStyle w:val="TableGrid"/>
        <w:tblW w:type="dxa" w:w="9026"/>
        <w:jc w:val="center"/>
        <w:tblLayout w:type="fixed"/>
        <w:tblLook w:firstColumn="1" w:firstRow="1" w:lastColumn="0" w:lastRow="0" w:noHBand="0" w:noVBand="1" w:val="04A0"/>
        <w:tblBorders>
          <w:top w:val="nil"/>
          <w:left w:val="nil"/>
          <w:bottom w:val="nil"/>
          <w:right w:val="nil"/>
          <w:insideH w:val="nil"/>
          <w:insideV w:val="nil"/>
        </w:tblBorders>
      </w:tblPr>
      <w:tblGrid>
        <w:gridCol w:w="3009"/>
        <w:gridCol w:w="3009"/>
        <w:gridCol w:w="3009"/>
      </w:tblGrid>
      <w:tr>
        <w:trPr>
          <w:cantSplit/>
        </w:trPr>
        <w:tc>
          <w:tcPr>
            <w:tcW w:type="dxa" w:w="3009"/>
            <w:tcMar>
              <w:top w:w="60" w:type="dxa"/>
              <w:start w:w="80" w:type="dxa"/>
              <w:bottom w:w="60" w:type="dxa"/>
              <w:end w:w="80" w:type="dxa"/>
              <w:left w:w="60" w:type="dxa"/>
              <w:right w:w="6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vAlign w:val="center"/>
          </w:tcPr>
          <w:p>
            <w:pPr>
              <w:spacing w:after="0" w:before="0" w:line="240" w:lineRule="auto"/>
              <w:jc w:val="center"/>
            </w:pPr>
            <w:r>
              <w:rPr>
                <w:rFonts w:ascii="Times New Roman" w:hAnsi="Times New Roman" w:eastAsia="Times New Roman" w:cs="Times New Roman"/>
                <w:color w:val="000000"/>
                <w:sz w:val="20"/>
                <w:szCs w:val="20"/>
              </w:rPr>
              <w:t>________________________</w:t>
            </w:r>
          </w:p>
        </w:tc>
        <w:tc>
          <w:tcPr>
            <w:tcW w:type="dxa" w:w="3009"/>
            <w:tcMar>
              <w:top w:w="60" w:type="dxa"/>
              <w:start w:w="80" w:type="dxa"/>
              <w:bottom w:w="60" w:type="dxa"/>
              <w:end w:w="80" w:type="dxa"/>
              <w:left w:w="60" w:type="dxa"/>
              <w:right w:w="6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vAlign w:val="center"/>
          </w:tcPr>
          <w:p>
            <w:pPr>
              <w:spacing w:after="0" w:before="0" w:line="240" w:lineRule="auto"/>
              <w:jc w:val="center"/>
            </w:pPr>
            <w:r>
              <w:rPr>
                <w:rFonts w:ascii="Times New Roman" w:hAnsi="Times New Roman" w:eastAsia="Times New Roman" w:cs="Times New Roman"/>
                <w:color w:val="000000"/>
                <w:sz w:val="20"/>
                <w:szCs w:val="20"/>
              </w:rPr>
              <w:t>________________________</w:t>
            </w:r>
          </w:p>
        </w:tc>
        <w:tc>
          <w:tcPr>
            <w:tcW w:type="dxa" w:w="3009"/>
            <w:tcMar>
              <w:top w:w="60" w:type="dxa"/>
              <w:start w:w="80" w:type="dxa"/>
              <w:bottom w:w="60" w:type="dxa"/>
              <w:end w:w="80" w:type="dxa"/>
              <w:left w:w="60" w:type="dxa"/>
              <w:right w:w="6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vAlign w:val="center"/>
          </w:tcPr>
          <w:p>
            <w:pPr>
              <w:spacing w:after="0" w:before="0" w:line="240" w:lineRule="auto"/>
              <w:jc w:val="center"/>
            </w:pPr>
            <w:r>
              <w:rPr>
                <w:rFonts w:ascii="Times New Roman" w:hAnsi="Times New Roman" w:eastAsia="Times New Roman" w:cs="Times New Roman"/>
                <w:color w:val="000000"/>
                <w:sz w:val="20"/>
                <w:szCs w:val="20"/>
              </w:rPr>
              <w:t>________________________</w:t>
            </w:r>
          </w:p>
        </w:tc>
      </w:tr>
      <w:tr>
        <w:trPr>
          <w:cantSplit/>
        </w:trPr>
        <w:tc>
          <w:tcPr>
            <w:tcW w:type="dxa" w:w="3009"/>
            <w:tcBorders>
              <w:top w:val="nil"/>
              <w:left w:val="nil"/>
              <w:bottom w:val="nil"/>
              <w:right w:val="nil"/>
              <w:insideH w:val="nil"/>
              <w:insideV w:val="nil"/>
            </w:tcBorders>
            <w:tcMar>
              <w:top w:w="60" w:type="dxa"/>
              <w:left w:w="60" w:type="dxa"/>
              <w:bottom w:w="60" w:type="dxa"/>
              <w:right w:w="60" w:type="dxa"/>
            </w:tcMar>
            <w:vAlign w:val="center"/>
          </w:tcPr>
          <w:p>
            <w:pPr>
              <w:spacing w:after="0" w:before="0" w:line="240" w:lineRule="auto"/>
              <w:jc w:val="center"/>
            </w:pPr>
            <w:r>
              <w:rPr>
                <w:rFonts w:ascii="Times New Roman" w:hAnsi="Times New Roman" w:eastAsia="Times New Roman" w:cs="Times New Roman"/>
                <w:b/>
                <w:color w:val="000000"/>
                <w:sz w:val="20"/>
                <w:szCs w:val="20"/>
              </w:rPr>
              <w:t>Dr. Rasika Mallya</w:t>
              <w:br/>
            </w:r>
            <w:r>
              <w:rPr>
                <w:rFonts w:ascii="Times New Roman" w:hAnsi="Times New Roman" w:eastAsia="Times New Roman" w:cs="Times New Roman"/>
                <w:b/>
                <w:color w:val="000000"/>
                <w:sz w:val="20"/>
                <w:szCs w:val="20"/>
              </w:rPr>
              <w:t>DIRECTOR</w:t>
            </w:r>
          </w:p>
        </w:tc>
        <w:tc>
          <w:tcPr>
            <w:tcW w:type="dxa" w:w="3009"/>
            <w:tcBorders>
              <w:top w:val="nil"/>
              <w:left w:val="nil"/>
              <w:bottom w:val="nil"/>
              <w:right w:val="nil"/>
              <w:insideH w:val="nil"/>
              <w:insideV w:val="nil"/>
            </w:tcBorders>
            <w:tcMar>
              <w:top w:w="60" w:type="dxa"/>
              <w:left w:w="60" w:type="dxa"/>
              <w:bottom w:w="60" w:type="dxa"/>
              <w:right w:w="60" w:type="dxa"/>
            </w:tcMar>
            <w:vAlign w:val="center"/>
          </w:tcPr>
          <w:p>
            <w:pPr>
              <w:spacing w:after="0" w:before="0" w:line="240" w:lineRule="auto"/>
              <w:jc w:val="center"/>
            </w:pPr>
            <w:r>
              <w:rPr>
                <w:rFonts w:ascii="Times New Roman" w:hAnsi="Times New Roman" w:eastAsia="Times New Roman" w:cs="Times New Roman"/>
                <w:b/>
                <w:color w:val="000000"/>
                <w:sz w:val="20"/>
                <w:szCs w:val="20"/>
              </w:rPr>
              <w:t>Dr. Rahul N. Wadekar</w:t>
              <w:br/>
            </w:r>
            <w:r>
              <w:rPr>
                <w:rFonts w:ascii="Times New Roman" w:hAnsi="Times New Roman" w:eastAsia="Times New Roman" w:cs="Times New Roman"/>
                <w:b/>
                <w:color w:val="000000"/>
                <w:sz w:val="20"/>
                <w:szCs w:val="20"/>
              </w:rPr>
              <w:t>PROJECT GUIDE</w:t>
            </w:r>
          </w:p>
        </w:tc>
        <w:tc>
          <w:tcPr>
            <w:tcW w:type="dxa" w:w="3009"/>
            <w:tcBorders>
              <w:top w:val="nil"/>
              <w:left w:val="nil"/>
              <w:bottom w:val="nil"/>
              <w:right w:val="nil"/>
              <w:insideH w:val="nil"/>
              <w:insideV w:val="nil"/>
            </w:tcBorders>
            <w:tcMar>
              <w:top w:w="60" w:type="dxa"/>
              <w:left w:w="60" w:type="dxa"/>
              <w:bottom w:w="60" w:type="dxa"/>
              <w:right w:w="60" w:type="dxa"/>
            </w:tcMar>
            <w:vAlign w:val="center"/>
          </w:tcPr>
          <w:p>
            <w:pPr>
              <w:spacing w:after="0" w:before="0" w:line="240" w:lineRule="auto"/>
              <w:jc w:val="center"/>
            </w:pPr>
            <w:r>
              <w:rPr>
                <w:rFonts w:ascii="Times New Roman" w:hAnsi="Times New Roman" w:eastAsia="Times New Roman" w:cs="Times New Roman"/>
                <w:b/>
                <w:color w:val="000000"/>
                <w:sz w:val="20"/>
                <w:szCs w:val="20"/>
              </w:rPr>
              <w:t>External Examiner</w:t>
              <w:br/>
            </w:r>
            <w:r>
              <w:rPr>
                <w:rFonts w:ascii="Times New Roman" w:hAnsi="Times New Roman" w:eastAsia="Times New Roman" w:cs="Times New Roman"/>
                <w:b/>
                <w:color w:val="000000"/>
                <w:sz w:val="20"/>
                <w:szCs w:val="20"/>
              </w:rPr>
              <w:t>EXAMINER</w:t>
            </w:r>
          </w:p>
        </w:tc>
      </w:tr>
    </w:tbl>
    <w:p>
      <w:r>
        <w:br w:type="page"/>
      </w:r>
    </w:p>
    <w:p>
      <w:pPr>
        <w:keepNext/>
        <w:spacing w:after="260" w:before="0" w:line="240" w:lineRule="auto"/>
        <w:jc w:val="center"/>
      </w:pPr>
      <w:r>
        <w:rPr>
          <w:rFonts w:ascii="Times New Roman" w:hAnsi="Times New Roman" w:eastAsia="Times New Roman" w:cs="Times New Roman"/>
          <w:b/>
          <w:i w:val="0"/>
          <w:color w:val="000000"/>
          <w:sz w:val="28"/>
          <w:szCs w:val="28"/>
        </w:rPr>
        <w:t>DECLARATION</w:t>
      </w:r>
    </w:p>
    <w:p>
      <w:pPr>
        <w:spacing w:after="100" w:line="360" w:lineRule="auto"/>
        <w:jc w:val="both"/>
      </w:pPr>
      <w:r>
        <w:rPr>
          <w:rFonts w:ascii="Times New Roman" w:hAnsi="Times New Roman" w:eastAsia="Times New Roman" w:cs="Times New Roman"/>
          <w:color w:val="000000"/>
          <w:sz w:val="24"/>
          <w:szCs w:val="24"/>
        </w:rPr>
        <w:t>I hereby declare that this project report submitted by me in partial fulfilment of the requirements for the award of the Master of Management Studies (MMS) degree of the University of Mumbai is my bona fide work. It has not been submitted to any other university or institute for the award of any degree, diploma or certificate, and has not been published previously. The analysis, calculations and conclusions are presented with the sources and limitations stated in the report.</w:t>
      </w:r>
    </w:p>
    <w:p>
      <w:pPr>
        <w:spacing w:before="140" w:after="100" w:line="360" w:lineRule="auto"/>
        <w:jc w:val="both"/>
      </w:pPr>
      <w:r>
        <w:rPr>
          <w:rFonts w:ascii="Times New Roman" w:hAnsi="Times New Roman" w:eastAsia="Times New Roman" w:cs="Times New Roman"/>
          <w:color w:val="000000"/>
          <w:sz w:val="24"/>
          <w:szCs w:val="24"/>
        </w:rPr>
        <w:t>I further declare that client identities, account details and confidential trading information from my internship at Rosy Blue Securities Pvt. Ltd. have not been disclosed. Pine Labs Limited is the case company selected for the public-data research study; Rosy Blue Securities Pvt. Ltd. is the internship host.</w:t>
      </w:r>
    </w:p>
    <w:p>
      <w:pPr>
        <w:spacing w:before="760" w:after="100" w:line="360" w:lineRule="auto"/>
        <w:jc w:val="both"/>
      </w:pPr>
      <w:r>
        <w:rPr>
          <w:rFonts w:ascii="Times New Roman" w:hAnsi="Times New Roman" w:eastAsia="Times New Roman" w:cs="Times New Roman"/>
          <w:b/>
          <w:color w:val="000000"/>
          <w:sz w:val="24"/>
          <w:szCs w:val="24"/>
        </w:rPr>
        <w:t>Name: Nikhil Udaypratap Singh</w:t>
      </w:r>
    </w:p>
    <w:p>
      <w:pPr>
        <w:spacing w:after="100" w:line="360" w:lineRule="auto"/>
        <w:jc w:val="both"/>
      </w:pPr>
      <w:r>
        <w:rPr>
          <w:rFonts w:ascii="Times New Roman" w:hAnsi="Times New Roman" w:eastAsia="Times New Roman" w:cs="Times New Roman"/>
          <w:color w:val="000000"/>
          <w:sz w:val="24"/>
          <w:szCs w:val="24"/>
        </w:rPr>
        <w:t>Roll No.: M-16158</w:t>
      </w:r>
    </w:p>
    <w:p>
      <w:pPr>
        <w:spacing w:before="400" w:after="100" w:line="360" w:lineRule="auto"/>
        <w:jc w:val="both"/>
      </w:pPr>
      <w:r>
        <w:rPr>
          <w:rFonts w:ascii="Times New Roman" w:hAnsi="Times New Roman" w:eastAsia="Times New Roman" w:cs="Times New Roman"/>
          <w:color w:val="000000"/>
          <w:sz w:val="24"/>
          <w:szCs w:val="24"/>
        </w:rPr>
        <w:t>Signature: ________________________________</w:t>
      </w:r>
    </w:p>
    <w:p>
      <w:pPr>
        <w:spacing w:before="120" w:after="100" w:line="360" w:lineRule="auto"/>
        <w:jc w:val="both"/>
      </w:pPr>
      <w:r>
        <w:rPr>
          <w:rFonts w:ascii="Times New Roman" w:hAnsi="Times New Roman" w:eastAsia="Times New Roman" w:cs="Times New Roman"/>
          <w:color w:val="000000"/>
          <w:sz w:val="24"/>
          <w:szCs w:val="24"/>
        </w:rPr>
        <w:t>Place: Mumbai                              Date: __________________</w:t>
      </w:r>
    </w:p>
    <w:p>
      <w:r>
        <w:br w:type="page"/>
      </w:r>
    </w:p>
    <w:p>
      <w:pPr>
        <w:keepNext/>
        <w:spacing w:after="260" w:before="0" w:line="240" w:lineRule="auto"/>
        <w:jc w:val="center"/>
      </w:pPr>
      <w:r>
        <w:rPr>
          <w:rFonts w:ascii="Times New Roman" w:hAnsi="Times New Roman" w:eastAsia="Times New Roman" w:cs="Times New Roman"/>
          <w:b/>
          <w:i w:val="0"/>
          <w:color w:val="000000"/>
          <w:sz w:val="28"/>
          <w:szCs w:val="28"/>
        </w:rPr>
        <w:t>ACKNOWLEDGEMENT</w:t>
      </w:r>
    </w:p>
    <w:p>
      <w:pPr>
        <w:spacing w:after="100" w:line="360" w:lineRule="auto"/>
        <w:jc w:val="both"/>
      </w:pPr>
      <w:r>
        <w:rPr>
          <w:rFonts w:ascii="Times New Roman" w:hAnsi="Times New Roman" w:eastAsia="Times New Roman" w:cs="Times New Roman"/>
          <w:color w:val="000000"/>
          <w:sz w:val="24"/>
          <w:szCs w:val="24"/>
        </w:rPr>
        <w:t>This project has been a valuable learning experience, and I am sincerely grateful to everyone who supported me throughout its completion. I extend my deepest thanks to Dr. Rahul N. Wadekar, my project guide, for his guidance, thoughtful suggestions and encouragement.</w:t>
      </w:r>
    </w:p>
    <w:p>
      <w:pPr>
        <w:spacing w:after="100" w:line="360" w:lineRule="auto"/>
        <w:jc w:val="both"/>
      </w:pPr>
      <w:r>
        <w:rPr>
          <w:rFonts w:ascii="Times New Roman" w:hAnsi="Times New Roman" w:eastAsia="Times New Roman" w:cs="Times New Roman"/>
          <w:color w:val="000000"/>
          <w:sz w:val="24"/>
          <w:szCs w:val="24"/>
        </w:rPr>
        <w:t>I am profoundly grateful to my parents for their constant support, and to my friends for their help and encouragement. I also thank Dr. Rasika Mallya, Director of DES’s Navinchandra Mehta Institute of Technology and Development, and the faculty and staff of the institute, especially the library team, for providing an environment conducive to learning and research.</w:t>
      </w:r>
    </w:p>
    <w:p>
      <w:pPr>
        <w:spacing w:after="100" w:line="360" w:lineRule="auto"/>
        <w:jc w:val="both"/>
      </w:pPr>
      <w:r>
        <w:rPr>
          <w:rFonts w:ascii="Times New Roman" w:hAnsi="Times New Roman" w:eastAsia="Times New Roman" w:cs="Times New Roman"/>
          <w:color w:val="000000"/>
          <w:sz w:val="24"/>
          <w:szCs w:val="24"/>
        </w:rPr>
        <w:t>I acknowledge the public disclosures of Pine Labs Limited, the Reserve Bank of India, the National Payments Corporation of India, BSE and other cited institutions that made this secondary-data study possible. I also acknowledge the professional exposure gained during my internship at Rosy Blue Securities Pvt. Ltd., where work as a Dealer and Analyst helped me connect market activity with company and business analysis.</w:t>
      </w:r>
    </w:p>
    <w:p>
      <w:pPr>
        <w:spacing w:after="100" w:line="360" w:lineRule="auto"/>
        <w:jc w:val="both"/>
      </w:pPr>
      <w:r>
        <w:rPr>
          <w:rFonts w:ascii="Times New Roman" w:hAnsi="Times New Roman" w:eastAsia="Times New Roman" w:cs="Times New Roman"/>
          <w:color w:val="000000"/>
          <w:sz w:val="24"/>
          <w:szCs w:val="24"/>
        </w:rPr>
        <w:t>Finally, I am thankful to everyone who contributed directly or indirectly to this project. Their cooperation and support are sincerely appreciated.</w:t>
      </w:r>
    </w:p>
    <w:p>
      <w:pPr>
        <w:spacing w:before="400" w:after="100" w:line="360" w:lineRule="auto"/>
        <w:jc w:val="right"/>
      </w:pPr>
      <w:r>
        <w:rPr>
          <w:rFonts w:ascii="Times New Roman" w:hAnsi="Times New Roman" w:eastAsia="Times New Roman" w:cs="Times New Roman"/>
          <w:b/>
          <w:color w:val="000000"/>
          <w:sz w:val="24"/>
          <w:szCs w:val="24"/>
        </w:rPr>
        <w:t>Nikhil Udaypratap Singh</w:t>
      </w:r>
    </w:p>
    <w:p>
      <w:r>
        <w:br w:type="page"/>
      </w:r>
    </w:p>
    <w:p>
      <w:pPr>
        <w:keepNext/>
        <w:spacing w:after="260" w:before="0" w:line="240" w:lineRule="auto"/>
        <w:jc w:val="center"/>
      </w:pPr>
      <w:r>
        <w:rPr>
          <w:rFonts w:ascii="Times New Roman" w:hAnsi="Times New Roman" w:eastAsia="Times New Roman" w:cs="Times New Roman"/>
          <w:b/>
          <w:i w:val="0"/>
          <w:color w:val="000000"/>
          <w:sz w:val="28"/>
          <w:szCs w:val="28"/>
        </w:rPr>
        <w:t>EXECUTIVE SUMMARY</w:t>
      </w:r>
    </w:p>
    <w:p>
      <w:pPr>
        <w:spacing w:after="100" w:line="360" w:lineRule="auto"/>
        <w:jc w:val="both"/>
      </w:pPr>
      <w:r>
        <w:rPr>
          <w:rFonts w:ascii="Times New Roman" w:hAnsi="Times New Roman" w:eastAsia="Times New Roman" w:cs="Times New Roman"/>
          <w:color w:val="000000"/>
          <w:sz w:val="24"/>
          <w:szCs w:val="24"/>
        </w:rPr>
        <w:t>This report examines Pine Labs Limited as an India-founded fintech and commerce-technology platform, with a focus on its business model, reported financial performance, platform economics, risks and a dated valuation snapshot. The company connects merchants, brands, banks, fintechs, payment networks and end users through technology and processing services. Its prospectus describes two operating platforms: Digital Infrastructure and Transaction Platform (DITP), which supports in-store and online acceptance, affordability and fintech infrastructure; and Issuing and Acquiring Platform (IAP), which supports prepaid programmes, card issuance, processing and distribution. Pine Labs is not a bank. In relevant affordability arrangements, the lending partner—not the technology platform—makes the credit decision and bears the lending exposure described by the company. [1,5]</w:t>
      </w:r>
    </w:p>
    <w:p>
      <w:pPr>
        <w:spacing w:after="100" w:line="360" w:lineRule="auto"/>
        <w:jc w:val="both"/>
      </w:pPr>
      <w:r>
        <w:rPr>
          <w:rFonts w:ascii="Times New Roman" w:hAnsi="Times New Roman" w:eastAsia="Times New Roman" w:cs="Times New Roman"/>
          <w:color w:val="000000"/>
          <w:sz w:val="24"/>
          <w:szCs w:val="24"/>
        </w:rPr>
        <w:t>The financial record shows expansion and a recent profitability inflection. Restated consolidated revenue from operations increased from ₹1,597.66 crore in FY23 to ₹2,710.59 crore in FY26, a three-year CAGR of approximately 19.3%. Reported PAT was negative through FY25 and turned positive at ₹112.51 crore in audited FY26. Company-defined adjusted EBITDA rose from ₹158.19 crore in FY24 to ₹558.87 crore in FY26; its margin increased from 8.94% to 20.62%. These adjusted measures are not statutory EBITDA, PAT or operating cash flow and should be read with their reconciliation. [1–3]</w:t>
      </w:r>
    </w:p>
    <w:p>
      <w:pPr>
        <w:spacing w:after="100" w:line="360" w:lineRule="auto"/>
        <w:jc w:val="both"/>
      </w:pPr>
      <w:r>
        <w:rPr>
          <w:rFonts w:ascii="Times New Roman" w:hAnsi="Times New Roman" w:eastAsia="Times New Roman" w:cs="Times New Roman"/>
          <w:color w:val="000000"/>
          <w:sz w:val="24"/>
          <w:szCs w:val="24"/>
        </w:rPr>
        <w:t>Operating activity grew faster than recognized revenue. Platform GTV increased from approximately ₹4.40 lakh crore in FY23 to ₹17.15 lakh crore in FY26, while the revenue/GTV proxy declined from about 36 to 16 basis points. That proxy is a diagnostic of changing mix and definitions, not a contractual take rate. At FY26 year-end the reported network included 11.03 lakh merchants, 20.28 lakh digital checkout points (DCPs) and 740.37 crore transactions. [1,3]</w:t>
      </w:r>
    </w:p>
    <w:p>
      <w:pPr>
        <w:spacing w:after="100" w:line="360" w:lineRule="auto"/>
        <w:jc w:val="both"/>
      </w:pPr>
      <w:r>
        <w:rPr>
          <w:rFonts w:ascii="Times New Roman" w:hAnsi="Times New Roman" w:eastAsia="Times New Roman" w:cs="Times New Roman"/>
          <w:color w:val="000000"/>
          <w:sz w:val="24"/>
          <w:szCs w:val="24"/>
        </w:rPr>
        <w:t>Q1 FY27 revenue was ₹736.92 crore, up 19.65% year on year, and PAT was ₹19.57 crore. Platform GTV was ₹4.22 lakh crore; the company reported 21.7 lakh DCPs and 11.5 lakh merchants. Contribution margin was 72.3% of revenue and adjusted EBITDA margin approximately 17.1%, both lower year on year in the company’s disclosures. The positive quarter is encouraging, but margin and cash-flow durability require several more periods of evidence. [5,6]</w:t>
      </w:r>
    </w:p>
    <w:p>
      <w:pPr>
        <w:spacing w:after="100" w:line="360" w:lineRule="auto"/>
        <w:jc w:val="both"/>
      </w:pPr>
      <w:r>
        <w:rPr>
          <w:rFonts w:ascii="Times New Roman" w:hAnsi="Times New Roman" w:eastAsia="Times New Roman" w:cs="Times New Roman"/>
          <w:color w:val="000000"/>
          <w:sz w:val="24"/>
          <w:szCs w:val="24"/>
        </w:rPr>
        <w:t>The balance sheet strengthened after the IPO: borrowings excluding leases fell from ₹829.49 crore in FY25 to ₹282.87 crore in FY26. FY26 operating cash flow was positive at ₹395.39 crore, but settlement and customer-programme balances materially complicate liquidity interpretation. Company Q1 FY27 disclosures show CFO of approximately ₹78 crore excluding early settlement and negative ₹159 crore including it; neither basis should be treated as a normalized run-rate. [2,5,6]</w:t>
      </w:r>
    </w:p>
    <w:p>
      <w:pPr>
        <w:spacing w:after="100" w:line="360" w:lineRule="auto"/>
        <w:jc w:val="both"/>
      </w:pPr>
      <w:r>
        <w:rPr>
          <w:rFonts w:ascii="Times New Roman" w:hAnsi="Times New Roman" w:eastAsia="Times New Roman" w:cs="Times New Roman"/>
          <w:color w:val="000000"/>
          <w:sz w:val="24"/>
          <w:szCs w:val="24"/>
        </w:rPr>
        <w:t>As a dated valuation illustration, the BSE close of ₹167.55 on 1 October 2026 and approximately 115.39 crore paid-up shares imply an equity value proxy near ₹19,334 crore. LTM revenue of ₹2,831.60 crore and LTM PAT of ₹127.29 crore yield indicative multiples of about 6.83× P/S and 152× P/E. These are author calculations using rounded, mixed-date inputs—not company-published multiples or a target price. The research view is “watch / valuation-sensitive”: the business opportunity is substantial, but the valuation requires sustained growth, improving returns and repeatable cash generation. [2,5,11]</w:t>
      </w:r>
    </w:p>
    <w:p>
      <w:pPr>
        <w:pStyle w:val="Caption"/>
        <w:keepNext/>
        <w:spacing w:before="140" w:after="70" w:line="240" w:lineRule="auto"/>
        <w:jc w:val="center"/>
      </w:pPr>
      <w:r>
        <w:rPr>
          <w:rFonts w:ascii="Times New Roman" w:hAnsi="Times New Roman" w:eastAsia="Times New Roman" w:cs="Times New Roman"/>
          <w:b/>
          <w:color w:val="000000"/>
          <w:sz w:val="22"/>
          <w:szCs w:val="22"/>
        </w:rPr>
        <w:t>Executive dashboard | Main evidence and implication</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Area</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Key finding</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Business model</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Two-platform technology and processing provider; GTV is not revenue.</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Growth</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FY23–FY26 revenue CAGR ~19.3%; GTV CAGR ~57.4%.</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Profitability</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First positive annual PAT in FY26; Q1 FY27 remained profitable, with softer margins.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Balance sheet / cash</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Borrowings fell; settlement-related balances and cash conversion remain diligence priorities.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Valuation</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1 Oct 2026 P/S ~6.83× and P/E ~152×; early earnings base and approximate share count.</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Overall view</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Watch / valuation-sensitive; not an investment recommendation.</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Synthesis of references [1–6,11]. Cut-off 3 October 2026; market snapshot 1 October 2026.</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50" w:type="dxa"/>
              <w:bottom w:w="80" w:type="dxa"/>
              <w:end w:w="150" w:type="dxa"/>
              <w:left w:w="100" w:type="dxa"/>
              <w:right w:w="100" w:type="dxa"/>
            </w:tcMar>
            <w:vAlign w:val="center"/>
          </w:tcPr>
          <w:p>
            <w:pPr>
              <w:spacing w:after="0" w:line="276" w:lineRule="auto" w:before="0"/>
              <w:jc w:val="left"/>
            </w:pPr>
            <w:r>
              <w:rPr>
                <w:rFonts w:ascii="Times New Roman" w:hAnsi="Times New Roman" w:eastAsia="Times New Roman" w:cs="Times New Roman"/>
                <w:b/>
                <w:color w:val="000000"/>
                <w:sz w:val="21"/>
                <w:szCs w:val="21"/>
              </w:rPr>
              <w:t xml:space="preserve">Summary  </w:t>
            </w:r>
            <w:r>
              <w:rPr>
                <w:rFonts w:ascii="Times New Roman" w:hAnsi="Times New Roman" w:eastAsia="Times New Roman" w:cs="Times New Roman"/>
                <w:color w:val="000000"/>
                <w:sz w:val="21"/>
                <w:szCs w:val="21"/>
              </w:rPr>
              <w:t>Pine Labs combines strong platform scale and a meaningful FY26 profit inflection with open questions about monetization yield, margin durability, settlement-sensitive cash conversion and valuation. The next test is converting activity growth into recurring, profitable and cash-generative revenue.</w:t>
            </w:r>
          </w:p>
        </w:tc>
      </w:tr>
    </w:tbl>
    <w:p>
      <w:pPr>
        <w:spacing w:after="40" w:before="0"/>
      </w:pPr>
    </w:p>
    <w:p>
      <w:r>
        <w:br w:type="page"/>
      </w:r>
    </w:p>
    <w:p>
      <w:pPr>
        <w:keepNext/>
        <w:spacing w:after="260" w:before="0" w:line="240" w:lineRule="auto"/>
        <w:jc w:val="center"/>
      </w:pPr>
      <w:r>
        <w:rPr>
          <w:rFonts w:ascii="Times New Roman" w:hAnsi="Times New Roman" w:eastAsia="Times New Roman" w:cs="Times New Roman"/>
          <w:b/>
          <w:i w:val="0"/>
          <w:color w:val="000000"/>
          <w:sz w:val="28"/>
          <w:szCs w:val="28"/>
        </w:rPr>
        <w:t>TABLE OF CONTENTS</w:t>
      </w:r>
    </w:p>
    <w:p>
      <w:pPr>
        <w:spacing w:after="140" w:line="276" w:lineRule="auto"/>
        <w:jc w:val="center"/>
      </w:pPr>
      <w:r>
        <w:rPr>
          <w:rFonts w:ascii="Times New Roman" w:hAnsi="Times New Roman" w:eastAsia="Times New Roman" w:cs="Times New Roman"/>
          <w:i/>
          <w:color w:val="000000"/>
          <w:sz w:val="21"/>
          <w:szCs w:val="21"/>
        </w:rPr>
        <w:t>Chapter and appendix structure • page references refresh in Word</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
        <w:gridCol w:w="936"/>
        <w:gridCol w:w="5256"/>
        <w:gridCol w:w="1466"/>
      </w:tblGrid>
      <w:tr>
        <w:trPr>
          <w:tblHeader w:val="true"/>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shd w:val="clear" w:color="auto" w:fill="D9E2F3"/>
          </w:tcPr>
          <w:p>
            <w:pPr>
              <w:spacing w:before="0" w:after="0" w:line="240" w:lineRule="auto"/>
              <w:jc w:val="center"/>
            </w:pPr>
            <w:r>
              <w:rPr>
                <w:rFonts w:ascii="Times New Roman" w:hAnsi="Times New Roman" w:eastAsia="Times New Roman" w:cs="Times New Roman"/>
                <w:b/>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shd w:val="clear" w:color="auto" w:fill="D9E2F3"/>
          </w:tcPr>
          <w:p>
            <w:pPr>
              <w:spacing w:before="0" w:after="0" w:line="240" w:lineRule="auto"/>
              <w:jc w:val="center"/>
            </w:pPr>
            <w:r>
              <w:rPr>
                <w:rFonts w:ascii="Times New Roman" w:hAnsi="Times New Roman" w:eastAsia="Times New Roman" w:cs="Times New Roman"/>
                <w:b/>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shd w:val="clear" w:color="auto" w:fill="D9E2F3"/>
          </w:tcPr>
          <w:p>
            <w:pPr>
              <w:spacing w:before="0" w:after="0" w:line="240" w:lineRule="auto"/>
              <w:jc w:val="center"/>
            </w:pPr>
            <w:r>
              <w:rPr>
                <w:rFonts w:ascii="Times New Roman" w:hAnsi="Times New Roman" w:eastAsia="Times New Roman" w:cs="Times New Roman"/>
                <w:b/>
                <w:color w:val="000000"/>
                <w:sz w:val="20"/>
                <w:szCs w:val="20"/>
              </w:rPr>
              <w:t>CONTENT</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shd w:val="clear" w:color="auto" w:fill="D9E2F3"/>
          </w:tcPr>
          <w:p>
            <w:pPr>
              <w:spacing w:before="0" w:after="0" w:line="240" w:lineRule="auto"/>
              <w:jc w:val="center"/>
            </w:pPr>
            <w:r>
              <w:rPr>
                <w:rFonts w:ascii="Times New Roman" w:hAnsi="Times New Roman" w:eastAsia="Times New Roman" w:cs="Times New Roman"/>
                <w:b/>
                <w:color w:val="000000"/>
                <w:sz w:val="20"/>
                <w:szCs w:val="20"/>
              </w:rPr>
              <w:t>PAGE NO.</w:t>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1</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INTRODUCTION AND RESEARCH DESIGN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1.1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Need for the study</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toc_1_1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1.2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Objectives of the study</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toc_1_2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1.3</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Research questions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toc_1_3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1.4</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Scope and key concepts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toc_1_4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1.5</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Structure of the report</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toc_1_5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2</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ORGANISATIONAL BACKGROUND AND INTERNSHIP</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2.1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Internship host organisation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toc_2_1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2.2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Internship particulars and roles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toc_2_2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2.3</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Trading terminals and market segments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toc_2_3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2.4</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Dealing-desk workflow</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toc_2_4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2.5</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EIC framework and its application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toc_2_5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2.6</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Learning outcomes and model comparison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toc_2_6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3</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THEORETICAL FRAMEWORK AND COMPANY PROFILE</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toc_ch3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Indian fintech and payments value chain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Market scale and industry economics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3.3</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Company identification and evolution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toc_3_3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3.4</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Two-platform architecture</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toc_3_4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3.5</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Products, services and customer journeys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toc_3_5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3.6</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Monetization and segment model</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toc_3_6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3.7</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Competitive landscape</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toc_3_7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3.8</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PESTLE and Porter’s Five Forces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toc_3_8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3.9</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SWOT, governance and ownership</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toc_3_9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4</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RESEARCH METHODOLOGY</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toc_ch4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4.1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Research design and period</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toc_4_1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4.2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Sources and data hierarchy</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toc_4_2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4.3</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Analytical tools and procedures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toc_4_3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4.4</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Data discipline and limitations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toc_4_4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5</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ANALYSIS AND INTERPRETATION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toc_ch5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Consolidated income-statement trend</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Segment performance</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5.3</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Q1 FY27 interim update</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toc_5_3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5.4</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Balance sheet and liquidity</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toc_5_4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5.5</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Cash flow and working capital</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toc_5_5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5.6</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Ratio analysis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toc_5_6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5.7</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Operating KPIs and platform economics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toc_5_7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5.8</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DuPont analysis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toc_5_8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5.9</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Peer context and valuation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toc_5_9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5.10</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Risk analysis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toc_5_10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5.11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ESG and responsible fintech</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toc_5_11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5.12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Thesis-monitoring dashboard</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toc_5_12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6</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FINDINGS, SUGGESTIONS AND CONCLUSION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toc_ch6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6.1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Major findings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toc_6_1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6.2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Suggestions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toc_6_2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6.3</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Conclusion</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toc_6_3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6.4</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Researcher’s view</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toc_6_4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7</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LIMITATIONS AND FUTURE SCOPE</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toc_ch7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7.1</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Limitations of the study</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toc_7_1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t>7.2</w:t>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left"/>
            </w:pPr>
            <w:r>
              <w:rPr>
                <w:rFonts w:ascii="Times New Roman" w:hAnsi="Times New Roman" w:eastAsia="Times New Roman" w:cs="Times New Roman"/>
                <w:color w:val="000000"/>
                <w:sz w:val="20"/>
                <w:szCs w:val="20"/>
              </w:rPr>
              <w:t>Scope for further research</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toc_7_2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Chapter 8</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REFERENCES AND BIBLIOGRAPHY</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toc_ch8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Appendix A</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COMPACT DATA SHEET</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toc_app_a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Appendix B</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QUARTERLY DATA BOOK</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toc_app_b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Appendix C</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FORMULAS AND WORKED CALCULATIONS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toc_app_c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Appendix D</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GLOSSARY AND ABBREVIATIONS</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toc_app_d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Appendix E</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INTERNSHIP EXPERIENCE CERTIFICATE</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toc_app_e \h </w:instrText>
              <w:fldChar w:fldCharType="separate"/>
              <w:t>—</w:t>
              <w:fldChar w:fldCharType="end"/>
            </w:r>
          </w:p>
        </w:tc>
      </w:tr>
      <w:tr>
        <w:trPr>
          <w:cantSplit/>
        </w:trPr>
        <w:tc>
          <w:tcPr>
            <w:tcW w:type="dxa" w:w="1368"/>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b/>
                <w:color w:val="000000"/>
                <w:sz w:val="20"/>
                <w:szCs w:val="20"/>
              </w:rPr>
              <w:t>Appendix F</w:t>
            </w:r>
          </w:p>
        </w:tc>
        <w:tc>
          <w:tcPr>
            <w:tcW w:type="dxa" w:w="93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center"/>
            </w:pPr>
            <w:r>
              <w:rPr>
                <w:rFonts w:ascii="Times New Roman" w:hAnsi="Times New Roman" w:eastAsia="Times New Roman" w:cs="Times New Roman"/>
                <w:color w:val="000000"/>
                <w:sz w:val="20"/>
                <w:szCs w:val="20"/>
              </w:rPr>
            </w:r>
          </w:p>
        </w:tc>
        <w:tc>
          <w:tcPr>
            <w:tcW w:type="dxa" w:w="525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before="0" w:after="0" w:line="240" w:lineRule="auto"/>
              <w:jc w:val="left"/>
            </w:pPr>
            <w:r>
              <w:rPr>
                <w:rFonts w:ascii="Times New Roman" w:hAnsi="Times New Roman" w:eastAsia="Times New Roman" w:cs="Times New Roman"/>
                <w:color w:val="000000"/>
                <w:sz w:val="20"/>
                <w:szCs w:val="20"/>
              </w:rPr>
              <w:t>FINAL SUBMISSION CHECKLIST</w:t>
            </w:r>
          </w:p>
        </w:tc>
        <w:tc>
          <w:tcPr>
            <w:tcW w:type="dxa" w:w="1466"/>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35" w:type="dxa"/>
              <w:left w:w="70" w:type="dxa"/>
              <w:bottom w:w="35" w:type="dxa"/>
              <w:right w:w="70" w:type="dxa"/>
            </w:tcMar>
            <w:vAlign w:val="center"/>
          </w:tcPr>
          <w:p>
            <w:pPr>
              <w:spacing w:after="0" w:before="0" w:line="240" w:lineRule="auto"/>
              <w:jc w:val="center"/>
            </w:pPr>
            <w:r>
              <w:rPr>
                <w:rFonts w:ascii="Times New Roman" w:hAnsi="Times New Roman" w:eastAsia="Times New Roman" w:cs="Times New Roman"/>
                <w:color w:val="000000"/>
                <w:sz w:val="20"/>
                <w:szCs w:val="20"/>
              </w:rPr>
              <w:fldChar w:fldCharType="begin"/>
              <w:instrText xml:space="preserve"> PAGEREF toc_app_f \h </w:instrText>
              <w:fldChar w:fldCharType="separate"/>
              <w:t>—</w:t>
              <w:fldChar w:fldCharType="end"/>
            </w:r>
          </w:p>
        </w:tc>
      </w:tr>
    </w:tbl>
    <w:p>
      <w:pPr>
        <w:keepNext w:val="0"/>
        <w:spacing w:before="40" w:after="140" w:line="276" w:lineRule="auto"/>
        <w:jc w:val="center"/>
      </w:pPr>
      <w:r>
        <w:rPr>
          <w:rFonts w:ascii="Times New Roman" w:hAnsi="Times New Roman" w:eastAsia="Times New Roman" w:cs="Times New Roman"/>
          <w:i/>
          <w:color w:val="000000"/>
          <w:sz w:val="20"/>
          <w:szCs w:val="20"/>
        </w:rPr>
        <w:t>Page references are Word fields. After opening the report, press Ctrl+A and then F9 (or right-click the contents table and choose Update Field) to refresh page numbers.</w:t>
      </w:r>
    </w:p>
    <w:p>
      <w:r>
        <w:br w:type="page"/>
      </w:r>
    </w:p>
    <w:p>
      <w:pPr>
        <w:keepNext/>
        <w:spacing w:after="260" w:before="0" w:line="240" w:lineRule="auto"/>
        <w:jc w:val="center"/>
      </w:pPr>
      <w:r>
        <w:rPr>
          <w:rFonts w:ascii="Times New Roman" w:hAnsi="Times New Roman" w:eastAsia="Times New Roman" w:cs="Times New Roman"/>
          <w:b/>
          <w:i w:val="0"/>
          <w:color w:val="000000"/>
          <w:sz w:val="28"/>
          <w:szCs w:val="28"/>
        </w:rPr>
        <w:t>READING AND DATA CONVENTIONS</w:t>
      </w:r>
    </w:p>
    <w:p>
      <w:pPr>
        <w:pStyle w:val="ListBullet"/>
        <w:spacing w:after="100" w:line="360" w:lineRule="auto"/>
        <w:jc w:val="both"/>
      </w:pPr>
      <w:r>
        <w:rPr>
          <w:rFonts w:ascii="Times New Roman" w:hAnsi="Times New Roman" w:eastAsia="Times New Roman" w:cs="Times New Roman"/>
          <w:color w:val="000000"/>
          <w:sz w:val="24"/>
          <w:szCs w:val="24"/>
        </w:rPr>
        <w:t>All rupee amounts are in ₹ crore unless otherwise stated. Indian financial years run from 1 April to 31 March. “Lakh crore” means ₹1,00,000 crore. Percentages and multiples are rounded for readability.</w:t>
      </w:r>
    </w:p>
    <w:p>
      <w:pPr>
        <w:pStyle w:val="ListBullet"/>
        <w:spacing w:after="100" w:line="360" w:lineRule="auto"/>
        <w:jc w:val="both"/>
      </w:pPr>
      <w:r>
        <w:rPr>
          <w:rFonts w:ascii="Times New Roman" w:hAnsi="Times New Roman" w:eastAsia="Times New Roman" w:cs="Times New Roman"/>
          <w:color w:val="000000"/>
          <w:sz w:val="24"/>
          <w:szCs w:val="24"/>
        </w:rPr>
        <w:t>FY23–FY25 historical consolidated financials are described as restated prospectus comparatives; FY26 is audited; Q1 FY27 is interim information for the quarter ended 30 June 2026 and is unaudited / limited-reviewed as indicated by the issuer.</w:t>
      </w:r>
    </w:p>
    <w:p>
      <w:pPr>
        <w:pStyle w:val="ListBullet"/>
        <w:spacing w:after="100" w:line="360" w:lineRule="auto"/>
        <w:jc w:val="both"/>
      </w:pPr>
      <w:r>
        <w:rPr>
          <w:rFonts w:ascii="Times New Roman" w:hAnsi="Times New Roman" w:eastAsia="Times New Roman" w:cs="Times New Roman"/>
          <w:color w:val="000000"/>
          <w:sz w:val="24"/>
          <w:szCs w:val="24"/>
        </w:rPr>
        <w:t>“Reported” means a line item in company financial statements. Adjusted EBITDA, contribution margin, GTV, transactions, merchants and DCPs are company-defined disclosures; author calculations and scenario assumptions are labelled separately.</w:t>
      </w:r>
    </w:p>
    <w:p>
      <w:pPr>
        <w:pStyle w:val="ListBullet"/>
        <w:spacing w:after="100" w:line="360" w:lineRule="auto"/>
        <w:jc w:val="both"/>
      </w:pPr>
      <w:r>
        <w:rPr>
          <w:rFonts w:ascii="Times New Roman" w:hAnsi="Times New Roman" w:eastAsia="Times New Roman" w:cs="Times New Roman"/>
          <w:color w:val="000000"/>
          <w:sz w:val="24"/>
          <w:szCs w:val="24"/>
        </w:rPr>
        <w:t>GTV is not company revenue, cash collected, credit extended, or funds available to shareholders. Related categories may overlap and should not be summed unless the company explicitly instructs otherwise.</w:t>
      </w:r>
    </w:p>
    <w:p>
      <w:pPr>
        <w:pStyle w:val="ListBullet"/>
        <w:spacing w:after="100" w:line="360" w:lineRule="auto"/>
        <w:jc w:val="both"/>
      </w:pPr>
      <w:r>
        <w:rPr>
          <w:rFonts w:ascii="Times New Roman" w:hAnsi="Times New Roman" w:eastAsia="Times New Roman" w:cs="Times New Roman"/>
          <w:color w:val="000000"/>
          <w:sz w:val="24"/>
          <w:szCs w:val="24"/>
        </w:rPr>
        <w:t>Valuation uses a BSE closing price of ₹167.55 on 1 October 2026; the report’s analysis cut-off is 3 October 2026. Price and market ratios are dated observations, not a live recommendation.</w:t>
      </w:r>
    </w:p>
    <w:p>
      <w:pPr>
        <w:pStyle w:val="ListBullet"/>
        <w:spacing w:after="100" w:line="360" w:lineRule="auto"/>
        <w:jc w:val="both"/>
      </w:pPr>
      <w:r>
        <w:rPr>
          <w:rFonts w:ascii="Times New Roman" w:hAnsi="Times New Roman" w:eastAsia="Times New Roman" w:cs="Times New Roman"/>
          <w:color w:val="000000"/>
          <w:sz w:val="24"/>
          <w:szCs w:val="24"/>
        </w:rPr>
        <w:t>Citations in square brackets refer to the numbered references in Chapter 8. Every table / figure includes a source and a unit or period note where relevant.</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50" w:type="dxa"/>
              <w:bottom w:w="80" w:type="dxa"/>
              <w:end w:w="150" w:type="dxa"/>
              <w:left w:w="100" w:type="dxa"/>
              <w:right w:w="100" w:type="dxa"/>
            </w:tcMar>
            <w:vAlign w:val="center"/>
          </w:tcPr>
          <w:p>
            <w:pPr>
              <w:spacing w:after="0" w:line="276" w:lineRule="auto" w:before="0"/>
              <w:jc w:val="left"/>
            </w:pPr>
            <w:r>
              <w:rPr>
                <w:rFonts w:ascii="Times New Roman" w:hAnsi="Times New Roman" w:eastAsia="Times New Roman" w:cs="Times New Roman"/>
                <w:b/>
                <w:color w:val="000000"/>
                <w:sz w:val="21"/>
                <w:szCs w:val="21"/>
              </w:rPr>
              <w:t xml:space="preserve">Scope note  </w:t>
            </w:r>
            <w:r>
              <w:rPr>
                <w:rFonts w:ascii="Times New Roman" w:hAnsi="Times New Roman" w:eastAsia="Times New Roman" w:cs="Times New Roman"/>
                <w:color w:val="000000"/>
                <w:sz w:val="21"/>
                <w:szCs w:val="21"/>
              </w:rPr>
              <w:t>The report combines a public-data study of Pine Labs Limited with internship learning at Rosy Blue Securities Pvt. Ltd. These are separate organisations and their business models, data and activities are not conflated.</w:t>
            </w:r>
          </w:p>
        </w:tc>
      </w:tr>
    </w:tbl>
    <w:p>
      <w:pPr>
        <w:spacing w:after="40" w:before="0"/>
      </w:pPr>
    </w:p>
    <w:p>
      <w:pPr>
        <w:sectPr>
          <w:headerReference w:type="default" r:id="rId9"/>
          <w:footerReference w:type="default" r:id="rId10"/>
          <w:headerReference w:type="first" r:id="rId11"/>
          <w:footerReference w:type="first" r:id="rId12"/>
          <w:headerReference w:type="even" r:id="rId35"/>
          <w:footerReference w:type="even" r:id="rId36"/>
          <w:pgSz w:w="11906" w:h="16838"/>
          <w:pgMar w:top="1300" w:right="1440" w:bottom="1300" w:left="1440" w:header="708" w:footer="500" w:gutter="0"/>
          <w:cols w:space="720"/>
          <w:titlePg/>
          <w:docGrid w:linePitch="360"/>
          <w:pgNumType w:fmt="decimal"/>
        </w:sectPr>
      </w:pPr>
    </w:p>
    <w:p>
      <w:pPr>
        <w:keepNext/>
        <w:spacing w:before="0" w:after="80" w:line="240" w:lineRule="auto"/>
        <w:jc w:val="center"/>
      </w:pPr>
      <w:r>
        <w:rPr>
          <w:rFonts w:ascii="Times New Roman" w:hAnsi="Times New Roman" w:eastAsia="Times New Roman" w:cs="Times New Roman"/>
          <w:b/>
          <w:i w:val="0"/>
          <w:color w:val="000000"/>
          <w:sz w:val="28"/>
          <w:szCs w:val="28"/>
        </w:rPr>
        <w:t>CHAPTER 1</w:t>
      </w:r>
    </w:p>
    <w:p>
      <w:bookmarkStart w:id="1" w:name="toc_ch1"/>
      <w:pPr>
        <w:pStyle w:val="Heading1"/>
        <w:keepNext/>
        <w:spacing w:before="0" w:after="260" w:line="240" w:lineRule="auto"/>
        <w:jc w:val="center"/>
      </w:pPr>
      <w:r>
        <w:rPr>
          <w:rFonts w:ascii="Times New Roman" w:hAnsi="Times New Roman" w:eastAsia="Times New Roman" w:cs="Times New Roman"/>
          <w:b/>
          <w:i w:val="0"/>
          <w:color w:val="000000"/>
          <w:sz w:val="28"/>
          <w:szCs w:val="28"/>
        </w:rPr>
        <w:t>1. INTRODUCTION AND RESEARCH DESIGN</w:t>
      </w:r>
      <w:bookmarkEnd w:id="1"/>
    </w:p>
    <w:p>
      <w:pPr>
        <w:keepNext/>
        <w:spacing w:after="260" w:before="0" w:line="276" w:lineRule="auto"/>
        <w:jc w:val="center"/>
      </w:pPr>
      <w:r>
        <w:rPr>
          <w:rFonts w:ascii="Times New Roman" w:hAnsi="Times New Roman" w:eastAsia="Times New Roman" w:cs="Times New Roman"/>
          <w:i/>
          <w:color w:val="000000"/>
          <w:sz w:val="20"/>
          <w:szCs w:val="20"/>
        </w:rPr>
        <w:t>Purpose, questions, evidence base and limits of a secondary-data study</w:t>
      </w:r>
    </w:p>
    <w:p>
      <w:bookmarkStart w:id="2" w:name="toc_1_1"/>
      <w:pPr>
        <w:pStyle w:val="Heading2"/>
        <w:keepNext/>
        <w:spacing w:before="200" w:after="110" w:line="240" w:lineRule="auto"/>
        <w:jc w:val="left"/>
      </w:pPr>
      <w:r>
        <w:rPr>
          <w:rFonts w:ascii="Times New Roman" w:hAnsi="Times New Roman" w:eastAsia="Times New Roman" w:cs="Times New Roman"/>
          <w:b/>
          <w:i w:val="0"/>
          <w:color w:val="000000"/>
          <w:sz w:val="24"/>
          <w:szCs w:val="24"/>
        </w:rPr>
        <w:t>1.1 NEED FOR THE STUDY</w:t>
      </w:r>
      <w:bookmarkEnd w:id="2"/>
    </w:p>
    <w:p>
      <w:pPr>
        <w:spacing w:after="100" w:line="360" w:lineRule="auto"/>
        <w:jc w:val="both"/>
      </w:pPr>
      <w:r>
        <w:rPr>
          <w:rFonts w:ascii="Times New Roman" w:hAnsi="Times New Roman" w:eastAsia="Times New Roman" w:cs="Times New Roman"/>
          <w:color w:val="000000"/>
          <w:sz w:val="24"/>
          <w:szCs w:val="24"/>
        </w:rPr>
        <w:t>Fintech combines software, data, communications and regulated financial infrastructure to deliver or support payments, credit, savings, insurance and other financial services. Digital payments are now part of the operating infrastructure of commerce: merchants, banks, networks, technology providers and consumers interact through systems that must be convenient, secure, reliable and economically sustainable.</w:t>
      </w:r>
    </w:p>
    <w:p>
      <w:pPr>
        <w:spacing w:after="100" w:line="360" w:lineRule="auto"/>
        <w:jc w:val="both"/>
      </w:pPr>
      <w:r>
        <w:rPr>
          <w:rFonts w:ascii="Times New Roman" w:hAnsi="Times New Roman" w:eastAsia="Times New Roman" w:cs="Times New Roman"/>
          <w:color w:val="000000"/>
          <w:sz w:val="24"/>
          <w:szCs w:val="24"/>
        </w:rPr>
        <w:t>Pine Labs is a useful finance case because a large volume of activity can pass through a platform without being recognized as revenue by that platform. Its business includes merchant acceptance, processing, affordability integrations, prepaid / issuing activity and related infrastructure. This creates an analytical distinction between scale (GTV, transactions, DCPs), monetization (recognized revenue and contribution) and value creation (sustainable profit and cash flow).</w:t>
      </w:r>
    </w:p>
    <w:p>
      <w:pPr>
        <w:spacing w:after="100" w:line="360" w:lineRule="auto"/>
        <w:jc w:val="both"/>
      </w:pPr>
      <w:r>
        <w:rPr>
          <w:rFonts w:ascii="Times New Roman" w:hAnsi="Times New Roman" w:eastAsia="Times New Roman" w:cs="Times New Roman"/>
          <w:color w:val="000000"/>
          <w:sz w:val="24"/>
          <w:szCs w:val="24"/>
        </w:rPr>
        <w:t>The study is needed to move beyond a company description and test how the business model translates activity into financial outcomes. It connects industry context with audited and restated financial data, operating indicators, balance-sheet and cash-flow interpretation, valuation and risk. The research also applies learning from my internship at Rosy Blue Securities Pvt. Ltd.; the host organisation is not the case company.</w:t>
      </w:r>
    </w:p>
    <w:p>
      <w:bookmarkStart w:id="3" w:name="toc_1_2"/>
      <w:pPr>
        <w:pStyle w:val="Heading2"/>
        <w:keepNext/>
        <w:spacing w:before="200" w:after="110" w:line="240" w:lineRule="auto"/>
        <w:jc w:val="left"/>
      </w:pPr>
      <w:r>
        <w:rPr>
          <w:rFonts w:ascii="Times New Roman" w:hAnsi="Times New Roman" w:eastAsia="Times New Roman" w:cs="Times New Roman"/>
          <w:b/>
          <w:i w:val="0"/>
          <w:color w:val="000000"/>
          <w:sz w:val="24"/>
          <w:szCs w:val="24"/>
        </w:rPr>
        <w:t>1.2 OBJECTIVES OF THE STUDY</w:t>
      </w:r>
      <w:bookmarkEnd w:id="3"/>
    </w:p>
    <w:p>
      <w:pPr>
        <w:pStyle w:val="ListBullet"/>
        <w:spacing w:after="100" w:line="360" w:lineRule="auto"/>
        <w:jc w:val="both"/>
      </w:pPr>
      <w:r>
        <w:rPr>
          <w:rFonts w:ascii="Times New Roman" w:hAnsi="Times New Roman" w:eastAsia="Times New Roman" w:cs="Times New Roman"/>
          <w:color w:val="000000"/>
          <w:sz w:val="24"/>
          <w:szCs w:val="24"/>
        </w:rPr>
        <w:t>To explain Pine Labs’ two-platform model, customer groups and disclosed sources of monetization.</w:t>
      </w:r>
    </w:p>
    <w:p>
      <w:pPr>
        <w:pStyle w:val="ListBullet"/>
        <w:spacing w:after="100" w:line="360" w:lineRule="auto"/>
        <w:jc w:val="both"/>
      </w:pPr>
      <w:r>
        <w:rPr>
          <w:rFonts w:ascii="Times New Roman" w:hAnsi="Times New Roman" w:eastAsia="Times New Roman" w:cs="Times New Roman"/>
          <w:color w:val="000000"/>
          <w:sz w:val="24"/>
          <w:szCs w:val="24"/>
        </w:rPr>
        <w:t>To place merchant acceptance, issuing, affordability and fintech infrastructure in the context of India’s payments ecosystem.</w:t>
      </w:r>
    </w:p>
    <w:p>
      <w:pPr>
        <w:pStyle w:val="ListBullet"/>
        <w:spacing w:after="100" w:line="360" w:lineRule="auto"/>
        <w:jc w:val="both"/>
      </w:pPr>
      <w:r>
        <w:rPr>
          <w:rFonts w:ascii="Times New Roman" w:hAnsi="Times New Roman" w:eastAsia="Times New Roman" w:cs="Times New Roman"/>
          <w:color w:val="000000"/>
          <w:sz w:val="24"/>
          <w:szCs w:val="24"/>
        </w:rPr>
        <w:t>To examine consolidated revenue, profitability, selected balance-sheet items and cash flow for FY23–FY26, with a Q1 FY27 update.</w:t>
      </w:r>
    </w:p>
    <w:p>
      <w:pPr>
        <w:pStyle w:val="ListBullet"/>
        <w:spacing w:after="100" w:line="360" w:lineRule="auto"/>
        <w:jc w:val="both"/>
      </w:pPr>
      <w:r>
        <w:rPr>
          <w:rFonts w:ascii="Times New Roman" w:hAnsi="Times New Roman" w:eastAsia="Times New Roman" w:cs="Times New Roman"/>
          <w:color w:val="000000"/>
          <w:sz w:val="24"/>
          <w:szCs w:val="24"/>
        </w:rPr>
        <w:t>To interpret operating measures such as GTV, transactions, merchants, DCPs and prepaid issuance without equating platform activity with revenue.</w:t>
      </w:r>
    </w:p>
    <w:p>
      <w:pPr>
        <w:pStyle w:val="ListBullet"/>
        <w:spacing w:after="100" w:line="360" w:lineRule="auto"/>
        <w:jc w:val="both"/>
      </w:pPr>
      <w:r>
        <w:rPr>
          <w:rFonts w:ascii="Times New Roman" w:hAnsi="Times New Roman" w:eastAsia="Times New Roman" w:cs="Times New Roman"/>
          <w:color w:val="000000"/>
          <w:sz w:val="24"/>
          <w:szCs w:val="24"/>
        </w:rPr>
        <w:t>To assess strategic, regulatory, operational, governance and ESG risks and describe selected peers qualitatively.</w:t>
      </w:r>
    </w:p>
    <w:p>
      <w:pPr>
        <w:pStyle w:val="ListBullet"/>
        <w:spacing w:after="100" w:line="360" w:lineRule="auto"/>
        <w:jc w:val="both"/>
      </w:pPr>
      <w:r>
        <w:rPr>
          <w:rFonts w:ascii="Times New Roman" w:hAnsi="Times New Roman" w:eastAsia="Times New Roman" w:cs="Times New Roman"/>
          <w:color w:val="000000"/>
          <w:sz w:val="24"/>
          <w:szCs w:val="24"/>
        </w:rPr>
        <w:t>To calculate selected dated valuation multiples using clearly stated market-price, period and share-count assumptions.</w:t>
      </w:r>
    </w:p>
    <w:p>
      <w:pPr>
        <w:pStyle w:val="ListBullet"/>
        <w:spacing w:after="100" w:line="360" w:lineRule="auto"/>
        <w:jc w:val="both"/>
      </w:pPr>
      <w:r>
        <w:rPr>
          <w:rFonts w:ascii="Times New Roman" w:hAnsi="Times New Roman" w:eastAsia="Times New Roman" w:cs="Times New Roman"/>
          <w:color w:val="000000"/>
          <w:sz w:val="24"/>
          <w:szCs w:val="24"/>
        </w:rPr>
        <w:t>To consolidate the research evidence into findings and identify information that would strengthen or weaken the thesis.</w:t>
      </w:r>
    </w:p>
    <w:p>
      <w:bookmarkStart w:id="4" w:name="toc_1_3"/>
      <w:pPr>
        <w:pStyle w:val="Heading2"/>
        <w:keepNext/>
        <w:spacing w:before="200" w:after="110" w:line="240" w:lineRule="auto"/>
        <w:jc w:val="left"/>
      </w:pPr>
      <w:r>
        <w:rPr>
          <w:rFonts w:ascii="Times New Roman" w:hAnsi="Times New Roman" w:eastAsia="Times New Roman" w:cs="Times New Roman"/>
          <w:b/>
          <w:i w:val="0"/>
          <w:color w:val="000000"/>
          <w:sz w:val="24"/>
          <w:szCs w:val="24"/>
        </w:rPr>
        <w:t>1.3 RESEARCH QUESTIONS</w:t>
      </w:r>
      <w:bookmarkEnd w:id="4"/>
    </w:p>
    <w:p>
      <w:pPr>
        <w:pStyle w:val="Caption"/>
        <w:keepNext/>
        <w:spacing w:before="140" w:after="70" w:line="240" w:lineRule="auto"/>
        <w:jc w:val="center"/>
      </w:pPr>
      <w:r>
        <w:rPr>
          <w:rFonts w:ascii="Times New Roman" w:hAnsi="Times New Roman" w:eastAsia="Times New Roman" w:cs="Times New Roman"/>
          <w:b/>
          <w:color w:val="000000"/>
          <w:sz w:val="22"/>
          <w:szCs w:val="22"/>
        </w:rPr>
        <w:t>Table 1.1 | Research questions and evidence approach</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Research question</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Evidence used</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Test in this report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How does Pine Labs monetize its platform?</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Prospectus, segment disclosures, FY26 / Q1 FY27 results and KPI books.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Map subscriptions, processing, value-linked fees, distribution and disclosed float-related income.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Does platform GTV growth translate one-for-one into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FY23–FY26 GTV and recognized revenue; author-calculated yield proxy.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No. Activity expanded faster; the proxy signals mix / definition questions, not a literal take rate.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Is the profitability inflection durable?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Restated FY23–FY25, audited FY26 and interim Q1 FY27 financials / company KPIs.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turned profitable; Q1 remained positive, while contribution and adjusted EBITDA margins softened year on year.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Has the balance sheet strengthened and cash conversion stabilized?</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FY25 / FY26 balance sheets, annual CFO and Q1 settlement disclosures.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Borrowings fell; annual CFO improved, but customer and settlement balances make conversion period-sensitive.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What does the dated valuation imply?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BSE close, paid-up share proxy, LTM financials and illustrative P/B sensitivity.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Multiples are high on the early earnings base; assumptions are disclosed, no target price is asserted.</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Author’s research design using references [1–6,11]. Propositions are analytical tests, not statistical hypotheses.</w:t>
      </w:r>
    </w:p>
    <w:p>
      <w:bookmarkStart w:id="5" w:name="toc_1_4"/>
      <w:pPr>
        <w:pStyle w:val="Heading2"/>
        <w:keepNext/>
        <w:spacing w:before="200" w:after="110" w:line="240" w:lineRule="auto"/>
        <w:jc w:val="left"/>
      </w:pPr>
      <w:r>
        <w:rPr>
          <w:rFonts w:ascii="Times New Roman" w:hAnsi="Times New Roman" w:eastAsia="Times New Roman" w:cs="Times New Roman"/>
          <w:b/>
          <w:i w:val="0"/>
          <w:color w:val="000000"/>
          <w:sz w:val="24"/>
          <w:szCs w:val="24"/>
        </w:rPr>
        <w:t>1.4 SCOPE AND KEY CONCEPTS</w:t>
      </w:r>
      <w:bookmarkEnd w:id="5"/>
    </w:p>
    <w:p>
      <w:pPr>
        <w:spacing w:after="100" w:line="360" w:lineRule="auto"/>
        <w:jc w:val="both"/>
      </w:pPr>
      <w:r>
        <w:rPr>
          <w:rFonts w:ascii="Times New Roman" w:hAnsi="Times New Roman" w:eastAsia="Times New Roman" w:cs="Times New Roman"/>
          <w:color w:val="000000"/>
          <w:sz w:val="24"/>
          <w:szCs w:val="24"/>
        </w:rPr>
        <w:t>The unit of analysis is Pine Labs Limited and its consolidated subsidiaries as presented in the cited company documents. The annual window is FY23–FY26, with Q1 FY27 as an interim update. FY23–FY25 figures are prospectus-restated comparatives; FY26 is audited. The report uses Indian rupees and company-reported segment definitions. The market snapshot is dated 1 October 2026; the research cut-off is 3 October 2026. No primary survey, customer-level contract data or internal company information was supplied.</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1.2 | Working definitions used in the analysis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Term</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Working definition and boundary</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DITP / IAP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Infrastructure and Transaction Platform / Issuing and Acquiring Platform, the two reported operating platforms.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GTV</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Gross transaction value routed, processed or serviced under Pine Labs’ disclosed definition; not revenue, cash or profit.</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DCP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checkout point, a company-defined enabled acceptance point; it need not be a unique merchant or an active monthly location.</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Contribution margin</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measure after specified direct costs; not a statutory subtotal. Use the period-specific definition.</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Adjusted EBITDA</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non-GAAP measure with disclosed adjustments; not reported PAT, statutory EBITDA or operating cash flow.</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TTM / LTM</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Trailing twelve months; here calculated as FY26 plus Q1 FY27 less Q1 FY26.</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 / GTV proxy</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Author ratio of consolidated revenue to reported platform GTV after unit conversion; a diagnostic, not a contracted fee rate.</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Definitions follow the company’s disclosures where available; legal and accounting definitions in primary documents take precedence. [1–6]</w:t>
      </w:r>
    </w:p>
    <w:p>
      <w:bookmarkStart w:id="6" w:name="toc_1_5"/>
      <w:pPr>
        <w:pStyle w:val="Heading2"/>
        <w:keepNext/>
        <w:spacing w:before="200" w:after="110" w:line="240" w:lineRule="auto"/>
        <w:jc w:val="left"/>
      </w:pPr>
      <w:r>
        <w:rPr>
          <w:rFonts w:ascii="Times New Roman" w:hAnsi="Times New Roman" w:eastAsia="Times New Roman" w:cs="Times New Roman"/>
          <w:b/>
          <w:i w:val="0"/>
          <w:color w:val="000000"/>
          <w:sz w:val="24"/>
          <w:szCs w:val="24"/>
        </w:rPr>
        <w:t>1.5 STRUCTURE OF THE REPORT</w:t>
      </w:r>
      <w:bookmarkEnd w:id="6"/>
    </w:p>
    <w:p>
      <w:pPr>
        <w:spacing w:after="100" w:line="360" w:lineRule="auto"/>
        <w:jc w:val="both"/>
      </w:pPr>
      <w:r>
        <w:rPr>
          <w:rFonts w:ascii="Times New Roman" w:hAnsi="Times New Roman" w:eastAsia="Times New Roman" w:cs="Times New Roman"/>
          <w:color w:val="000000"/>
          <w:sz w:val="24"/>
          <w:szCs w:val="24"/>
        </w:rPr>
        <w:t>Chapter 2 records the internship host, duties and learning framework. Chapter 3 introduces the fintech / payments context, Pine Labs’ platforms, products, industry position and strategic frameworks. Chapter 4 documents the research design, sources and analytical procedures. Chapter 5 presents consolidated financial, operating, ratio, valuation, risk and ESG analysis. Chapter 6 consolidates findings, suggestions, conclusion and the researcher’s view. Chapter 7 states limitations and future research scope; Chapter 8 lists references. Appendices provide a compact data sheet, quarterly data book, formulas, glossary, supplied internship certificate and final-submission checklist.</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CHAPTER 2</w:t>
      </w:r>
    </w:p>
    <w:p>
      <w:bookmarkStart w:id="7" w:name="toc_ch2"/>
      <w:pPr>
        <w:pStyle w:val="Heading1"/>
        <w:keepNext/>
        <w:spacing w:before="0" w:after="260" w:line="240" w:lineRule="auto"/>
        <w:jc w:val="center"/>
      </w:pPr>
      <w:r>
        <w:rPr>
          <w:rFonts w:ascii="Times New Roman" w:hAnsi="Times New Roman" w:eastAsia="Times New Roman" w:cs="Times New Roman"/>
          <w:b/>
          <w:i w:val="0"/>
          <w:color w:val="000000"/>
          <w:sz w:val="28"/>
          <w:szCs w:val="28"/>
        </w:rPr>
        <w:t>2. ORGANISATIONAL BACKGROUND AND INTERNSHIP</w:t>
      </w:r>
      <w:bookmarkEnd w:id="7"/>
    </w:p>
    <w:p>
      <w:pPr>
        <w:keepNext/>
        <w:spacing w:after="260" w:before="0" w:line="276" w:lineRule="auto"/>
        <w:jc w:val="center"/>
      </w:pPr>
      <w:r>
        <w:rPr>
          <w:rFonts w:ascii="Times New Roman" w:hAnsi="Times New Roman" w:eastAsia="Times New Roman" w:cs="Times New Roman"/>
          <w:i/>
          <w:color w:val="000000"/>
          <w:sz w:val="20"/>
          <w:szCs w:val="20"/>
        </w:rPr>
        <w:t>Internship at Rosy Blue Securities Pvt. Ltd.; Pine Labs remains the research case company</w:t>
      </w:r>
    </w:p>
    <w:p>
      <w:bookmarkStart w:id="8" w:name="toc_2_1"/>
      <w:pPr>
        <w:pStyle w:val="Heading2"/>
        <w:keepNext/>
        <w:spacing w:before="200" w:after="110" w:line="240" w:lineRule="auto"/>
        <w:jc w:val="left"/>
      </w:pPr>
      <w:r>
        <w:rPr>
          <w:rFonts w:ascii="Times New Roman" w:hAnsi="Times New Roman" w:eastAsia="Times New Roman" w:cs="Times New Roman"/>
          <w:b/>
          <w:i w:val="0"/>
          <w:color w:val="000000"/>
          <w:sz w:val="24"/>
          <w:szCs w:val="24"/>
        </w:rPr>
        <w:t>2.1 INTERNSHIP HOST ORGANISATION</w:t>
      </w:r>
      <w:bookmarkEnd w:id="8"/>
    </w:p>
    <w:p>
      <w:pPr>
        <w:spacing w:after="100" w:line="360" w:lineRule="auto"/>
        <w:jc w:val="both"/>
      </w:pPr>
      <w:r>
        <w:rPr>
          <w:rFonts w:ascii="Times New Roman" w:hAnsi="Times New Roman" w:eastAsia="Times New Roman" w:cs="Times New Roman"/>
          <w:color w:val="000000"/>
          <w:sz w:val="24"/>
          <w:szCs w:val="24"/>
        </w:rPr>
        <w:t>Rosy Blue Securities Pvt. Ltd. is the organisation where I completed my summer internship from 12 May 2026 to 13 August 2026. The company’s public service profile describes stock broking on the NSE and BSE in the cash / capital market, futures and options, and currency-derivatives segments. It separately identifies mutual-fund distribution as a distributor service. [16]</w:t>
      </w:r>
    </w:p>
    <w:p>
      <w:pPr>
        <w:spacing w:after="100" w:line="360" w:lineRule="auto"/>
        <w:jc w:val="both"/>
      </w:pPr>
      <w:r>
        <w:rPr>
          <w:rFonts w:ascii="Times New Roman" w:hAnsi="Times New Roman" w:eastAsia="Times New Roman" w:cs="Times New Roman"/>
          <w:color w:val="000000"/>
          <w:sz w:val="24"/>
          <w:szCs w:val="24"/>
        </w:rPr>
        <w:t>A stock broker connects clients to an exchange trading system and related clearing / settlement arrangements under the applicable membership and regulatory framework. The report does not evaluate Rosy Blue’s financial performance, customer economics or internal controls; client identities, account details and trade data are confidential and are not reproduced.</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2.1 | Publicly described services of the internship host</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Service line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Description</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Internship relevance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 capital market (NSE / BSE)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Buying and selling listed securities for clients through the exchange framework.</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Direct exposure as a Dealer.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Futures and options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Exchange-traded derivative contracts linked to an underlying security or index.</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Direct exposure as a Dealer; risk and expiry mechanics observed.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Currency derivatives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Listed in the firm’s public service profile.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Not part of my core internship work.</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Mutual-fund distribution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Distribution of mutual-fund schemes; distinct from exchange-traded broking.</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Not part of my core internship work.</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Rosy Blue Securities official service profile [16]; internship particulars from the supplied SIP record.</w:t>
      </w:r>
    </w:p>
    <w:p>
      <w:bookmarkStart w:id="9" w:name="toc_2_2"/>
      <w:pPr>
        <w:pStyle w:val="Heading2"/>
        <w:keepNext/>
        <w:spacing w:before="200" w:after="110" w:line="240" w:lineRule="auto"/>
        <w:jc w:val="left"/>
      </w:pPr>
      <w:r>
        <w:rPr>
          <w:rFonts w:ascii="Times New Roman" w:hAnsi="Times New Roman" w:eastAsia="Times New Roman" w:cs="Times New Roman"/>
          <w:b/>
          <w:i w:val="0"/>
          <w:color w:val="000000"/>
          <w:sz w:val="24"/>
          <w:szCs w:val="24"/>
        </w:rPr>
        <w:t>2.2 INTERNSHIP PARTICULARS AND ROLES</w:t>
      </w:r>
      <w:bookmarkEnd w:id="9"/>
    </w:p>
    <w:p>
      <w:pPr>
        <w:pStyle w:val="Caption"/>
        <w:keepNext/>
        <w:spacing w:before="140" w:after="70" w:line="240" w:lineRule="auto"/>
        <w:jc w:val="center"/>
      </w:pPr>
      <w:r>
        <w:rPr>
          <w:rFonts w:ascii="Times New Roman" w:hAnsi="Times New Roman" w:eastAsia="Times New Roman" w:cs="Times New Roman"/>
          <w:b/>
          <w:color w:val="000000"/>
          <w:sz w:val="22"/>
          <w:szCs w:val="22"/>
        </w:rPr>
        <w:t>Table 2.2 | Internship summary</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Field</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Details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Host organisation</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Rosy Blue Securities Pvt. Ltd.</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Period</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12 May 2026 to 13 August 2026</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Roles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Dealer and Analyst</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Trading terminals / access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NEAT PLUS and CTCL-based front ends, as used in the dealing workflow.</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Markets observed</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 capital market and futures and options (F&amp;O).</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Analyst learning</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Economy–Industry–Company (EIC), company analysis and business analysis.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Confidentiality</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No client names, account identifiers, balances or trade-level records are disclosed.</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Internship information provided in the student’s SIP report.</w:t>
      </w:r>
    </w:p>
    <w:p>
      <w:bookmarkStart w:id="10" w:name="toc_2_3"/>
      <w:pPr>
        <w:pStyle w:val="Heading2"/>
        <w:keepNext/>
        <w:spacing w:before="200" w:after="110" w:line="240" w:lineRule="auto"/>
        <w:jc w:val="left"/>
      </w:pPr>
      <w:r>
        <w:rPr>
          <w:rFonts w:ascii="Times New Roman" w:hAnsi="Times New Roman" w:eastAsia="Times New Roman" w:cs="Times New Roman"/>
          <w:b/>
          <w:i w:val="0"/>
          <w:color w:val="000000"/>
          <w:sz w:val="24"/>
          <w:szCs w:val="24"/>
        </w:rPr>
        <w:t>2.3 TRADING TERMINALS AND MARKET SEGMENTS</w:t>
      </w:r>
      <w:bookmarkEnd w:id="10"/>
    </w:p>
    <w:p>
      <w:pPr>
        <w:spacing w:after="100" w:line="360" w:lineRule="auto"/>
        <w:jc w:val="both"/>
      </w:pPr>
      <w:r>
        <w:rPr>
          <w:rFonts w:ascii="Times New Roman" w:hAnsi="Times New Roman" w:eastAsia="Times New Roman" w:cs="Times New Roman"/>
          <w:color w:val="000000"/>
          <w:sz w:val="24"/>
          <w:szCs w:val="24"/>
        </w:rPr>
        <w:t>NEAT PLUS is NSE’s member trading interface. NSE also provides a Computer-to-Computer Link (CTCL) facility through which a trading member can use its own or a customised front end to route orders to the exchange system. The terminal is an order-entry / monitoring interface; it is not the exchange, clearing corporation or depository. [17,18,21]</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2.3 | Cash market and F&amp;O market: operating distinction</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Aspect</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Cash market</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Futures and options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What is traded</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Listed shares and other eligible securities.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Futures and options contracts on eligible shares / indices.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Position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Delivery trades result in ownership of the security after settlement.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 derivative contract has terms and expiry; an option buyer has a right, not an obligation.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Funds / margin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Delivery purchase generally requires funding the full cash consideration.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Margin or option premium applies; leverage can magnify gains and losses.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Principal risks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Price decline, liquidity and settlement risk.</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Leverage, volatility, expiry, time decay for options and strategy / margin risk.</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Client process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Order must follow the client’s instruction and broker controls.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Suitability, risk limits and margin discipline are particularly important.</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General market concepts; terminal / CTCL descriptions [17,18]. This table is an academic overview, not trading advice.</w:t>
      </w:r>
    </w:p>
    <w:p>
      <w:bookmarkStart w:id="11" w:name="toc_2_4"/>
      <w:pPr>
        <w:pStyle w:val="Heading2"/>
        <w:keepNext/>
        <w:spacing w:before="200" w:after="110" w:line="240" w:lineRule="auto"/>
        <w:jc w:val="left"/>
      </w:pPr>
      <w:r>
        <w:rPr>
          <w:rFonts w:ascii="Times New Roman" w:hAnsi="Times New Roman" w:eastAsia="Times New Roman" w:cs="Times New Roman"/>
          <w:b/>
          <w:i w:val="0"/>
          <w:color w:val="000000"/>
          <w:sz w:val="24"/>
          <w:szCs w:val="24"/>
        </w:rPr>
        <w:t>2.4 DEALING-DESK WORKFLOW</w:t>
      </w:r>
      <w:bookmarkEnd w:id="11"/>
    </w:p>
    <w:p>
      <w:pPr>
        <w:spacing w:after="100" w:line="360" w:lineRule="auto"/>
        <w:jc w:val="both"/>
      </w:pPr>
      <w:r>
        <w:rPr>
          <w:rFonts w:ascii="Times New Roman" w:hAnsi="Times New Roman" w:eastAsia="Times New Roman" w:cs="Times New Roman"/>
          <w:color w:val="000000"/>
          <w:sz w:val="24"/>
          <w:szCs w:val="24"/>
        </w:rPr>
        <w:t>A typical client order followed a controlled sequence. The steps below describe the learning experience at a high level; they do not disclose an internal operating procedure or a client-specific order.</w:t>
      </w:r>
    </w:p>
    <w:p>
      <w:pPr>
        <w:pStyle w:val="ListNumber"/>
        <w:spacing w:after="100" w:line="360" w:lineRule="auto"/>
        <w:jc w:val="both"/>
      </w:pPr>
      <w:r>
        <w:rPr>
          <w:rFonts w:ascii="Times New Roman" w:hAnsi="Times New Roman" w:eastAsia="Times New Roman" w:cs="Times New Roman"/>
          <w:color w:val="000000"/>
          <w:sz w:val="24"/>
          <w:szCs w:val="24"/>
        </w:rPr>
        <w:t>Receive and understand the client’s instruction: security or contract, buy / sell direction, quantity and any limit price.</w:t>
      </w:r>
    </w:p>
    <w:p>
      <w:pPr>
        <w:pStyle w:val="ListNumber"/>
        <w:spacing w:after="100" w:line="360" w:lineRule="auto"/>
        <w:jc w:val="both"/>
      </w:pPr>
      <w:r>
        <w:rPr>
          <w:rFonts w:ascii="Times New Roman" w:hAnsi="Times New Roman" w:eastAsia="Times New Roman" w:cs="Times New Roman"/>
          <w:color w:val="000000"/>
          <w:sz w:val="24"/>
          <w:szCs w:val="24"/>
        </w:rPr>
        <w:t>Confirm the instruction and check the order details, client / segment context and applicable dealing controls.</w:t>
      </w:r>
    </w:p>
    <w:p>
      <w:pPr>
        <w:pStyle w:val="ListNumber"/>
        <w:spacing w:after="100" w:line="360" w:lineRule="auto"/>
        <w:jc w:val="both"/>
      </w:pPr>
      <w:r>
        <w:rPr>
          <w:rFonts w:ascii="Times New Roman" w:hAnsi="Times New Roman" w:eastAsia="Times New Roman" w:cs="Times New Roman"/>
          <w:color w:val="000000"/>
          <w:sz w:val="24"/>
          <w:szCs w:val="24"/>
        </w:rPr>
        <w:t>Enter the order through the approved terminal or front end in the correct market segment.</w:t>
      </w:r>
    </w:p>
    <w:p>
      <w:pPr>
        <w:pStyle w:val="ListNumber"/>
        <w:spacing w:after="100" w:line="360" w:lineRule="auto"/>
        <w:jc w:val="both"/>
      </w:pPr>
      <w:r>
        <w:rPr>
          <w:rFonts w:ascii="Times New Roman" w:hAnsi="Times New Roman" w:eastAsia="Times New Roman" w:cs="Times New Roman"/>
          <w:color w:val="000000"/>
          <w:sz w:val="24"/>
          <w:szCs w:val="24"/>
        </w:rPr>
        <w:t>Monitor whether the order is executed, partly executed, open or rejected; do not assume submission means execution.</w:t>
      </w:r>
    </w:p>
    <w:p>
      <w:pPr>
        <w:pStyle w:val="ListNumber"/>
        <w:spacing w:after="100" w:line="360" w:lineRule="auto"/>
        <w:jc w:val="both"/>
      </w:pPr>
      <w:r>
        <w:rPr>
          <w:rFonts w:ascii="Times New Roman" w:hAnsi="Times New Roman" w:eastAsia="Times New Roman" w:cs="Times New Roman"/>
          <w:color w:val="000000"/>
          <w:sz w:val="24"/>
          <w:szCs w:val="24"/>
        </w:rPr>
        <w:t>Communicate the outcome and execution details to the client through the permitted channel and support post-trade follow-up.</w:t>
      </w:r>
    </w:p>
    <w:p>
      <w:bookmarkStart w:id="12" w:name="toc_2_5"/>
      <w:pPr>
        <w:pStyle w:val="Heading2"/>
        <w:keepNext/>
        <w:spacing w:before="200" w:after="110" w:line="240" w:lineRule="auto"/>
        <w:jc w:val="left"/>
      </w:pPr>
      <w:r>
        <w:rPr>
          <w:rFonts w:ascii="Times New Roman" w:hAnsi="Times New Roman" w:eastAsia="Times New Roman" w:cs="Times New Roman"/>
          <w:b/>
          <w:i w:val="0"/>
          <w:color w:val="000000"/>
          <w:sz w:val="24"/>
          <w:szCs w:val="24"/>
        </w:rPr>
        <w:t>2.5 EIC FRAMEWORK AND ITS APPLICATION</w:t>
      </w:r>
      <w:bookmarkEnd w:id="12"/>
    </w:p>
    <w:p>
      <w:pPr>
        <w:spacing w:after="100" w:line="360" w:lineRule="auto"/>
        <w:jc w:val="both"/>
      </w:pPr>
      <w:r>
        <w:rPr>
          <w:rFonts w:ascii="Times New Roman" w:hAnsi="Times New Roman" w:eastAsia="Times New Roman" w:cs="Times New Roman"/>
          <w:color w:val="000000"/>
          <w:sz w:val="24"/>
          <w:szCs w:val="24"/>
        </w:rPr>
        <w:t>The Economy–Industry–Company (EIC) framework is a top-down approach: first understand broad economic conditions, then the industry structure and competitive forces, and finally the selected company’s business model, financial position and valuation. The analyst experience made the report’s progression from payments-system context to company analysis more practical.</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2.4 | EIC framework mapped to this report</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Level</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What is examined</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Report location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Economy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Policy, digitisation, payment-system development, interest rates and operating environment.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Chapters 3 and 5; external context and market snapshot.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Industry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Payments value chain, economics, regulation, competition and opportunity / headwind.</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Chapter 3; industry map, PESTLE and Five Forces.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Business model, financial statements, KPIs, ratios, risks and valuation.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Chapters 3 and 5; synthesis in Chapter 6.</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Student’s internship learning and report structure.</w:t>
      </w:r>
    </w:p>
    <w:p>
      <w:bookmarkStart w:id="13" w:name="toc_2_6"/>
      <w:pPr>
        <w:pStyle w:val="Heading2"/>
        <w:keepNext/>
        <w:spacing w:before="200" w:after="110" w:line="240" w:lineRule="auto"/>
        <w:jc w:val="left"/>
      </w:pPr>
      <w:r>
        <w:rPr>
          <w:rFonts w:ascii="Times New Roman" w:hAnsi="Times New Roman" w:eastAsia="Times New Roman" w:cs="Times New Roman"/>
          <w:b/>
          <w:i w:val="0"/>
          <w:color w:val="000000"/>
          <w:sz w:val="24"/>
          <w:szCs w:val="24"/>
        </w:rPr>
        <w:t>2.6 LEARNING OUTCOMES AND MODEL COMPARISON</w:t>
      </w:r>
      <w:bookmarkEnd w:id="13"/>
    </w:p>
    <w:p>
      <w:pPr>
        <w:pStyle w:val="Caption"/>
        <w:keepNext/>
        <w:spacing w:before="140" w:after="70" w:line="240" w:lineRule="auto"/>
        <w:jc w:val="center"/>
      </w:pPr>
      <w:r>
        <w:rPr>
          <w:rFonts w:ascii="Times New Roman" w:hAnsi="Times New Roman" w:eastAsia="Times New Roman" w:cs="Times New Roman"/>
          <w:b/>
          <w:color w:val="000000"/>
          <w:sz w:val="22"/>
          <w:szCs w:val="22"/>
        </w:rPr>
        <w:t>Table 2.5 | Skills developed and evidence in the report</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Learning area</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Internship learning</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Application in this project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Trading-terminal operation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Order entry and monitoring on NEAT PLUS / CTCL workflow.</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 snapshot is described carefully; no unsupported technical signal is asserted.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 knowledge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Exposure to cash and F&amp;O activity.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Distinguishes an exchange order from a payment-platform transaction.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Analytical framework</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EIC, company analysis and business analysis.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Used to organize industry, business, financial and valuation chapters.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Communication and discipline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Client instructions, order status and confidentiality.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Client / account information is omitted; facts, calculations and judgements are labelled.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Financial analysis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statements, operating model and industry context.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Applied to Pine Labs’ audited / restated data and defined KPIs.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Internship record and author synthesis.</w:t>
      </w:r>
    </w:p>
    <w:p>
      <w:pPr>
        <w:spacing w:after="100" w:line="360" w:lineRule="auto"/>
        <w:jc w:val="both"/>
      </w:pPr>
      <w:r>
        <w:rPr>
          <w:rFonts w:ascii="Times New Roman" w:hAnsi="Times New Roman" w:eastAsia="Times New Roman" w:cs="Times New Roman"/>
          <w:color w:val="000000"/>
          <w:sz w:val="24"/>
          <w:szCs w:val="24"/>
        </w:rPr>
        <w:t>Pine Labs and a securities broker both depend on trusted digital workflows and regulated counterparties, but their economic activities are different. Pine Labs’ GTV is not equivalent to broker order flow, and neither measure is recognized revenue by itself. The comparison reinforces the need to define the activity measure, revenue basis, customer relationship and risk owner before drawing financial conclusions. [1,3,5,6,16]</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CHAPTER 3</w:t>
      </w:r>
    </w:p>
    <w:p>
      <w:bookmarkStart w:id="14" w:name="toc_ch3"/>
      <w:pPr>
        <w:pStyle w:val="Heading1"/>
        <w:keepNext/>
        <w:spacing w:before="0" w:after="260" w:line="240" w:lineRule="auto"/>
        <w:jc w:val="center"/>
      </w:pPr>
      <w:r>
        <w:rPr>
          <w:rFonts w:ascii="Times New Roman" w:hAnsi="Times New Roman" w:eastAsia="Times New Roman" w:cs="Times New Roman"/>
          <w:b/>
          <w:i w:val="0"/>
          <w:color w:val="000000"/>
          <w:sz w:val="28"/>
          <w:szCs w:val="28"/>
        </w:rPr>
        <w:t>3. THEORETICAL FRAMEWORK AND COMPANY PROFILE</w:t>
      </w:r>
      <w:bookmarkEnd w:id="14"/>
    </w:p>
    <w:p>
      <w:pPr>
        <w:keepNext/>
        <w:spacing w:after="260" w:before="0" w:line="276" w:lineRule="auto"/>
        <w:jc w:val="center"/>
      </w:pPr>
      <w:r>
        <w:rPr>
          <w:rFonts w:ascii="Times New Roman" w:hAnsi="Times New Roman" w:eastAsia="Times New Roman" w:cs="Times New Roman"/>
          <w:i/>
          <w:color w:val="000000"/>
          <w:sz w:val="20"/>
          <w:szCs w:val="20"/>
        </w:rPr>
        <w:t>Indian fintech context, Pine Labs’ platforms and competitive setting</w:t>
      </w:r>
    </w:p>
    <w:p>
      <w:bookmarkStart w:id="15" w:name="toc_3_1"/>
      <w:pPr>
        <w:pStyle w:val="Heading2"/>
        <w:keepNext/>
        <w:spacing w:before="200" w:after="110" w:line="240" w:lineRule="auto"/>
        <w:jc w:val="left"/>
      </w:pPr>
      <w:r>
        <w:rPr>
          <w:rFonts w:ascii="Times New Roman" w:hAnsi="Times New Roman" w:eastAsia="Times New Roman" w:cs="Times New Roman"/>
          <w:b/>
          <w:i w:val="0"/>
          <w:color w:val="000000"/>
          <w:sz w:val="24"/>
          <w:szCs w:val="24"/>
        </w:rPr>
        <w:t>3.1 INDIAN FINTECH AND PAYMENTS VALUE CHAIN</w:t>
      </w:r>
      <w:bookmarkEnd w:id="15"/>
    </w:p>
    <w:p>
      <w:pPr>
        <w:spacing w:after="100" w:line="360" w:lineRule="auto"/>
        <w:jc w:val="both"/>
      </w:pPr>
      <w:r>
        <w:rPr>
          <w:rFonts w:ascii="Times New Roman" w:hAnsi="Times New Roman" w:eastAsia="Times New Roman" w:cs="Times New Roman"/>
          <w:color w:val="000000"/>
          <w:sz w:val="24"/>
          <w:szCs w:val="24"/>
        </w:rPr>
        <w:t>Digital payments are delivered through a chain of institutions and technology providers rather than by a single firm. Public authorities set and supervise rules; payment networks and NPCI systems provide rails; banks and regulated issuers / acquirers hold important customer, settlement and programme responsibilities; technology firms provide gateways, terminals, routing, processing, reconciliation, fraud controls and merchant tools; merchants, brands and end users create the payment activity.</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3.1 | Simplified digital-payments value chain</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Layer</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Typical participants / function</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Pine Labs’ relevance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Rules and rails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RBI, NPCI systems and card networks; standards, settlement and oversight.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Integrates with payment rails and regulated partners; responsibility varies by product / entity.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Issuers and acquirers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Banks / eligible regulated entities; accounts, cards, acquiring and settlement.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Provides technology, processing, acceptance and programme services.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Technology and orchestration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POS / checkout, gateway, routing, reconciliation, APIs, token and fraud tools.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Core merchant / fintech infrastructure layer with multiple fee models.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Clients and users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Retailers, e-commerce firms, brands, employers, institutions and consumers.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Customers, sponsors, acceptance locations and payment users.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Author’s market map based on company disclosures and RBI context [1,9]. Exact legal obligations depend on the product and contracting entity.</w:t>
      </w:r>
    </w:p>
    <w:p>
      <w:bookmarkStart w:id="16" w:name="toc_3_2"/>
      <w:pPr>
        <w:pStyle w:val="Heading2"/>
        <w:keepNext/>
        <w:spacing w:before="200" w:after="110" w:line="240" w:lineRule="auto"/>
        <w:jc w:val="left"/>
      </w:pPr>
      <w:r>
        <w:rPr>
          <w:rFonts w:ascii="Times New Roman" w:hAnsi="Times New Roman" w:eastAsia="Times New Roman" w:cs="Times New Roman"/>
          <w:b/>
          <w:i w:val="0"/>
          <w:color w:val="000000"/>
          <w:sz w:val="24"/>
          <w:szCs w:val="24"/>
        </w:rPr>
        <w:t>3.2 MARKET SCALE AND INDUSTRY ECONOMICS</w:t>
      </w:r>
      <w:bookmarkEnd w:id="16"/>
    </w:p>
    <w:p>
      <w:pPr>
        <w:spacing w:after="100" w:line="360" w:lineRule="auto"/>
        <w:jc w:val="both"/>
      </w:pPr>
      <w:r>
        <w:rPr>
          <w:rFonts w:ascii="Times New Roman" w:hAnsi="Times New Roman" w:eastAsia="Times New Roman" w:cs="Times New Roman"/>
          <w:color w:val="000000"/>
          <w:sz w:val="24"/>
          <w:szCs w:val="24"/>
        </w:rPr>
        <w:t>The Reserve Bank of India’s Payment Systems Report for December 2025 described rapid growth in digital-payment volume and value over 2016–2025. For H2 2025, it recorded approximately 14,242 crore transactions and ₹1,608 lakh crore in value across digital-payment systems. NPCI’s August 2026 UPI statistics reported 24,508.96 million transactions and ₹29,82,355.95 crore in transaction value. These series have different periods and scopes; neither is a compatible market-share denominator for Pine Labs. [9,10]</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3.2 | Industry indicators and scope caveats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Indicator / period</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Published value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Interpretation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RBI digital payments, H2 2025</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14,242 crore transactions; ₹1,608 lakh crore value.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System-wide measure across digital-payment categories; not directly comparable with Pine Labs’ annual GTV.</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NPCI UPI, August 2026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24,508.96 million transactions; ₹29,82,355.95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Monthly UPI series; network scale, not a fee pool or Pine Labs revenue.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Pine Labs platform, FY26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₹17.15 lakh crore GTV; 740.37 crore transactions.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Issuer-defined platform activity, not a market-share calculation.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Pine Labs, Q1 FY27</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₹4.22 lakh crore GTV; 201 crore transactions.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Quarterly company metric; do not compare with annual system totals without aligning period / scope.</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Sources: RBI, NPCI and Pine Labs disclosures [3,5,6,9,10]. Figures are deliberately not converted into a market-share estimate.</w:t>
      </w:r>
    </w:p>
    <w:p>
      <w:pPr>
        <w:spacing w:after="100" w:line="360" w:lineRule="auto"/>
        <w:jc w:val="both"/>
      </w:pPr>
      <w:r>
        <w:rPr>
          <w:rFonts w:ascii="Times New Roman" w:hAnsi="Times New Roman" w:eastAsia="Times New Roman" w:cs="Times New Roman"/>
          <w:color w:val="000000"/>
          <w:sz w:val="24"/>
          <w:szCs w:val="24"/>
        </w:rPr>
        <w:t>Industry scale does not guarantee high economics for each participant. A routed ₹1,000 payment is not ₹1,000 of platform revenue. The provider recognizes contractual subscription, processing, distribution or other service income. Fee yield, product mix, customer contracts, direct costs, incentives, settlement exposure, device support and customer acquisition determine the economics.</w:t>
      </w:r>
    </w:p>
    <w:p>
      <w:pPr>
        <w:pStyle w:val="ListBullet"/>
        <w:spacing w:after="100" w:line="360" w:lineRule="auto"/>
        <w:jc w:val="both"/>
      </w:pPr>
      <w:r>
        <w:rPr>
          <w:rFonts w:ascii="Times New Roman" w:hAnsi="Times New Roman" w:eastAsia="Times New Roman" w:cs="Times New Roman"/>
          <w:color w:val="000000"/>
          <w:sz w:val="24"/>
          <w:szCs w:val="24"/>
        </w:rPr>
        <w:t>Mix matters: card, UPI, affordability, online and in-store transactions can have different fee pools, direct costs and settlement profiles.</w:t>
      </w:r>
    </w:p>
    <w:p>
      <w:pPr>
        <w:pStyle w:val="ListBullet"/>
        <w:spacing w:after="100" w:line="360" w:lineRule="auto"/>
        <w:jc w:val="both"/>
      </w:pPr>
      <w:r>
        <w:rPr>
          <w:rFonts w:ascii="Times New Roman" w:hAnsi="Times New Roman" w:eastAsia="Times New Roman" w:cs="Times New Roman"/>
          <w:color w:val="000000"/>
          <w:sz w:val="24"/>
          <w:szCs w:val="24"/>
        </w:rPr>
        <w:t>Value-added services can deepen relationships—reconciliation, loyalty, marketing, tokenization, risk tools, billing, data and checkout—but adoption and retention must be evidenced.</w:t>
      </w:r>
    </w:p>
    <w:p>
      <w:pPr>
        <w:pStyle w:val="ListBullet"/>
        <w:spacing w:after="100" w:line="360" w:lineRule="auto"/>
        <w:jc w:val="both"/>
      </w:pPr>
      <w:r>
        <w:rPr>
          <w:rFonts w:ascii="Times New Roman" w:hAnsi="Times New Roman" w:eastAsia="Times New Roman" w:cs="Times New Roman"/>
          <w:color w:val="000000"/>
          <w:sz w:val="24"/>
          <w:szCs w:val="24"/>
        </w:rPr>
        <w:t>Scale has cost: devices, field service, software, connectivity, security, compliance, sales and payment operations require ongoing investment.</w:t>
      </w:r>
    </w:p>
    <w:p>
      <w:pPr>
        <w:pStyle w:val="ListBullet"/>
        <w:spacing w:after="100" w:line="360" w:lineRule="auto"/>
        <w:jc w:val="both"/>
      </w:pPr>
      <w:r>
        <w:rPr>
          <w:rFonts w:ascii="Times New Roman" w:hAnsi="Times New Roman" w:eastAsia="Times New Roman" w:cs="Times New Roman"/>
          <w:color w:val="000000"/>
          <w:sz w:val="24"/>
          <w:szCs w:val="24"/>
        </w:rPr>
        <w:t>Trust and regulation are foundational: outages, fraud, data incidents, settlement delays or unclear customer-fund responsibilities can damage both economics and reputation.</w:t>
      </w:r>
    </w:p>
    <w:p>
      <w:bookmarkStart w:id="17" w:name="toc_3_3"/>
      <w:pPr>
        <w:pStyle w:val="Heading2"/>
        <w:keepNext/>
        <w:spacing w:before="200" w:after="110" w:line="240" w:lineRule="auto"/>
        <w:jc w:val="left"/>
      </w:pPr>
      <w:r>
        <w:rPr>
          <w:rFonts w:ascii="Times New Roman" w:hAnsi="Times New Roman" w:eastAsia="Times New Roman" w:cs="Times New Roman"/>
          <w:b/>
          <w:i w:val="0"/>
          <w:color w:val="000000"/>
          <w:sz w:val="24"/>
          <w:szCs w:val="24"/>
        </w:rPr>
        <w:t>3.3 COMPANY IDENTIFICATION AND EVOLUTION</w:t>
      </w:r>
      <w:bookmarkEnd w:id="17"/>
    </w:p>
    <w:p>
      <w:pPr>
        <w:pStyle w:val="Caption"/>
        <w:keepNext/>
        <w:spacing w:before="140" w:after="70" w:line="240" w:lineRule="auto"/>
        <w:jc w:val="center"/>
      </w:pPr>
      <w:r>
        <w:rPr>
          <w:rFonts w:ascii="Times New Roman" w:hAnsi="Times New Roman" w:eastAsia="Times New Roman" w:cs="Times New Roman"/>
          <w:b/>
          <w:color w:val="000000"/>
          <w:sz w:val="22"/>
          <w:szCs w:val="22"/>
        </w:rPr>
        <w:t>Table 3.3 | Pine Labs company identification</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Particular</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Profile</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Legal name</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Pine Labs Limited (formerly Pine Labs Private Limited). [1,2]</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Incorporated</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18 May 1998, in New Delhi under the Companies Act, 1956.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Registered office</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Unit No. 408, 4th Floor, Time Tower, MG Road, Gurugram, Haryana 122002. [2]</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Business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Technology infrastructure for digital payments, merchant commerce, affordability, prepaid and issuing / acquiring services. [1,5]</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Operating platforms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Infrastructure and Transaction Platform (DITP); Issuing and Acquiring Platform (IAP). [1,5]</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Listing identifiers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NSE: PINELABS; BSE: 544606. [1,11]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Financial year</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 April to 31 March; report currency is Indian rupees. [2]</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IPO</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Issue price ₹221 per share; fresh issue ₹2,080 crore and offer for sale approximately ₹1,819.9 crore. [1,2]</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Management references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Amrish Rau, Managing Director and CEO; Sameer Kamath, CFO as identified in reviewed company disclosures. [2,5]</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Research cut-off</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3 October 2026; latest financial period Q1 FY27 ended 30 June 2026; market snapshot 1 October 2026.</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Compiled from the prospectus and company filings. Administrative details should be checked against the latest filing before final submission. [1,2,5,11]</w:t>
      </w:r>
    </w:p>
    <w:p>
      <w:pPr>
        <w:spacing w:after="100" w:line="360" w:lineRule="auto"/>
        <w:jc w:val="both"/>
      </w:pPr>
      <w:r>
        <w:rPr>
          <w:rFonts w:ascii="Times New Roman" w:hAnsi="Times New Roman" w:eastAsia="Times New Roman" w:cs="Times New Roman"/>
          <w:color w:val="000000"/>
          <w:sz w:val="24"/>
          <w:szCs w:val="24"/>
        </w:rPr>
        <w:t>The prospectus describes Pine Labs as a merchant- and institution-facing technology platform rather than a lender or bank. The structure brings together acceptance, payment processing, prepaid / issuing capabilities and adjacent commerce services. The business has expanded organically and through acquisitions, which creates opportunity as well as product integration, goodwill and execution questions.</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3.4 | Selected corporate milestones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Period</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Milestone / strategic relevance</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1998</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Pine Labs incorporated in India.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2005</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Plutus merchant-payment platform introduced, according to company history.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2017</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Expansion into Malaysia; regional growth beyond India.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2019</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Qwikcilver acquisition expanded gift-card and prepaid programme capabilities.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2021</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Plural online payment-gateway brand introduced.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2022–2023</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QFix, Mosambee and Setu acquisitions / launches broadened adjacent merchant and fintech infrastructure capabilities; Credit+ proposition added.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6 June 2025</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Singapore merger became effective; relevant prospectus comparatives are retrospectively presented from 1 April 2022. [1]</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November 2025</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IPO and listing as Pine Labs Limited at an issue price of ₹221 per share. [1,2]</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 Q1 FY27</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Agya became wholly owned in February 2026; a Shopflo agreement followed FY26 year-end and Q1 FY27 materials reported acquisition for ₹88 crore. [2,5]</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Company prospectus, FY26 statements and Q1 FY27 disclosures. An acquisition or product launch is not proof of realized synergy. [1,2,5]</w:t>
      </w:r>
    </w:p>
    <w:p>
      <w:bookmarkStart w:id="18" w:name="toc_3_4"/>
      <w:pPr>
        <w:pStyle w:val="Heading2"/>
        <w:keepNext/>
        <w:spacing w:before="200" w:after="110" w:line="240" w:lineRule="auto"/>
        <w:jc w:val="left"/>
      </w:pPr>
      <w:r>
        <w:rPr>
          <w:rFonts w:ascii="Times New Roman" w:hAnsi="Times New Roman" w:eastAsia="Times New Roman" w:cs="Times New Roman"/>
          <w:b/>
          <w:i w:val="0"/>
          <w:color w:val="000000"/>
          <w:sz w:val="24"/>
          <w:szCs w:val="24"/>
        </w:rPr>
        <w:t>3.4 TWO-PLATFORM ARCHITECTURE</w:t>
      </w:r>
      <w:bookmarkEnd w:id="18"/>
    </w:p>
    <w:p>
      <w:pPr>
        <w:spacing w:after="100" w:line="360" w:lineRule="auto"/>
        <w:jc w:val="both"/>
      </w:pPr>
      <w:r>
        <w:rPr>
          <w:rFonts w:ascii="Times New Roman" w:hAnsi="Times New Roman" w:eastAsia="Times New Roman" w:cs="Times New Roman"/>
          <w:color w:val="000000"/>
          <w:sz w:val="24"/>
          <w:szCs w:val="24"/>
        </w:rPr>
        <w:t>The prospectus groups operations into DITP and IAP. DITP supports merchant acceptance and related transactions across in-store and online environments, affordability / value-added services and fintech infrastructure. IAP offers prepaid, issuer / acquirer and processing capabilities for brands, banks, fintechs and enterprises. The platform framework helps explain reported revenue, but individual customer, product and payment-flow categories may overlap. [1,5]</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3.1 | Conceptual two-platform commerce-technology model</w:t>
      </w:r>
    </w:p>
    <w:p>
      <w:pPr>
        <w:keepLines/>
        <w:spacing w:after="40" w:line="240" w:lineRule="auto"/>
        <w:jc w:val="center"/>
      </w:pPr>
      <w:r>
        <w:drawing>
          <wp:inline xmlns:a="http://schemas.openxmlformats.org/drawingml/2006/main" xmlns:pic="http://schemas.openxmlformats.org/drawingml/2006/picture">
            <wp:extent cx="5120640" cy="1905938"/>
            <wp:docPr id="2" name="Picture 2" descr="Banks and rails connect to Pine Labs DITP and IAP platforms, business clients and end users; note that GTV is not revenue." title="Figure 3.1 | Conceptual two-platform commerce-technology model"/>
            <wp:cNvGraphicFramePr>
              <a:graphicFrameLocks noChangeAspect="1"/>
            </wp:cNvGraphicFramePr>
            <a:graphic>
              <a:graphicData uri="http://schemas.openxmlformats.org/drawingml/2006/picture">
                <pic:pic>
                  <pic:nvPicPr>
                    <pic:cNvPr id="0" name="fig_model.png"/>
                    <pic:cNvPicPr/>
                  </pic:nvPicPr>
                  <pic:blipFill>
                    <a:blip r:embed="rId16"/>
                    <a:stretch>
                      <a:fillRect/>
                    </a:stretch>
                  </pic:blipFill>
                  <pic:spPr>
                    <a:xfrm>
                      <a:off x="0" y="0"/>
                      <a:ext cx="5120640" cy="1905938"/>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Author illustration from Pine Labs’ platform and monetization descriptions [1,5]. Not a legal-entity map or funds-flow diagram.</w:t>
      </w:r>
    </w:p>
    <w:p>
      <w:bookmarkStart w:id="19" w:name="toc_3_5"/>
      <w:pPr>
        <w:pStyle w:val="Heading2"/>
        <w:keepNext/>
        <w:spacing w:before="200" w:after="110" w:line="240" w:lineRule="auto"/>
        <w:jc w:val="left"/>
      </w:pPr>
      <w:r>
        <w:rPr>
          <w:rFonts w:ascii="Times New Roman" w:hAnsi="Times New Roman" w:eastAsia="Times New Roman" w:cs="Times New Roman"/>
          <w:b/>
          <w:i w:val="0"/>
          <w:color w:val="000000"/>
          <w:sz w:val="24"/>
          <w:szCs w:val="24"/>
        </w:rPr>
        <w:t>3.5 PRODUCTS, SERVICES AND CUSTOMER JOURNEYS</w:t>
      </w:r>
      <w:bookmarkEnd w:id="19"/>
    </w:p>
    <w:p>
      <w:pPr>
        <w:pStyle w:val="Caption"/>
        <w:keepNext/>
        <w:spacing w:before="140" w:after="70" w:line="240" w:lineRule="auto"/>
        <w:jc w:val="center"/>
      </w:pPr>
      <w:r>
        <w:rPr>
          <w:rFonts w:ascii="Times New Roman" w:hAnsi="Times New Roman" w:eastAsia="Times New Roman" w:cs="Times New Roman"/>
          <w:b/>
          <w:color w:val="000000"/>
          <w:sz w:val="22"/>
          <w:szCs w:val="22"/>
        </w:rPr>
        <w:t>Table 3.5 | Product groups and economic questions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rPr>
          <w:tblHeader w:val="true"/>
          <w:cantSplit/>
        </w:trPr>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Product group</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Primary customer</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Illustrative service</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Revenue / risk note</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Smart POS / in-store acceptance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Retailers, hospitality, fuel and other merchants.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Terminal, acceptance software, reconciliation and support.</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Subscription, transaction or service fee varies by contract.</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Online payments / checkout</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E-commerce and direct-to-consumer merchants.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Gateway, payment links, orchestration, checkout and token-related tools.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Value-linked processing and related technology fees.</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Affordability / flow</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Merchants, lenders and consumers.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EMI / offer and bank or lender integration.</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Service / processing fee; lender generally makes credit decision and bears credit risk in the described model.</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Fintech infrastructure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Banks, fintechs and platforms.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APIs, issuer / acquirer processing and financial-institution technology.</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Potentially scalable; depends on integration, reliability and partner adoption.</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Prepaid / gifting / benefits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Brands, employers, programmes and users.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Card / stored-value issuance, processing, fulfilment and programme management.</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Processing / distribution fees; disclosed interest and breakage require careful interpretation.</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Merchant commerce services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SMBs, enterprise and D2C firms.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Marketing, loyalty, campaigns, billing, analytics and commerce tools.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Adoption, retention and net revenue per relationship are the monetization test.</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New payment interfaces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Banks, merchants and consumers.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Credit Line on UPI, agentic protocol and emerging payment experiences.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Early-stage opportunity; adoption, controls, liability and unit economics are not yet established.</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Company product descriptions; exact commercial terms are contract-specific and not a public tariff. [1,5,8]</w:t>
      </w:r>
    </w:p>
    <w:p>
      <w:pPr>
        <w:spacing w:after="100" w:line="360" w:lineRule="auto"/>
        <w:jc w:val="both"/>
      </w:pPr>
      <w:r>
        <w:rPr>
          <w:rFonts w:ascii="Times New Roman" w:hAnsi="Times New Roman" w:eastAsia="Times New Roman" w:cs="Times New Roman"/>
          <w:color w:val="000000"/>
          <w:sz w:val="24"/>
          <w:szCs w:val="24"/>
        </w:rPr>
        <w:t>Illustrative merchant journey: a consumer buys a ₹50,000 appliance at a physical store. The merchant’s device or software accepts an eligible payment instrument; the transaction is routed through the relevant bank, issuer and network; settlement follows the applicable arrangement; and Pine Labs may provide the terminal, software, processing, affordability integration or support. If an instalment offer is used, the lender / issuer makes the credit decision in the described partner model. Pine Labs’ recognized revenue is its contracted technology and service fee—not the ₹50,000 transaction value. The example describes the process, not a Pine Labs tariff or a specific contract. [1]</w:t>
      </w:r>
    </w:p>
    <w:p>
      <w:pPr>
        <w:spacing w:after="100" w:line="360" w:lineRule="auto"/>
        <w:jc w:val="both"/>
      </w:pPr>
      <w:r>
        <w:rPr>
          <w:rFonts w:ascii="Times New Roman" w:hAnsi="Times New Roman" w:eastAsia="Times New Roman" w:cs="Times New Roman"/>
          <w:color w:val="000000"/>
          <w:sz w:val="24"/>
          <w:szCs w:val="24"/>
        </w:rPr>
        <w:t>Illustrative prepaid journey: a brand may sponsor a programme while Pine Labs supplies programme setup, issuance interfaces, processing or distribution. A bank or programme sponsor may hold regulated responsibilities and customer funds. The company’s disclosures identify processing / distribution fees and, for certain customer-fund balances, interest and breakage income. Stored-value backing remains subject to the relevant contracts and regulatory framework; it should not be treated as unrestricted corporate cash. [1,2]</w:t>
      </w:r>
    </w:p>
    <w:p>
      <w:bookmarkStart w:id="20" w:name="toc_3_6"/>
      <w:pPr>
        <w:pStyle w:val="Heading2"/>
        <w:keepNext/>
        <w:spacing w:before="200" w:after="110" w:line="240" w:lineRule="auto"/>
        <w:jc w:val="left"/>
      </w:pPr>
      <w:r>
        <w:rPr>
          <w:rFonts w:ascii="Times New Roman" w:hAnsi="Times New Roman" w:eastAsia="Times New Roman" w:cs="Times New Roman"/>
          <w:b/>
          <w:i w:val="0"/>
          <w:color w:val="000000"/>
          <w:sz w:val="24"/>
          <w:szCs w:val="24"/>
        </w:rPr>
        <w:t>3.6 MONETIZATION AND SEGMENT MODEL</w:t>
      </w:r>
      <w:bookmarkEnd w:id="20"/>
    </w:p>
    <w:p>
      <w:pPr>
        <w:pStyle w:val="Caption"/>
        <w:keepNext/>
        <w:spacing w:before="140" w:after="70" w:line="240" w:lineRule="auto"/>
        <w:jc w:val="center"/>
      </w:pPr>
      <w:r>
        <w:rPr>
          <w:rFonts w:ascii="Times New Roman" w:hAnsi="Times New Roman" w:eastAsia="Times New Roman" w:cs="Times New Roman"/>
          <w:b/>
          <w:color w:val="000000"/>
          <w:sz w:val="22"/>
          <w:szCs w:val="22"/>
        </w:rPr>
        <w:t>Table 3.6 | Disclosed monetization map</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Activity</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Disclosed / typical monetization</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What the analyst should test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In-store DITP</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DCP / platform subscriptions and related service fees.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 per active point, plan mix, usage, renewal and service cost.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Online acceptance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Value-linked transaction / processing fees and related services.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Payment-method mix, pricing competition, refunds and net contribution.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Affordability and value-added services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Processing / service income and GTV-linked fees for eligible flows.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Partner economics, repeat activity, cost to serve and clear credit-risk allocation.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Fintech infrastructure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Transaction-based technology and processing fees for APIs / integrations.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Adoption, recurring contracts, reliability and integration economics.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IAP prepaid / issuing</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Processing and distribution fees; disclosed interest on certain funds and breakage income.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Programme obligations, float treatment, activity and customer-fund restrictions.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Company prospectus and investor materials; paraphrased and not a complete fee schedule. [1,5]</w:t>
      </w:r>
    </w:p>
    <w:p>
      <w:bookmarkStart w:id="21" w:name="toc_3_7"/>
      <w:pPr>
        <w:pStyle w:val="Heading2"/>
        <w:keepNext/>
        <w:spacing w:before="200" w:after="110" w:line="240" w:lineRule="auto"/>
        <w:jc w:val="left"/>
      </w:pPr>
      <w:r>
        <w:rPr>
          <w:rFonts w:ascii="Times New Roman" w:hAnsi="Times New Roman" w:eastAsia="Times New Roman" w:cs="Times New Roman"/>
          <w:b/>
          <w:i w:val="0"/>
          <w:color w:val="000000"/>
          <w:sz w:val="24"/>
          <w:szCs w:val="24"/>
        </w:rPr>
        <w:t>3.7 COMPETITIVE LANDSCAPE</w:t>
      </w:r>
      <w:bookmarkEnd w:id="21"/>
    </w:p>
    <w:p>
      <w:pPr>
        <w:spacing w:after="100" w:line="360" w:lineRule="auto"/>
        <w:jc w:val="both"/>
      </w:pPr>
      <w:r>
        <w:rPr>
          <w:rFonts w:ascii="Times New Roman" w:hAnsi="Times New Roman" w:eastAsia="Times New Roman" w:cs="Times New Roman"/>
          <w:color w:val="000000"/>
          <w:sz w:val="24"/>
          <w:szCs w:val="24"/>
        </w:rPr>
        <w:t>Competition includes banks and acquirers, payment aggregators, terminal providers, merchant software platforms, issuer processors, prepaid / gifting providers, wallets and global infrastructure firms. The companies below are qualitative reference points only. They differ in geography, licensing, product mix, scale, accounting and disclosure, so their reported revenue or margin is not an apples-to-apples comparison. [1,5]</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3.7 | Selected peers and adjacent companies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Company / group</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Primary overlap</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Comparability caution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One 97 Communications (Paytm)</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Merchant payments, QR / devices, consumer application and financial-services distribution.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Consumer-facing app / wallet ecosystem and distinct product / regulatory mix.</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Razorpay (private)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Online acceptance, merchant software and business tools.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Private disclosures are limited; online emphasis differs.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Zaggle Prepaid Ocean Services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Corporate expense, employee benefits, prepaid and spend-management programmes.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Listed, but narrower focus than broad acquiring / checkout.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PhonePe (private)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UPI consumer and merchant acceptance, finance and commerce services.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Large private consumer platform; broader ecosystem and different disclosure.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Adyen / Worldline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Global acquiring, processing and cross-border acceptance.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Different geographies, regulation, scale, accounting and maturity.</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Public company descriptions and author’s qualitative positioning; no peer multiples are asserted.</w:t>
      </w:r>
    </w:p>
    <w:p>
      <w:bookmarkStart w:id="22" w:name="toc_3_8"/>
      <w:pPr>
        <w:pStyle w:val="Heading2"/>
        <w:keepNext/>
        <w:spacing w:before="200" w:after="110" w:line="240" w:lineRule="auto"/>
        <w:jc w:val="left"/>
      </w:pPr>
      <w:r>
        <w:rPr>
          <w:rFonts w:ascii="Times New Roman" w:hAnsi="Times New Roman" w:eastAsia="Times New Roman" w:cs="Times New Roman"/>
          <w:b/>
          <w:i w:val="0"/>
          <w:color w:val="000000"/>
          <w:sz w:val="24"/>
          <w:szCs w:val="24"/>
        </w:rPr>
        <w:t>3.8 PESTLE AND PORTER’S FIVE FORCES</w:t>
      </w:r>
      <w:bookmarkEnd w:id="22"/>
    </w:p>
    <w:p>
      <w:pPr>
        <w:pStyle w:val="Caption"/>
        <w:keepNext/>
        <w:spacing w:before="140" w:after="70" w:line="240" w:lineRule="auto"/>
        <w:jc w:val="center"/>
      </w:pPr>
      <w:r>
        <w:rPr>
          <w:rFonts w:ascii="Times New Roman" w:hAnsi="Times New Roman" w:eastAsia="Times New Roman" w:cs="Times New Roman"/>
          <w:b/>
          <w:color w:val="000000"/>
          <w:sz w:val="22"/>
          <w:szCs w:val="22"/>
        </w:rPr>
        <w:t>Table 3.8 | PESTLE assessment</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Factor</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Industry context</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Pine Labs implication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Political / policy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Digital-payment infrastructure and financial inclusion support adoption; policy can change fees or permitted roles.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Track RBI / government circulars, licence boundaries and scheme changes.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Economic</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Consumption, merchant sales, interest rates, FX and e-commerce influence transaction activity and affordability.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Diversify sectors / geographies; stress-test merchant and partner concentration.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Social</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Convenience and digital inclusion matter, while trust, financial literacy and dispute resolution shape use.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Design for consent, accessibility, fraud prevention and grievance handling.</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Technological</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Cloud, APIs, tokenization, AI and new interfaces create opportunities; outages or cyber incidents can impair trust.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Invest in resilience, secure development, monitoring and tested recovery.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Legal / regulatory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Payments, stored value, data, cross-border flows, consumer protection and outsourcing have detailed rules.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Maintain entity-by-entity compliance and partner-accountability maps.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Environmental</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Terminal fleets, logistics, data workloads and offices create energy and e-waste impacts.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Report repair, refurbishment, recycling, energy and supplier practices.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Author’s qualitative assessment informed by RBI and Pine Labs disclosures [1,9]. Not a legal opinion.</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3.9 | Porter’s Five Forces (qualitative ratings)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Force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Assessment</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Reasoning</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Rivalry among incumbents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High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Banks, aggregators, terminal networks, SaaS and processors compete on price, reliability, service and coverage.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Threat of new entrants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Moderate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Software entry is feasible; scale, integrations, certification, security and field service raise barriers.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Buyer bargaining power</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High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Large retailers, banks and brands can negotiate or multi-source; smaller merchants are fragmented but price-sensitive.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Supplier / partner power</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Moderate to high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Banks, networks, rails, device vendors and cloud providers are material dependencies.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Threat of substitutes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High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Bank apps, UPI QR, direct bank acquiring, in-house gateways, cash and competing devices replace parts of the stack.</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Author ratings using Porter’s framework [14]; not a market-share measure.</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50" w:type="dxa"/>
              <w:bottom w:w="80" w:type="dxa"/>
              <w:end w:w="150" w:type="dxa"/>
              <w:left w:w="100" w:type="dxa"/>
              <w:right w:w="100" w:type="dxa"/>
            </w:tcMar>
            <w:vAlign w:val="center"/>
          </w:tcPr>
          <w:p>
            <w:pPr>
              <w:spacing w:after="0" w:line="276" w:lineRule="auto" w:before="0"/>
              <w:jc w:val="left"/>
            </w:pPr>
            <w:r>
              <w:rPr>
                <w:rFonts w:ascii="Times New Roman" w:hAnsi="Times New Roman" w:eastAsia="Times New Roman" w:cs="Times New Roman"/>
                <w:b/>
                <w:color w:val="000000"/>
                <w:sz w:val="21"/>
                <w:szCs w:val="21"/>
              </w:rPr>
              <w:t xml:space="preserve">Strategic implication  </w:t>
            </w:r>
            <w:r>
              <w:rPr>
                <w:rFonts w:ascii="Times New Roman" w:hAnsi="Times New Roman" w:eastAsia="Times New Roman" w:cs="Times New Roman"/>
                <w:color w:val="000000"/>
                <w:sz w:val="21"/>
                <w:szCs w:val="21"/>
              </w:rPr>
              <w:t>The sector can grow rapidly while per-transaction economics remain contested. Pine Labs’ durable advantage depends on reliability, retention, differentiated software, cross-sell, disciplined cost to serve and demonstrated recurring contribution—not device count or GTV alone.</w:t>
            </w:r>
          </w:p>
        </w:tc>
      </w:tr>
    </w:tbl>
    <w:p>
      <w:pPr>
        <w:spacing w:after="40" w:before="0"/>
      </w:pPr>
    </w:p>
    <w:p>
      <w:bookmarkStart w:id="23" w:name="toc_3_9"/>
      <w:pPr>
        <w:pStyle w:val="Heading2"/>
        <w:keepNext/>
        <w:spacing w:before="200" w:after="110" w:line="240" w:lineRule="auto"/>
        <w:jc w:val="left"/>
      </w:pPr>
      <w:r>
        <w:rPr>
          <w:rFonts w:ascii="Times New Roman" w:hAnsi="Times New Roman" w:eastAsia="Times New Roman" w:cs="Times New Roman"/>
          <w:b/>
          <w:i w:val="0"/>
          <w:color w:val="000000"/>
          <w:sz w:val="24"/>
          <w:szCs w:val="24"/>
        </w:rPr>
        <w:t>3.9 SWOT, GOVERNANCE AND OWNERSHIP</w:t>
      </w:r>
      <w:bookmarkEnd w:id="23"/>
    </w:p>
    <w:p>
      <w:pPr>
        <w:pStyle w:val="Caption"/>
        <w:keepNext/>
        <w:spacing w:before="140" w:after="70" w:line="240" w:lineRule="auto"/>
        <w:jc w:val="center"/>
      </w:pPr>
      <w:r>
        <w:rPr>
          <w:rFonts w:ascii="Times New Roman" w:hAnsi="Times New Roman" w:eastAsia="Times New Roman" w:cs="Times New Roman"/>
          <w:b/>
          <w:color w:val="000000"/>
          <w:sz w:val="22"/>
          <w:szCs w:val="22"/>
        </w:rPr>
        <w:t>Table 3.10 | SWOT synthesis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Quadrant</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Assessment</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Evidence / caution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Strengths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Large merchant and issuer footprint; two-platform model; broad product range; FY26 profitability; international reach.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operating KPIs and financial disclosures [1–6].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Weaknesses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Short listed record; losses through FY25; low current reported ROE; limited public unit economics; settlement-sensitive cash flow.</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Restated and audited statements; interim disclosures [1,2,5].</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Opportunities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SMB / mid-market penetration, omnichannel checkout, value-added services, issuer processing, prepaid, cross-border and responsible automation.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Opportunity depends on adoption, recurring revenue and return on capital.</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Threats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Fee compression, cyber / regulatory events, partner dependence, concentration, integration risk and high valuation expectations.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Prospectus risk factors and dated market snapshot [1,11].</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Analyst synthesis; strengths and opportunities are not a forecast.</w:t>
      </w:r>
    </w:p>
    <w:p>
      <w:pPr>
        <w:spacing w:after="100" w:line="360" w:lineRule="auto"/>
        <w:jc w:val="both"/>
      </w:pPr>
      <w:r>
        <w:rPr>
          <w:rFonts w:ascii="Times New Roman" w:hAnsi="Times New Roman" w:eastAsia="Times New Roman" w:cs="Times New Roman"/>
          <w:color w:val="000000"/>
          <w:sz w:val="24"/>
          <w:szCs w:val="24"/>
        </w:rPr>
        <w:t>The prospectus stated that Pine Labs had no identifiable promoter under the relevant IPO definition. This makes board independence, transparency, succession, related-party oversight and accountability important research questions. The IPO included a fresh issue and an offer for sale, while the company also reports ESOP programmes and share-conversion activity. Per-share analysis should therefore use period-specific and, where appropriate, fully diluted share counts. [1,2]</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3.11 | Governance and ownership review points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Topic</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Evidence in reviewed material</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Analytical note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Promoter status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No identifiable promoter stated at IPO. [1]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Check latest post-listing ownership and exchange filings; do not infer current ownership from IPO documents.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Audit and reporting</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consolidated statements are audited; Q1 FY27 is interim. [2,5]</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Read auditor reports, notes, subsidiary scope and subsequent events.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Equity incentives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ESOP programmes and equity conversion are disclosed. [2]</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Monitor dilution, share-based payment expense and fully diluted share count.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M&amp;A / capital allocation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Agya became wholly owned; Shopflo acquisition reported around Q1 FY27. [2,5]</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Track integration costs, retention, cross-sell, goodwill and cash returns.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Customer concentration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Top ten customers were 30.95% of FY25 revenue; top one 10.62%; top five 22.30%. [1]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This is a prospectus-dated disclosure, not the current concentration.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Risk oversight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Products span multiple entities, partners and payment roles. [1,9]</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Map licences, settlement, data and complaints by activity.</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Prospectus, audited results and interim disclosures; report is not legal due diligence. [1,2,5,9]</w:t>
      </w:r>
    </w:p>
    <w:p>
      <w:pPr>
        <w:spacing w:after="100" w:line="360" w:lineRule="auto"/>
        <w:jc w:val="both"/>
      </w:pPr>
      <w:r>
        <w:rPr>
          <w:rFonts w:ascii="Times New Roman" w:hAnsi="Times New Roman" w:eastAsia="Times New Roman" w:cs="Times New Roman"/>
          <w:color w:val="000000"/>
          <w:sz w:val="24"/>
          <w:szCs w:val="24"/>
        </w:rPr>
        <w:t>Questions for continuing governance review include whether adjusted measures reconcile consistently to audited results, whether the board receives resilience / cyber / fraud / settlement reporting, whether acquisitions have measurable return targets, whether top-customer concentration has changed, and whether customer complaints and payment-fund accountability are clearly disclosed.</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CHAPTER 4</w:t>
      </w:r>
    </w:p>
    <w:p>
      <w:bookmarkStart w:id="24" w:name="toc_ch4"/>
      <w:pPr>
        <w:pStyle w:val="Heading1"/>
        <w:keepNext/>
        <w:spacing w:before="0" w:after="260" w:line="240" w:lineRule="auto"/>
        <w:jc w:val="center"/>
      </w:pPr>
      <w:r>
        <w:rPr>
          <w:rFonts w:ascii="Times New Roman" w:hAnsi="Times New Roman" w:eastAsia="Times New Roman" w:cs="Times New Roman"/>
          <w:b/>
          <w:i w:val="0"/>
          <w:color w:val="000000"/>
          <w:sz w:val="28"/>
          <w:szCs w:val="28"/>
        </w:rPr>
        <w:t>4. RESEARCH METHODOLOGY</w:t>
      </w:r>
      <w:bookmarkEnd w:id="24"/>
    </w:p>
    <w:p>
      <w:pPr>
        <w:keepNext/>
        <w:spacing w:after="260" w:before="0" w:line="276" w:lineRule="auto"/>
        <w:jc w:val="center"/>
      </w:pPr>
      <w:r>
        <w:rPr>
          <w:rFonts w:ascii="Times New Roman" w:hAnsi="Times New Roman" w:eastAsia="Times New Roman" w:cs="Times New Roman"/>
          <w:i/>
          <w:color w:val="000000"/>
          <w:sz w:val="20"/>
          <w:szCs w:val="20"/>
        </w:rPr>
        <w:t>Descriptive and analytical case study using secondary company and official industry data</w:t>
      </w:r>
    </w:p>
    <w:p>
      <w:bookmarkStart w:id="25" w:name="toc_4_1"/>
      <w:pPr>
        <w:pStyle w:val="Heading2"/>
        <w:keepNext/>
        <w:spacing w:before="200" w:after="110" w:line="240" w:lineRule="auto"/>
        <w:jc w:val="left"/>
      </w:pPr>
      <w:r>
        <w:rPr>
          <w:rFonts w:ascii="Times New Roman" w:hAnsi="Times New Roman" w:eastAsia="Times New Roman" w:cs="Times New Roman"/>
          <w:b/>
          <w:i w:val="0"/>
          <w:color w:val="000000"/>
          <w:sz w:val="24"/>
          <w:szCs w:val="24"/>
        </w:rPr>
        <w:t>4.1 RESEARCH DESIGN AND PERIOD</w:t>
      </w:r>
      <w:bookmarkEnd w:id="25"/>
    </w:p>
    <w:p>
      <w:pPr>
        <w:spacing w:after="100" w:line="360" w:lineRule="auto"/>
        <w:jc w:val="both"/>
      </w:pPr>
      <w:r>
        <w:rPr>
          <w:rFonts w:ascii="Times New Roman" w:hAnsi="Times New Roman" w:eastAsia="Times New Roman" w:cs="Times New Roman"/>
          <w:color w:val="000000"/>
          <w:sz w:val="24"/>
          <w:szCs w:val="24"/>
        </w:rPr>
        <w:t>The research design is descriptive, comparative and analytical. The descriptive component maps the fintech / payments ecosystem, Pine Labs’ platforms and operating metrics. The analytical component examines financial statements, segment trends, cash flows, selected ratios, DuPont decomposition and a dated valuation illustration. The project does not estimate a causal model or forecast the share price.</w:t>
      </w:r>
    </w:p>
    <w:p>
      <w:pPr>
        <w:spacing w:after="100" w:line="360" w:lineRule="auto"/>
        <w:jc w:val="both"/>
      </w:pPr>
      <w:r>
        <w:rPr>
          <w:rFonts w:ascii="Times New Roman" w:hAnsi="Times New Roman" w:eastAsia="Times New Roman" w:cs="Times New Roman"/>
          <w:color w:val="000000"/>
          <w:sz w:val="24"/>
          <w:szCs w:val="24"/>
        </w:rPr>
        <w:t>The unit of analysis is Pine Labs Limited on a consolidated basis where stated. The annual period is FY23–FY26, with a Q1 FY27 update for the quarter ended 30 June 2026. FY23–FY25 are restated prospectus comparatives; FY26 is audited; Q1 FY27 is interim / limited-reviewed. The analysis cut-off is 3 October 2026, while the valuation snapshot uses the BSE close on 1 October 2026. [1–6,11]</w:t>
      </w:r>
    </w:p>
    <w:p>
      <w:bookmarkStart w:id="26" w:name="toc_4_2"/>
      <w:pPr>
        <w:pStyle w:val="Heading2"/>
        <w:keepNext/>
        <w:spacing w:before="200" w:after="110" w:line="240" w:lineRule="auto"/>
        <w:jc w:val="left"/>
      </w:pPr>
      <w:r>
        <w:rPr>
          <w:rFonts w:ascii="Times New Roman" w:hAnsi="Times New Roman" w:eastAsia="Times New Roman" w:cs="Times New Roman"/>
          <w:b/>
          <w:i w:val="0"/>
          <w:color w:val="000000"/>
          <w:sz w:val="24"/>
          <w:szCs w:val="24"/>
        </w:rPr>
        <w:t>4.2 SOURCES AND DATA HIERARCHY</w:t>
      </w:r>
      <w:bookmarkEnd w:id="26"/>
    </w:p>
    <w:p>
      <w:pPr>
        <w:pStyle w:val="Caption"/>
        <w:keepNext/>
        <w:spacing w:before="140" w:after="70" w:line="240" w:lineRule="auto"/>
        <w:jc w:val="center"/>
      </w:pPr>
      <w:r>
        <w:rPr>
          <w:rFonts w:ascii="Times New Roman" w:hAnsi="Times New Roman" w:eastAsia="Times New Roman" w:cs="Times New Roman"/>
          <w:b/>
          <w:color w:val="000000"/>
          <w:sz w:val="22"/>
          <w:szCs w:val="22"/>
        </w:rPr>
        <w:t>Table 4.1 | Evidence hierarchy and use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Source type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Examples in this report</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Use / limitation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Primary company filings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Prospectus, audited FY26 results, Q1 FY27 results, company KPI books and the investor-relations results index. [1–3,5,6,12]</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Financial numbers and company-defined KPIs; distinguish audited / interim and reported / adjusted.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commentary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Earnings-call transcripts, shareholder letters and press release. [4,7,8]</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Context for strategy and explanations; management commentary is not independent verification.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Official industry sources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RBI Payment Systems Report; NPCI UPI product statistics. [9,10]</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System-level context; definitions differ from Pine Labs’ platform measures.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Exchange market data</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BSE quote page for PINELABS / scrip 544606. [11]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Dated close and displayed 52-week range; a single observation is not a price history.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Framework / secondary sources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Porter; Damodaran; official NSE / SEBI pages. [14,15,17–20]</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Analytical frameworks and market-process context; not issuer financial data.</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Student-provided source location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Pine Labs repository snapshot [13].</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Used to locate company primary documents, not as an independent validator.</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hierarchy prioritizes official filings and statements for financial values.</w:t>
      </w:r>
    </w:p>
    <w:p>
      <w:bookmarkStart w:id="27" w:name="toc_4_3"/>
      <w:pPr>
        <w:pStyle w:val="Heading2"/>
        <w:keepNext/>
        <w:spacing w:before="200" w:after="110" w:line="240" w:lineRule="auto"/>
        <w:jc w:val="left"/>
      </w:pPr>
      <w:r>
        <w:rPr>
          <w:rFonts w:ascii="Times New Roman" w:hAnsi="Times New Roman" w:eastAsia="Times New Roman" w:cs="Times New Roman"/>
          <w:b/>
          <w:i w:val="0"/>
          <w:color w:val="000000"/>
          <w:sz w:val="24"/>
          <w:szCs w:val="24"/>
        </w:rPr>
        <w:t>4.3 ANALYTICAL TOOLS AND PROCEDURES</w:t>
      </w:r>
      <w:bookmarkEnd w:id="27"/>
    </w:p>
    <w:p>
      <w:pPr>
        <w:pStyle w:val="Caption"/>
        <w:keepNext/>
        <w:spacing w:before="140" w:after="70" w:line="240" w:lineRule="auto"/>
        <w:jc w:val="center"/>
      </w:pPr>
      <w:r>
        <w:rPr>
          <w:rFonts w:ascii="Times New Roman" w:hAnsi="Times New Roman" w:eastAsia="Times New Roman" w:cs="Times New Roman"/>
          <w:b/>
          <w:color w:val="000000"/>
          <w:sz w:val="22"/>
          <w:szCs w:val="22"/>
        </w:rPr>
        <w:t>Table 4.2 | Analytical tools used</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Tool</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Application</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Boundary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Growth and CAGR</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Annual revenue, PAT, segment and GTV trend.</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Short window; restatement and mix changes matter.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Common-size / margin analysis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 margin, contribution margin and adjusted EBITDA margin.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measures are separated from statutory results.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Liquidity and leverage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Current ratio and borrowings /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Current assets and liabilities include settlement / programme balances; borrowings excludes leases where stated.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Return / efficiency ratios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ROA, ROE, revenue / average assets and DuPont.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Average opening / closing balances; merger, IPO and equity issuance disrupt comparability.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Platform economics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Revenue/GTV proxy, transactions, merchants and DCPs.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Proxy is not a contracted take rate; activity definitions can change.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Valuation snapshot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Market-cap proxy, LTM P/S, LTM P/E, P/B sensitivity.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Rounded basic share-count proxy; dates and bases are mixed; no target price.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Qualitative strategy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PESTLE, Five Forces, SWOT, risk / ESG dashboards.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Ratings and implications are the author’s judgements, not company assessments.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Calculation details and worked examples are in Appendix C.</w:t>
      </w:r>
    </w:p>
    <w:p>
      <w:pPr>
        <w:spacing w:after="100" w:line="360" w:lineRule="auto"/>
        <w:jc w:val="both"/>
      </w:pPr>
      <w:r>
        <w:rPr>
          <w:rFonts w:ascii="Times New Roman" w:hAnsi="Times New Roman" w:eastAsia="Times New Roman" w:cs="Times New Roman"/>
          <w:color w:val="000000"/>
          <w:sz w:val="24"/>
          <w:szCs w:val="24"/>
        </w:rPr>
        <w:t>The workflow was: (1) identify source and period; (2) classify the figure as reported, management-defined, author-calculated or scenario assumption; (3) transcribe selected data and compare it with the stated document basis; (4) calculate ratios using a consistent unit and period; (5) interpret the trend with alternative explanations and caveats; and (6) retain source notes next to tables and figures. Values are rounded, so a ₹0.01 crore variance may arise when segment totals are reconciled.</w:t>
      </w:r>
    </w:p>
    <w:p>
      <w:bookmarkStart w:id="28" w:name="toc_4_4"/>
      <w:pPr>
        <w:pStyle w:val="Heading2"/>
        <w:keepNext/>
        <w:spacing w:before="200" w:after="110" w:line="240" w:lineRule="auto"/>
        <w:jc w:val="left"/>
      </w:pPr>
      <w:r>
        <w:rPr>
          <w:rFonts w:ascii="Times New Roman" w:hAnsi="Times New Roman" w:eastAsia="Times New Roman" w:cs="Times New Roman"/>
          <w:b/>
          <w:i w:val="0"/>
          <w:color w:val="000000"/>
          <w:sz w:val="24"/>
          <w:szCs w:val="24"/>
        </w:rPr>
        <w:t>4.4 DATA DISCIPLINE AND LIMITATIONS</w:t>
      </w:r>
      <w:bookmarkEnd w:id="28"/>
    </w:p>
    <w:p>
      <w:pPr>
        <w:pStyle w:val="ListBullet"/>
        <w:spacing w:after="100" w:line="360" w:lineRule="auto"/>
        <w:jc w:val="both"/>
      </w:pPr>
      <w:r>
        <w:rPr>
          <w:rFonts w:ascii="Times New Roman" w:hAnsi="Times New Roman" w:eastAsia="Times New Roman" w:cs="Times New Roman"/>
          <w:color w:val="000000"/>
          <w:sz w:val="24"/>
          <w:szCs w:val="24"/>
        </w:rPr>
        <w:t>Do not add GTV categories that the company describes as overlapping or as subsets of total platform activity.</w:t>
      </w:r>
    </w:p>
    <w:p>
      <w:pPr>
        <w:pStyle w:val="ListBullet"/>
        <w:spacing w:after="100" w:line="360" w:lineRule="auto"/>
        <w:jc w:val="both"/>
      </w:pPr>
      <w:r>
        <w:rPr>
          <w:rFonts w:ascii="Times New Roman" w:hAnsi="Times New Roman" w:eastAsia="Times New Roman" w:cs="Times New Roman"/>
          <w:color w:val="000000"/>
          <w:sz w:val="24"/>
          <w:szCs w:val="24"/>
        </w:rPr>
        <w:t>Read company-defined adjusted EBITDA and contribution margin with their period-specific reconciliations; some adjustments may recur economically.</w:t>
      </w:r>
    </w:p>
    <w:p>
      <w:pPr>
        <w:pStyle w:val="ListBullet"/>
        <w:spacing w:after="100" w:line="360" w:lineRule="auto"/>
        <w:jc w:val="both"/>
      </w:pPr>
      <w:r>
        <w:rPr>
          <w:rFonts w:ascii="Times New Roman" w:hAnsi="Times New Roman" w:eastAsia="Times New Roman" w:cs="Times New Roman"/>
          <w:color w:val="000000"/>
          <w:sz w:val="24"/>
          <w:szCs w:val="24"/>
        </w:rPr>
        <w:t>Separate cash equivalents from other bank balances and read both alongside prepaid-card and settlement-related liabilities.</w:t>
      </w:r>
    </w:p>
    <w:p>
      <w:pPr>
        <w:pStyle w:val="ListBullet"/>
        <w:spacing w:after="100" w:line="360" w:lineRule="auto"/>
        <w:jc w:val="both"/>
      </w:pPr>
      <w:r>
        <w:rPr>
          <w:rFonts w:ascii="Times New Roman" w:hAnsi="Times New Roman" w:eastAsia="Times New Roman" w:cs="Times New Roman"/>
          <w:color w:val="000000"/>
          <w:sz w:val="24"/>
          <w:szCs w:val="24"/>
        </w:rPr>
        <w:t>Do not annualize a single interim quarter as a forecast or treat company guidance as a reported result.</w:t>
      </w:r>
    </w:p>
    <w:p>
      <w:pPr>
        <w:pStyle w:val="ListBullet"/>
        <w:spacing w:after="100" w:line="360" w:lineRule="auto"/>
        <w:jc w:val="both"/>
      </w:pPr>
      <w:r>
        <w:rPr>
          <w:rFonts w:ascii="Times New Roman" w:hAnsi="Times New Roman" w:eastAsia="Times New Roman" w:cs="Times New Roman"/>
          <w:color w:val="000000"/>
          <w:sz w:val="24"/>
          <w:szCs w:val="24"/>
        </w:rPr>
        <w:t>Use the dated BSE closing price consistently; do not substitute intraday or third-party quote observations for the official snapshot.</w:t>
      </w:r>
    </w:p>
    <w:p>
      <w:pPr>
        <w:pStyle w:val="ListBullet"/>
        <w:spacing w:after="100" w:line="360" w:lineRule="auto"/>
        <w:jc w:val="both"/>
      </w:pPr>
      <w:r>
        <w:rPr>
          <w:rFonts w:ascii="Times New Roman" w:hAnsi="Times New Roman" w:eastAsia="Times New Roman" w:cs="Times New Roman"/>
          <w:color w:val="000000"/>
          <w:sz w:val="24"/>
          <w:szCs w:val="24"/>
        </w:rPr>
        <w:t>Where public data are not comparable—especially peer multiples, product-level economics and technical indicators—state the limitation rather than invent a value.</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50" w:type="dxa"/>
              <w:bottom w:w="80" w:type="dxa"/>
              <w:end w:w="150" w:type="dxa"/>
              <w:left w:w="100" w:type="dxa"/>
              <w:right w:w="100" w:type="dxa"/>
            </w:tcMar>
            <w:vAlign w:val="center"/>
          </w:tcPr>
          <w:p>
            <w:pPr>
              <w:spacing w:after="0" w:line="276" w:lineRule="auto" w:before="0"/>
              <w:jc w:val="left"/>
            </w:pPr>
            <w:r>
              <w:rPr>
                <w:rFonts w:ascii="Times New Roman" w:hAnsi="Times New Roman" w:eastAsia="Times New Roman" w:cs="Times New Roman"/>
                <w:b/>
                <w:color w:val="000000"/>
                <w:sz w:val="21"/>
                <w:szCs w:val="21"/>
              </w:rPr>
              <w:t xml:space="preserve">Method note  </w:t>
            </w:r>
            <w:r>
              <w:rPr>
                <w:rFonts w:ascii="Times New Roman" w:hAnsi="Times New Roman" w:eastAsia="Times New Roman" w:cs="Times New Roman"/>
                <w:color w:val="000000"/>
                <w:sz w:val="21"/>
                <w:szCs w:val="21"/>
              </w:rPr>
              <w:t>No interviews, customer-level contracts, complete adjusted daily-price history or independent ESG assurance were supplied. The conclusions therefore describe public evidence up to the stated cut-off and should be refreshed before any later submission.</w:t>
            </w:r>
          </w:p>
        </w:tc>
      </w:tr>
    </w:tbl>
    <w:p>
      <w:pPr>
        <w:spacing w:after="40" w:before="0"/>
      </w:pP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CHAPTER 5</w:t>
      </w:r>
    </w:p>
    <w:p>
      <w:bookmarkStart w:id="29" w:name="toc_ch5"/>
      <w:pPr>
        <w:pStyle w:val="Heading1"/>
        <w:keepNext/>
        <w:spacing w:before="0" w:after="260" w:line="240" w:lineRule="auto"/>
        <w:jc w:val="center"/>
      </w:pPr>
      <w:r>
        <w:rPr>
          <w:rFonts w:ascii="Times New Roman" w:hAnsi="Times New Roman" w:eastAsia="Times New Roman" w:cs="Times New Roman"/>
          <w:b/>
          <w:i w:val="0"/>
          <w:color w:val="000000"/>
          <w:sz w:val="28"/>
          <w:szCs w:val="28"/>
        </w:rPr>
        <w:t>5. ANALYSIS AND INTERPRETATION OF PINE LABS DATA</w:t>
      </w:r>
      <w:bookmarkEnd w:id="29"/>
    </w:p>
    <w:p>
      <w:pPr>
        <w:keepNext/>
        <w:spacing w:after="260" w:before="0" w:line="276" w:lineRule="auto"/>
        <w:jc w:val="center"/>
      </w:pPr>
      <w:r>
        <w:rPr>
          <w:rFonts w:ascii="Times New Roman" w:hAnsi="Times New Roman" w:eastAsia="Times New Roman" w:cs="Times New Roman"/>
          <w:i/>
          <w:color w:val="000000"/>
          <w:sz w:val="20"/>
          <w:szCs w:val="20"/>
        </w:rPr>
        <w:t>Consolidated historical statements, interim update, operating KPIs, valuation and risk</w:t>
      </w:r>
    </w:p>
    <w:p>
      <w:bookmarkStart w:id="30" w:name="toc_5_1"/>
      <w:pPr>
        <w:pStyle w:val="Heading2"/>
        <w:keepNext/>
        <w:spacing w:before="200" w:after="110" w:line="240" w:lineRule="auto"/>
        <w:jc w:val="left"/>
      </w:pPr>
      <w:r>
        <w:rPr>
          <w:rFonts w:ascii="Times New Roman" w:hAnsi="Times New Roman" w:eastAsia="Times New Roman" w:cs="Times New Roman"/>
          <w:b/>
          <w:i w:val="0"/>
          <w:color w:val="000000"/>
          <w:sz w:val="24"/>
          <w:szCs w:val="24"/>
        </w:rPr>
        <w:t>5.1 CONSOLIDATED INCOME-STATEMENT TREND</w:t>
      </w:r>
      <w:bookmarkEnd w:id="30"/>
    </w:p>
    <w:p>
      <w:pPr>
        <w:pStyle w:val="Caption"/>
        <w:keepNext/>
        <w:spacing w:before="140" w:after="70" w:line="240" w:lineRule="auto"/>
        <w:jc w:val="center"/>
      </w:pPr>
      <w:r>
        <w:rPr>
          <w:rFonts w:ascii="Times New Roman" w:hAnsi="Times New Roman" w:eastAsia="Times New Roman" w:cs="Times New Roman"/>
          <w:b/>
          <w:color w:val="000000"/>
          <w:sz w:val="22"/>
          <w:szCs w:val="22"/>
        </w:rPr>
        <w:t>Table 5.1 | Four-year consolidated income and management-defined measures (₹ crore)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Measure</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FY23</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FY24</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FY25</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FY26</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Revenue from operations</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1,597.66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1,769.55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2,274.27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2,710.59</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Year-on-year revenue growth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10.8%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28.5%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Profit / (loss) after tax</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(265.15)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(341.90)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(145.49)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112.51</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PAT margin</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(16.6%)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Adjusted EBITDA (company-defined)</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158.19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356.60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558.87</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Adjusted EBITDA margin (company-defined)</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8.94%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15.68%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20.62%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Contribution margin (company-defined)</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1,385.38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1,728.89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2,041.19</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Contribution margin / revenue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78.3%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76.0%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75.3%</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FY23–FY25 revenue / PAT: restated prospectus comparatives; FY26: audited consolidated results. FY24–FY26 adjusted EBITDA / contribution margin use the Q4 FY26 KPI workbook basis; management-defined, not statutory. [1–3]</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5.1 | Revenue growth and reported PAT / (loss)</w:t>
      </w:r>
    </w:p>
    <w:p>
      <w:pPr>
        <w:keepLines/>
        <w:spacing w:after="40" w:line="240" w:lineRule="auto"/>
        <w:jc w:val="center"/>
      </w:pPr>
      <w:r>
        <w:drawing>
          <wp:inline xmlns:a="http://schemas.openxmlformats.org/drawingml/2006/main" xmlns:pic="http://schemas.openxmlformats.org/drawingml/2006/picture">
            <wp:extent cx="5120640" cy="2223398"/>
            <wp:docPr id="3" name="Picture 3" descr="Bar chart shows revenue rising from ₹1,597.66 crore in FY23 to ₹2,710.59 crore in FY26; PAT losses through FY25 turn positive in FY26." title="Figure 5.1 | Revenue growth and reported PAT / (loss)"/>
            <wp:cNvGraphicFramePr>
              <a:graphicFrameLocks noChangeAspect="1"/>
            </wp:cNvGraphicFramePr>
            <a:graphic>
              <a:graphicData uri="http://schemas.openxmlformats.org/drawingml/2006/picture">
                <pic:pic>
                  <pic:nvPicPr>
                    <pic:cNvPr id="0" name="fig_revenue_pat.png"/>
                    <pic:cNvPicPr/>
                  </pic:nvPicPr>
                  <pic:blipFill>
                    <a:blip r:embed="rId17"/>
                    <a:stretch>
                      <a:fillRect/>
                    </a:stretch>
                  </pic:blipFill>
                  <pic:spPr>
                    <a:xfrm>
                      <a:off x="0" y="0"/>
                      <a:ext cx="5120640" cy="2223398"/>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FY23–FY25 restated prospectus comparatives and FY26 audited results [1,2]. Revenue and PAT shown in ₹ crore.</w:t>
      </w:r>
    </w:p>
    <w:p>
      <w:pPr>
        <w:spacing w:after="100" w:line="360" w:lineRule="auto"/>
        <w:jc w:val="both"/>
      </w:pPr>
      <w:r>
        <w:rPr>
          <w:rFonts w:ascii="Times New Roman" w:hAnsi="Times New Roman" w:eastAsia="Times New Roman" w:cs="Times New Roman"/>
          <w:color w:val="000000"/>
          <w:sz w:val="24"/>
          <w:szCs w:val="24"/>
        </w:rPr>
        <w:t>Revenue rose by about 69.7% between FY23 and FY26, equivalent to a three-year CAGR of approximately 19.3%. Growth accelerated in FY25 and moderated to 19.2% in FY26. The broad direction is scale expansion, but the annual growth path is not uniform. [1,2]</w:t>
      </w:r>
    </w:p>
    <w:p>
      <w:pPr>
        <w:spacing w:after="100" w:line="360" w:lineRule="auto"/>
        <w:jc w:val="both"/>
      </w:pPr>
      <w:r>
        <w:rPr>
          <w:rFonts w:ascii="Times New Roman" w:hAnsi="Times New Roman" w:eastAsia="Times New Roman" w:cs="Times New Roman"/>
          <w:color w:val="000000"/>
          <w:sz w:val="24"/>
          <w:szCs w:val="24"/>
        </w:rPr>
        <w:t>Reported PAT remained negative through FY25. The FY26 result of ₹112.51 crore is a meaningful profitability inflection, but one profitable year does not establish a mature earnings base. The low positive base makes percentage changes sensitive to operating costs, tax, other income and exceptional items. [1,2]</w:t>
      </w:r>
    </w:p>
    <w:p>
      <w:pPr>
        <w:spacing w:after="100" w:line="360" w:lineRule="auto"/>
        <w:jc w:val="both"/>
      </w:pPr>
      <w:r>
        <w:rPr>
          <w:rFonts w:ascii="Times New Roman" w:hAnsi="Times New Roman" w:eastAsia="Times New Roman" w:cs="Times New Roman"/>
          <w:color w:val="000000"/>
          <w:sz w:val="24"/>
          <w:szCs w:val="24"/>
        </w:rPr>
        <w:t>Company-defined adjusted EBITDA rose from ₹158.19 crore in FY24 to ₹558.87 crore in FY26, while its margin increased from 8.94% to 20.62%. Management’s reconciliation includes specified adjustments such as share-based payment expense, foreign-exchange items, provisions, fund-raising / acquisition / restructuring fees and selected exceptional items. Some adjustments may recur economically; adjusted EBITDA is not reported PAT or operating cash flow. [1–3]</w:t>
      </w:r>
    </w:p>
    <w:p>
      <w:pPr>
        <w:spacing w:after="100" w:line="360" w:lineRule="auto"/>
        <w:jc w:val="both"/>
      </w:pPr>
      <w:r>
        <w:rPr>
          <w:rFonts w:ascii="Times New Roman" w:hAnsi="Times New Roman" w:eastAsia="Times New Roman" w:cs="Times New Roman"/>
          <w:color w:val="000000"/>
          <w:sz w:val="24"/>
          <w:szCs w:val="24"/>
        </w:rPr>
        <w:t>Contribution margin increased in rupees but declined as a share of revenue from 78.3% in FY24 to 75.3% in FY26 and 72.3% in Q1 FY27. Absolute growth therefore should not be described as margin expansion. Product mix, distribution activity, direct cost allocation and the definitions of company KPIs need to be monitored. [2,3,5,6]</w:t>
      </w:r>
    </w:p>
    <w:p>
      <w:bookmarkStart w:id="31" w:name="toc_5_2"/>
      <w:pPr>
        <w:pStyle w:val="Heading2"/>
        <w:keepNext/>
        <w:spacing w:before="200" w:after="110" w:line="240" w:lineRule="auto"/>
        <w:jc w:val="left"/>
      </w:pPr>
      <w:r>
        <w:rPr>
          <w:rFonts w:ascii="Times New Roman" w:hAnsi="Times New Roman" w:eastAsia="Times New Roman" w:cs="Times New Roman"/>
          <w:b/>
          <w:i w:val="0"/>
          <w:color w:val="000000"/>
          <w:sz w:val="24"/>
          <w:szCs w:val="24"/>
        </w:rPr>
        <w:t>5.2 SEGMENT PERFORMANCE</w:t>
      </w:r>
      <w:bookmarkEnd w:id="31"/>
    </w:p>
    <w:p>
      <w:pPr>
        <w:pStyle w:val="Caption"/>
        <w:keepNext/>
        <w:spacing w:before="140" w:after="70" w:line="240" w:lineRule="auto"/>
        <w:jc w:val="center"/>
      </w:pPr>
      <w:r>
        <w:rPr>
          <w:rFonts w:ascii="Times New Roman" w:hAnsi="Times New Roman" w:eastAsia="Times New Roman" w:cs="Times New Roman"/>
          <w:b/>
          <w:color w:val="000000"/>
          <w:sz w:val="22"/>
          <w:szCs w:val="22"/>
        </w:rPr>
        <w:t>Table 5.2 | Revenue by operating platform</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Segment / measure</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FY24</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FY25</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FY26</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Q1 FY27</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DITP</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1,276.43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1,603.23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1,836.82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499.12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IAP</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493.11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671.05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873.76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237.80</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Total segment revenue (rounded)</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1,769.54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2,274.28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2,710.58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736.92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Consolidated revenue from operations</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1,769.55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2,274.27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2,710.59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736.92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IAP share of revenue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27.9%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29.5%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32.2%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32.3%</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FY24–FY25 prospectus / company KPI disclosures; FY26 audited and Q1 FY27 interim disclosures. Segment totals can differ by ₹0.01 crore due to rounding. [1–6]</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5.2 | Revenue by platform: annual periods and Q1 FY27</w:t>
      </w:r>
    </w:p>
    <w:p>
      <w:pPr>
        <w:keepLines/>
        <w:spacing w:after="40" w:line="240" w:lineRule="auto"/>
        <w:jc w:val="center"/>
      </w:pPr>
      <w:r>
        <w:drawing>
          <wp:inline xmlns:a="http://schemas.openxmlformats.org/drawingml/2006/main" xmlns:pic="http://schemas.openxmlformats.org/drawingml/2006/picture">
            <wp:extent cx="5120640" cy="2219701"/>
            <wp:docPr id="4" name="Picture 4" descr="Stacked revenue bars show DITP and IAP by annual period FY24 to FY26 and Q1 FY27." title="Figure 5.2 | Revenue by platform: annual periods and Q1 FY27"/>
            <wp:cNvGraphicFramePr>
              <a:graphicFrameLocks noChangeAspect="1"/>
            </wp:cNvGraphicFramePr>
            <a:graphic>
              <a:graphicData uri="http://schemas.openxmlformats.org/drawingml/2006/picture">
                <pic:pic>
                  <pic:nvPicPr>
                    <pic:cNvPr id="0" name="fig_segment_revenue.png"/>
                    <pic:cNvPicPr/>
                  </pic:nvPicPr>
                  <pic:blipFill>
                    <a:blip r:embed="rId18"/>
                    <a:stretch>
                      <a:fillRect/>
                    </a:stretch>
                  </pic:blipFill>
                  <pic:spPr>
                    <a:xfrm>
                      <a:off x="0" y="0"/>
                      <a:ext cx="5120640" cy="2219701"/>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Pine Labs segment and KPI disclosures [1–6]. Q1 FY27 is a single quarter and is shown for mix context only.</w:t>
      </w:r>
    </w:p>
    <w:p>
      <w:pPr>
        <w:spacing w:after="100" w:line="360" w:lineRule="auto"/>
        <w:jc w:val="both"/>
      </w:pPr>
      <w:r>
        <w:rPr>
          <w:rFonts w:ascii="Times New Roman" w:hAnsi="Times New Roman" w:eastAsia="Times New Roman" w:cs="Times New Roman"/>
          <w:color w:val="000000"/>
          <w:sz w:val="24"/>
          <w:szCs w:val="24"/>
        </w:rPr>
        <w:t>DITP accounted for approximately 67.8% of FY26 revenue and IAP approximately 32.2%. Using rounded segment figures, FY26 revenue grew around 14.6% in DITP and 30.2% in IAP. Q1 FY27 disclosures indicate year-on-year growth of about 15% for DITP and 31% for IAP. IAP’s faster growth supports diversification, but segment revenue alone does not disclose segment profit, incremental return on capital or cash conversion. [2,3,5,6]</w:t>
      </w:r>
    </w:p>
    <w:p>
      <w:bookmarkStart w:id="32" w:name="toc_5_3"/>
      <w:pPr>
        <w:pStyle w:val="Heading2"/>
        <w:keepNext/>
        <w:spacing w:before="200" w:after="110" w:line="240" w:lineRule="auto"/>
        <w:jc w:val="left"/>
      </w:pPr>
      <w:r>
        <w:rPr>
          <w:rFonts w:ascii="Times New Roman" w:hAnsi="Times New Roman" w:eastAsia="Times New Roman" w:cs="Times New Roman"/>
          <w:b/>
          <w:i w:val="0"/>
          <w:color w:val="000000"/>
          <w:sz w:val="24"/>
          <w:szCs w:val="24"/>
        </w:rPr>
        <w:t>5.3 Q1 FY27 INTERIM UPDATE</w:t>
      </w:r>
      <w:bookmarkEnd w:id="32"/>
    </w:p>
    <w:p>
      <w:pPr>
        <w:pStyle w:val="Caption"/>
        <w:keepNext/>
        <w:spacing w:before="140" w:after="70" w:line="240" w:lineRule="auto"/>
        <w:jc w:val="center"/>
      </w:pPr>
      <w:r>
        <w:rPr>
          <w:rFonts w:ascii="Times New Roman" w:hAnsi="Times New Roman" w:eastAsia="Times New Roman" w:cs="Times New Roman"/>
          <w:b/>
          <w:color w:val="000000"/>
          <w:sz w:val="22"/>
          <w:szCs w:val="22"/>
        </w:rPr>
        <w:t>Table 5.3 | Q1 FY27 snapshot (quarter ended 30 June 2026)</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Metric</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Q1 FY27</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Context / status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 from operations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₹736.92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+19.65% year on year.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₹19.57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₹4.79 crore in Q1 FY26; percentage increase is from a low base.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DITP / IAP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₹499.12 / ₹237.80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Both platforms grew; IAP grew faster year on year.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Contribution margin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₹532.62 crore; 72.3%</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margin lower year on year.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Adjusted EBITDA</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Approximately ₹126 crore; 17.1%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margin lower year on year.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International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Approximately ₹114 crore; ~16%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Company-disclosed quarterly value / share.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GTV / transactions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₹4.22 lakh crore / 201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platform activity.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DCPs / merchants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21.7 lakh / 11.5 lakh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Period-end network indicators.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FY27 revenue guidance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21%–23.5% growth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Management guidance from Q4 FY26 call; forward-looking, not a result.</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Q1 FY27 results, KPI data book and press release; FY27 guidance from the Q4 FY26 call. Interim and company-defined measures are identified. [4–6,8]</w:t>
      </w:r>
    </w:p>
    <w:p>
      <w:pPr>
        <w:spacing w:after="100" w:line="360" w:lineRule="auto"/>
        <w:jc w:val="both"/>
      </w:pPr>
      <w:r>
        <w:rPr>
          <w:rFonts w:ascii="Times New Roman" w:hAnsi="Times New Roman" w:eastAsia="Times New Roman" w:cs="Times New Roman"/>
          <w:color w:val="000000"/>
          <w:sz w:val="24"/>
          <w:szCs w:val="24"/>
        </w:rPr>
        <w:t>Q1 FY27 continued the reported profitability trend, but the margin profile softened: contribution margin and adjusted EBITDA margin were lower than in Q1 FY26 even though revenue increased. Company commentary refers to mix and investment in distribution, connectivity, operating infrastructure and technology. The explanation is relevant context, but it is not proof that margin recovery has already occurred; subsequent quarters should test the pattern. [5,6,8]</w:t>
      </w:r>
    </w:p>
    <w:p>
      <w:bookmarkStart w:id="33" w:name="toc_5_4"/>
      <w:pPr>
        <w:pStyle w:val="Heading2"/>
        <w:keepNext/>
        <w:spacing w:before="200" w:after="110" w:line="240" w:lineRule="auto"/>
        <w:jc w:val="left"/>
      </w:pPr>
      <w:r>
        <w:rPr>
          <w:rFonts w:ascii="Times New Roman" w:hAnsi="Times New Roman" w:eastAsia="Times New Roman" w:cs="Times New Roman"/>
          <w:b/>
          <w:i w:val="0"/>
          <w:color w:val="000000"/>
          <w:sz w:val="24"/>
          <w:szCs w:val="24"/>
        </w:rPr>
        <w:t>5.4 BALANCE SHEET AND LIQUIDITY</w:t>
      </w:r>
      <w:bookmarkEnd w:id="33"/>
    </w:p>
    <w:p>
      <w:pPr>
        <w:pStyle w:val="Caption"/>
        <w:keepNext/>
        <w:spacing w:before="140" w:after="70" w:line="240" w:lineRule="auto"/>
        <w:jc w:val="center"/>
      </w:pPr>
      <w:r>
        <w:rPr>
          <w:rFonts w:ascii="Times New Roman" w:hAnsi="Times New Roman" w:eastAsia="Times New Roman" w:cs="Times New Roman"/>
          <w:b/>
          <w:color w:val="000000"/>
          <w:sz w:val="22"/>
          <w:szCs w:val="22"/>
        </w:rPr>
        <w:t>Table 5.4 | Selected consolidated balance-sheet items (₹ crore)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Item</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31 Mar 2025</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31 Mar 2026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Total assets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20"/>
                <w:szCs w:val="20"/>
              </w:rPr>
              <w:t>10,715.73</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20"/>
                <w:szCs w:val="20"/>
              </w:rPr>
              <w:t>13,296.96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Current assets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8,241.14</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10,884.33</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Total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20"/>
                <w:szCs w:val="20"/>
              </w:rPr>
              <w:t>3,506.14</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20"/>
                <w:szCs w:val="20"/>
              </w:rPr>
              <w:t>5,895.41</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Current liabilities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6,953.84</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7,184.12</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and cash equivalents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951.46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1,393.08</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Other bank balances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5,081.67</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6,832.84</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Prepaid-card liabilities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4,772.63</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5,383.85</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Borrowings, excluding leases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829.49</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282.87</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FY26 audited consolidated balance sheet and FY25 comparative figures. Cash equivalents and other bank balances are shown separately. [2]</w:t>
      </w:r>
    </w:p>
    <w:p>
      <w:pPr>
        <w:spacing w:after="100" w:line="360" w:lineRule="auto"/>
        <w:jc w:val="both"/>
      </w:pPr>
      <w:r>
        <w:rPr>
          <w:rFonts w:ascii="Times New Roman" w:hAnsi="Times New Roman" w:eastAsia="Times New Roman" w:cs="Times New Roman"/>
          <w:color w:val="000000"/>
          <w:sz w:val="24"/>
          <w:szCs w:val="24"/>
        </w:rPr>
        <w:t>Borrowings excluding leases fell by approximately ₹546.62 crore, from ₹829.49 crore at FY25 year-end to ₹282.87 crore at FY26 year-end. Borrowings / equity declined from about 0.24× to 0.05× while equity increased to ₹5,895.41 crore after listing and related capital movements. This is a stronger reported capital structure, but the ratio does not capture leases, settlement obligations, customer funds or contingent exposure. [2]</w:t>
      </w:r>
    </w:p>
    <w:p>
      <w:pPr>
        <w:spacing w:after="100" w:line="360" w:lineRule="auto"/>
        <w:jc w:val="both"/>
      </w:pPr>
      <w:r>
        <w:rPr>
          <w:rFonts w:ascii="Times New Roman" w:hAnsi="Times New Roman" w:eastAsia="Times New Roman" w:cs="Times New Roman"/>
          <w:color w:val="000000"/>
          <w:sz w:val="24"/>
          <w:szCs w:val="24"/>
        </w:rPr>
        <w:t>The current ratio increased from about 1.18× to 1.52×. It is not a stand-alone solvency conclusion: current assets include bank balances and operating receivables, while current liabilities include prepaid and transaction-related obligations. Other bank balances may be earmarked or restricted. Cash availability should be assessed by mapping restriction, counterparty, maturity and settlement timing—not by treating all balances as freely distributable. [2]</w:t>
      </w:r>
    </w:p>
    <w:p>
      <w:bookmarkStart w:id="34" w:name="toc_5_5"/>
      <w:pPr>
        <w:pStyle w:val="Heading2"/>
        <w:keepNext/>
        <w:spacing w:before="200" w:after="110" w:line="240" w:lineRule="auto"/>
        <w:jc w:val="left"/>
      </w:pPr>
      <w:r>
        <w:rPr>
          <w:rFonts w:ascii="Times New Roman" w:hAnsi="Times New Roman" w:eastAsia="Times New Roman" w:cs="Times New Roman"/>
          <w:b/>
          <w:i w:val="0"/>
          <w:color w:val="000000"/>
          <w:sz w:val="24"/>
          <w:szCs w:val="24"/>
        </w:rPr>
        <w:t>5.5 CASH FLOW AND WORKING CAPITAL</w:t>
      </w:r>
      <w:bookmarkEnd w:id="34"/>
    </w:p>
    <w:p>
      <w:pPr>
        <w:pStyle w:val="Caption"/>
        <w:keepNext/>
        <w:spacing w:before="140" w:after="70" w:line="240" w:lineRule="auto"/>
        <w:jc w:val="center"/>
      </w:pPr>
      <w:r>
        <w:rPr>
          <w:rFonts w:ascii="Times New Roman" w:hAnsi="Times New Roman" w:eastAsia="Times New Roman" w:cs="Times New Roman"/>
          <w:b/>
          <w:color w:val="000000"/>
          <w:sz w:val="22"/>
          <w:szCs w:val="22"/>
        </w:rPr>
        <w:t>Table 5.5 | Operating cash flow trend</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Cash-flow measure</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FY23</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FY24</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FY25</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FY26</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Net cash from operating activities (₹ crore)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(152.36)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(229.01)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49.72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395.39</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FY23–FY25 restated prospectus cash-flow information; FY26 audited consolidated statement. [1,2]</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5.3 | Operating cash flow is improving but remains period-sensitive</w:t>
      </w:r>
    </w:p>
    <w:p>
      <w:pPr>
        <w:keepLines/>
        <w:spacing w:after="40" w:line="240" w:lineRule="auto"/>
        <w:jc w:val="center"/>
      </w:pPr>
      <w:r>
        <w:drawing>
          <wp:inline xmlns:a="http://schemas.openxmlformats.org/drawingml/2006/main" xmlns:pic="http://schemas.openxmlformats.org/drawingml/2006/picture">
            <wp:extent cx="5120640" cy="2095968"/>
            <wp:docPr id="5" name="Picture 5" descr="Operating cash flow was negative in FY23 and FY24, positive in FY25, and higher in FY26." title="Figure 5.3 | Operating cash flow is improving but remains period-sensitive"/>
            <wp:cNvGraphicFramePr>
              <a:graphicFrameLocks noChangeAspect="1"/>
            </wp:cNvGraphicFramePr>
            <a:graphic>
              <a:graphicData uri="http://schemas.openxmlformats.org/drawingml/2006/picture">
                <pic:pic>
                  <pic:nvPicPr>
                    <pic:cNvPr id="0" name="fig_cfo.png"/>
                    <pic:cNvPicPr/>
                  </pic:nvPicPr>
                  <pic:blipFill>
                    <a:blip r:embed="rId19"/>
                    <a:stretch>
                      <a:fillRect/>
                    </a:stretch>
                  </pic:blipFill>
                  <pic:spPr>
                    <a:xfrm>
                      <a:off x="0" y="0"/>
                      <a:ext cx="5120640" cy="2095968"/>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Pine Labs restated / audited cash-flow information [1,2]. CFO in ₹ crore.</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5.6 | FY26 cash-flow statement summary (₹ crore)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Cash-flow category</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FY26</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Interpretation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Operating activities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+395.39</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from operations after working-capital movements; not equivalent to adjusted EBITDA.</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Investing activities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−1,338.87</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Includes deposit placements / maturities as well as capex and investments; not all outflow is growth capex.</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Financing activities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+1,972.17</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Includes IPO / equity financing and financing outflows; read with capital notes.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Net increase in cash equivalents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+1,028.69</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Cash-flow statement basis; ending cash may differ from balance-sheet cash due to classification / overdraft treatment.</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FY26 audited consolidated cash-flow statement. [2]</w:t>
      </w:r>
    </w:p>
    <w:p>
      <w:pPr>
        <w:spacing w:after="100" w:line="360" w:lineRule="auto"/>
        <w:jc w:val="both"/>
      </w:pPr>
      <w:r>
        <w:rPr>
          <w:rFonts w:ascii="Times New Roman" w:hAnsi="Times New Roman" w:eastAsia="Times New Roman" w:cs="Times New Roman"/>
          <w:color w:val="000000"/>
          <w:sz w:val="24"/>
          <w:szCs w:val="24"/>
        </w:rPr>
        <w:t>FY26 investing outflow should not be described as ₹1,338.87 crore of plant and equipment investment because deposit placements and maturities are significant. Operating cash flow can also move with prepaid-card liabilities, earmarked bank balances, merchant settlements, receivables and early-settlement arrangements. Company materials report Q1 FY27 CFO of approximately +₹78 crore excluding early settlement and approximately −₹159 crore including it. The difference shows sensitivity to timing and presentation; neither number is a normalized run-rate. [2,5,6]</w:t>
      </w:r>
    </w:p>
    <w:p>
      <w:pPr>
        <w:spacing w:after="100" w:line="360" w:lineRule="auto"/>
        <w:jc w:val="both"/>
      </w:pPr>
      <w:r>
        <w:rPr>
          <w:rFonts w:ascii="Times New Roman" w:hAnsi="Times New Roman" w:eastAsia="Times New Roman" w:cs="Times New Roman"/>
          <w:color w:val="000000"/>
          <w:sz w:val="24"/>
          <w:szCs w:val="24"/>
        </w:rPr>
        <w:t>Cash conversion should be monitored against reported PAT, adjusted EBITDA, capital expenditure, lease payments and settlement balances. Separate restricted from unrestricted cash, reconcile early settlement, and examine several quarters rather than annualizing a single interim period.</w:t>
      </w:r>
    </w:p>
    <w:p>
      <w:bookmarkStart w:id="35" w:name="toc_5_6"/>
      <w:pPr>
        <w:pStyle w:val="Heading2"/>
        <w:keepNext/>
        <w:spacing w:before="200" w:after="110" w:line="240" w:lineRule="auto"/>
        <w:jc w:val="left"/>
      </w:pPr>
      <w:r>
        <w:rPr>
          <w:rFonts w:ascii="Times New Roman" w:hAnsi="Times New Roman" w:eastAsia="Times New Roman" w:cs="Times New Roman"/>
          <w:b/>
          <w:i w:val="0"/>
          <w:color w:val="000000"/>
          <w:sz w:val="24"/>
          <w:szCs w:val="24"/>
        </w:rPr>
        <w:t>5.6 RATIO ANALYSIS</w:t>
      </w:r>
      <w:bookmarkEnd w:id="35"/>
    </w:p>
    <w:p>
      <w:pPr>
        <w:pStyle w:val="Caption"/>
        <w:keepNext/>
        <w:spacing w:before="140" w:after="70" w:line="240" w:lineRule="auto"/>
        <w:jc w:val="center"/>
      </w:pPr>
      <w:r>
        <w:rPr>
          <w:rFonts w:ascii="Times New Roman" w:hAnsi="Times New Roman" w:eastAsia="Times New Roman" w:cs="Times New Roman"/>
          <w:b/>
          <w:color w:val="000000"/>
          <w:sz w:val="22"/>
          <w:szCs w:val="22"/>
        </w:rPr>
        <w:t>Table 5.7 | Ratio dashboard</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trPr>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Ratio / measure</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Basis</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FY24</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FY25</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FY26</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Interpretation</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Revenue growth</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Revenueₜ / Revenueₜ₋₁ − 1</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10.8%</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28.5%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19.2%</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Growth accelerated then moderated.</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PAT margin</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PAT / revenue</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(6.4%)</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4.2%</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Turned positive in FY26; one year is not a mature trend.</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Adjusted EBITDA margin</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Company-defined Adj. EBITDA / revenue</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8.94%</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15.68%</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20.62%</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Improved annually; Q1 FY27 was ~17.1%.</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Current ratio</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Current assets / current liabilities</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1.23×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1.18×</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1.52×</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Improved; settlement balances qualify the signal.</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Borrowings / equity</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Borrowings ex leases / total equity</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0.15×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0.24×</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0.05×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Lower borrowing relative to post-IPO equity.</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ROA on average assets</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PAT / average total assets</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(3.60%)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(1.43%)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0.94%</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Positive but modest in FY26.</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ROE on average equity</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PAT / average total equity</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(9.39%)</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(4.13%)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18"/>
                <w:szCs w:val="18"/>
              </w:rPr>
              <w:t>2.39%</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18"/>
                <w:szCs w:val="18"/>
              </w:rPr>
              <w:t>Positive but low; equity base changed after listing.</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Revenue / average assets</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Revenue / average assets</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0.19×</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0.22×</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0.23×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Asset turnover changed modestly.</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CFO / PAT</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CFO / PAT</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N.M.</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3.51×</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FY26 affected by working-capital timing; not a stable conversion assumption.</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Author calculations from restated / audited consolidated statements and disclosed KPIs; average balance-sheet amounts use opening and closing balances. “N.M.” is not meaningful where PAT is negative. [1–3]</w:t>
      </w:r>
    </w:p>
    <w:p>
      <w:pPr>
        <w:spacing w:after="100" w:line="360" w:lineRule="auto"/>
        <w:jc w:val="both"/>
      </w:pPr>
      <w:r>
        <w:rPr>
          <w:rFonts w:ascii="Times New Roman" w:hAnsi="Times New Roman" w:eastAsia="Times New Roman" w:cs="Times New Roman"/>
          <w:color w:val="000000"/>
          <w:sz w:val="24"/>
          <w:szCs w:val="24"/>
        </w:rPr>
        <w:t>Profitability improved, with FY26 PAT margin at approximately 4.2%, but the low base makes percentage changes sensitive. Liquidity ratios above 1× do not measure unrestricted cash where deposits or balances support customer programmes. Lower borrowings / equity reduce interest-bearing leverage risk, but not settlement, lease or operating risk. ROE of about 2.4% remains modest relative to the post-IPO equity base. FY26 CFO / PAT is high at about 3.5×, yet the multi-year CFO series and Q1 early-settlement disclosure show why one annual ratio should not be extrapolated. [1,2,5,6]</w:t>
      </w:r>
    </w:p>
    <w:p>
      <w:pPr>
        <w:spacing w:after="100" w:line="360" w:lineRule="auto"/>
        <w:jc w:val="both"/>
      </w:pPr>
      <w:r>
        <w:rPr>
          <w:rFonts w:ascii="Times New Roman" w:hAnsi="Times New Roman" w:eastAsia="Times New Roman" w:cs="Times New Roman"/>
          <w:color w:val="000000"/>
          <w:sz w:val="24"/>
          <w:szCs w:val="24"/>
        </w:rPr>
        <w:t>All balance-sheet ratios use reported year-end classifications; no adjustment is made for restricted deposits, merchant settlement funds, leases, ESOP dilution or contingent obligations. Merger restatement and the IPO affect comparability. Ratio formulas and selected worked calculations appear in Appendix C.</w:t>
      </w:r>
    </w:p>
    <w:p>
      <w:bookmarkStart w:id="36" w:name="toc_5_7"/>
      <w:pPr>
        <w:pStyle w:val="Heading2"/>
        <w:keepNext/>
        <w:spacing w:before="200" w:after="110" w:line="240" w:lineRule="auto"/>
        <w:jc w:val="left"/>
      </w:pPr>
      <w:r>
        <w:rPr>
          <w:rFonts w:ascii="Times New Roman" w:hAnsi="Times New Roman" w:eastAsia="Times New Roman" w:cs="Times New Roman"/>
          <w:b/>
          <w:i w:val="0"/>
          <w:color w:val="000000"/>
          <w:sz w:val="24"/>
          <w:szCs w:val="24"/>
        </w:rPr>
        <w:t>5.7 OPERATING KPIs AND PLATFORM ECONOMICS</w:t>
      </w:r>
      <w:bookmarkEnd w:id="36"/>
    </w:p>
    <w:p>
      <w:pPr>
        <w:pStyle w:val="Caption"/>
        <w:keepNext/>
        <w:spacing w:before="140" w:after="70" w:line="240" w:lineRule="auto"/>
        <w:jc w:val="center"/>
      </w:pPr>
      <w:r>
        <w:rPr>
          <w:rFonts w:ascii="Times New Roman" w:hAnsi="Times New Roman" w:eastAsia="Times New Roman" w:cs="Times New Roman"/>
          <w:b/>
          <w:color w:val="000000"/>
          <w:sz w:val="22"/>
          <w:szCs w:val="22"/>
        </w:rPr>
        <w:t>Table 5.8 | Annual scale, activity and monetization indicators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KPI</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FY23</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FY24</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FY25</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FY26</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Platform GTV (₹ lakh crore)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4.40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6.08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11.42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17.15</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Transactions (crore)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257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344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569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740.37</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Merchants (lakh)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5.30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6.44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9.54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11.03</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DCPs (lakh)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13.9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20.28</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Prepaid cards issued in year (crore)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49.52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52.90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71.30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86.55</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International revenue share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10.9%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14.9%</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Revenue / GTV proxy (basis points)</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36.3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29.1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15.8</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Company data books / prospectus; values rounded. Revenue/GTV is the author’s broad ratio, not a company take-rate KPI. GTV categories may overlap. [1,3]</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5.4 | Platform activity scaled faster than recognized revenue</w:t>
      </w:r>
    </w:p>
    <w:p>
      <w:pPr>
        <w:keepLines/>
        <w:spacing w:after="40" w:line="240" w:lineRule="auto"/>
        <w:jc w:val="center"/>
      </w:pPr>
      <w:r>
        <w:drawing>
          <wp:inline xmlns:a="http://schemas.openxmlformats.org/drawingml/2006/main" xmlns:pic="http://schemas.openxmlformats.org/drawingml/2006/picture">
            <wp:extent cx="5120640" cy="2094807"/>
            <wp:docPr id="6" name="Picture 6" descr="Indexed series show revenue increasing to about 170 by FY26 while platform GTV rises to about 390." title="Figure 5.4 | Platform activity scaled faster than recognized revenue"/>
            <wp:cNvGraphicFramePr>
              <a:graphicFrameLocks noChangeAspect="1"/>
            </wp:cNvGraphicFramePr>
            <a:graphic>
              <a:graphicData uri="http://schemas.openxmlformats.org/drawingml/2006/picture">
                <pic:pic>
                  <pic:nvPicPr>
                    <pic:cNvPr id="0" name="fig_index.png"/>
                    <pic:cNvPicPr/>
                  </pic:nvPicPr>
                  <pic:blipFill>
                    <a:blip r:embed="rId20"/>
                    <a:stretch>
                      <a:fillRect/>
                    </a:stretch>
                  </pic:blipFill>
                  <pic:spPr>
                    <a:xfrm>
                      <a:off x="0" y="0"/>
                      <a:ext cx="5120640" cy="2094807"/>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FY23–FY26 company revenue and GTV series [1–3]. Both series indexed to FY23 = 100; the indexed lines are not the same economic measure.</w:t>
      </w:r>
    </w:p>
    <w:p>
      <w:pPr>
        <w:spacing w:after="100" w:line="360" w:lineRule="auto"/>
        <w:jc w:val="both"/>
      </w:pPr>
      <w:r>
        <w:rPr>
          <w:rFonts w:ascii="Times New Roman" w:hAnsi="Times New Roman" w:eastAsia="Times New Roman" w:cs="Times New Roman"/>
          <w:color w:val="000000"/>
          <w:sz w:val="24"/>
          <w:szCs w:val="24"/>
        </w:rPr>
        <w:t>Revenue divided by reported platform GTV gives a broad proxy of about 36 basis points in FY23, 29 in FY24, 20 in FY25 and 16 in FY26. This decline does not prove that like-for-like contractual pricing fell. The numerator and denominator cover different product mixes and definitions; subscription, prepaid / distribution and other income need not share the same activity base. The ratio is a prompt to investigate monetization and mix, not a reported take rate. [1,3]</w:t>
      </w:r>
    </w:p>
    <w:p>
      <w:pPr>
        <w:spacing w:after="100" w:line="360" w:lineRule="auto"/>
        <w:jc w:val="both"/>
      </w:pPr>
      <w:r>
        <w:rPr>
          <w:rFonts w:ascii="Times New Roman" w:hAnsi="Times New Roman" w:eastAsia="Times New Roman" w:cs="Times New Roman"/>
          <w:color w:val="000000"/>
          <w:sz w:val="24"/>
          <w:szCs w:val="24"/>
        </w:rPr>
        <w:t>A stronger public KPI set would disclose consistent revenue per active DCP / merchant, active-device rates, product-level net revenue and contribution, cohort retention, cost to serve, and cash conversion by segment. These measures would help distinguish productive scale from low-yield volume growth.</w:t>
      </w:r>
    </w:p>
    <w:p>
      <w:bookmarkStart w:id="37" w:name="toc_5_8"/>
      <w:pPr>
        <w:pStyle w:val="Heading2"/>
        <w:keepNext/>
        <w:spacing w:before="200" w:after="110" w:line="240" w:lineRule="auto"/>
        <w:jc w:val="left"/>
      </w:pPr>
      <w:r>
        <w:rPr>
          <w:rFonts w:ascii="Times New Roman" w:hAnsi="Times New Roman" w:eastAsia="Times New Roman" w:cs="Times New Roman"/>
          <w:b/>
          <w:i w:val="0"/>
          <w:color w:val="000000"/>
          <w:sz w:val="24"/>
          <w:szCs w:val="24"/>
        </w:rPr>
        <w:t>5.8 DUPONT ANALYSIS</w:t>
      </w:r>
      <w:bookmarkEnd w:id="37"/>
    </w:p>
    <w:p>
      <w:pPr>
        <w:spacing w:after="100" w:line="360" w:lineRule="auto"/>
        <w:jc w:val="both"/>
      </w:pPr>
      <w:r>
        <w:rPr>
          <w:rFonts w:ascii="Times New Roman" w:hAnsi="Times New Roman" w:eastAsia="Times New Roman" w:cs="Times New Roman"/>
          <w:color w:val="000000"/>
          <w:sz w:val="24"/>
          <w:szCs w:val="24"/>
        </w:rPr>
        <w:t>The three-factor DuPont identity decomposes ROE into net profit margin × revenue / average assets × average assets / average equity. It helps identify whether changes in shareholder returns are driven by profitability, asset efficiency or leverage; it does not correct for merger restatements, equity issuance or restrictions on cash. [15]</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5.9 | DuPont decomposition</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rPr>
          <w:tblHeader w:val="true"/>
          <w:cantSplit/>
        </w:trPr>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Component</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FY24</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FY25</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FY26</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Net profit margin</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(19.32%)</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(6.40%)</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4.15%</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Revenue / average assets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0.186×</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0.223×</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0.226×</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Average assets / average equity</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2.61×</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2.89×</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2.55×</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shd w:fill="D9E2F3" w:val="clear" w:color="auto"/>
          </w:tcPr>
          <w:p>
            <w:pPr>
              <w:spacing w:after="0" w:line="240" w:lineRule="auto" w:before="0"/>
              <w:jc w:val="center"/>
            </w:pPr>
            <w:r>
              <w:rPr>
                <w:rFonts w:ascii="Times New Roman" w:hAnsi="Times New Roman" w:eastAsia="Times New Roman" w:cs="Times New Roman"/>
                <w:b/>
                <w:color w:val="000000"/>
                <w:sz w:val="19"/>
                <w:szCs w:val="19"/>
              </w:rPr>
              <w:t>ROE from DuPont</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shd w:fill="D9E2F3" w:val="clear" w:color="auto"/>
          </w:tcPr>
          <w:p>
            <w:pPr>
              <w:spacing w:after="0" w:line="240" w:lineRule="auto" w:before="0"/>
              <w:jc w:val="center"/>
            </w:pPr>
            <w:r>
              <w:rPr>
                <w:rFonts w:ascii="Times New Roman" w:hAnsi="Times New Roman" w:eastAsia="Times New Roman" w:cs="Times New Roman"/>
                <w:b/>
                <w:color w:val="000000"/>
                <w:sz w:val="19"/>
                <w:szCs w:val="19"/>
              </w:rPr>
              <w:t>(9.39%)</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shd w:fill="D9E2F3" w:val="clear" w:color="auto"/>
          </w:tcPr>
          <w:p>
            <w:pPr>
              <w:spacing w:after="0" w:line="240" w:lineRule="auto" w:before="0"/>
              <w:jc w:val="center"/>
            </w:pPr>
            <w:r>
              <w:rPr>
                <w:rFonts w:ascii="Times New Roman" w:hAnsi="Times New Roman" w:eastAsia="Times New Roman" w:cs="Times New Roman"/>
                <w:b/>
                <w:color w:val="000000"/>
                <w:sz w:val="19"/>
                <w:szCs w:val="19"/>
              </w:rPr>
              <w:t>(4.13%)</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shd w:fill="D9E2F3" w:val="clear" w:color="auto"/>
          </w:tcPr>
          <w:p>
            <w:pPr>
              <w:spacing w:after="0" w:line="240" w:lineRule="auto" w:before="0"/>
              <w:jc w:val="center"/>
            </w:pPr>
            <w:r>
              <w:rPr>
                <w:rFonts w:ascii="Times New Roman" w:hAnsi="Times New Roman" w:eastAsia="Times New Roman" w:cs="Times New Roman"/>
                <w:b/>
                <w:color w:val="000000"/>
                <w:sz w:val="19"/>
                <w:szCs w:val="19"/>
              </w:rPr>
              <w:t>2.39%</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Author calculation using reported PAT, revenue and opening / closing consolidated balance-sheet figures. [1,2]</w:t>
      </w:r>
    </w:p>
    <w:p>
      <w:pPr>
        <w:spacing w:after="100" w:line="360" w:lineRule="auto"/>
        <w:jc w:val="both"/>
      </w:pPr>
      <w:r>
        <w:rPr>
          <w:rFonts w:ascii="Times New Roman" w:hAnsi="Times New Roman" w:eastAsia="Times New Roman" w:cs="Times New Roman"/>
          <w:color w:val="000000"/>
          <w:sz w:val="24"/>
          <w:szCs w:val="24"/>
        </w:rPr>
        <w:t>FY24 and FY25 losses drove negative ROE. FY26 moved to positive ROE of about 2.4%, mostly because PAT margin turned positive; asset turnover was broadly stable near 0.23× and the average equity multiplier declined from 2.89× to 2.55×. Lower leverage reduces balance-sheet risk, but sustained improvement in ROE must come through stronger margins and/or asset productivity rather than debt alone. Post-IPO equity expansion means FY26 ROE is not a mature steady-state return. [1,2]</w:t>
      </w:r>
    </w:p>
    <w:p>
      <w:bookmarkStart w:id="38" w:name="toc_5_9"/>
      <w:pPr>
        <w:pStyle w:val="Heading2"/>
        <w:keepNext/>
        <w:spacing w:before="200" w:after="110" w:line="240" w:lineRule="auto"/>
        <w:jc w:val="left"/>
      </w:pPr>
      <w:r>
        <w:rPr>
          <w:rFonts w:ascii="Times New Roman" w:hAnsi="Times New Roman" w:eastAsia="Times New Roman" w:cs="Times New Roman"/>
          <w:b/>
          <w:i w:val="0"/>
          <w:color w:val="000000"/>
          <w:sz w:val="24"/>
          <w:szCs w:val="24"/>
        </w:rPr>
        <w:t>5.9 PEER CONTEXT AND VALUATION</w:t>
      </w:r>
      <w:bookmarkEnd w:id="38"/>
    </w:p>
    <w:p>
      <w:pPr>
        <w:spacing w:after="100" w:line="360" w:lineRule="auto"/>
        <w:jc w:val="both"/>
      </w:pPr>
      <w:r>
        <w:rPr>
          <w:rFonts w:ascii="Times New Roman" w:hAnsi="Times New Roman" w:eastAsia="Times New Roman" w:cs="Times New Roman"/>
          <w:color w:val="000000"/>
          <w:sz w:val="24"/>
          <w:szCs w:val="24"/>
        </w:rPr>
        <w:t>The peer set is qualitative. Before comparing multiples, an analyst should align business mix, reporting periods, accounting, gross-versus-net revenue, ESOPs, exceptional items, cash restrictions, debt, share count and price date. Where comparable public data are unavailable, a qualitative position matrix is more defensible than a precise but misleading multiple. [1,5,14]</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5.10 | Peer-comparison readiness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Dimension</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Question before comparing</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Potential distortion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Business mix</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Do companies earn from similar products and customers?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Different unit economics.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 basis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Are recognized revenue and GTV defined consistently?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Misleading P/S or take-rate comparison.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Profit quality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Are ESOPs, exceptional items and acquisitions treated consistently?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False margin / earnings gap.</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Capital structure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Are leases, restricted cash and dilution aligned?</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Incorrect equity / enterprise value.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Period and date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Do reporting periods and share-price dates match?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Stale or mixed-date multiples.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Analyst method; no unsupported peer financial values are introduced.</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5.11 | Illustrative valuation snapshot as at 1 October 2026</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Item</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Value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Method / caveat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BSE closing price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₹167.55</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 October 2026 close. [11]</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Paid-up shares / capital proxy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~115.39 crore shares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₹115.39 crore paid-up equity capital at 30 June 2026; ₹1 face value; rounded basic count. [5]</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equity value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~₹19,334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Price × approximate paid-up shares; not fully diluted.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LTM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₹2,831.60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 Q1 FY27 − Q1 FY26.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LTM PAT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₹127.29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 Q1 FY27 − Q1 FY26.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P/S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~6.83×</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Approximate market value / LTM revenue.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P/E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~152×</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Approximate market value / LTM PAT; early earnings base.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P/B</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~3.28×</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Approximate market value / FY26 closing equity; mixed-date.</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Author calculations from BSE price, company interim paid-up capital and results. These are not company-published multiples; rounded share count excludes potential dilution. [2,5,11]</w:t>
      </w:r>
    </w:p>
    <w:p>
      <w:pPr>
        <w:spacing w:after="100" w:line="360" w:lineRule="auto"/>
        <w:jc w:val="both"/>
      </w:pPr>
      <w:r>
        <w:rPr>
          <w:rFonts w:ascii="Times New Roman" w:hAnsi="Times New Roman" w:eastAsia="Times New Roman" w:cs="Times New Roman"/>
          <w:color w:val="000000"/>
          <w:sz w:val="24"/>
          <w:szCs w:val="24"/>
        </w:rPr>
        <w:t>The LTM calculations are revenue = ₹2,710.59 crore + ₹736.92 crore − ₹615.91 crore = ₹2,831.60 crore and PAT = ₹112.51 crore + ₹19.57 crore − ₹4.79 crore = ₹127.29 crore. The market-cap proxy is approximately ₹19,333.6 crore. The 1 October close was about 24.2% below the ₹221 IPO issue price; this is a price comparison, not a total-return calculation and excludes dividends / corporate actions. [1,2,5,11]</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5.5 | BSE price range and IPO issue-price reference</w:t>
      </w:r>
    </w:p>
    <w:p>
      <w:pPr>
        <w:keepLines/>
        <w:spacing w:after="40" w:line="240" w:lineRule="auto"/>
        <w:jc w:val="center"/>
      </w:pPr>
      <w:r>
        <w:drawing>
          <wp:inline xmlns:a="http://schemas.openxmlformats.org/drawingml/2006/main" xmlns:pic="http://schemas.openxmlformats.org/drawingml/2006/picture">
            <wp:extent cx="5120640" cy="1678526"/>
            <wp:docPr id="7" name="Picture 7" descr="Price-range graphic marks 52-week low ₹134.75, close ₹167.55, IPO price ₹221 and 52-week high ₹283.70." title="Figure 5.5 | BSE price range and IPO issue-price reference"/>
            <wp:cNvGraphicFramePr>
              <a:graphicFrameLocks noChangeAspect="1"/>
            </wp:cNvGraphicFramePr>
            <a:graphic>
              <a:graphicData uri="http://schemas.openxmlformats.org/drawingml/2006/picture">
                <pic:pic>
                  <pic:nvPicPr>
                    <pic:cNvPr id="0" name="fig_price_range.png"/>
                    <pic:cNvPicPr/>
                  </pic:nvPicPr>
                  <pic:blipFill>
                    <a:blip r:embed="rId21"/>
                    <a:stretch>
                      <a:fillRect/>
                    </a:stretch>
                  </pic:blipFill>
                  <pic:spPr>
                    <a:xfrm>
                      <a:off x="0" y="0"/>
                      <a:ext cx="5120640" cy="1678526"/>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BSE quote page and Pine Labs prospectus [1,11]. Dated 1 October 2026; range is not a forecast interval.</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5.12 | Simplified P/B sensitivity (illustrative assumptions)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Sustainable ROE assumption</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Illustrative P/B at Ke = 12%, g = 4%</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12%</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1.00×</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16%</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1.50×</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20%</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2.00×</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24%</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2.50×</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30%</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3.25×</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Author calculation using P/B = (sustainable ROE − g) / (cost of equity − g). Assumptions are illustrative, not a Pine Labs forecast. [15]</w:t>
      </w:r>
    </w:p>
    <w:p>
      <w:pPr>
        <w:spacing w:after="100" w:line="360" w:lineRule="auto"/>
        <w:jc w:val="both"/>
      </w:pPr>
      <w:r>
        <w:rPr>
          <w:rFonts w:ascii="Times New Roman" w:hAnsi="Times New Roman" w:eastAsia="Times New Roman" w:cs="Times New Roman"/>
          <w:color w:val="000000"/>
          <w:sz w:val="24"/>
          <w:szCs w:val="24"/>
        </w:rPr>
        <w:t>The P/B snapshot of approximately 3.28× is close to the illustrative 30% sustainable-ROE case, compared with reported FY26 ROE of about 2.4%. The comparison is an expectation test, not proof that 30% ROE will occur. The indicative LTM P/E is high and sensitive to the small earnings base; P/S also requires sustained growth and/or improved net margins. A reliable enterprise-value multiple would require a careful bridge for restricted cash, settlement balances, debt, leases and dilution. A DCF target is not calculated because cash conversion is settlement-sensitive and a forecast would require unsupported assumptions.</w:t>
      </w:r>
    </w:p>
    <w:p>
      <w:pPr>
        <w:spacing w:after="100" w:line="360" w:lineRule="auto"/>
        <w:jc w:val="both"/>
      </w:pPr>
      <w:r>
        <w:rPr>
          <w:rFonts w:ascii="Times New Roman" w:hAnsi="Times New Roman" w:eastAsia="Times New Roman" w:cs="Times New Roman"/>
          <w:color w:val="000000"/>
          <w:sz w:val="24"/>
          <w:szCs w:val="24"/>
        </w:rPr>
        <w:t>A technical price study is not presented. RSI, MACD, moving averages, support / resistance, beta and volatility were not computed because a validated, corporate-action-adjusted daily price series was not assembled. The chart is a dated range snapshot, not a trading recommendation.</w:t>
      </w:r>
    </w:p>
    <w:p>
      <w:bookmarkStart w:id="39" w:name="toc_5_10"/>
      <w:pPr>
        <w:pStyle w:val="Heading2"/>
        <w:keepNext/>
        <w:spacing w:before="200" w:after="110" w:line="240" w:lineRule="auto"/>
        <w:jc w:val="left"/>
      </w:pPr>
      <w:r>
        <w:rPr>
          <w:rFonts w:ascii="Times New Roman" w:hAnsi="Times New Roman" w:eastAsia="Times New Roman" w:cs="Times New Roman"/>
          <w:b/>
          <w:i w:val="0"/>
          <w:color w:val="000000"/>
          <w:sz w:val="24"/>
          <w:szCs w:val="24"/>
        </w:rPr>
        <w:t>5.10 RISK ANALYSIS</w:t>
      </w:r>
      <w:bookmarkEnd w:id="39"/>
    </w:p>
    <w:p>
      <w:pPr>
        <w:pStyle w:val="Caption"/>
        <w:keepNext/>
        <w:spacing w:before="140" w:after="70" w:line="240" w:lineRule="auto"/>
        <w:jc w:val="center"/>
      </w:pPr>
      <w:r>
        <w:rPr>
          <w:rFonts w:ascii="Times New Roman" w:hAnsi="Times New Roman" w:eastAsia="Times New Roman" w:cs="Times New Roman"/>
          <w:b/>
          <w:color w:val="000000"/>
          <w:sz w:val="22"/>
          <w:szCs w:val="22"/>
        </w:rPr>
        <w:t>Table 5.13 | Principal risk register (qualitative)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Risk</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Likelihood</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Impact</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Evidence / exposure</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Monitoring / response</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Regulation / licence perimeter</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Rules for payments, stored value, cross-border activity and customer funds vary by entity / product.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Map permissions and responsibilities; monitor RBI directions and audit findings.</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Cybersecurity / service continuity</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Outage, data incident or fraud spike can affect customers, settlement and reputation.</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Track uptime, incidents, recovery tests, fraud loss and third-party resilience.</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Fee compression / monetization</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GTV expands faster than recognized revenue; UPI and competing providers can pressure pricing.</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Monitor product-level yield, active DCPs, contribution and renewal economics.</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Customer / partner concentration</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Top ten customers were 30.95% of FY25 revenue; this is prospectus-dated.</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Update current concentration, churn, renewal and bank / network dependencies.</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Cash conversion / settlement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CFO is volatile; prepaid balances and early settlement affect reporting.</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Reconcile restricted cash, receivables, payables, prepaid liabilities and normalized CFO.</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Acquisition integration</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Several acquisitions / product additions create integration and impairment risk.</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Track retention, synergies, integration spend and acquired cash contribution.</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International execution / FX</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Local licensing, settlement, currency and partner requirements add complexity.</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Review region-level revenue, contribution, FX and regulatory status.</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Dilution / incentives</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Medium</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ESOPs and equity conversions affect fully diluted share count.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Reconcile grants, compensation expense and diluted shares.</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Valuation / expectations</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High</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High indicative P/E and P/S reduce tolerance for growth or cash-flow disappointment.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Stress-test scenarios; distinguish business quality from entry valuation.</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Ratings are author judgements, not company ratings or quantitative probabilities. Customer concentration is the FY25 prospectus disclosure. [1,2,5,11]</w:t>
      </w:r>
    </w:p>
    <w:p>
      <w:pPr>
        <w:spacing w:after="100" w:line="360" w:lineRule="auto"/>
        <w:jc w:val="both"/>
      </w:pPr>
      <w:r>
        <w:rPr>
          <w:rFonts w:ascii="Times New Roman" w:hAnsi="Times New Roman" w:eastAsia="Times New Roman" w:cs="Times New Roman"/>
          <w:color w:val="000000"/>
          <w:sz w:val="24"/>
          <w:szCs w:val="24"/>
        </w:rPr>
        <w:t>The two risks most capable of changing the thesis are monetization / margin quality and cash conversion. A platform can add activity while earning low or declining revenue per unit; positive earnings can also fail to translate into repeatable operating cash if settlement and customer-programme balances remain volatile. Regulation, cyber resilience, customer concentration and acquisition returns are additional material risks.</w:t>
      </w:r>
    </w:p>
    <w:p>
      <w:bookmarkStart w:id="40" w:name="toc_5_11"/>
      <w:pPr>
        <w:pStyle w:val="Heading2"/>
        <w:keepNext/>
        <w:spacing w:before="200" w:after="110" w:line="240" w:lineRule="auto"/>
        <w:jc w:val="left"/>
      </w:pPr>
      <w:r>
        <w:rPr>
          <w:rFonts w:ascii="Times New Roman" w:hAnsi="Times New Roman" w:eastAsia="Times New Roman" w:cs="Times New Roman"/>
          <w:b/>
          <w:i w:val="0"/>
          <w:color w:val="000000"/>
          <w:sz w:val="24"/>
          <w:szCs w:val="24"/>
        </w:rPr>
        <w:t>5.11 ESG AND RESPONSIBLE FINTECH</w:t>
      </w:r>
      <w:bookmarkEnd w:id="40"/>
    </w:p>
    <w:p>
      <w:pPr>
        <w:pStyle w:val="Caption"/>
        <w:keepNext/>
        <w:spacing w:before="140" w:after="70" w:line="240" w:lineRule="auto"/>
        <w:jc w:val="center"/>
      </w:pPr>
      <w:r>
        <w:rPr>
          <w:rFonts w:ascii="Times New Roman" w:hAnsi="Times New Roman" w:eastAsia="Times New Roman" w:cs="Times New Roman"/>
          <w:b/>
          <w:color w:val="000000"/>
          <w:sz w:val="22"/>
          <w:szCs w:val="22"/>
        </w:rPr>
        <w:t>Table 5.14 | ESG and stakeholder diligence agenda</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Dimension</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Potential benefit / exposure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Evidence gap or useful metric</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Environment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Terminal fleet, device logistics, cloud / data workloads and e-waste.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Scope 1–3 emissions, energy per transaction, repair / refurbishment and certified recycling.</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Social — merchants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acceptance can broaden access to formal commerce.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Small-merchant activation, settlement timeliness, service access and complaint resolution.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Social — users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Convenient payments and affordability choices.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Fraud loss, accessibility, consent, grievance time and clear lender identification.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People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Technology and field-service roles support platform growth.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Workforce composition, safety, training, contractor coverage and turnover.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Governance / trust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Technology scale and disclosed performance can support accountability.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Cyber incidents, uptime, recovery tests, privacy, AI oversight and KPI consistency.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Capital allocation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Acquisitions may add products and distribution.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Integration and return metrics, ESOP dilution, impairment and board oversight.</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Author recommendations; this report does not assign an ESG score or claim independent assurance.</w:t>
      </w:r>
    </w:p>
    <w:p>
      <w:pPr>
        <w:spacing w:after="100" w:line="360" w:lineRule="auto"/>
        <w:jc w:val="both"/>
      </w:pPr>
      <w:r>
        <w:rPr>
          <w:rFonts w:ascii="Times New Roman" w:hAnsi="Times New Roman" w:eastAsia="Times New Roman" w:cs="Times New Roman"/>
          <w:color w:val="000000"/>
          <w:sz w:val="24"/>
          <w:szCs w:val="24"/>
        </w:rPr>
        <w:t>A payments-technology company has a physical footprint through terminals, accessories, logistics and end-of-life devices, as well as digital infrastructure and office energy. The reviewed disclosures do not provide a complete independently assured emissions inventory or verified device take-back rate; no ESG performance score is assigned. Responsible fintech also requires clear consent, fair treatment, secure handling of data, partner accountability and accessible grievance routes. [1,5]</w:t>
      </w:r>
    </w:p>
    <w:p>
      <w:bookmarkStart w:id="41" w:name="toc_5_12"/>
      <w:pPr>
        <w:pStyle w:val="Heading2"/>
        <w:keepNext/>
        <w:spacing w:before="200" w:after="110" w:line="240" w:lineRule="auto"/>
        <w:jc w:val="left"/>
      </w:pPr>
      <w:r>
        <w:rPr>
          <w:rFonts w:ascii="Times New Roman" w:hAnsi="Times New Roman" w:eastAsia="Times New Roman" w:cs="Times New Roman"/>
          <w:b/>
          <w:i w:val="0"/>
          <w:color w:val="000000"/>
          <w:sz w:val="24"/>
          <w:szCs w:val="24"/>
        </w:rPr>
        <w:t>5.12 THESIS-MONITORING DASHBOARD</w:t>
      </w:r>
      <w:bookmarkEnd w:id="41"/>
    </w:p>
    <w:p>
      <w:pPr>
        <w:pStyle w:val="Caption"/>
        <w:keepNext/>
        <w:spacing w:before="140" w:after="70" w:line="240" w:lineRule="auto"/>
        <w:jc w:val="center"/>
      </w:pPr>
      <w:r>
        <w:rPr>
          <w:rFonts w:ascii="Times New Roman" w:hAnsi="Times New Roman" w:eastAsia="Times New Roman" w:cs="Times New Roman"/>
          <w:b/>
          <w:color w:val="000000"/>
          <w:sz w:val="22"/>
          <w:szCs w:val="22"/>
        </w:rPr>
        <w:t>Table 5.15 | Quarterly indicators that can confirm or challenge the thesis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Indicator</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What it tests</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Follow-up question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 growth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Recognized business expansion.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Does growth persist across DITP / IAP and geographies?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Contribution / adjusted EBITDA margin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Direct and operating cost leverage.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Is movement mix-driven, investment-led or structural?</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 and operating cash flow</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Bottom-line profitability and conversion.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Do cash receipts and settlement timing support earnings?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GTV / revenue proxy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Activity and monetization.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Are denominator / product definitions still comparable?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DCPs / transactions / merchants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Network scale and use.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Are more points active and producing repeat activity?</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International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Geographic diversification.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Are new corridors profitable after service and compliance cost?</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Acquisitions / dilution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Capital allocation and per-share value.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Do acquired capabilities contribute; how does diluted share count change?</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Company KPI books [3,6]; monitoring questions designed by the author. Public data may not disclose every indicator.</w:t>
      </w:r>
    </w:p>
    <w:p>
      <w:pPr>
        <w:spacing w:after="100" w:line="360" w:lineRule="auto"/>
        <w:jc w:val="both"/>
      </w:pPr>
      <w:r>
        <w:rPr>
          <w:rFonts w:ascii="Times New Roman" w:hAnsi="Times New Roman" w:eastAsia="Times New Roman" w:cs="Times New Roman"/>
          <w:color w:val="000000"/>
          <w:sz w:val="24"/>
          <w:szCs w:val="24"/>
        </w:rPr>
        <w:t>A balanced dashboard reads revenue, margin, PAT, cash flow and activity together. GTV growth without comparable revenue yield may indicate mix or definition changes; revenue growth with weak contribution can indicate a costly mix; positive PAT with weak CFO raises conversion questions. Margin recovery is more persuasive when accompanied by durable customer activity, recurring revenue and better cash conversion.</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CHAPTER 6</w:t>
      </w:r>
    </w:p>
    <w:p>
      <w:bookmarkStart w:id="42" w:name="toc_ch6"/>
      <w:pPr>
        <w:pStyle w:val="Heading1"/>
        <w:keepNext/>
        <w:spacing w:before="0" w:after="260" w:line="240" w:lineRule="auto"/>
        <w:jc w:val="center"/>
      </w:pPr>
      <w:r>
        <w:rPr>
          <w:rFonts w:ascii="Times New Roman" w:hAnsi="Times New Roman" w:eastAsia="Times New Roman" w:cs="Times New Roman"/>
          <w:b/>
          <w:i w:val="0"/>
          <w:color w:val="000000"/>
          <w:sz w:val="28"/>
          <w:szCs w:val="28"/>
        </w:rPr>
        <w:t>6. FINDINGS, SUGGESTIONS AND CONCLUSION</w:t>
      </w:r>
      <w:bookmarkEnd w:id="42"/>
    </w:p>
    <w:p>
      <w:pPr>
        <w:keepNext/>
        <w:spacing w:after="260" w:before="0" w:line="276" w:lineRule="auto"/>
        <w:jc w:val="center"/>
      </w:pPr>
      <w:r>
        <w:rPr>
          <w:rFonts w:ascii="Times New Roman" w:hAnsi="Times New Roman" w:eastAsia="Times New Roman" w:cs="Times New Roman"/>
          <w:i/>
          <w:color w:val="000000"/>
          <w:sz w:val="20"/>
          <w:szCs w:val="20"/>
        </w:rPr>
        <w:t>Evidence-led synthesis and practical priorities</w:t>
      </w:r>
    </w:p>
    <w:p>
      <w:bookmarkStart w:id="43" w:name="toc_6_1"/>
      <w:pPr>
        <w:pStyle w:val="Heading2"/>
        <w:keepNext/>
        <w:spacing w:before="200" w:after="110" w:line="240" w:lineRule="auto"/>
        <w:jc w:val="left"/>
      </w:pPr>
      <w:r>
        <w:rPr>
          <w:rFonts w:ascii="Times New Roman" w:hAnsi="Times New Roman" w:eastAsia="Times New Roman" w:cs="Times New Roman"/>
          <w:b/>
          <w:i w:val="0"/>
          <w:color w:val="000000"/>
          <w:sz w:val="24"/>
          <w:szCs w:val="24"/>
        </w:rPr>
        <w:t>6.1 MAJOR FINDINGS</w:t>
      </w:r>
      <w:bookmarkEnd w:id="43"/>
    </w:p>
    <w:p>
      <w:pPr>
        <w:pStyle w:val="Caption"/>
        <w:keepNext/>
        <w:spacing w:before="140" w:after="70" w:line="240" w:lineRule="auto"/>
        <w:jc w:val="center"/>
      </w:pPr>
      <w:r>
        <w:rPr>
          <w:rFonts w:ascii="Times New Roman" w:hAnsi="Times New Roman" w:eastAsia="Times New Roman" w:cs="Times New Roman"/>
          <w:b/>
          <w:color w:val="000000"/>
          <w:sz w:val="22"/>
          <w:szCs w:val="22"/>
        </w:rPr>
        <w:t>Table 6.1 | Consolidated findings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Theme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Finding</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Evidence and implication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Business model</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Broad merchant and institutional technology platform across acceptance, affordability, prepaid / issuing and fintech infrastructure.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Two-platform design creates cross-sell potential; contractual monetization, not GTV alone, creates revenue. [1,5]</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Scale and growth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FY23–FY26 revenue CAGR ~19.3%; GTV rose from ₹4.40 lakh crore to ₹17.15 lakh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Activity scaled faster than recognized revenue; study yield, mix and product economics. [1–3]</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Profitability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was first positive PAT in the cited restated / audited series; Q1 FY27 remained positive.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Promising inflection; contribution and adjusted EBITDA margins softened in Q1 FY27. [2,5,6]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Balance sheet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Borrowings excluding leases declined and reported equity increased after listing.</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Financial flexibility improved, but not all bank balances are unrestricted. [2]</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conversion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FY25 / FY26 annual CFO turned positive after earlier outflows; Q1 FY27 basis is sensitive to early settlement.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conversion is not yet established as a stable run-rate. [1,2,5,6]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Diversification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IAP grew faster than DITP in FY26 / Q1 FY27; international revenue is material.</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Diversification broadens opportunities but adds mix, regulatory and execution complexity. [2,3,5,6]</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Valuation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market value ~₹19,334 crore; about 6.8× LTM sales and 152× LTM PAT at 1 Oct 2026.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Price depends on continued growth, sustainable margins, returns and cash generation; multiples are approximate. [2,5,11]</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Author synthesis of the evidence in Chapters 3–5. All valuation measures are author calculations, not published company multiples.</w:t>
      </w:r>
    </w:p>
    <w:p>
      <w:bookmarkStart w:id="44" w:name="toc_6_2"/>
      <w:pPr>
        <w:pStyle w:val="Heading2"/>
        <w:keepNext/>
        <w:spacing w:before="200" w:after="110" w:line="240" w:lineRule="auto"/>
        <w:jc w:val="left"/>
      </w:pPr>
      <w:r>
        <w:rPr>
          <w:rFonts w:ascii="Times New Roman" w:hAnsi="Times New Roman" w:eastAsia="Times New Roman" w:cs="Times New Roman"/>
          <w:b/>
          <w:i w:val="0"/>
          <w:color w:val="000000"/>
          <w:sz w:val="24"/>
          <w:szCs w:val="24"/>
        </w:rPr>
        <w:t>6.2 SUGGESTIONS</w:t>
      </w:r>
      <w:bookmarkEnd w:id="44"/>
    </w:p>
    <w:p>
      <w:pPr>
        <w:spacing w:after="100" w:line="360" w:lineRule="auto"/>
        <w:jc w:val="both"/>
      </w:pPr>
      <w:r>
        <w:rPr>
          <w:rFonts w:ascii="Times New Roman" w:hAnsi="Times New Roman" w:eastAsia="Times New Roman" w:cs="Times New Roman"/>
          <w:color w:val="000000"/>
          <w:sz w:val="24"/>
          <w:szCs w:val="24"/>
        </w:rPr>
        <w:t>Suggestions for Pine Labs (analyst recommendations):</w:t>
      </w:r>
    </w:p>
    <w:p>
      <w:pPr>
        <w:pStyle w:val="ListNumber"/>
        <w:spacing w:after="100" w:line="360" w:lineRule="auto"/>
        <w:jc w:val="both"/>
      </w:pPr>
      <w:r>
        <w:rPr>
          <w:rFonts w:ascii="Times New Roman" w:hAnsi="Times New Roman" w:eastAsia="Times New Roman" w:cs="Times New Roman"/>
          <w:color w:val="000000"/>
          <w:sz w:val="24"/>
          <w:szCs w:val="24"/>
        </w:rPr>
        <w:t>Publish a consistent product-level bridge from GTV to recognized revenue and contribution, including active DCPs, monetization yield and direct cost by major product.</w:t>
      </w:r>
    </w:p>
    <w:p>
      <w:pPr>
        <w:pStyle w:val="ListNumber"/>
        <w:spacing w:after="100" w:line="360" w:lineRule="auto"/>
        <w:jc w:val="both"/>
      </w:pPr>
      <w:r>
        <w:rPr>
          <w:rFonts w:ascii="Times New Roman" w:hAnsi="Times New Roman" w:eastAsia="Times New Roman" w:cs="Times New Roman"/>
          <w:color w:val="000000"/>
          <w:sz w:val="24"/>
          <w:szCs w:val="24"/>
        </w:rPr>
        <w:t>Provide a quarterly cash-conversion reconciliation that separates customer / settlement balances, restricted deposits and early-settlement effects from unrestricted operating cash.</w:t>
      </w:r>
    </w:p>
    <w:p>
      <w:pPr>
        <w:pStyle w:val="ListNumber"/>
        <w:spacing w:after="100" w:line="360" w:lineRule="auto"/>
        <w:jc w:val="both"/>
      </w:pPr>
      <w:r>
        <w:rPr>
          <w:rFonts w:ascii="Times New Roman" w:hAnsi="Times New Roman" w:eastAsia="Times New Roman" w:cs="Times New Roman"/>
          <w:color w:val="000000"/>
          <w:sz w:val="24"/>
          <w:szCs w:val="24"/>
        </w:rPr>
        <w:t>Protect quality of growth by disclosing recurring versus transactional revenue, customer concentration, retention and product mix as the platform expands.</w:t>
      </w:r>
    </w:p>
    <w:p>
      <w:pPr>
        <w:pStyle w:val="ListNumber"/>
        <w:spacing w:after="100" w:line="360" w:lineRule="auto"/>
        <w:jc w:val="both"/>
      </w:pPr>
      <w:r>
        <w:rPr>
          <w:rFonts w:ascii="Times New Roman" w:hAnsi="Times New Roman" w:eastAsia="Times New Roman" w:cs="Times New Roman"/>
          <w:color w:val="000000"/>
          <w:sz w:val="24"/>
          <w:szCs w:val="24"/>
        </w:rPr>
        <w:t>Use an acquisition scorecard for Agya, Shopflo and other capabilities: consideration, integration cost, customer retention, cross-sell, realized contribution and post-deal cash returns.</w:t>
      </w:r>
    </w:p>
    <w:p>
      <w:pPr>
        <w:pStyle w:val="ListNumber"/>
        <w:spacing w:after="100" w:line="360" w:lineRule="auto"/>
        <w:jc w:val="both"/>
      </w:pPr>
      <w:r>
        <w:rPr>
          <w:rFonts w:ascii="Times New Roman" w:hAnsi="Times New Roman" w:eastAsia="Times New Roman" w:cs="Times New Roman"/>
          <w:color w:val="000000"/>
          <w:sz w:val="24"/>
          <w:szCs w:val="24"/>
        </w:rPr>
        <w:t>Continue strengthening cyber resilience, fraud management, consumer protection, partner accountability and responsible-AI controls as new payment interfaces develop.</w:t>
      </w:r>
    </w:p>
    <w:p>
      <w:pPr>
        <w:pStyle w:val="ListNumber"/>
        <w:spacing w:after="100" w:line="360" w:lineRule="auto"/>
        <w:jc w:val="both"/>
      </w:pPr>
      <w:r>
        <w:rPr>
          <w:rFonts w:ascii="Times New Roman" w:hAnsi="Times New Roman" w:eastAsia="Times New Roman" w:cs="Times New Roman"/>
          <w:color w:val="000000"/>
          <w:sz w:val="24"/>
          <w:szCs w:val="24"/>
        </w:rPr>
        <w:t>Expand environmental reporting for terminal lifecycle, repair and e-waste, and publish measurable service-quality / inclusion indicators for smaller merchants.</w:t>
      </w:r>
    </w:p>
    <w:p>
      <w:pPr>
        <w:spacing w:after="100" w:line="360" w:lineRule="auto"/>
        <w:jc w:val="both"/>
      </w:pPr>
      <w:r>
        <w:rPr>
          <w:rFonts w:ascii="Times New Roman" w:hAnsi="Times New Roman" w:eastAsia="Times New Roman" w:cs="Times New Roman"/>
          <w:color w:val="000000"/>
          <w:sz w:val="24"/>
          <w:szCs w:val="24"/>
        </w:rPr>
        <w:t>Suggestions for investors and future student researchers:</w:t>
      </w:r>
    </w:p>
    <w:p>
      <w:pPr>
        <w:pStyle w:val="ListNumber"/>
        <w:spacing w:after="100" w:line="360" w:lineRule="auto"/>
        <w:jc w:val="both"/>
      </w:pPr>
      <w:r>
        <w:rPr>
          <w:rFonts w:ascii="Times New Roman" w:hAnsi="Times New Roman" w:eastAsia="Times New Roman" w:cs="Times New Roman"/>
          <w:color w:val="000000"/>
          <w:sz w:val="24"/>
          <w:szCs w:val="24"/>
        </w:rPr>
        <w:t>Refresh the price, fully diluted shares, balance-sheet data and financial period on a common date before any valuation update.</w:t>
      </w:r>
    </w:p>
    <w:p>
      <w:pPr>
        <w:pStyle w:val="ListNumber"/>
        <w:spacing w:after="100" w:line="360" w:lineRule="auto"/>
        <w:jc w:val="both"/>
      </w:pPr>
      <w:r>
        <w:rPr>
          <w:rFonts w:ascii="Times New Roman" w:hAnsi="Times New Roman" w:eastAsia="Times New Roman" w:cs="Times New Roman"/>
          <w:color w:val="000000"/>
          <w:sz w:val="24"/>
          <w:szCs w:val="24"/>
        </w:rPr>
        <w:t>Read the audited statements, auditor report and notes—not only shareholder letters or adjusted EBITDA charts.</w:t>
      </w:r>
    </w:p>
    <w:p>
      <w:pPr>
        <w:pStyle w:val="ListNumber"/>
        <w:spacing w:after="100" w:line="360" w:lineRule="auto"/>
        <w:jc w:val="both"/>
      </w:pPr>
      <w:r>
        <w:rPr>
          <w:rFonts w:ascii="Times New Roman" w:hAnsi="Times New Roman" w:eastAsia="Times New Roman" w:cs="Times New Roman"/>
          <w:color w:val="000000"/>
          <w:sz w:val="24"/>
          <w:szCs w:val="24"/>
        </w:rPr>
        <w:t>Compare peers only after aligning geography, regulation, segment mix, accounting and period; mark private-company data as unavailable rather than infer values.</w:t>
      </w:r>
    </w:p>
    <w:p>
      <w:pPr>
        <w:pStyle w:val="ListNumber"/>
        <w:spacing w:after="100" w:line="360" w:lineRule="auto"/>
        <w:jc w:val="both"/>
      </w:pPr>
      <w:r>
        <w:rPr>
          <w:rFonts w:ascii="Times New Roman" w:hAnsi="Times New Roman" w:eastAsia="Times New Roman" w:cs="Times New Roman"/>
          <w:color w:val="000000"/>
          <w:sz w:val="24"/>
          <w:szCs w:val="24"/>
        </w:rPr>
        <w:t>Revisit customer concentration, revenue yield, segment margin and cash conversion after several additional quarters.</w:t>
      </w:r>
    </w:p>
    <w:p>
      <w:pPr>
        <w:pStyle w:val="ListNumber"/>
        <w:spacing w:after="100" w:line="360" w:lineRule="auto"/>
        <w:jc w:val="both"/>
      </w:pPr>
      <w:r>
        <w:rPr>
          <w:rFonts w:ascii="Times New Roman" w:hAnsi="Times New Roman" w:eastAsia="Times New Roman" w:cs="Times New Roman"/>
          <w:color w:val="000000"/>
          <w:sz w:val="24"/>
          <w:szCs w:val="24"/>
        </w:rPr>
        <w:t>Use interviews only with permission, accurate notes, consent and appropriate confidentiality protections.</w:t>
      </w:r>
    </w:p>
    <w:p>
      <w:bookmarkStart w:id="45" w:name="toc_6_3"/>
      <w:pPr>
        <w:pStyle w:val="Heading2"/>
        <w:keepNext/>
        <w:spacing w:before="200" w:after="110" w:line="240" w:lineRule="auto"/>
        <w:jc w:val="left"/>
      </w:pPr>
      <w:r>
        <w:rPr>
          <w:rFonts w:ascii="Times New Roman" w:hAnsi="Times New Roman" w:eastAsia="Times New Roman" w:cs="Times New Roman"/>
          <w:b/>
          <w:i w:val="0"/>
          <w:color w:val="000000"/>
          <w:sz w:val="24"/>
          <w:szCs w:val="24"/>
        </w:rPr>
        <w:t>6.3 CONCLUSION</w:t>
      </w:r>
      <w:bookmarkEnd w:id="45"/>
    </w:p>
    <w:p>
      <w:pPr>
        <w:spacing w:after="100" w:line="360" w:lineRule="auto"/>
        <w:jc w:val="both"/>
      </w:pPr>
      <w:r>
        <w:rPr>
          <w:rFonts w:ascii="Times New Roman" w:hAnsi="Times New Roman" w:eastAsia="Times New Roman" w:cs="Times New Roman"/>
          <w:color w:val="000000"/>
          <w:sz w:val="24"/>
          <w:szCs w:val="24"/>
        </w:rPr>
        <w:t>Pine Labs has built a broad merchant and institutional technology platform in a rapidly digitising payments ecosystem. Its FY26 audited results mark an important transition from a multi-year loss record to positive PAT, with reported profitability continuing in Q1 FY27. Strong transaction scale, a large acceptance footprint and broader product reach are clear strategic assets, but none is sufficient by itself: lasting value depends on repeatable margins, disciplined cash conversion, secure operations, transparent risk allocation and returns on capital.</w:t>
      </w:r>
    </w:p>
    <w:p>
      <w:pPr>
        <w:spacing w:after="100" w:line="360" w:lineRule="auto"/>
        <w:jc w:val="both"/>
      </w:pPr>
      <w:r>
        <w:rPr>
          <w:rFonts w:ascii="Times New Roman" w:hAnsi="Times New Roman" w:eastAsia="Times New Roman" w:cs="Times New Roman"/>
          <w:color w:val="000000"/>
          <w:sz w:val="24"/>
          <w:szCs w:val="24"/>
        </w:rPr>
        <w:t>The available evidence supports a constructive view of Pine Labs’ strategic position, balanced by material risks. The central analytical tension is the gap between very rapid platform-activity growth and slower revenue growth / a declining revenue-to-GTV proxy, alongside a high market valuation relative to recently reported earnings. The next test is not simply further GTV growth; it is converting activity into recurring, profitable and cash-generative revenue. [1–6,11]</w:t>
      </w:r>
    </w:p>
    <w:p>
      <w:bookmarkStart w:id="46" w:name="toc_6_4"/>
      <w:pPr>
        <w:pStyle w:val="Heading2"/>
        <w:keepNext/>
        <w:spacing w:before="200" w:after="110" w:line="240" w:lineRule="auto"/>
        <w:jc w:val="left"/>
      </w:pPr>
      <w:r>
        <w:rPr>
          <w:rFonts w:ascii="Times New Roman" w:hAnsi="Times New Roman" w:eastAsia="Times New Roman" w:cs="Times New Roman"/>
          <w:b/>
          <w:i w:val="0"/>
          <w:color w:val="000000"/>
          <w:sz w:val="24"/>
          <w:szCs w:val="24"/>
        </w:rPr>
        <w:t>6.4 RESEARCHER’S VIEW</w:t>
      </w:r>
      <w:bookmarkEnd w:id="46"/>
    </w:p>
    <w:p>
      <w:pPr>
        <w:spacing w:after="100" w:line="360" w:lineRule="auto"/>
        <w:jc w:val="both"/>
      </w:pPr>
      <w:r>
        <w:rPr>
          <w:rFonts w:ascii="Times New Roman" w:hAnsi="Times New Roman" w:eastAsia="Times New Roman" w:cs="Times New Roman"/>
          <w:color w:val="000000"/>
          <w:sz w:val="24"/>
          <w:szCs w:val="24"/>
        </w:rPr>
        <w:t>As at 3 October 2026, the academic view is “watch / valuation-sensitive.” Pine Labs has scale, multiple monetization channels, established merchant and institutional relationships, a growing IAP contribution and a material international opportunity. FY26 profitability and the Q1 FY27 positive PAT are evidence of progress, while the lower interim margins and settlement-sensitive cash-flow presentation show that earnings quality still needs to be tested over time.</w:t>
      </w:r>
    </w:p>
    <w:p>
      <w:pPr>
        <w:spacing w:after="100" w:line="360" w:lineRule="auto"/>
        <w:jc w:val="both"/>
      </w:pPr>
      <w:r>
        <w:rPr>
          <w:rFonts w:ascii="Times New Roman" w:hAnsi="Times New Roman" w:eastAsia="Times New Roman" w:cs="Times New Roman"/>
          <w:color w:val="000000"/>
          <w:sz w:val="24"/>
          <w:szCs w:val="24"/>
        </w:rPr>
        <w:t>At the dated 1 October 2026 price, the approximate 6.83× LTM P/S and 152× LTM P/E require sustained growth and substantially higher durable returns than the FY26 reported ROE of about 2.4%. These multiples use an approximate basic share count and mixed-date denominators; they are not company-published and are not an intrinsic value estimate. I would look for consistent operating cash conversion, stable contribution and adjusted EBITDA margins, improved revenue per active relationship, transparent diluted shares and measurable acquisition returns before treating the current growth trajectory as durable.</w:t>
      </w:r>
    </w:p>
    <w:p>
      <w:pPr>
        <w:spacing w:after="100" w:line="360" w:lineRule="auto"/>
        <w:jc w:val="both"/>
      </w:pPr>
      <w:r>
        <w:rPr>
          <w:rFonts w:ascii="Times New Roman" w:hAnsi="Times New Roman" w:eastAsia="Times New Roman" w:cs="Times New Roman"/>
          <w:color w:val="000000"/>
          <w:sz w:val="24"/>
          <w:szCs w:val="24"/>
        </w:rPr>
        <w:t>This is an academic synthesis only, not financial advice, a target price or a recommendation to buy or sell. It should be revisited after new audited years and several additional interim periods demonstrate how recognized revenue, contribution, PAT, operating cash flow and fully diluted share count evolve together.</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50" w:type="dxa"/>
              <w:bottom w:w="80" w:type="dxa"/>
              <w:end w:w="150" w:type="dxa"/>
              <w:left w:w="100" w:type="dxa"/>
              <w:right w:w="100" w:type="dxa"/>
            </w:tcMar>
            <w:vAlign w:val="center"/>
          </w:tcPr>
          <w:p>
            <w:pPr>
              <w:spacing w:after="0" w:line="276" w:lineRule="auto" w:before="0"/>
              <w:jc w:val="left"/>
            </w:pPr>
            <w:r>
              <w:rPr>
                <w:rFonts w:ascii="Times New Roman" w:hAnsi="Times New Roman" w:eastAsia="Times New Roman" w:cs="Times New Roman"/>
                <w:b/>
                <w:color w:val="000000"/>
                <w:sz w:val="21"/>
                <w:szCs w:val="21"/>
              </w:rPr>
              <w:t xml:space="preserve">Researcher’s view  </w:t>
            </w:r>
            <w:r>
              <w:rPr>
                <w:rFonts w:ascii="Times New Roman" w:hAnsi="Times New Roman" w:eastAsia="Times New Roman" w:cs="Times New Roman"/>
                <w:color w:val="000000"/>
                <w:sz w:val="21"/>
                <w:szCs w:val="21"/>
              </w:rPr>
              <w:t>Overall view: WATCH / VALUATION-SENSITIVE. The conclusion is conditional on evidence; it is not an investment recommendation.</w:t>
            </w:r>
          </w:p>
        </w:tc>
      </w:tr>
    </w:tbl>
    <w:p>
      <w:pPr>
        <w:spacing w:after="40" w:before="0"/>
      </w:pP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CHAPTER 7</w:t>
      </w:r>
    </w:p>
    <w:p>
      <w:bookmarkStart w:id="47" w:name="toc_ch7"/>
      <w:pPr>
        <w:pStyle w:val="Heading1"/>
        <w:keepNext/>
        <w:spacing w:before="0" w:after="260" w:line="240" w:lineRule="auto"/>
        <w:jc w:val="center"/>
      </w:pPr>
      <w:r>
        <w:rPr>
          <w:rFonts w:ascii="Times New Roman" w:hAnsi="Times New Roman" w:eastAsia="Times New Roman" w:cs="Times New Roman"/>
          <w:b/>
          <w:i w:val="0"/>
          <w:color w:val="000000"/>
          <w:sz w:val="28"/>
          <w:szCs w:val="28"/>
        </w:rPr>
        <w:t>7. LIMITATIONS AND FUTURE SCOPE</w:t>
      </w:r>
      <w:bookmarkEnd w:id="47"/>
    </w:p>
    <w:p>
      <w:pPr>
        <w:keepNext/>
        <w:spacing w:after="260" w:before="0" w:line="276" w:lineRule="auto"/>
        <w:jc w:val="center"/>
      </w:pPr>
      <w:r>
        <w:rPr>
          <w:rFonts w:ascii="Times New Roman" w:hAnsi="Times New Roman" w:eastAsia="Times New Roman" w:cs="Times New Roman"/>
          <w:i/>
          <w:color w:val="000000"/>
          <w:sz w:val="20"/>
          <w:szCs w:val="20"/>
        </w:rPr>
        <w:t>Boundaries of the evidence and a roadmap for stronger follow-up work</w:t>
      </w:r>
    </w:p>
    <w:p>
      <w:bookmarkStart w:id="48" w:name="toc_7_1"/>
      <w:pPr>
        <w:pStyle w:val="Heading2"/>
        <w:keepNext/>
        <w:spacing w:before="200" w:after="110" w:line="240" w:lineRule="auto"/>
        <w:jc w:val="left"/>
      </w:pPr>
      <w:r>
        <w:rPr>
          <w:rFonts w:ascii="Times New Roman" w:hAnsi="Times New Roman" w:eastAsia="Times New Roman" w:cs="Times New Roman"/>
          <w:b/>
          <w:i w:val="0"/>
          <w:color w:val="000000"/>
          <w:sz w:val="24"/>
          <w:szCs w:val="24"/>
        </w:rPr>
        <w:t>7.1 LIMITATIONS OF THE STUDY</w:t>
      </w:r>
      <w:bookmarkEnd w:id="48"/>
    </w:p>
    <w:p>
      <w:pPr>
        <w:pStyle w:val="ListBullet"/>
        <w:spacing w:after="100" w:line="360" w:lineRule="auto"/>
        <w:jc w:val="both"/>
      </w:pPr>
      <w:r>
        <w:rPr>
          <w:rFonts w:ascii="Times New Roman" w:hAnsi="Times New Roman" w:eastAsia="Times New Roman" w:cs="Times New Roman"/>
          <w:color w:val="000000"/>
          <w:sz w:val="24"/>
          <w:szCs w:val="24"/>
        </w:rPr>
        <w:t>Pine Labs has a short public-market record. FY23–FY25 are prospectus-restated following the Singapore merger and do not necessarily match prior legal-entity presentations.</w:t>
      </w:r>
    </w:p>
    <w:p>
      <w:pPr>
        <w:pStyle w:val="ListBullet"/>
        <w:spacing w:after="100" w:line="360" w:lineRule="auto"/>
        <w:jc w:val="both"/>
      </w:pPr>
      <w:r>
        <w:rPr>
          <w:rFonts w:ascii="Times New Roman" w:hAnsi="Times New Roman" w:eastAsia="Times New Roman" w:cs="Times New Roman"/>
          <w:color w:val="000000"/>
          <w:sz w:val="24"/>
          <w:szCs w:val="24"/>
        </w:rPr>
        <w:t>Company-defined contribution margin, adjusted EBITDA and operating KPIs are useful, but are not substitutes for audited revenue, PAT, cash flow or statutory segment results. Definitions may be revised.</w:t>
      </w:r>
    </w:p>
    <w:p>
      <w:pPr>
        <w:pStyle w:val="ListBullet"/>
        <w:spacing w:after="100" w:line="360" w:lineRule="auto"/>
        <w:jc w:val="both"/>
      </w:pPr>
      <w:r>
        <w:rPr>
          <w:rFonts w:ascii="Times New Roman" w:hAnsi="Times New Roman" w:eastAsia="Times New Roman" w:cs="Times New Roman"/>
          <w:color w:val="000000"/>
          <w:sz w:val="24"/>
          <w:szCs w:val="24"/>
        </w:rPr>
        <w:t>GTV categories can overlap and do not represent revenue, assets under management, cash available to shareholders or credit extended by Pine Labs.</w:t>
      </w:r>
    </w:p>
    <w:p>
      <w:pPr>
        <w:pStyle w:val="ListBullet"/>
        <w:spacing w:after="100" w:line="360" w:lineRule="auto"/>
        <w:jc w:val="both"/>
      </w:pPr>
      <w:r>
        <w:rPr>
          <w:rFonts w:ascii="Times New Roman" w:hAnsi="Times New Roman" w:eastAsia="Times New Roman" w:cs="Times New Roman"/>
          <w:color w:val="000000"/>
          <w:sz w:val="24"/>
          <w:szCs w:val="24"/>
        </w:rPr>
        <w:t>Working-capital, settlement and prepaid-card balances make reported cash flow and cash-looking balances sensitive to timing, restrictions and early settlement.</w:t>
      </w:r>
    </w:p>
    <w:p>
      <w:pPr>
        <w:pStyle w:val="ListBullet"/>
        <w:spacing w:after="100" w:line="360" w:lineRule="auto"/>
        <w:jc w:val="both"/>
      </w:pPr>
      <w:r>
        <w:rPr>
          <w:rFonts w:ascii="Times New Roman" w:hAnsi="Times New Roman" w:eastAsia="Times New Roman" w:cs="Times New Roman"/>
          <w:color w:val="000000"/>
          <w:sz w:val="24"/>
          <w:szCs w:val="24"/>
        </w:rPr>
        <w:t>Q1 FY27 is one interim quarter and is not annualized as a forecast. Company guidance is forward-looking, not a reported result.</w:t>
      </w:r>
    </w:p>
    <w:p>
      <w:pPr>
        <w:pStyle w:val="ListBullet"/>
        <w:spacing w:after="100" w:line="360" w:lineRule="auto"/>
        <w:jc w:val="both"/>
      </w:pPr>
      <w:r>
        <w:rPr>
          <w:rFonts w:ascii="Times New Roman" w:hAnsi="Times New Roman" w:eastAsia="Times New Roman" w:cs="Times New Roman"/>
          <w:color w:val="000000"/>
          <w:sz w:val="24"/>
          <w:szCs w:val="24"/>
        </w:rPr>
        <w:t>No interviews, customer contracts, internal unit economics, complete daily price history or independent ESG assurance were supplied. Only the opening portion of the Q1 FY27 earnings-call transcript was reviewed; no unreviewed transcript content is relied on. [7]</w:t>
      </w:r>
    </w:p>
    <w:p>
      <w:pPr>
        <w:pStyle w:val="ListBullet"/>
        <w:spacing w:after="100" w:line="360" w:lineRule="auto"/>
        <w:jc w:val="both"/>
      </w:pPr>
      <w:r>
        <w:rPr>
          <w:rFonts w:ascii="Times New Roman" w:hAnsi="Times New Roman" w:eastAsia="Times New Roman" w:cs="Times New Roman"/>
          <w:color w:val="000000"/>
          <w:sz w:val="24"/>
          <w:szCs w:val="24"/>
        </w:rPr>
        <w:t>The selected competitor set is qualitative because geography, accounting, licensing, product mix and disclosure are not aligned well enough for a defensible peer-multiple comparison.</w:t>
      </w:r>
    </w:p>
    <w:p>
      <w:pPr>
        <w:pStyle w:val="ListBullet"/>
        <w:spacing w:after="100" w:line="360" w:lineRule="auto"/>
        <w:jc w:val="both"/>
      </w:pPr>
      <w:r>
        <w:rPr>
          <w:rFonts w:ascii="Times New Roman" w:hAnsi="Times New Roman" w:eastAsia="Times New Roman" w:cs="Times New Roman"/>
          <w:color w:val="000000"/>
          <w:sz w:val="24"/>
          <w:szCs w:val="24"/>
        </w:rPr>
        <w:t>The listed-market snapshot uses a rounded basic share-count proxy and does not include potential dilution; P/E, P/S and P/B are approximate and mixed-date.</w:t>
      </w:r>
    </w:p>
    <w:p>
      <w:pPr>
        <w:pStyle w:val="ListBullet"/>
        <w:spacing w:after="100" w:line="360" w:lineRule="auto"/>
        <w:jc w:val="both"/>
      </w:pPr>
      <w:r>
        <w:rPr>
          <w:rFonts w:ascii="Times New Roman" w:hAnsi="Times New Roman" w:eastAsia="Times New Roman" w:cs="Times New Roman"/>
          <w:color w:val="000000"/>
          <w:sz w:val="24"/>
          <w:szCs w:val="24"/>
        </w:rPr>
        <w:t>Risk, PESTLE, Five Forces, SWOT and ESG assessments are qualitative author judgements, not company ratings or independently assured scores.</w:t>
      </w:r>
    </w:p>
    <w:p>
      <w:bookmarkStart w:id="49" w:name="toc_7_2"/>
      <w:pPr>
        <w:pStyle w:val="Heading2"/>
        <w:keepNext/>
        <w:spacing w:before="200" w:after="110" w:line="240" w:lineRule="auto"/>
        <w:jc w:val="left"/>
      </w:pPr>
      <w:r>
        <w:rPr>
          <w:rFonts w:ascii="Times New Roman" w:hAnsi="Times New Roman" w:eastAsia="Times New Roman" w:cs="Times New Roman"/>
          <w:b/>
          <w:i w:val="0"/>
          <w:color w:val="000000"/>
          <w:sz w:val="24"/>
          <w:szCs w:val="24"/>
        </w:rPr>
        <w:t>7.2 SCOPE FOR FURTHER RESEARCH</w:t>
      </w:r>
      <w:bookmarkEnd w:id="49"/>
    </w:p>
    <w:p>
      <w:pPr>
        <w:spacing w:after="100" w:line="360" w:lineRule="auto"/>
        <w:jc w:val="both"/>
      </w:pPr>
      <w:r>
        <w:rPr>
          <w:rFonts w:ascii="Times New Roman" w:hAnsi="Times New Roman" w:eastAsia="Times New Roman" w:cs="Times New Roman"/>
          <w:color w:val="000000"/>
          <w:sz w:val="24"/>
          <w:szCs w:val="24"/>
        </w:rPr>
        <w:t>A future edition can improve the evidence base by adding a longer audited history, current shareholding and fully diluted share-count data, a product-level revenue and direct-cost bridge, segment contribution and cash-flow reconciliation, active-merchant / DCP cohorts, updated concentration metrics and a corporate-action-adjusted daily price series. A peer study can be added once comparable filings and aligned valuation dates are available. A primary study can include permission-based interviews with merchants or industry professionals, with documented consent and no confidential information.</w:t>
      </w:r>
    </w:p>
    <w:p>
      <w:pPr>
        <w:spacing w:after="100" w:line="360" w:lineRule="auto"/>
        <w:jc w:val="both"/>
      </w:pPr>
      <w:r>
        <w:rPr>
          <w:rFonts w:ascii="Times New Roman" w:hAnsi="Times New Roman" w:eastAsia="Times New Roman" w:cs="Times New Roman"/>
          <w:color w:val="000000"/>
          <w:sz w:val="24"/>
          <w:szCs w:val="24"/>
        </w:rPr>
        <w:t>For any later submission, update the market price and all ratios using the same date, re-check regulatory and listing details, replace stale KPI definitions with the latest company documents, confirm whether post-period acquisitions or capital changes affect the share count, and refresh the source list. The research view should change only when new evidence warrants it—not merely because the price has moved.</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50" w:type="dxa"/>
              <w:bottom w:w="80" w:type="dxa"/>
              <w:end w:w="150" w:type="dxa"/>
              <w:left w:w="100" w:type="dxa"/>
              <w:right w:w="100" w:type="dxa"/>
            </w:tcMar>
            <w:vAlign w:val="center"/>
          </w:tcPr>
          <w:p>
            <w:pPr>
              <w:spacing w:after="0" w:line="276" w:lineRule="auto" w:before="0"/>
              <w:jc w:val="left"/>
            </w:pPr>
            <w:r>
              <w:rPr>
                <w:rFonts w:ascii="Times New Roman" w:hAnsi="Times New Roman" w:eastAsia="Times New Roman" w:cs="Times New Roman"/>
                <w:b/>
                <w:color w:val="000000"/>
                <w:sz w:val="21"/>
                <w:szCs w:val="21"/>
              </w:rPr>
              <w:t xml:space="preserve">Limitations  </w:t>
            </w:r>
            <w:r>
              <w:rPr>
                <w:rFonts w:ascii="Times New Roman" w:hAnsi="Times New Roman" w:eastAsia="Times New Roman" w:cs="Times New Roman"/>
                <w:color w:val="000000"/>
                <w:sz w:val="21"/>
                <w:szCs w:val="21"/>
              </w:rPr>
              <w:t>The study is a secondary-data academic report. Its findings are bounded by the available public disclosures and the dates stated on the cover and in Chapter 4.</w:t>
            </w:r>
          </w:p>
        </w:tc>
      </w:tr>
    </w:tbl>
    <w:p>
      <w:pPr>
        <w:spacing w:after="40" w:before="0"/>
      </w:pP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CHAPTER 8</w:t>
      </w:r>
    </w:p>
    <w:p>
      <w:bookmarkStart w:id="50" w:name="toc_ch8"/>
      <w:pPr>
        <w:pStyle w:val="Heading1"/>
        <w:keepNext/>
        <w:spacing w:before="0" w:after="260" w:line="240" w:lineRule="auto"/>
        <w:jc w:val="center"/>
      </w:pPr>
      <w:r>
        <w:rPr>
          <w:rFonts w:ascii="Times New Roman" w:hAnsi="Times New Roman" w:eastAsia="Times New Roman" w:cs="Times New Roman"/>
          <w:b/>
          <w:i w:val="0"/>
          <w:color w:val="000000"/>
          <w:sz w:val="28"/>
          <w:szCs w:val="28"/>
        </w:rPr>
        <w:t>8. REFERENCES AND BIBLIOGRAPHY</w:t>
      </w:r>
      <w:bookmarkEnd w:id="50"/>
    </w:p>
    <w:p>
      <w:pPr>
        <w:keepNext/>
        <w:spacing w:after="260" w:before="0" w:line="276" w:lineRule="auto"/>
        <w:jc w:val="center"/>
      </w:pPr>
      <w:r>
        <w:rPr>
          <w:rFonts w:ascii="Times New Roman" w:hAnsi="Times New Roman" w:eastAsia="Times New Roman" w:cs="Times New Roman"/>
          <w:i/>
          <w:color w:val="000000"/>
          <w:sz w:val="20"/>
          <w:szCs w:val="20"/>
        </w:rPr>
        <w:t>Primary company and official industry sources prioritized</w:t>
      </w:r>
    </w:p>
    <w:p>
      <w:pPr>
        <w:pStyle w:val="Heading2"/>
        <w:keepNext/>
        <w:spacing w:before="200" w:after="110" w:line="240" w:lineRule="auto"/>
        <w:jc w:val="left"/>
      </w:pPr>
      <w:r>
        <w:rPr>
          <w:rFonts w:ascii="Times New Roman" w:hAnsi="Times New Roman" w:eastAsia="Times New Roman" w:cs="Times New Roman"/>
          <w:b/>
          <w:i w:val="0"/>
          <w:color w:val="000000"/>
          <w:sz w:val="24"/>
          <w:szCs w:val="24"/>
        </w:rPr>
        <w:t>PRIMARY COMPANY AND MARKET SOURCES</w:t>
      </w:r>
    </w:p>
    <w:p>
      <w:pPr>
        <w:spacing w:after="100" w:line="276" w:lineRule="auto"/>
        <w:ind w:left="403" w:hanging="403"/>
        <w:jc w:val="left"/>
      </w:pPr>
      <w:r>
        <w:rPr>
          <w:rFonts w:ascii="Times New Roman" w:hAnsi="Times New Roman" w:eastAsia="Times New Roman" w:cs="Times New Roman"/>
          <w:b/>
          <w:color w:val="000000"/>
          <w:sz w:val="24"/>
          <w:szCs w:val="24"/>
        </w:rPr>
        <w:t xml:space="preserve">[1] </w:t>
      </w:r>
      <w:r>
        <w:rPr>
          <w:rFonts w:ascii="Times New Roman" w:hAnsi="Times New Roman" w:eastAsia="Times New Roman" w:cs="Times New Roman"/>
          <w:color w:val="000000"/>
          <w:sz w:val="24"/>
          <w:szCs w:val="24"/>
        </w:rPr>
        <w:t>Pine Labs Limited. Prospectus, dated 11 November 2025. Business model, risk factors, customer concentration and restated consolidated FY23–FY25 information. Student-supplied source file: Pine-Labs-Limited-Prospectus.pdf.</w:t>
      </w:r>
    </w:p>
    <w:p>
      <w:pPr>
        <w:spacing w:after="100" w:line="276" w:lineRule="auto"/>
        <w:ind w:left="403" w:hanging="403"/>
        <w:jc w:val="left"/>
      </w:pPr>
      <w:r>
        <w:rPr>
          <w:rFonts w:ascii="Times New Roman" w:hAnsi="Times New Roman" w:eastAsia="Times New Roman" w:cs="Times New Roman"/>
          <w:b/>
          <w:color w:val="000000"/>
          <w:sz w:val="24"/>
          <w:szCs w:val="24"/>
        </w:rPr>
        <w:t xml:space="preserve">[2] </w:t>
      </w:r>
      <w:r>
        <w:rPr>
          <w:rFonts w:ascii="Times New Roman" w:hAnsi="Times New Roman" w:eastAsia="Times New Roman" w:cs="Times New Roman"/>
          <w:color w:val="000000"/>
          <w:sz w:val="24"/>
          <w:szCs w:val="24"/>
        </w:rPr>
        <w:t>Pine Labs Limited. Shareholder Letter and Audited Consolidated Results, Q4 / FY26, 25 May 2026. Audited FY26 statements, balance sheet, cash flow, acquisitions and capital disclosures. Student-supplied source file: Pine_Labs_Ltd_Shareholder_Letter_and_Results_Q4_FY26_with_financials.pdf.</w:t>
      </w:r>
    </w:p>
    <w:p>
      <w:pPr>
        <w:spacing w:after="100" w:line="276" w:lineRule="auto"/>
        <w:ind w:left="403" w:hanging="403"/>
        <w:jc w:val="left"/>
      </w:pPr>
      <w:r>
        <w:rPr>
          <w:rFonts w:ascii="Times New Roman" w:hAnsi="Times New Roman" w:eastAsia="Times New Roman" w:cs="Times New Roman"/>
          <w:b/>
          <w:color w:val="000000"/>
          <w:sz w:val="24"/>
          <w:szCs w:val="24"/>
        </w:rPr>
        <w:t xml:space="preserve">[3] </w:t>
      </w:r>
      <w:r>
        <w:rPr>
          <w:rFonts w:ascii="Times New Roman" w:hAnsi="Times New Roman" w:eastAsia="Times New Roman" w:cs="Times New Roman"/>
          <w:color w:val="000000"/>
          <w:sz w:val="24"/>
          <w:szCs w:val="24"/>
        </w:rPr>
        <w:t>Pine Labs Limited. KPI Data Book, Q4 FY26. Company-defined GTV, merchants, DCPs, transactions, segment and adjusted operating measures. Student-supplied source file: PineLabs-KPI-Data-Book-Q4-FY26.xlsx.</w:t>
      </w:r>
    </w:p>
    <w:p>
      <w:pPr>
        <w:spacing w:after="100" w:line="276" w:lineRule="auto"/>
        <w:ind w:left="403" w:hanging="403"/>
        <w:jc w:val="left"/>
      </w:pPr>
      <w:r>
        <w:rPr>
          <w:rFonts w:ascii="Times New Roman" w:hAnsi="Times New Roman" w:eastAsia="Times New Roman" w:cs="Times New Roman"/>
          <w:b/>
          <w:color w:val="000000"/>
          <w:sz w:val="24"/>
          <w:szCs w:val="24"/>
        </w:rPr>
        <w:t xml:space="preserve">[4] </w:t>
      </w:r>
      <w:r>
        <w:rPr>
          <w:rFonts w:ascii="Times New Roman" w:hAnsi="Times New Roman" w:eastAsia="Times New Roman" w:cs="Times New Roman"/>
          <w:color w:val="000000"/>
          <w:sz w:val="24"/>
          <w:szCs w:val="24"/>
        </w:rPr>
        <w:t>Pine Labs Limited. Q4 FY26 Earnings Call Transcript, May 2026. Management commentary and FY27 revenue guidance. Student-supplied source file: PineLabsLimited_Earnings_Call_Transcript_Q4_FY26.pdf.</w:t>
      </w:r>
    </w:p>
    <w:p>
      <w:pPr>
        <w:spacing w:after="100" w:line="276" w:lineRule="auto"/>
        <w:ind w:left="403" w:hanging="403"/>
        <w:jc w:val="left"/>
      </w:pPr>
      <w:r>
        <w:rPr>
          <w:rFonts w:ascii="Times New Roman" w:hAnsi="Times New Roman" w:eastAsia="Times New Roman" w:cs="Times New Roman"/>
          <w:b/>
          <w:color w:val="000000"/>
          <w:sz w:val="24"/>
          <w:szCs w:val="24"/>
        </w:rPr>
        <w:t xml:space="preserve">[5] </w:t>
      </w:r>
      <w:r>
        <w:rPr>
          <w:rFonts w:ascii="Times New Roman" w:hAnsi="Times New Roman" w:eastAsia="Times New Roman" w:cs="Times New Roman"/>
          <w:color w:val="000000"/>
          <w:sz w:val="24"/>
          <w:szCs w:val="24"/>
        </w:rPr>
        <w:t>Pine Labs Limited. Q1 FY27 Shareholder Letter and Results, quarter ended 30 June 2026, published July 2026. Interim results and company commentary.</w:t>
      </w:r>
    </w:p>
    <w:p>
      <w:pPr>
        <w:spacing w:after="100" w:line="276" w:lineRule="auto"/>
        <w:ind w:left="403" w:hanging="403"/>
        <w:jc w:val="left"/>
      </w:pPr>
      <w:r>
        <w:rPr>
          <w:rFonts w:ascii="Times New Roman" w:hAnsi="Times New Roman" w:eastAsia="Times New Roman" w:cs="Times New Roman"/>
          <w:b/>
          <w:color w:val="000000"/>
          <w:sz w:val="24"/>
          <w:szCs w:val="24"/>
        </w:rPr>
        <w:t xml:space="preserve">[6] </w:t>
      </w:r>
      <w:r>
        <w:rPr>
          <w:rFonts w:ascii="Times New Roman" w:hAnsi="Times New Roman" w:eastAsia="Times New Roman" w:cs="Times New Roman"/>
          <w:color w:val="000000"/>
          <w:sz w:val="24"/>
          <w:szCs w:val="24"/>
        </w:rPr>
        <w:t>Pine Labs Limited. KPI Data Book, Q1 FY27. Interim company-defined operating KPIs, segment metrics and cash-flow comparison.</w:t>
      </w:r>
    </w:p>
    <w:p>
      <w:pPr>
        <w:spacing w:after="100" w:line="276" w:lineRule="auto"/>
        <w:ind w:left="403" w:hanging="403"/>
        <w:jc w:val="left"/>
      </w:pPr>
      <w:r>
        <w:rPr>
          <w:rFonts w:ascii="Times New Roman" w:hAnsi="Times New Roman" w:eastAsia="Times New Roman" w:cs="Times New Roman"/>
          <w:b/>
          <w:color w:val="000000"/>
          <w:sz w:val="24"/>
          <w:szCs w:val="24"/>
        </w:rPr>
        <w:t xml:space="preserve">[7] </w:t>
      </w:r>
      <w:r>
        <w:rPr>
          <w:rFonts w:ascii="Times New Roman" w:hAnsi="Times New Roman" w:eastAsia="Times New Roman" w:cs="Times New Roman"/>
          <w:color w:val="000000"/>
          <w:sz w:val="24"/>
          <w:szCs w:val="24"/>
        </w:rPr>
        <w:t>Pine Labs Limited. Q1 FY27 Earnings Call Transcript, July 2026. Only the opening portion was reviewed; no unreviewed transcript content is relied on in this report.</w:t>
      </w:r>
    </w:p>
    <w:p>
      <w:pPr>
        <w:spacing w:after="100" w:line="276" w:lineRule="auto"/>
        <w:ind w:left="403" w:hanging="403"/>
        <w:jc w:val="left"/>
      </w:pPr>
      <w:r>
        <w:rPr>
          <w:rFonts w:ascii="Times New Roman" w:hAnsi="Times New Roman" w:eastAsia="Times New Roman" w:cs="Times New Roman"/>
          <w:b/>
          <w:color w:val="000000"/>
          <w:sz w:val="24"/>
          <w:szCs w:val="24"/>
        </w:rPr>
        <w:t xml:space="preserve">[8] </w:t>
      </w:r>
      <w:r>
        <w:rPr>
          <w:rFonts w:ascii="Times New Roman" w:hAnsi="Times New Roman" w:eastAsia="Times New Roman" w:cs="Times New Roman"/>
          <w:color w:val="000000"/>
          <w:sz w:val="24"/>
          <w:szCs w:val="24"/>
        </w:rPr>
        <w:t>Pine Labs Limited. Q1 FY27 Press Release, July 2026. Company announcement of interim results and selected product / business updates.</w:t>
      </w:r>
    </w:p>
    <w:p>
      <w:pPr>
        <w:spacing w:after="100" w:line="276" w:lineRule="auto"/>
        <w:ind w:left="403" w:hanging="403"/>
        <w:jc w:val="left"/>
      </w:pPr>
      <w:r>
        <w:rPr>
          <w:rFonts w:ascii="Times New Roman" w:hAnsi="Times New Roman" w:eastAsia="Times New Roman" w:cs="Times New Roman"/>
          <w:b/>
          <w:color w:val="000000"/>
          <w:sz w:val="24"/>
          <w:szCs w:val="24"/>
        </w:rPr>
        <w:t xml:space="preserve">[9] </w:t>
      </w:r>
      <w:r>
        <w:rPr>
          <w:rFonts w:ascii="Times New Roman" w:hAnsi="Times New Roman" w:eastAsia="Times New Roman" w:cs="Times New Roman"/>
          <w:color w:val="000000"/>
          <w:sz w:val="24"/>
          <w:szCs w:val="24"/>
        </w:rPr>
        <w:t>Reserve Bank of India. Payment Systems Report, December 2025; published 18 May 2026. System-wide payment context and statistics.</w:t>
      </w:r>
    </w:p>
    <w:p>
      <w:pPr>
        <w:spacing w:after="100" w:line="276" w:lineRule="auto"/>
        <w:ind w:left="403" w:hanging="403"/>
        <w:jc w:val="left"/>
      </w:pPr>
      <w:r>
        <w:rPr>
          <w:rFonts w:ascii="Times New Roman" w:hAnsi="Times New Roman" w:eastAsia="Times New Roman" w:cs="Times New Roman"/>
          <w:b/>
          <w:color w:val="000000"/>
          <w:sz w:val="24"/>
          <w:szCs w:val="24"/>
        </w:rPr>
        <w:t xml:space="preserve">[10] </w:t>
      </w:r>
      <w:r>
        <w:rPr>
          <w:rFonts w:ascii="Times New Roman" w:hAnsi="Times New Roman" w:eastAsia="Times New Roman" w:cs="Times New Roman"/>
          <w:color w:val="000000"/>
          <w:sz w:val="24"/>
          <w:szCs w:val="24"/>
        </w:rPr>
        <w:t>National Payments Corporation of India. UPI Product Statistics. August 2026 monthly volume and value series.</w:t>
      </w:r>
      <w:r>
        <w:rPr>
          <w:rFonts w:ascii="Times New Roman" w:hAnsi="Times New Roman" w:eastAsia="Times New Roman" w:cs="Times New Roman"/>
          <w:color w:val="000000"/>
          <w:sz w:val="24"/>
          <w:szCs w:val="24"/>
        </w:rPr>
        <w:br/>
      </w:r>
      <w:hyperlink r:id="rId22">
        <w:r>
          <w:rPr>
            <w:u w:val="single"/>
            <w:rFonts w:ascii="Times New Roman" w:hAnsi="Times New Roman" w:eastAsia="Times New Roman" w:cs="Times New Roman"/>
            <w:color w:val="000000"/>
            <w:sz w:val="24"/>
            <w:szCs w:val="24"/>
          </w:rPr>
          <w:t>https://www.npci.org.in/what-we-do/upi/product-statistics</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[11] </w:t>
      </w:r>
      <w:r>
        <w:rPr>
          <w:rFonts w:ascii="Times New Roman" w:hAnsi="Times New Roman" w:eastAsia="Times New Roman" w:cs="Times New Roman"/>
          <w:color w:val="000000"/>
          <w:sz w:val="24"/>
          <w:szCs w:val="24"/>
        </w:rPr>
        <w:t>BSE Limited. Pine Labs Limited, BSE scrip 544606, quote page. Dated price and 52-week range used for the 1 October 2026 market snapshot.</w:t>
      </w:r>
      <w:r>
        <w:rPr>
          <w:rFonts w:ascii="Times New Roman" w:hAnsi="Times New Roman" w:eastAsia="Times New Roman" w:cs="Times New Roman"/>
          <w:color w:val="000000"/>
          <w:sz w:val="24"/>
          <w:szCs w:val="24"/>
        </w:rPr>
        <w:br/>
      </w:r>
      <w:hyperlink r:id="rId23">
        <w:r>
          <w:rPr>
            <w:u w:val="single"/>
            <w:rFonts w:ascii="Times New Roman" w:hAnsi="Times New Roman" w:eastAsia="Times New Roman" w:cs="Times New Roman"/>
            <w:color w:val="000000"/>
            <w:sz w:val="24"/>
            <w:szCs w:val="24"/>
          </w:rPr>
          <w:t>https://beta.bseindia.com/stock-share-price/pine-labs-ltd/pinelabs/544606/</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[12] </w:t>
      </w:r>
      <w:r>
        <w:rPr>
          <w:rFonts w:ascii="Times New Roman" w:hAnsi="Times New Roman" w:eastAsia="Times New Roman" w:cs="Times New Roman"/>
          <w:color w:val="000000"/>
          <w:sz w:val="24"/>
          <w:szCs w:val="24"/>
        </w:rPr>
        <w:t>Pine Labs Limited. Investor Relations — Financial Results. Official index for company filings and financial documents.</w:t>
      </w:r>
      <w:r>
        <w:rPr>
          <w:rFonts w:ascii="Times New Roman" w:hAnsi="Times New Roman" w:eastAsia="Times New Roman" w:cs="Times New Roman"/>
          <w:color w:val="000000"/>
          <w:sz w:val="24"/>
          <w:szCs w:val="24"/>
        </w:rPr>
        <w:br/>
      </w:r>
      <w:hyperlink r:id="rId24">
        <w:r>
          <w:rPr>
            <w:u w:val="single"/>
            <w:rFonts w:ascii="Times New Roman" w:hAnsi="Times New Roman" w:eastAsia="Times New Roman" w:cs="Times New Roman"/>
            <w:color w:val="000000"/>
            <w:sz w:val="24"/>
            <w:szCs w:val="24"/>
          </w:rPr>
          <w:t>https://www.pinelabs.com/investors</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[13] </w:t>
      </w:r>
      <w:r>
        <w:rPr>
          <w:rFonts w:ascii="Times New Roman" w:hAnsi="Times New Roman" w:eastAsia="Times New Roman" w:cs="Times New Roman"/>
          <w:color w:val="000000"/>
          <w:sz w:val="24"/>
          <w:szCs w:val="24"/>
        </w:rPr>
        <w:t>GitHub. nscrypto1968/Pine-Labs repository, source snapshot reviewed at commit a92962d9013a09c3ef162976fed986b8eb28e7b5. Used to locate the student-supplied company documents, not as an independent validator.</w:t>
      </w:r>
      <w:r>
        <w:rPr>
          <w:rFonts w:ascii="Times New Roman" w:hAnsi="Times New Roman" w:eastAsia="Times New Roman" w:cs="Times New Roman"/>
          <w:color w:val="000000"/>
          <w:sz w:val="24"/>
          <w:szCs w:val="24"/>
        </w:rPr>
        <w:br/>
      </w:r>
      <w:hyperlink r:id="rId25">
        <w:r>
          <w:rPr>
            <w:u w:val="single"/>
            <w:rFonts w:ascii="Times New Roman" w:hAnsi="Times New Roman" w:eastAsia="Times New Roman" w:cs="Times New Roman"/>
            <w:color w:val="000000"/>
            <w:sz w:val="24"/>
            <w:szCs w:val="24"/>
          </w:rPr>
          <w:t>https://github.com/nscrypto1968/Pine-Labs</w:t>
        </w:r>
      </w:hyperlink>
    </w:p>
    <w:p>
      <w:pPr>
        <w:pStyle w:val="Heading2"/>
        <w:keepNext/>
        <w:spacing w:before="200" w:after="110" w:line="240" w:lineRule="auto"/>
        <w:jc w:val="left"/>
      </w:pPr>
      <w:r>
        <w:rPr>
          <w:rFonts w:ascii="Times New Roman" w:hAnsi="Times New Roman" w:eastAsia="Times New Roman" w:cs="Times New Roman"/>
          <w:b/>
          <w:i w:val="0"/>
          <w:color w:val="000000"/>
          <w:sz w:val="24"/>
          <w:szCs w:val="24"/>
        </w:rPr>
        <w:t>FRAMEWORK, HOST-ORGANISATION AND REGULATORY SOURCES</w:t>
      </w:r>
    </w:p>
    <w:p>
      <w:pPr>
        <w:spacing w:after="100" w:line="276" w:lineRule="auto"/>
        <w:ind w:left="403" w:hanging="403"/>
        <w:jc w:val="left"/>
      </w:pPr>
      <w:r>
        <w:rPr>
          <w:rFonts w:ascii="Times New Roman" w:hAnsi="Times New Roman" w:eastAsia="Times New Roman" w:cs="Times New Roman"/>
          <w:b/>
          <w:color w:val="000000"/>
          <w:sz w:val="24"/>
          <w:szCs w:val="24"/>
        </w:rPr>
        <w:t xml:space="preserve">[14] </w:t>
      </w:r>
      <w:r>
        <w:rPr>
          <w:rFonts w:ascii="Times New Roman" w:hAnsi="Times New Roman" w:eastAsia="Times New Roman" w:cs="Times New Roman"/>
          <w:color w:val="000000"/>
          <w:sz w:val="24"/>
          <w:szCs w:val="24"/>
        </w:rPr>
        <w:t>Porter, M. E. (1979). “How Competitive Forces Shape Strategy.” Harvard Business Review, 57(2), 137–145. Framework source for the qualitative Five Forces assessment.</w:t>
      </w:r>
    </w:p>
    <w:p>
      <w:pPr>
        <w:spacing w:after="100" w:line="276" w:lineRule="auto"/>
        <w:ind w:left="403" w:hanging="403"/>
        <w:jc w:val="left"/>
      </w:pPr>
      <w:r>
        <w:rPr>
          <w:rFonts w:ascii="Times New Roman" w:hAnsi="Times New Roman" w:eastAsia="Times New Roman" w:cs="Times New Roman"/>
          <w:b/>
          <w:color w:val="000000"/>
          <w:sz w:val="24"/>
          <w:szCs w:val="24"/>
        </w:rPr>
        <w:t xml:space="preserve">[15] </w:t>
      </w:r>
      <w:r>
        <w:rPr>
          <w:rFonts w:ascii="Times New Roman" w:hAnsi="Times New Roman" w:eastAsia="Times New Roman" w:cs="Times New Roman"/>
          <w:color w:val="000000"/>
          <w:sz w:val="24"/>
          <w:szCs w:val="24"/>
        </w:rPr>
        <w:t>Damodaran, A. Investment Valuation: Tools and Techniques for Determining the Value of Any Asset, 3rd ed. Wiley. Reference for return decomposition and valuation concepts; the report’s P/B sensitivity is illustrative.</w:t>
      </w:r>
    </w:p>
    <w:p>
      <w:pPr>
        <w:spacing w:after="100" w:line="276" w:lineRule="auto"/>
        <w:ind w:left="403" w:hanging="403"/>
        <w:jc w:val="left"/>
      </w:pPr>
      <w:r>
        <w:rPr>
          <w:rFonts w:ascii="Times New Roman" w:hAnsi="Times New Roman" w:eastAsia="Times New Roman" w:cs="Times New Roman"/>
          <w:b/>
          <w:color w:val="000000"/>
          <w:sz w:val="24"/>
          <w:szCs w:val="24"/>
        </w:rPr>
        <w:t xml:space="preserve">[16] </w:t>
      </w:r>
      <w:r>
        <w:rPr>
          <w:rFonts w:ascii="Times New Roman" w:hAnsi="Times New Roman" w:eastAsia="Times New Roman" w:cs="Times New Roman"/>
          <w:color w:val="000000"/>
          <w:sz w:val="24"/>
          <w:szCs w:val="24"/>
        </w:rPr>
        <w:t>Rosy Blue Securities Pvt. Ltd. Official website, “Our Services” and firm profile. Public description of exchange broking and mutual-fund distribution; accessed for this project on 3 October 2026.</w:t>
      </w:r>
      <w:r>
        <w:rPr>
          <w:rFonts w:ascii="Times New Roman" w:hAnsi="Times New Roman" w:eastAsia="Times New Roman" w:cs="Times New Roman"/>
          <w:color w:val="000000"/>
          <w:sz w:val="24"/>
          <w:szCs w:val="24"/>
        </w:rPr>
        <w:br/>
      </w:r>
      <w:hyperlink r:id="rId26">
        <w:r>
          <w:rPr>
            <w:u w:val="single"/>
            <w:rFonts w:ascii="Times New Roman" w:hAnsi="Times New Roman" w:eastAsia="Times New Roman" w:cs="Times New Roman"/>
            <w:color w:val="000000"/>
            <w:sz w:val="24"/>
            <w:szCs w:val="24"/>
          </w:rPr>
          <w:t>https://www.rosybluesecurities.co.in/</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[17] </w:t>
      </w:r>
      <w:r>
        <w:rPr>
          <w:rFonts w:ascii="Times New Roman" w:hAnsi="Times New Roman" w:eastAsia="Times New Roman" w:cs="Times New Roman"/>
          <w:color w:val="000000"/>
          <w:sz w:val="24"/>
          <w:szCs w:val="24"/>
        </w:rPr>
        <w:t>National Stock Exchange of India. “NSE Trading Technology — Introduction.” Description of NEAT / NEAT Plus member trading systems.</w:t>
      </w:r>
      <w:r>
        <w:rPr>
          <w:rFonts w:ascii="Times New Roman" w:hAnsi="Times New Roman" w:eastAsia="Times New Roman" w:cs="Times New Roman"/>
          <w:color w:val="000000"/>
          <w:sz w:val="24"/>
          <w:szCs w:val="24"/>
        </w:rPr>
        <w:br/>
      </w:r>
      <w:hyperlink r:id="rId27">
        <w:r>
          <w:rPr>
            <w:u w:val="single"/>
            <w:rFonts w:ascii="Times New Roman" w:hAnsi="Times New Roman" w:eastAsia="Times New Roman" w:cs="Times New Roman"/>
            <w:color w:val="000000"/>
            <w:sz w:val="24"/>
            <w:szCs w:val="24"/>
          </w:rPr>
          <w:t>https://www.nseindia.com/static/trade/platform-services-neat-trading-system</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[18] </w:t>
      </w:r>
      <w:r>
        <w:rPr>
          <w:rFonts w:ascii="Times New Roman" w:hAnsi="Times New Roman" w:eastAsia="Times New Roman" w:cs="Times New Roman"/>
          <w:color w:val="000000"/>
          <w:sz w:val="24"/>
          <w:szCs w:val="24"/>
        </w:rPr>
        <w:t>National Stock Exchange of India. “Computer to Computer Link (CTCL).” Description of non-NEAT front-end access for trading members.</w:t>
      </w:r>
      <w:r>
        <w:rPr>
          <w:rFonts w:ascii="Times New Roman" w:hAnsi="Times New Roman" w:eastAsia="Times New Roman" w:cs="Times New Roman"/>
          <w:color w:val="000000"/>
          <w:sz w:val="24"/>
          <w:szCs w:val="24"/>
        </w:rPr>
        <w:br/>
      </w:r>
      <w:hyperlink r:id="rId28">
        <w:r>
          <w:rPr>
            <w:u w:val="single"/>
            <w:rFonts w:ascii="Times New Roman" w:hAnsi="Times New Roman" w:eastAsia="Times New Roman" w:cs="Times New Roman"/>
            <w:color w:val="000000"/>
            <w:sz w:val="24"/>
            <w:szCs w:val="24"/>
          </w:rPr>
          <w:t>https://www.nseindia.com/static/trade/platform-services-non-neat-ctcl</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[19] </w:t>
      </w:r>
      <w:r>
        <w:rPr>
          <w:rFonts w:ascii="Times New Roman" w:hAnsi="Times New Roman" w:eastAsia="Times New Roman" w:cs="Times New Roman"/>
          <w:color w:val="000000"/>
          <w:sz w:val="24"/>
          <w:szCs w:val="24"/>
        </w:rPr>
        <w:t>Securities and Exchange Board of India. SEBI (Research Analysts) Regulations, 2014, as amended; official regulations and related FAQs.</w:t>
      </w:r>
      <w:r>
        <w:rPr>
          <w:rFonts w:ascii="Times New Roman" w:hAnsi="Times New Roman" w:eastAsia="Times New Roman" w:cs="Times New Roman"/>
          <w:color w:val="000000"/>
          <w:sz w:val="24"/>
          <w:szCs w:val="24"/>
        </w:rPr>
        <w:br/>
      </w:r>
      <w:hyperlink r:id="rId29">
        <w:r>
          <w:rPr>
            <w:u w:val="single"/>
            <w:rFonts w:ascii="Times New Roman" w:hAnsi="Times New Roman" w:eastAsia="Times New Roman" w:cs="Times New Roman"/>
            <w:color w:val="000000"/>
            <w:sz w:val="24"/>
            <w:szCs w:val="24"/>
          </w:rPr>
          <w:t>https://www.sebi.gov.in/sebi_data/commondocs/RESEARCHANALYSTS-regulations_p.pdf</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[20] </w:t>
      </w:r>
      <w:r>
        <w:rPr>
          <w:rFonts w:ascii="Times New Roman" w:hAnsi="Times New Roman" w:eastAsia="Times New Roman" w:cs="Times New Roman"/>
          <w:color w:val="000000"/>
          <w:sz w:val="24"/>
          <w:szCs w:val="24"/>
        </w:rPr>
        <w:t>Securities and Exchange Board of India. Consultation Paper on Review of the SEBI (Stock Brokers) Regulations, 1992, 13 August 2025. Background reference only; it is not a substitute for the current regulations or circulars.</w:t>
      </w:r>
      <w:r>
        <w:rPr>
          <w:rFonts w:ascii="Times New Roman" w:hAnsi="Times New Roman" w:eastAsia="Times New Roman" w:cs="Times New Roman"/>
          <w:color w:val="000000"/>
          <w:sz w:val="24"/>
          <w:szCs w:val="24"/>
        </w:rPr>
        <w:br/>
      </w:r>
      <w:hyperlink r:id="rId30">
        <w:r>
          <w:rPr>
            <w:u w:val="single"/>
            <w:rFonts w:ascii="Times New Roman" w:hAnsi="Times New Roman" w:eastAsia="Times New Roman" w:cs="Times New Roman"/>
            <w:color w:val="000000"/>
            <w:sz w:val="24"/>
            <w:szCs w:val="24"/>
          </w:rPr>
          <w:t>https://www.sebi.gov.in/reports-and-statistics/reports/aug-2025/consultation-paper-on-review-of-sebi-stock-brokers-regulations-1992_96050.html</w:t>
        </w:r>
      </w:hyperlink>
    </w:p>
    <w:p>
      <w:pPr>
        <w:spacing w:after="100" w:line="276" w:lineRule="auto"/>
        <w:ind w:left="403" w:hanging="403"/>
        <w:jc w:val="left"/>
      </w:pPr>
      <w:r>
        <w:rPr>
          <w:rFonts w:ascii="Times New Roman" w:hAnsi="Times New Roman" w:eastAsia="Times New Roman" w:cs="Times New Roman"/>
          <w:b/>
          <w:color w:val="000000"/>
          <w:sz w:val="24"/>
          <w:szCs w:val="24"/>
        </w:rPr>
        <w:t xml:space="preserve">[21] </w:t>
      </w:r>
      <w:r>
        <w:rPr>
          <w:rFonts w:ascii="Times New Roman" w:hAnsi="Times New Roman" w:eastAsia="Times New Roman" w:cs="Times New Roman"/>
          <w:color w:val="000000"/>
          <w:sz w:val="24"/>
          <w:szCs w:val="24"/>
        </w:rPr>
        <w:t>National Stock Exchange of India. “Introduction — Trading / Equity Market.” Overview of the exchange’s screen-based, order-driven trading system.</w:t>
      </w:r>
      <w:r>
        <w:rPr>
          <w:rFonts w:ascii="Times New Roman" w:hAnsi="Times New Roman" w:eastAsia="Times New Roman" w:cs="Times New Roman"/>
          <w:color w:val="000000"/>
          <w:sz w:val="24"/>
          <w:szCs w:val="24"/>
        </w:rPr>
        <w:br/>
      </w:r>
      <w:hyperlink r:id="rId31">
        <w:r>
          <w:rPr>
            <w:u w:val="single"/>
            <w:rFonts w:ascii="Times New Roman" w:hAnsi="Times New Roman" w:eastAsia="Times New Roman" w:cs="Times New Roman"/>
            <w:color w:val="000000"/>
            <w:sz w:val="24"/>
            <w:szCs w:val="24"/>
          </w:rPr>
          <w:t>https://www.nseindia.com/static/products-services/equity-market-trading</w:t>
        </w:r>
      </w:hyperlink>
    </w:p>
    <w:p>
      <w:pPr>
        <w:spacing w:after="100" w:line="360" w:lineRule="auto"/>
        <w:jc w:val="both"/>
      </w:pPr>
      <w:r>
        <w:rPr>
          <w:rFonts w:ascii="Times New Roman" w:hAnsi="Times New Roman" w:eastAsia="Times New Roman" w:cs="Times New Roman"/>
          <w:color w:val="000000"/>
          <w:sz w:val="24"/>
          <w:szCs w:val="24"/>
        </w:rPr>
        <w:t>Access / analysis cut-off for the company and industry dataset: 3 October 2026, except the BSE price snapshot dated 1 October 2026. References [1–8] were supplied with the student’s original SIP materials or linked from the company’s investor-relations channel. The source report identified a limited set of online pages; URLs are provided where available and should be checked before final institutional submission.</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APPENDIX A</w:t>
      </w:r>
    </w:p>
    <w:p>
      <w:bookmarkStart w:id="51" w:name="toc_app_a"/>
      <w:pPr>
        <w:pStyle w:val="Heading1"/>
        <w:keepNext/>
        <w:spacing w:before="0" w:after="260" w:line="240" w:lineRule="auto"/>
        <w:jc w:val="center"/>
      </w:pPr>
      <w:r>
        <w:rPr>
          <w:rFonts w:ascii="Times New Roman" w:hAnsi="Times New Roman" w:eastAsia="Times New Roman" w:cs="Times New Roman"/>
          <w:b/>
          <w:i w:val="0"/>
          <w:color w:val="000000"/>
          <w:sz w:val="28"/>
          <w:szCs w:val="28"/>
        </w:rPr>
        <w:t>APPENDIX A — COMPACT DATA SHEET</w:t>
      </w:r>
      <w:bookmarkEnd w:id="51"/>
    </w:p>
    <w:p>
      <w:pPr>
        <w:keepNext/>
        <w:spacing w:after="260" w:before="0" w:line="276" w:lineRule="auto"/>
        <w:jc w:val="center"/>
      </w:pPr>
      <w:r>
        <w:rPr>
          <w:rFonts w:ascii="Times New Roman" w:hAnsi="Times New Roman" w:eastAsia="Times New Roman" w:cs="Times New Roman"/>
          <w:i/>
          <w:color w:val="000000"/>
          <w:sz w:val="20"/>
          <w:szCs w:val="20"/>
        </w:rPr>
        <w:t>Transcription and calculation aid; not a replacement for source statements</w:t>
      </w:r>
    </w:p>
    <w:p>
      <w:bookmarkStart w:id="52" w:name="toc_app_a_1"/>
      <w:pPr>
        <w:pStyle w:val="Heading2"/>
        <w:keepNext/>
        <w:spacing w:before="200" w:after="110" w:line="240" w:lineRule="auto"/>
        <w:jc w:val="left"/>
      </w:pPr>
      <w:r>
        <w:rPr>
          <w:rFonts w:ascii="Times New Roman" w:hAnsi="Times New Roman" w:eastAsia="Times New Roman" w:cs="Times New Roman"/>
          <w:b/>
          <w:i w:val="0"/>
          <w:color w:val="000000"/>
          <w:sz w:val="24"/>
          <w:szCs w:val="24"/>
        </w:rPr>
        <w:t>A.1 CORE FINANCIAL SERIES</w:t>
      </w:r>
      <w:bookmarkEnd w:id="52"/>
    </w:p>
    <w:p>
      <w:pPr>
        <w:pStyle w:val="Caption"/>
        <w:keepNext/>
        <w:spacing w:before="140" w:after="70" w:line="240" w:lineRule="auto"/>
        <w:jc w:val="center"/>
      </w:pPr>
      <w:r>
        <w:rPr>
          <w:rFonts w:ascii="Times New Roman" w:hAnsi="Times New Roman" w:eastAsia="Times New Roman" w:cs="Times New Roman"/>
          <w:b/>
          <w:color w:val="000000"/>
          <w:sz w:val="22"/>
          <w:szCs w:val="22"/>
        </w:rPr>
        <w:t>Table A.1 | Consolidated financial series (₹ crore)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Measure</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FY23</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FY24</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FY25</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FY26</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Revenue from operations</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1,597.66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1,769.55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2,274.27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2,710.59</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PAT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(265.15)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(341.90)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(145.49)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112.51</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Operating cash flow</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(152.36)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(229.01)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49.72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395.39</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Adjusted EBITDA (company-defined)</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158.19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356.60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558.87</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Adjusted EBITDA margin</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8.94%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15.68%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20.62%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Platform GTV (₹ lakh crore)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4.40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6.08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11.42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17.15</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Transactions (crore)</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257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344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569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740.37</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Sources [1–3]; figures rounded; FY23–FY25 restated and FY26 audited where applicable.</w:t>
      </w:r>
    </w:p>
    <w:p>
      <w:bookmarkStart w:id="53" w:name="toc_app_a_2"/>
      <w:pPr>
        <w:pStyle w:val="Heading2"/>
        <w:keepNext/>
        <w:spacing w:before="200" w:after="110" w:line="240" w:lineRule="auto"/>
        <w:jc w:val="left"/>
      </w:pPr>
      <w:r>
        <w:rPr>
          <w:rFonts w:ascii="Times New Roman" w:hAnsi="Times New Roman" w:eastAsia="Times New Roman" w:cs="Times New Roman"/>
          <w:b/>
          <w:i w:val="0"/>
          <w:color w:val="000000"/>
          <w:sz w:val="24"/>
          <w:szCs w:val="24"/>
        </w:rPr>
        <w:t>A.2 FY26 BALANCE SHEET AND CASH FLOW</w:t>
      </w:r>
      <w:bookmarkEnd w:id="53"/>
    </w:p>
    <w:p>
      <w:pPr>
        <w:pStyle w:val="Caption"/>
        <w:keepNext/>
        <w:spacing w:before="140" w:after="70" w:line="240" w:lineRule="auto"/>
        <w:jc w:val="center"/>
      </w:pPr>
      <w:r>
        <w:rPr>
          <w:rFonts w:ascii="Times New Roman" w:hAnsi="Times New Roman" w:eastAsia="Times New Roman" w:cs="Times New Roman"/>
          <w:b/>
          <w:color w:val="000000"/>
          <w:sz w:val="22"/>
          <w:szCs w:val="22"/>
        </w:rPr>
        <w:t>Table A.2 | FY26 selected balance-sheet / cash-flow items (₹ crore)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Item</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FY26 value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Interpretation note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Total assets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20"/>
                <w:szCs w:val="20"/>
              </w:rPr>
              <w:t>13,296.96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Audited consolidated.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Total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color w:val="000000"/>
                <w:sz w:val="20"/>
                <w:szCs w:val="20"/>
              </w:rPr>
              <w:t>5,895.41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Post-listing equity base.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Borrowings excluding leases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282.87</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Lease liabilities excluded.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equivalents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1,393.08</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Separate from other bank balances.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Other bank balances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6,832.84</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Some balances may be restricted / earmarked.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Prepaid-card liabilities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5,383.85</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Programme-related obligations.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CFO / CFI / CFF</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+395.39 / −1,338.87 / +1,972.17</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Cash-flow statement categories.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FY26 audited consolidated statements. [2]</w:t>
      </w:r>
    </w:p>
    <w:p>
      <w:bookmarkStart w:id="54" w:name="toc_app_a_3"/>
      <w:pPr>
        <w:pStyle w:val="Heading2"/>
        <w:keepNext/>
        <w:spacing w:before="200" w:after="110" w:line="240" w:lineRule="auto"/>
        <w:jc w:val="left"/>
      </w:pPr>
      <w:r>
        <w:rPr>
          <w:rFonts w:ascii="Times New Roman" w:hAnsi="Times New Roman" w:eastAsia="Times New Roman" w:cs="Times New Roman"/>
          <w:b/>
          <w:i w:val="0"/>
          <w:color w:val="000000"/>
          <w:sz w:val="24"/>
          <w:szCs w:val="24"/>
        </w:rPr>
        <w:t>A.3 Q1 FY27 INTERIM SNAPSHOT</w:t>
      </w:r>
      <w:bookmarkEnd w:id="54"/>
    </w:p>
    <w:p>
      <w:pPr>
        <w:pStyle w:val="Caption"/>
        <w:keepNext/>
        <w:spacing w:before="140" w:after="70" w:line="240" w:lineRule="auto"/>
        <w:jc w:val="center"/>
      </w:pPr>
      <w:r>
        <w:rPr>
          <w:rFonts w:ascii="Times New Roman" w:hAnsi="Times New Roman" w:eastAsia="Times New Roman" w:cs="Times New Roman"/>
          <w:b/>
          <w:color w:val="000000"/>
          <w:sz w:val="22"/>
          <w:szCs w:val="22"/>
        </w:rPr>
        <w:t>Table A.3 | Q1 FY27 consolidated / operating snapshot</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Metric</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Value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Status / note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₹736.92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Interim; +19.65% year on year.</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₹19.57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Interim; Q1 FY26 was ₹4.79 crore.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DITP / IAP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₹499.12 / ₹237.80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segment disclosures.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Contribution margin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₹532.62 crore / 72.3%</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KPI.</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Adjusted EBITDA</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~₹126 crore / 17.1%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KPI.</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GTV / transactions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₹4.22 lakh crore / 201 crore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operating metrics.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DCPs / merchants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21.7 lakh / 11.5 lakh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operating metrics.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CFO comparison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~+₹78 ex early settlement; ~−₹159 including</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comparison; different presentation basis.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Sources: Q1 FY27 results and KPI data book [5,6]. Interim status applies.</w:t>
      </w:r>
    </w:p>
    <w:p>
      <w:pPr>
        <w:spacing w:after="100" w:line="360" w:lineRule="auto"/>
        <w:jc w:val="both"/>
      </w:pPr>
      <w:r>
        <w:rPr>
          <w:rFonts w:ascii="Times New Roman" w:hAnsi="Times New Roman" w:eastAsia="Times New Roman" w:cs="Times New Roman"/>
          <w:color w:val="000000"/>
          <w:sz w:val="24"/>
          <w:szCs w:val="24"/>
        </w:rPr>
        <w:t>The values in this appendix are a condensed reference. Verify each item against the original filing before reusing it in another analysis; small rounding differences may arise.</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APPENDIX B</w:t>
      </w:r>
    </w:p>
    <w:p>
      <w:bookmarkStart w:id="55" w:name="toc_app_b"/>
      <w:pPr>
        <w:pStyle w:val="Heading1"/>
        <w:keepNext/>
        <w:spacing w:before="0" w:after="260" w:line="240" w:lineRule="auto"/>
        <w:jc w:val="center"/>
      </w:pPr>
      <w:r>
        <w:rPr>
          <w:rFonts w:ascii="Times New Roman" w:hAnsi="Times New Roman" w:eastAsia="Times New Roman" w:cs="Times New Roman"/>
          <w:b/>
          <w:i w:val="0"/>
          <w:color w:val="000000"/>
          <w:sz w:val="28"/>
          <w:szCs w:val="28"/>
        </w:rPr>
        <w:t>APPENDIX B — QUARTERLY DATA BOOK</w:t>
      </w:r>
      <w:bookmarkEnd w:id="55"/>
    </w:p>
    <w:p>
      <w:pPr>
        <w:keepNext/>
        <w:spacing w:after="260" w:before="0" w:line="276" w:lineRule="auto"/>
        <w:jc w:val="center"/>
      </w:pPr>
      <w:r>
        <w:rPr>
          <w:rFonts w:ascii="Times New Roman" w:hAnsi="Times New Roman" w:eastAsia="Times New Roman" w:cs="Times New Roman"/>
          <w:i/>
          <w:color w:val="000000"/>
          <w:sz w:val="20"/>
          <w:szCs w:val="20"/>
        </w:rPr>
        <w:t>Quarterly operating series from Q1 FY25 through Q1 FY27</w:t>
      </w:r>
    </w:p>
    <w:p>
      <w:pPr>
        <w:spacing w:after="100" w:line="360" w:lineRule="auto"/>
        <w:jc w:val="both"/>
      </w:pPr>
      <w:r>
        <w:rPr>
          <w:rFonts w:ascii="Times New Roman" w:hAnsi="Times New Roman" w:eastAsia="Times New Roman" w:cs="Times New Roman"/>
          <w:color w:val="000000"/>
          <w:sz w:val="24"/>
          <w:szCs w:val="24"/>
        </w:rPr>
        <w:t>The Q1 FY27 KPI book provides a rounded quarterly series for revenue, operating segments, international revenue share, margins and platform activity. Quarterly values are useful for observing direction and mix; they are not a substitute for audited annual statements. Values are rounded as shown in the company data book. [6]</w:t>
      </w:r>
    </w:p>
    <w:p>
      <w:bookmarkStart w:id="56" w:name="toc_app_b_1"/>
      <w:pPr>
        <w:pStyle w:val="Heading2"/>
        <w:keepNext/>
        <w:spacing w:before="200" w:after="110" w:line="240" w:lineRule="auto"/>
        <w:jc w:val="left"/>
      </w:pPr>
      <w:r>
        <w:rPr>
          <w:rFonts w:ascii="Times New Roman" w:hAnsi="Times New Roman" w:eastAsia="Times New Roman" w:cs="Times New Roman"/>
          <w:b/>
          <w:i w:val="0"/>
          <w:color w:val="000000"/>
          <w:sz w:val="24"/>
          <w:szCs w:val="24"/>
        </w:rPr>
        <w:t>B.1 QUARTERLY REVENUE AND SEGMENT MIX</w:t>
      </w:r>
      <w:bookmarkEnd w:id="56"/>
    </w:p>
    <w:p>
      <w:pPr>
        <w:pStyle w:val="Caption"/>
        <w:keepNext/>
        <w:spacing w:before="140" w:after="70" w:line="240" w:lineRule="auto"/>
        <w:jc w:val="center"/>
      </w:pPr>
      <w:r>
        <w:rPr>
          <w:rFonts w:ascii="Times New Roman" w:hAnsi="Times New Roman" w:eastAsia="Times New Roman" w:cs="Times New Roman"/>
          <w:b/>
          <w:color w:val="000000"/>
          <w:sz w:val="22"/>
          <w:szCs w:val="22"/>
        </w:rPr>
        <w:t>Table B.1 | Quarterly revenue by platform (₹ crore, rounded)</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Quarter</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Revenue</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DITP</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IAP</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Outside India</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522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373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Q2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552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393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Q3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602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Q4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599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410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616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434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Q2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650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440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210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Q3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744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496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248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13%</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Q4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701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466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234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737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499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238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16%</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Pine Labs KPI Data Book, Q1 FY27 [6]. Exact Q1 FY27 statement revenue is ₹736.92 crore.</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B.1 | Quarterly revenue by platform</w:t>
      </w:r>
    </w:p>
    <w:p>
      <w:pPr>
        <w:keepLines/>
        <w:spacing w:after="40" w:line="240" w:lineRule="auto"/>
        <w:jc w:val="center"/>
      </w:pPr>
      <w:r>
        <w:drawing>
          <wp:inline xmlns:a="http://schemas.openxmlformats.org/drawingml/2006/main" xmlns:pic="http://schemas.openxmlformats.org/drawingml/2006/picture">
            <wp:extent cx="5120640" cy="2034088"/>
            <wp:docPr id="8" name="Picture 8" descr="Stacked quarterly revenue chart, DITP and IAP, from Q1 FY25 to Q1 FY27." title="Figure B.1 | Quarterly revenue by platform"/>
            <wp:cNvGraphicFramePr>
              <a:graphicFrameLocks noChangeAspect="1"/>
            </wp:cNvGraphicFramePr>
            <a:graphic>
              <a:graphicData uri="http://schemas.openxmlformats.org/drawingml/2006/picture">
                <pic:pic>
                  <pic:nvPicPr>
                    <pic:cNvPr id="0" name="fig_qtr_revenue.png"/>
                    <pic:cNvPicPr/>
                  </pic:nvPicPr>
                  <pic:blipFill>
                    <a:blip r:embed="rId32"/>
                    <a:stretch>
                      <a:fillRect/>
                    </a:stretch>
                  </pic:blipFill>
                  <pic:spPr>
                    <a:xfrm>
                      <a:off x="0" y="0"/>
                      <a:ext cx="5120640" cy="2034088"/>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Q1 FY27 KPI Data Book [6]. Values rounded to ₹ crore; quarter periods are not annualized.</w:t>
      </w:r>
    </w:p>
    <w:p>
      <w:pPr>
        <w:spacing w:after="100" w:line="360" w:lineRule="auto"/>
        <w:jc w:val="both"/>
      </w:pPr>
      <w:r>
        <w:rPr>
          <w:rFonts w:ascii="Times New Roman" w:hAnsi="Times New Roman" w:eastAsia="Times New Roman" w:cs="Times New Roman"/>
          <w:color w:val="000000"/>
          <w:sz w:val="24"/>
          <w:szCs w:val="24"/>
        </w:rPr>
        <w:t>Quarterly revenue rose from approximately ₹522 crore in Q1 FY25 to ₹737 crore in Q1 FY27. DITP provides the larger revenue base, while IAP increased its share across the annual FY24–FY26 series. Sequential changes should be read with seasonality, product mix, distribution activity and timing; one quarter alone does not establish acceleration or slowdown.</w:t>
      </w:r>
    </w:p>
    <w:p>
      <w:bookmarkStart w:id="57" w:name="toc_app_b_2"/>
      <w:pPr>
        <w:pStyle w:val="Heading2"/>
        <w:keepNext/>
        <w:spacing w:before="200" w:after="110" w:line="240" w:lineRule="auto"/>
        <w:jc w:val="left"/>
      </w:pPr>
      <w:r>
        <w:rPr>
          <w:rFonts w:ascii="Times New Roman" w:hAnsi="Times New Roman" w:eastAsia="Times New Roman" w:cs="Times New Roman"/>
          <w:b/>
          <w:i w:val="0"/>
          <w:color w:val="000000"/>
          <w:sz w:val="24"/>
          <w:szCs w:val="24"/>
        </w:rPr>
        <w:t>B.2 QUARTERLY PROFITABILITY AND MARGINS</w:t>
      </w:r>
      <w:bookmarkEnd w:id="57"/>
    </w:p>
    <w:p>
      <w:pPr>
        <w:pStyle w:val="Caption"/>
        <w:keepNext/>
        <w:spacing w:before="140" w:after="70" w:line="240" w:lineRule="auto"/>
        <w:jc w:val="center"/>
      </w:pPr>
      <w:r>
        <w:rPr>
          <w:rFonts w:ascii="Times New Roman" w:hAnsi="Times New Roman" w:eastAsia="Times New Roman" w:cs="Times New Roman"/>
          <w:b/>
          <w:color w:val="000000"/>
          <w:sz w:val="22"/>
          <w:szCs w:val="22"/>
        </w:rPr>
        <w:t>Table B.2 | Quarterly company-defined margin and profit indicators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trPr>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Quarter</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Contribution margin %</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Adjusted EBITDA (₹ cr)</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Adjusted EBITDA margin</w:t>
            </w:r>
          </w:p>
        </w:tc>
        <w:tc>
          <w:tcPr>
            <w:tcW w:type="dxa" w:w="1805"/>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PAT (₹ cr, rounded)</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90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(28)</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Q2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Q3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108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(57)</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Q4 FY25</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(29)</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78%</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121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Q2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122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6</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Q3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74%</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42</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Q4 FY26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73%</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21%</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59</w:t>
            </w:r>
          </w:p>
        </w:tc>
      </w:tr>
      <w:tr>
        <w:trPr>
          <w:cantSplit/>
        </w:trPr>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72%</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126</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w:t>
            </w:r>
          </w:p>
        </w:tc>
        <w:tc>
          <w:tcPr>
            <w:tcW w:type="dxa" w:w="1805"/>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KPI Data Book / management P&amp;L Q1 FY27 [6]. Exact Q1 FY26 and Q1 FY27 PAT in interim disclosure [5]. Rounded figures may not match statements.</w:t>
      </w:r>
    </w:p>
    <w:p>
      <w:pPr>
        <w:pStyle w:val="Caption"/>
        <w:keepNext/>
        <w:spacing w:before="140" w:after="70" w:line="240" w:lineRule="auto"/>
        <w:jc w:val="center"/>
      </w:pPr>
      <w:r>
        <w:rPr>
          <w:rFonts w:ascii="Times New Roman" w:hAnsi="Times New Roman" w:eastAsia="Times New Roman" w:cs="Times New Roman"/>
          <w:b/>
          <w:color w:val="000000"/>
          <w:sz w:val="22"/>
          <w:szCs w:val="22"/>
        </w:rPr>
        <w:t>Figure B.2 | Quarterly contribution and adjusted EBITDA margins</w:t>
      </w:r>
    </w:p>
    <w:p>
      <w:pPr>
        <w:keepLines/>
        <w:spacing w:after="40" w:line="240" w:lineRule="auto"/>
        <w:jc w:val="center"/>
      </w:pPr>
      <w:r>
        <w:drawing>
          <wp:inline xmlns:a="http://schemas.openxmlformats.org/drawingml/2006/main" xmlns:pic="http://schemas.openxmlformats.org/drawingml/2006/picture">
            <wp:extent cx="5120640" cy="1951563"/>
            <wp:docPr id="9" name="Picture 9" descr="Line chart shows contribution margin and adjusted EBITDA margin across nine quarters, with both lower in Q1 FY27 than a year earlier." title="Figure B.2 | Quarterly contribution and adjusted EBITDA margins"/>
            <wp:cNvGraphicFramePr>
              <a:graphicFrameLocks noChangeAspect="1"/>
            </wp:cNvGraphicFramePr>
            <a:graphic>
              <a:graphicData uri="http://schemas.openxmlformats.org/drawingml/2006/picture">
                <pic:pic>
                  <pic:nvPicPr>
                    <pic:cNvPr id="0" name="fig_qtr_margins.png"/>
                    <pic:cNvPicPr/>
                  </pic:nvPicPr>
                  <pic:blipFill>
                    <a:blip r:embed="rId33"/>
                    <a:stretch>
                      <a:fillRect/>
                    </a:stretch>
                  </pic:blipFill>
                  <pic:spPr>
                    <a:xfrm>
                      <a:off x="0" y="0"/>
                      <a:ext cx="5120640" cy="1951563"/>
                    </a:xfrm>
                    <a:prstGeom prst="rect"/>
                  </pic:spPr>
                </pic:pic>
              </a:graphicData>
            </a:graphic>
          </wp:inline>
        </w:drawing>
      </w:r>
    </w:p>
    <w:p>
      <w:pPr>
        <w:keepNext w:val="0"/>
        <w:keepLines/>
        <w:spacing w:before="40" w:after="140" w:line="276" w:lineRule="auto"/>
        <w:jc w:val="center"/>
      </w:pPr>
      <w:r>
        <w:rPr>
          <w:rFonts w:ascii="Times New Roman" w:hAnsi="Times New Roman" w:eastAsia="Times New Roman" w:cs="Times New Roman"/>
          <w:i/>
          <w:color w:val="000000"/>
          <w:sz w:val="20"/>
          <w:szCs w:val="20"/>
        </w:rPr>
        <w:t>Source: Pine Labs KPI Data Book, Q1 FY27 [6]. Both series are company-defined; definitions and rounding follow the data book.</w:t>
      </w:r>
    </w:p>
    <w:p>
      <w:pPr>
        <w:spacing w:after="100" w:line="360" w:lineRule="auto"/>
        <w:jc w:val="both"/>
      </w:pPr>
      <w:r>
        <w:rPr>
          <w:rFonts w:ascii="Times New Roman" w:hAnsi="Times New Roman" w:eastAsia="Times New Roman" w:cs="Times New Roman"/>
          <w:color w:val="000000"/>
          <w:sz w:val="24"/>
          <w:szCs w:val="24"/>
        </w:rPr>
        <w:t>The rounded series shows contribution margin between approximately 72% and 79% of revenue. Adjusted EBITDA margin rose to 23% in Q3 FY26 and was about 17% in Q1 FY27, below the 20% shown for Q1 FY26. The company’s management P&amp;L shows quarterly PAT losses in FY25 and positive profits in FY26 and Q1 FY27. Because the PAT base is modest, tax, ESOP costs, depreciation, financing and exceptional items can materially affect quarter-to-quarter net income. [5,6]</w:t>
      </w:r>
    </w:p>
    <w:p>
      <w:bookmarkStart w:id="58" w:name="toc_app_b_3"/>
      <w:pPr>
        <w:pStyle w:val="Heading2"/>
        <w:keepNext/>
        <w:spacing w:before="200" w:after="110" w:line="240" w:lineRule="auto"/>
        <w:jc w:val="left"/>
      </w:pPr>
      <w:r>
        <w:rPr>
          <w:rFonts w:ascii="Times New Roman" w:hAnsi="Times New Roman" w:eastAsia="Times New Roman" w:cs="Times New Roman"/>
          <w:b/>
          <w:i w:val="0"/>
          <w:color w:val="000000"/>
          <w:sz w:val="24"/>
          <w:szCs w:val="24"/>
        </w:rPr>
        <w:t>B.3 QUARTERLY PLATFORM ACTIVITY</w:t>
      </w:r>
      <w:bookmarkEnd w:id="58"/>
    </w:p>
    <w:p>
      <w:pPr>
        <w:pStyle w:val="Caption"/>
        <w:keepNext/>
        <w:spacing w:before="140" w:after="70" w:line="240" w:lineRule="auto"/>
        <w:jc w:val="center"/>
      </w:pPr>
      <w:r>
        <w:rPr>
          <w:rFonts w:ascii="Times New Roman" w:hAnsi="Times New Roman" w:eastAsia="Times New Roman" w:cs="Times New Roman"/>
          <w:b/>
          <w:color w:val="000000"/>
          <w:sz w:val="22"/>
          <w:szCs w:val="22"/>
        </w:rPr>
        <w:t>Table B.3 | Quarterly activity indicators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trPr>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Quarter</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GTV (₹000 crore)</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Transactions (crore)</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DCPs (lakh)</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Merchants (lakh)</w:t>
            </w:r>
          </w:p>
        </w:tc>
        <w:tc>
          <w:tcPr>
            <w:tcW w:type="dxa" w:w="1504"/>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8"/>
                <w:szCs w:val="18"/>
              </w:rPr>
              <w:t>Cards issued (crore)</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186</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112</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7.0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14</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Q2 FY25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221</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130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16.0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8.0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Q3 FY25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349</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157</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9.0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Q4 FY25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386</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17.8</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9.5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24</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FY26</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406</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175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18.4</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9.9</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23</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Q2 FY26</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424</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188</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10.4</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26</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Q3 FY26</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451</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19.3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10.5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Q4 FY26</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435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20.3</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11.0</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18</w:t>
            </w:r>
          </w:p>
        </w:tc>
      </w:tr>
      <w:tr>
        <w:trPr>
          <w:cantSplit/>
        </w:trPr>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8"/>
                <w:szCs w:val="18"/>
              </w:rPr>
              <w:t>Q1 FY27</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422</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201</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21.7</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11.5</w:t>
            </w:r>
          </w:p>
        </w:tc>
        <w:tc>
          <w:tcPr>
            <w:tcW w:type="dxa" w:w="1504"/>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8"/>
                <w:szCs w:val="18"/>
              </w:rPr>
              <w:t>20</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 Pine Labs KPI Data Book, Q1 FY27 [6]. 422 thousand crore is approximately ₹4.22 lakh crore. Cards issued are a separate issuance metric, not GTV.</w:t>
      </w:r>
    </w:p>
    <w:p>
      <w:pPr>
        <w:spacing w:after="100" w:line="360" w:lineRule="auto"/>
        <w:jc w:val="both"/>
      </w:pPr>
      <w:r>
        <w:rPr>
          <w:rFonts w:ascii="Times New Roman" w:hAnsi="Times New Roman" w:eastAsia="Times New Roman" w:cs="Times New Roman"/>
          <w:color w:val="000000"/>
          <w:sz w:val="24"/>
          <w:szCs w:val="24"/>
        </w:rPr>
        <w:t>Transactions increased from 112 crore in Q1 FY25 to 201 crore in Q1 FY27; DCPs rose from 15.0 lakh to 21.7 lakh. Period-end merchant and DCP counts are network indicators and do not equal active monthly merchants or transactions per merchant. Prepaid-card issuance is a separate measure. Flow / affordability GTV is a subset under the company’s classification and should not be added to total GTV. [6]</w:t>
      </w:r>
    </w:p>
    <w:p>
      <w:bookmarkStart w:id="59" w:name="toc_app_b_4"/>
      <w:pPr>
        <w:pStyle w:val="Heading2"/>
        <w:keepNext/>
        <w:spacing w:before="200" w:after="110" w:line="240" w:lineRule="auto"/>
        <w:jc w:val="left"/>
      </w:pPr>
      <w:r>
        <w:rPr>
          <w:rFonts w:ascii="Times New Roman" w:hAnsi="Times New Roman" w:eastAsia="Times New Roman" w:cs="Times New Roman"/>
          <w:b/>
          <w:i w:val="0"/>
          <w:color w:val="000000"/>
          <w:sz w:val="24"/>
          <w:szCs w:val="24"/>
        </w:rPr>
        <w:t>B.4 SEGMENT ECONOMICS AND Q1 BRIDGE</w:t>
      </w:r>
      <w:bookmarkEnd w:id="59"/>
    </w:p>
    <w:p>
      <w:pPr>
        <w:pStyle w:val="Caption"/>
        <w:keepNext/>
        <w:spacing w:before="140" w:after="70" w:line="240" w:lineRule="auto"/>
        <w:jc w:val="center"/>
      </w:pPr>
      <w:r>
        <w:rPr>
          <w:rFonts w:ascii="Times New Roman" w:hAnsi="Times New Roman" w:eastAsia="Times New Roman" w:cs="Times New Roman"/>
          <w:b/>
          <w:color w:val="000000"/>
          <w:sz w:val="22"/>
          <w:szCs w:val="22"/>
        </w:rPr>
        <w:t>Table B.4 | Annual and Q1 segment mix (₹ crore, rounded)</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rPr>
          <w:tblHeader w:val="true"/>
          <w:cantSplit/>
        </w:trPr>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Period</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DITP revenue</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IAP revenue</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Total / mix note</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FY24</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1,276</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493</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1,769; IAP ~27.9%</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FY25</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1,603</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671</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2,274; IAP ~29.5%</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FY26</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1,837</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874</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2,711; IAP ~32.2%</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Q1 FY26</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434</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182</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616; IAP ~29.5%</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Q1 FY27</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499.12</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237.80</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736.92; IAP ~32.3%</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Sources: Pine Labs FY26 / Q1 FY27 company KPI and results disclosures [3,5,6]. Segment shares are author calculations from rounded values.</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B.5 | Q1 year-on-year results bridge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rPr>
          <w:tblHeader w:val="true"/>
          <w:cantSplit/>
        </w:trPr>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Metric</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Q1 FY26</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Q1 FY27</w:t>
            </w:r>
          </w:p>
        </w:tc>
        <w:tc>
          <w:tcPr>
            <w:tcW w:type="dxa" w:w="225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19"/>
                <w:szCs w:val="19"/>
              </w:rPr>
              <w:t>Interpretation</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Revenue from operations</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₹615.91 crore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₹736.92 crore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+19.65% year on year.</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DITP / IAP revenue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₹434 / ₹182 crore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₹499.12 / ₹237.80 crore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Both grew; IAP grew faster.</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Contribution margin</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₹480 crore / 77.9%</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₹532.62 crore / 72.3%</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Value rose; percentage margin fell.</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Adjusted EBITDA</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₹121 crore / 19.6%</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~₹126 crore / 17.1%</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Absolute growth modest relative to revenue.</w:t>
            </w:r>
          </w:p>
        </w:tc>
      </w:tr>
      <w:tr>
        <w:trPr>
          <w:cantSplit/>
        </w:trPr>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PAT</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₹4.79 crore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19"/>
                <w:szCs w:val="19"/>
              </w:rPr>
              <w:t>₹19.57 crore</w:t>
            </w:r>
          </w:p>
        </w:tc>
        <w:tc>
          <w:tcPr>
            <w:tcW w:type="dxa" w:w="2256"/>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19"/>
                <w:szCs w:val="19"/>
              </w:rPr>
              <w:t>Improved from a low base.</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Sources: Pine Labs Q1 FY27 results and KPI book [5,6]. KPI book values are rounded where stated.</w:t>
      </w:r>
    </w:p>
    <w:p>
      <w:pPr>
        <w:spacing w:after="100" w:line="360" w:lineRule="auto"/>
        <w:jc w:val="both"/>
      </w:pPr>
      <w:r>
        <w:rPr>
          <w:rFonts w:ascii="Times New Roman" w:hAnsi="Times New Roman" w:eastAsia="Times New Roman" w:cs="Times New Roman"/>
          <w:color w:val="000000"/>
          <w:sz w:val="24"/>
          <w:szCs w:val="24"/>
        </w:rPr>
        <w:t>The change in margin alongside continued revenue growth suggests mix, investment and cost dynamics require monitoring. Management explanations are relevant but should be tested against later data rather than treated as proof of a normalized margin. [5,6,8]</w:t>
      </w:r>
    </w:p>
    <w:p>
      <w:bookmarkStart w:id="60" w:name="toc_app_b_5"/>
      <w:pPr>
        <w:pStyle w:val="Heading2"/>
        <w:keepNext/>
        <w:spacing w:before="200" w:after="110" w:line="240" w:lineRule="auto"/>
        <w:jc w:val="left"/>
      </w:pPr>
      <w:r>
        <w:rPr>
          <w:rFonts w:ascii="Times New Roman" w:hAnsi="Times New Roman" w:eastAsia="Times New Roman" w:cs="Times New Roman"/>
          <w:b/>
          <w:i w:val="0"/>
          <w:color w:val="000000"/>
          <w:sz w:val="24"/>
          <w:szCs w:val="24"/>
        </w:rPr>
        <w:t>B.5 CASH CONVERSION AND SETTLEMENT CONTEXT</w:t>
      </w:r>
      <w:bookmarkEnd w:id="60"/>
    </w:p>
    <w:p>
      <w:pPr>
        <w:pStyle w:val="Caption"/>
        <w:keepNext/>
        <w:spacing w:before="140" w:after="70" w:line="240" w:lineRule="auto"/>
        <w:jc w:val="center"/>
      </w:pPr>
      <w:r>
        <w:rPr>
          <w:rFonts w:ascii="Times New Roman" w:hAnsi="Times New Roman" w:eastAsia="Times New Roman" w:cs="Times New Roman"/>
          <w:b/>
          <w:color w:val="000000"/>
          <w:sz w:val="22"/>
          <w:szCs w:val="22"/>
        </w:rPr>
        <w:t>Table B.6 | Cash conversion and settlement balances (₹ crore)</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Item</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Value / series</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Reading note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FY23 / FY24 / FY25 CFO</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−152.36 / −229.01 / +49.72</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Annual restated cash-flow series.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CFO / CFI / CFF</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+395.39 / −1,338.87 / +1,972.17</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Investing and financing flows also materially affected cash.</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Q1 FY27 CFO comparison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~+78 ex early settlement; ~−159 including it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 comparison; distinct presentation basis.</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equivalents / other bank balances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1,393.08 / 6,832.84</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Other bank balances require note-level review.</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Prepaid-card liabilities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5,383.85</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Programme obligations; do not treat related balances as free cash.</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Sources: FY26 audited statements and Q1 FY27 results / KPI book [2,5,6].</w:t>
      </w:r>
    </w:p>
    <w:p>
      <w:pPr>
        <w:spacing w:after="100" w:line="360" w:lineRule="auto"/>
        <w:jc w:val="both"/>
      </w:pPr>
      <w:r>
        <w:rPr>
          <w:rFonts w:ascii="Times New Roman" w:hAnsi="Times New Roman" w:eastAsia="Times New Roman" w:cs="Times New Roman"/>
          <w:color w:val="000000"/>
          <w:sz w:val="24"/>
          <w:szCs w:val="24"/>
        </w:rPr>
        <w:t>Working-capital assessment should reconcile trade receivables, settlement receivables and payables, prepaid balances, deposits, acquisition spending and capital expenditure. A cash-flow bridge separating recurring operations from timing / settlement effects would improve outside analysis. Management-defined “excluding early settlement” measures should always remain clearly labelled.</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APPENDIX C</w:t>
      </w:r>
    </w:p>
    <w:p>
      <w:bookmarkStart w:id="61" w:name="toc_app_c"/>
      <w:pPr>
        <w:pStyle w:val="Heading1"/>
        <w:keepNext/>
        <w:spacing w:before="0" w:after="260" w:line="240" w:lineRule="auto"/>
        <w:jc w:val="center"/>
      </w:pPr>
      <w:r>
        <w:rPr>
          <w:rFonts w:ascii="Times New Roman" w:hAnsi="Times New Roman" w:eastAsia="Times New Roman" w:cs="Times New Roman"/>
          <w:b/>
          <w:i w:val="0"/>
          <w:color w:val="000000"/>
          <w:sz w:val="28"/>
          <w:szCs w:val="28"/>
        </w:rPr>
        <w:t>APPENDIX C — FORMULAS AND WORKED CALCULATIONS</w:t>
      </w:r>
      <w:bookmarkEnd w:id="61"/>
    </w:p>
    <w:p>
      <w:pPr>
        <w:keepNext/>
        <w:spacing w:after="260" w:before="0" w:line="276" w:lineRule="auto"/>
        <w:jc w:val="center"/>
      </w:pPr>
      <w:r>
        <w:rPr>
          <w:rFonts w:ascii="Times New Roman" w:hAnsi="Times New Roman" w:eastAsia="Times New Roman" w:cs="Times New Roman"/>
          <w:i/>
          <w:color w:val="000000"/>
          <w:sz w:val="20"/>
          <w:szCs w:val="20"/>
        </w:rPr>
        <w:t>Formula reference and selected calculations for reproducibility</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C.1 | Formula sheet and worked examples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trPr>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Measure</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Formula</w:t>
            </w:r>
          </w:p>
        </w:tc>
        <w:tc>
          <w:tcPr>
            <w:tcW w:type="dxa" w:w="3009"/>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Worked illustration</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Year-on-year revenue growth</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(Current-period revenue ÷ previous-period revenue) − 1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2,710.59 ÷ 2,274.27 − 1 ≈ 19.2%.</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CAGR</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(Ending value ÷ beginning value)^(1 / years) − 1</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FY23–FY26 revenue: (2,710.59 ÷ 1,597.66)^(1/3) − 1 ≈ 19.3%.</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 margin</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 ÷ revenue from operations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112.51 ÷ 2,710.59 ≈ 4.15%.</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Current ratio</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Current assets ÷ current liabilities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10,884.33 ÷ 7,184.12 ≈ 1.52×.</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Borrowings /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Borrowings excluding leases ÷ total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FY26: 282.87 ÷ 5,895.41 ≈ 0.05×.</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ROA</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PAT ÷ average total assets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FY26: 112.51 ÷ [(10,715.73 + 13,296.96) / 2] ≈ 0.94%.</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ROE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PAT ÷ average total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color w:val="000000"/>
                <w:sz w:val="20"/>
                <w:szCs w:val="20"/>
              </w:rPr>
              <w:t>FY26: 112.51 ÷ [(3,506.14 + 5,895.41) / 2] ≈ 2.39%.</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 / GTV proxy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Revenue (₹ crore) ÷ [GTV (₹ lakh crore × 100,000)] × 10,000</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2,710.59 ÷ (17.15 × 100,000) × 10,000 ≈ 15.8 bps; not a take rate.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TTM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 Q1 FY27 − Q1 FY26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2,710.59 + 736.92 − 615.91 = ₹2,831.60 crore.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TTM PAT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 Q1 FY27 − Q1 FY26</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112.51 + 19.57 − 4.79 = ₹127.29 crore.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Market-cap proxy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BSE close × approximate paid-up shares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₹167.55 × 115.39 crore ≈ ₹19,333.6 crore.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P/E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Market-cap proxy ÷ TTM PAT</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19,333.6 ÷ 127.29 ≈ 152×; author-calculated.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P/S</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Market-cap proxy ÷ TTM revenue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19,333.6 ÷ 2,831.60 ≈ 6.83×; author-calculated.</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Indicative P/B</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Market-cap proxy ÷ FY26 closing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19,333.6 ÷ 5,895.41 ≈ 3.28×; mixed-date.</w:t>
            </w:r>
          </w:p>
        </w:tc>
      </w:tr>
      <w:tr>
        <w:trPr>
          <w:cantSplit/>
        </w:trPr>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DuPont ROE</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 / revenue) × (revenue / avg. assets) × (avg. assets / avg. equity)</w:t>
            </w:r>
          </w:p>
        </w:tc>
        <w:tc>
          <w:tcPr>
            <w:tcW w:type="dxa" w:w="3009"/>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FY26: 4.15% × 0.226× × 2.55× ≈ 2.39%.</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Author calculations from reported figures and the 1 October 2026 BSE snapshot [1–6,11]. Values rounded; denominator definitions should be checked before reuse.</w:t>
      </w:r>
    </w:p>
    <w:p>
      <w:pPr>
        <w:spacing w:after="100" w:line="360" w:lineRule="auto"/>
        <w:jc w:val="both"/>
      </w:pPr>
      <w:r>
        <w:rPr>
          <w:rFonts w:ascii="Times New Roman" w:hAnsi="Times New Roman" w:eastAsia="Times New Roman" w:cs="Times New Roman"/>
          <w:color w:val="000000"/>
          <w:sz w:val="24"/>
          <w:szCs w:val="24"/>
        </w:rPr>
        <w:t>The revenue / GTV proxy uses unit conversion: ₹1 lakh crore = ₹100,000 crore. The P/B sensitivity in Chapter 5 uses the simplified stable-growth relation P/B = (sustainable ROE − g) / (cost of equity − g), with illustrative cost of equity 12% and long-term growth 4%. Neither the sensitivity nor the dated multiples constitute a forecast or target price.</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APPENDIX D</w:t>
      </w:r>
    </w:p>
    <w:p>
      <w:bookmarkStart w:id="62" w:name="toc_app_d"/>
      <w:pPr>
        <w:pStyle w:val="Heading1"/>
        <w:keepNext/>
        <w:spacing w:before="0" w:after="260" w:line="240" w:lineRule="auto"/>
        <w:jc w:val="center"/>
      </w:pPr>
      <w:r>
        <w:rPr>
          <w:rFonts w:ascii="Times New Roman" w:hAnsi="Times New Roman" w:eastAsia="Times New Roman" w:cs="Times New Roman"/>
          <w:b/>
          <w:i w:val="0"/>
          <w:color w:val="000000"/>
          <w:sz w:val="28"/>
          <w:szCs w:val="28"/>
        </w:rPr>
        <w:t>APPENDIX D — GLOSSARY AND ABBREVIATIONS</w:t>
      </w:r>
      <w:bookmarkEnd w:id="62"/>
    </w:p>
    <w:p>
      <w:pPr>
        <w:keepNext/>
        <w:spacing w:after="260" w:before="0" w:line="276" w:lineRule="auto"/>
        <w:jc w:val="center"/>
      </w:pPr>
      <w:r>
        <w:rPr>
          <w:rFonts w:ascii="Times New Roman" w:hAnsi="Times New Roman" w:eastAsia="Times New Roman" w:cs="Times New Roman"/>
          <w:i/>
          <w:color w:val="000000"/>
          <w:sz w:val="20"/>
          <w:szCs w:val="20"/>
        </w:rPr>
        <w:t>Terms used in the report</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D.1 | Glossary</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Term</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Definition</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Acquirer</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Entity that enables a merchant to accept a payment instrument under the applicable arrangement.</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Affordability</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Merchant- or lender-linked payment option such as instalments; underwriting may be performed by a regulated partner.</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Adjusted EBITDA</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Management-defined non-GAAP measure; read with period-specific reconciliation.</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CFO / CFI / CFF</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flow from operating / investing / financing activities.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Contribution margin</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Company-defined measure after specified direct costs; not a statutory subtotal.</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DCP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checkout point; company operating KPI.</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DITP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Infrastructure and Transaction Platform.</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GTV</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Gross transaction value processed / routed / serviced under the company’s definition; not revenue.</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IAP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Issuing and Acquiring Platform.</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Profit after tax.</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Prepaid-card liability</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Obligation associated with stored-value / prepaid programmes; not equivalent to unrestricted corporate debt or free cash.</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Restated financials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Historical consolidated statements retrospectively presented / adjusted in the prospectus for comparability, including the Singapore merger.</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TTM / LTM</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Trailing twelve months; here FY26 plus Q1 FY27 less Q1 FY26.</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UPI</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Unified Payments Interface, operated through NPCI member banks and participating applications.</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Definitions are tailored for this report; source filings and applicable law take precedence.</w:t>
      </w:r>
    </w:p>
    <w:p>
      <w:pPr>
        <w:pStyle w:val="Caption"/>
        <w:keepNext/>
        <w:spacing w:before="140" w:after="70" w:line="240" w:lineRule="auto"/>
        <w:jc w:val="center"/>
      </w:pPr>
      <w:r>
        <w:rPr>
          <w:rFonts w:ascii="Times New Roman" w:hAnsi="Times New Roman" w:eastAsia="Times New Roman" w:cs="Times New Roman"/>
          <w:b/>
          <w:color w:val="000000"/>
          <w:sz w:val="22"/>
          <w:szCs w:val="22"/>
        </w:rPr>
        <w:t>Table D.2 | Selected abbreviations</w:t>
      </w:r>
    </w:p>
    <w:tbl>
      <w:tblPr>
        <w:tblStyle w:val="TableGrid"/>
        <w:tblW w:type="dxa" w:w="9026"/>
        <w:jc w:val="center"/>
        <w:tblLayout w:type="fixed"/>
        <w:tblLook w:firstColumn="0" w:firstRow="0" w:lastColumn="0" w:lastRow="0" w:noHBand="1"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rPr>
          <w:tblHeader w:val="true"/>
          <w:cantSplit/>
        </w:trPr>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Abbreviation</w:t>
            </w:r>
          </w:p>
        </w:tc>
        <w:tc>
          <w:tcPr>
            <w:tcW w:type="dxa" w:w="4513"/>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start w:w="85" w:type="dxa"/>
              <w:bottom w:w="40" w:type="dxa"/>
              <w:end w:w="85" w:type="dxa"/>
              <w:left w:w="80" w:type="dxa"/>
              <w:right w:w="80" w:type="dxa"/>
            </w:tcMar>
            <w:vAlign w:val="center"/>
          </w:tcPr>
          <w:p>
            <w:pPr>
              <w:spacing w:after="0" w:line="240" w:lineRule="auto" w:before="0"/>
              <w:jc w:val="center"/>
            </w:pPr>
            <w:r>
              <w:rPr>
                <w:rFonts w:ascii="Times New Roman" w:hAnsi="Times New Roman" w:eastAsia="Times New Roman" w:cs="Times New Roman"/>
                <w:b/>
                <w:color w:val="000000"/>
                <w:sz w:val="20"/>
                <w:szCs w:val="20"/>
              </w:rPr>
              <w:t>Meaning</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BSE</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BSE Limited</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CFO</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Cash flow from operating activities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CTCL</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Computer-to-Computer Link</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DCP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checkout point</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DITP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Digital Infrastructure and Transaction Platform</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F&amp;O</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Futures and options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FY</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Financial year</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GTV</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Gross transaction value</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IAP</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Issuing and Acquiring Platform</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IPO</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Initial public offering</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MMS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Master of Management Studies</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NSE</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National Stock Exchange of India</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NPCI</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National Payments Corporation of India</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PAT</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Profit after tax</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POS</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center"/>
            </w:pPr>
            <w:r>
              <w:rPr>
                <w:rFonts w:ascii="Times New Roman" w:hAnsi="Times New Roman" w:eastAsia="Times New Roman" w:cs="Times New Roman"/>
                <w:b w:val="0"/>
                <w:color w:val="000000"/>
                <w:sz w:val="20"/>
                <w:szCs w:val="20"/>
              </w:rPr>
              <w:t>Point of sale</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RBI</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Reserve Bank of India</w:t>
            </w:r>
          </w:p>
        </w:tc>
      </w:tr>
      <w:tr>
        <w:trPr>
          <w:cantSplit/>
        </w:trPr>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UPI</w:t>
            </w:r>
          </w:p>
        </w:tc>
        <w:tc>
          <w:tcPr>
            <w:tcW w:type="dxa" w:w="4513"/>
            <w:tcMar>
              <w:top w:w="40" w:type="dxa"/>
              <w:start w:w="78" w:type="dxa"/>
              <w:bottom w:w="40" w:type="dxa"/>
              <w:end w:w="78" w:type="dxa"/>
              <w:left w:w="80" w:type="dxa"/>
              <w:right w:w="80" w:type="dxa"/>
            </w:tcMa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spacing w:after="0" w:line="240" w:lineRule="auto" w:before="0"/>
              <w:jc w:val="left"/>
            </w:pPr>
            <w:r>
              <w:rPr>
                <w:rFonts w:ascii="Times New Roman" w:hAnsi="Times New Roman" w:eastAsia="Times New Roman" w:cs="Times New Roman"/>
                <w:b w:val="0"/>
                <w:color w:val="000000"/>
                <w:sz w:val="20"/>
                <w:szCs w:val="20"/>
              </w:rPr>
              <w:t>Unified Payments Interface</w:t>
            </w:r>
          </w:p>
        </w:tc>
      </w:tr>
    </w:tbl>
    <w:p>
      <w:pPr>
        <w:keepNext w:val="0"/>
        <w:keepLines/>
        <w:spacing w:before="40" w:after="140" w:line="276" w:lineRule="auto"/>
        <w:jc w:val="center"/>
      </w:pPr>
      <w:r>
        <w:rPr>
          <w:rFonts w:ascii="Times New Roman" w:hAnsi="Times New Roman" w:eastAsia="Times New Roman" w:cs="Times New Roman"/>
          <w:i/>
          <w:color w:val="000000"/>
          <w:sz w:val="20"/>
          <w:szCs w:val="20"/>
        </w:rPr>
        <w:t>Prepared for the reader’s convenience.</w:t>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APPENDIX E</w:t>
      </w:r>
    </w:p>
    <w:p>
      <w:bookmarkStart w:id="63" w:name="toc_app_e"/>
      <w:pPr>
        <w:pStyle w:val="Heading1"/>
        <w:keepNext/>
        <w:spacing w:before="0" w:after="260" w:line="240" w:lineRule="auto"/>
        <w:jc w:val="center"/>
      </w:pPr>
      <w:r>
        <w:rPr>
          <w:rFonts w:ascii="Times New Roman" w:hAnsi="Times New Roman" w:eastAsia="Times New Roman" w:cs="Times New Roman"/>
          <w:b/>
          <w:i w:val="0"/>
          <w:color w:val="000000"/>
          <w:sz w:val="28"/>
          <w:szCs w:val="28"/>
        </w:rPr>
        <w:t>APPENDIX E — INTERNSHIP EXPERIENCE CERTIFICATE</w:t>
      </w:r>
      <w:bookmarkEnd w:id="63"/>
    </w:p>
    <w:p>
      <w:pPr>
        <w:keepNext/>
        <w:spacing w:after="260" w:before="0" w:line="276" w:lineRule="auto"/>
        <w:jc w:val="center"/>
      </w:pPr>
      <w:r>
        <w:rPr>
          <w:rFonts w:ascii="Times New Roman" w:hAnsi="Times New Roman" w:eastAsia="Times New Roman" w:cs="Times New Roman"/>
          <w:i/>
          <w:color w:val="000000"/>
          <w:sz w:val="20"/>
          <w:szCs w:val="20"/>
        </w:rPr>
        <w:t>Reproduced from the certificate included in the supplied SIP source document</w:t>
      </w:r>
    </w:p>
    <w:p>
      <w:pPr>
        <w:spacing w:after="140" w:before="40" w:line="276" w:lineRule="auto"/>
        <w:jc w:val="center"/>
      </w:pPr>
      <w:r>
        <w:rPr>
          <w:rFonts w:ascii="Times New Roman" w:hAnsi="Times New Roman" w:eastAsia="Times New Roman" w:cs="Times New Roman"/>
          <w:i/>
          <w:color w:val="000000"/>
          <w:sz w:val="20"/>
          <w:szCs w:val="20"/>
        </w:rPr>
        <w:t>The following image is reproduced from the internship certificate supplied within the source report.</w:t>
      </w:r>
    </w:p>
    <w:p>
      <w:pPr>
        <w:keepLines/>
        <w:spacing w:after="40" w:line="240" w:lineRule="auto"/>
        <w:jc w:val="center"/>
      </w:pPr>
      <w:r>
        <w:drawing>
          <wp:inline xmlns:a="http://schemas.openxmlformats.org/drawingml/2006/main" xmlns:pic="http://schemas.openxmlformats.org/drawingml/2006/picture">
            <wp:extent cx="5623560" cy="7270350"/>
            <wp:docPr id="10" name="Picture 10" descr="Internship experience certificate provided in the source SIP report." title="Internship Experience Certificate — Rosy Blue Securities Pvt. Ltd."/>
            <wp:cNvGraphicFramePr>
              <a:graphicFrameLocks noChangeAspect="1"/>
            </wp:cNvGraphicFramePr>
            <a:graphic>
              <a:graphicData uri="http://schemas.openxmlformats.org/drawingml/2006/picture">
                <pic:pic>
                  <pic:nvPicPr>
                    <pic:cNvPr id="0" name="internship_certificate.png"/>
                    <pic:cNvPicPr/>
                  </pic:nvPicPr>
                  <pic:blipFill>
                    <a:blip r:embed="rId34"/>
                    <a:stretch>
                      <a:fillRect/>
                    </a:stretch>
                  </pic:blipFill>
                  <pic:spPr>
                    <a:xfrm>
                      <a:off x="0" y="0"/>
                      <a:ext cx="5623560" cy="7270350"/>
                    </a:xfrm>
                    <a:prstGeom prst="rect"/>
                  </pic:spPr>
                </pic:pic>
              </a:graphicData>
            </a:graphic>
          </wp:inline>
        </w:drawing>
      </w:r>
    </w:p>
    <w:p>
      <w:r>
        <w:br w:type="page"/>
      </w:r>
    </w:p>
    <w:p>
      <w:pPr>
        <w:keepNext/>
        <w:spacing w:before="0" w:after="80" w:line="240" w:lineRule="auto"/>
        <w:jc w:val="center"/>
      </w:pPr>
      <w:r>
        <w:rPr>
          <w:rFonts w:ascii="Times New Roman" w:hAnsi="Times New Roman" w:eastAsia="Times New Roman" w:cs="Times New Roman"/>
          <w:b/>
          <w:i w:val="0"/>
          <w:color w:val="000000"/>
          <w:sz w:val="28"/>
          <w:szCs w:val="28"/>
        </w:rPr>
        <w:t>APPENDIX F</w:t>
      </w:r>
    </w:p>
    <w:p>
      <w:bookmarkStart w:id="64" w:name="toc_app_f"/>
      <w:pPr>
        <w:pStyle w:val="Heading1"/>
        <w:keepNext/>
        <w:spacing w:before="0" w:after="260" w:line="240" w:lineRule="auto"/>
        <w:jc w:val="center"/>
      </w:pPr>
      <w:r>
        <w:rPr>
          <w:rFonts w:ascii="Times New Roman" w:hAnsi="Times New Roman" w:eastAsia="Times New Roman" w:cs="Times New Roman"/>
          <w:b/>
          <w:i w:val="0"/>
          <w:color w:val="000000"/>
          <w:sz w:val="28"/>
          <w:szCs w:val="28"/>
        </w:rPr>
        <w:t>APPENDIX F — FINAL SUBMISSION CHECKLIST</w:t>
      </w:r>
      <w:bookmarkEnd w:id="64"/>
    </w:p>
    <w:p>
      <w:pPr>
        <w:keepNext/>
        <w:spacing w:after="260" w:before="0" w:line="276" w:lineRule="auto"/>
        <w:jc w:val="center"/>
      </w:pPr>
      <w:r>
        <w:rPr>
          <w:rFonts w:ascii="Times New Roman" w:hAnsi="Times New Roman" w:eastAsia="Times New Roman" w:cs="Times New Roman"/>
          <w:i/>
          <w:color w:val="000000"/>
          <w:sz w:val="20"/>
          <w:szCs w:val="20"/>
        </w:rPr>
        <w:t>Items to confirm against institute requirements before handing in</w:t>
      </w:r>
    </w:p>
    <w:p>
      <w:pPr>
        <w:pStyle w:val="ListBullet"/>
        <w:spacing w:after="100" w:line="360" w:lineRule="auto"/>
        <w:jc w:val="both"/>
      </w:pPr>
      <w:r>
        <w:rPr>
          <w:rFonts w:ascii="Times New Roman" w:hAnsi="Times New Roman" w:eastAsia="Times New Roman" w:cs="Times New Roman"/>
          <w:color w:val="000000"/>
          <w:sz w:val="24"/>
          <w:szCs w:val="24"/>
        </w:rPr>
        <w:t>Confirm official university / institute name, programme, academic year, faculty guide and required front-matter wording.</w:t>
      </w:r>
    </w:p>
    <w:p>
      <w:pPr>
        <w:pStyle w:val="ListBullet"/>
        <w:spacing w:after="100" w:line="360" w:lineRule="auto"/>
        <w:jc w:val="both"/>
      </w:pPr>
      <w:r>
        <w:rPr>
          <w:rFonts w:ascii="Times New Roman" w:hAnsi="Times New Roman" w:eastAsia="Times New Roman" w:cs="Times New Roman"/>
          <w:color w:val="000000"/>
          <w:sz w:val="24"/>
          <w:szCs w:val="24"/>
        </w:rPr>
        <w:t>Verify name and roll number: Nikhil Udaypratap Singh; M-16158; MMS Finance.</w:t>
      </w:r>
    </w:p>
    <w:p>
      <w:pPr>
        <w:pStyle w:val="ListBullet"/>
        <w:spacing w:after="100" w:line="360" w:lineRule="auto"/>
        <w:jc w:val="both"/>
      </w:pPr>
      <w:r>
        <w:rPr>
          <w:rFonts w:ascii="Times New Roman" w:hAnsi="Times New Roman" w:eastAsia="Times New Roman" w:cs="Times New Roman"/>
          <w:color w:val="000000"/>
          <w:sz w:val="24"/>
          <w:szCs w:val="24"/>
        </w:rPr>
        <w:t>Obtain the project guide’s / institute’s required signatures and stamp on the certificate page; the new report intentionally leaves those spaces blank.</w:t>
      </w:r>
    </w:p>
    <w:p>
      <w:pPr>
        <w:pStyle w:val="ListBullet"/>
        <w:spacing w:after="100" w:line="360" w:lineRule="auto"/>
        <w:jc w:val="both"/>
      </w:pPr>
      <w:r>
        <w:rPr>
          <w:rFonts w:ascii="Times New Roman" w:hAnsi="Times New Roman" w:eastAsia="Times New Roman" w:cs="Times New Roman"/>
          <w:color w:val="000000"/>
          <w:sz w:val="24"/>
          <w:szCs w:val="24"/>
        </w:rPr>
        <w:t>Confirm that the internship host (Rosy Blue Securities Pvt. Ltd.) and the research case company (Pine Labs Limited) are clearly distinguished.</w:t>
      </w:r>
    </w:p>
    <w:p>
      <w:pPr>
        <w:pStyle w:val="ListBullet"/>
        <w:spacing w:after="100" w:line="360" w:lineRule="auto"/>
        <w:jc w:val="both"/>
      </w:pPr>
      <w:r>
        <w:rPr>
          <w:rFonts w:ascii="Times New Roman" w:hAnsi="Times New Roman" w:eastAsia="Times New Roman" w:cs="Times New Roman"/>
          <w:color w:val="000000"/>
          <w:sz w:val="24"/>
          <w:szCs w:val="24"/>
        </w:rPr>
        <w:t>Refresh market price, financial period, paid-up / fully diluted share count and valuation calculations if the submission date is later than the stated cut-off.</w:t>
      </w:r>
    </w:p>
    <w:p>
      <w:pPr>
        <w:pStyle w:val="ListBullet"/>
        <w:spacing w:after="100" w:line="360" w:lineRule="auto"/>
        <w:jc w:val="both"/>
      </w:pPr>
      <w:r>
        <w:rPr>
          <w:rFonts w:ascii="Times New Roman" w:hAnsi="Times New Roman" w:eastAsia="Times New Roman" w:cs="Times New Roman"/>
          <w:color w:val="000000"/>
          <w:sz w:val="24"/>
          <w:szCs w:val="24"/>
        </w:rPr>
        <w:t>Check the FY26 auditor report and Q1 FY27 interim review; verify qualifications, notes and subsequent events in the original documents.</w:t>
      </w:r>
    </w:p>
    <w:p>
      <w:pPr>
        <w:pStyle w:val="ListBullet"/>
        <w:spacing w:after="100" w:line="360" w:lineRule="auto"/>
        <w:jc w:val="both"/>
      </w:pPr>
      <w:r>
        <w:rPr>
          <w:rFonts w:ascii="Times New Roman" w:hAnsi="Times New Roman" w:eastAsia="Times New Roman" w:cs="Times New Roman"/>
          <w:color w:val="000000"/>
          <w:sz w:val="24"/>
          <w:szCs w:val="24"/>
        </w:rPr>
        <w:t>Verify company-defined KPI definitions and all cited figures against source statements / workbooks; retain the reported-versus-calculated distinction.</w:t>
      </w:r>
    </w:p>
    <w:p>
      <w:pPr>
        <w:pStyle w:val="ListBullet"/>
        <w:spacing w:after="100" w:line="360" w:lineRule="auto"/>
        <w:jc w:val="both"/>
      </w:pPr>
      <w:r>
        <w:rPr>
          <w:rFonts w:ascii="Times New Roman" w:hAnsi="Times New Roman" w:eastAsia="Times New Roman" w:cs="Times New Roman"/>
          <w:color w:val="000000"/>
          <w:sz w:val="24"/>
          <w:szCs w:val="24"/>
        </w:rPr>
        <w:t>Check that every figure has a title, unit, period, source and interpretation, and that contents page references are updated in Word (Ctrl+A, F9).</w:t>
      </w:r>
    </w:p>
    <w:p>
      <w:pPr>
        <w:pStyle w:val="ListBullet"/>
        <w:spacing w:after="100" w:line="360" w:lineRule="auto"/>
        <w:jc w:val="both"/>
      </w:pPr>
      <w:r>
        <w:rPr>
          <w:rFonts w:ascii="Times New Roman" w:hAnsi="Times New Roman" w:eastAsia="Times New Roman" w:cs="Times New Roman"/>
          <w:color w:val="000000"/>
          <w:sz w:val="24"/>
          <w:szCs w:val="24"/>
        </w:rPr>
        <w:t>Run the institute’s plagiarism / citation process and add any mandatory cover sheet or declaration.</w:t>
      </w:r>
    </w:p>
    <w:p>
      <w:pPr>
        <w:pStyle w:val="ListBullet"/>
        <w:spacing w:after="100" w:line="360" w:lineRule="auto"/>
        <w:jc w:val="both"/>
      </w:pPr>
      <w:r>
        <w:rPr>
          <w:rFonts w:ascii="Times New Roman" w:hAnsi="Times New Roman" w:eastAsia="Times New Roman" w:cs="Times New Roman"/>
          <w:color w:val="000000"/>
          <w:sz w:val="24"/>
          <w:szCs w:val="24"/>
        </w:rPr>
        <w:t>Have the faculty guide review analysis, source conventions and use of internship material; remove any confidential client information before submission.</w:t>
      </w:r>
    </w:p>
    <w:tbl>
      <w:tblPr>
        <w:tblStyle w:val="TableGrid"/>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rPr>
          <w:cantSplit/>
        </w:trPr>
        <w:tc>
          <w:tcPr>
            <w:tcW w:type="dxa" w:w="9026"/>
            <w:shd w:fill="D9E2F3" w:val="clear" w:color="auto"/>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50" w:type="dxa"/>
              <w:bottom w:w="80" w:type="dxa"/>
              <w:end w:w="150" w:type="dxa"/>
              <w:left w:w="100" w:type="dxa"/>
              <w:right w:w="100" w:type="dxa"/>
            </w:tcMar>
            <w:vAlign w:val="center"/>
          </w:tcPr>
          <w:p>
            <w:pPr>
              <w:spacing w:after="0" w:line="276" w:lineRule="auto" w:before="0"/>
              <w:jc w:val="left"/>
            </w:pPr>
            <w:r>
              <w:rPr>
                <w:rFonts w:ascii="Times New Roman" w:hAnsi="Times New Roman" w:eastAsia="Times New Roman" w:cs="Times New Roman"/>
                <w:b/>
                <w:color w:val="000000"/>
                <w:sz w:val="21"/>
                <w:szCs w:val="21"/>
              </w:rPr>
              <w:t xml:space="preserve">Submission note  </w:t>
            </w:r>
            <w:r>
              <w:rPr>
                <w:rFonts w:ascii="Times New Roman" w:hAnsi="Times New Roman" w:eastAsia="Times New Roman" w:cs="Times New Roman"/>
                <w:color w:val="000000"/>
                <w:sz w:val="21"/>
                <w:szCs w:val="21"/>
              </w:rPr>
              <w:t>The report includes the supplied internship certificate scan as Appendix E. The institutional project certificate in the front matter is intentionally unsigned and requires the appropriate institute signatures / stamp.</w:t>
            </w:r>
          </w:p>
        </w:tc>
      </w:tr>
    </w:tbl>
    <w:p>
      <w:pPr>
        <w:spacing w:after="40" w:before="0"/>
      </w:pPr>
    </w:p>
    <w:sectPr w:rsidR="00FC693F" w:rsidRPr="0006063C" w:rsidSect="00034616">
      <w:headerReference w:type="default" r:id="rId14"/>
      <w:footerReference w:type="default" r:id="rId15"/>
      <w:pgSz w:w="11906" w:h="16838"/>
      <w:pgMar w:top="1300" w:right="1440" w:bottom="1300" w:left="1440" w:header="708" w:footer="50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Bdr>
        <w:top w:val="single" w:sz="4" w:space="2" w:color="C7D1D8"/>
      </w:pBdr>
    </w:pPr>
    <w:r>
      <w:rPr>
        <w:rFonts w:ascii="Times New Roman" w:hAnsi="Times New Roman" w:eastAsia="Times New Roman" w:cs="Times New Roman"/>
        <w:color w:val="000000"/>
        <w:sz w:val="22"/>
      </w:rPr>
    </w:r>
    <w:r>
      <w:rPr>
        <w:rFonts w:ascii="Times New Roman" w:hAnsi="Times New Roman" w:eastAsia="Times New Roman" w:cs="Times New Roman"/>
        <w:sz w:val="22"/>
        <w:szCs w:val="22"/>
        <w:color w:val="000000"/>
      </w:rPr>
      <w:fldChar w:fldCharType="begin"/>
    </w:r>
    <w:r>
      <w:rPr>
        <w:rFonts w:ascii="Times New Roman" w:hAnsi="Times New Roman" w:eastAsia="Times New Roman" w:cs="Times New Roman"/>
        <w:sz w:val="22"/>
        <w:szCs w:val="22"/>
        <w:color w:val="000000"/>
      </w:rPr>
      <w:instrText xml:space="preserve"> PAGE </w:instrText>
    </w:r>
    <w:r>
      <w:rPr>
        <w:rFonts w:ascii="Times New Roman" w:hAnsi="Times New Roman" w:eastAsia="Times New Roman" w:cs="Times New Roman"/>
        <w:sz w:val="22"/>
        <w:szCs w:val="22"/>
        <w:color w:val="000000"/>
      </w:rPr>
      <w:fldChar w:fldCharType="separate"/>
    </w:r>
    <w:r>
      <w:rPr>
        <w:rFonts w:ascii="Times New Roman" w:hAnsi="Times New Roman" w:eastAsia="Times New Roman" w:cs="Times New Roman"/>
        <w:sz w:val="22"/>
        <w:szCs w:val="22"/>
        <w:color w:val="000000"/>
      </w:rPr>
      <w:t>1</w:t>
    </w:r>
    <w:r>
      <w:rPr>
        <w:rFonts w:ascii="Times New Roman" w:hAnsi="Times New Roman" w:eastAsia="Times New Roman" w:cs="Times New Roman"/>
        <w:sz w:val="22"/>
        <w:szCs w:val="22"/>
        <w:color w:val="00000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Bdr>
        <w:top w:val="single" w:sz="4" w:space="2" w:color="C7D1D8"/>
      </w:pBdr>
    </w:pPr>
    <w:r>
      <w:rPr>
        <w:rFonts w:ascii="Times New Roman" w:hAnsi="Times New Roman" w:eastAsia="Times New Roman" w:cs="Times New Roman"/>
        <w:color w:val="000000"/>
        <w:sz w:val="22"/>
      </w:rPr>
    </w:r>
    <w:r>
      <w:rPr>
        <w:rFonts w:ascii="Times New Roman" w:hAnsi="Times New Roman" w:eastAsia="Times New Roman" w:cs="Times New Roman"/>
        <w:sz w:val="22"/>
        <w:szCs w:val="22"/>
        <w:color w:val="000000"/>
      </w:rPr>
      <w:fldChar w:fldCharType="begin"/>
    </w:r>
    <w:r>
      <w:rPr>
        <w:rFonts w:ascii="Times New Roman" w:hAnsi="Times New Roman" w:eastAsia="Times New Roman" w:cs="Times New Roman"/>
        <w:sz w:val="22"/>
        <w:szCs w:val="22"/>
        <w:color w:val="000000"/>
      </w:rPr>
      <w:instrText xml:space="preserve"> PAGE </w:instrText>
    </w:r>
    <w:r>
      <w:rPr>
        <w:rFonts w:ascii="Times New Roman" w:hAnsi="Times New Roman" w:eastAsia="Times New Roman" w:cs="Times New Roman"/>
        <w:sz w:val="22"/>
        <w:szCs w:val="22"/>
        <w:color w:val="000000"/>
      </w:rPr>
      <w:fldChar w:fldCharType="separate"/>
    </w:r>
    <w:r>
      <w:rPr>
        <w:rFonts w:ascii="Times New Roman" w:hAnsi="Times New Roman" w:eastAsia="Times New Roman" w:cs="Times New Roman"/>
        <w:sz w:val="22"/>
        <w:szCs w:val="22"/>
        <w:color w:val="000000"/>
      </w:rPr>
      <w:t>1</w:t>
    </w:r>
    <w:r>
      <w:rPr>
        <w:rFonts w:ascii="Times New Roman" w:hAnsi="Times New Roman" w:eastAsia="Times New Roman" w:cs="Times New Roman"/>
        <w:sz w:val="22"/>
        <w:szCs w:val="22"/>
        <w:color w:val="00000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173" w:val="right"/>
      </w:tabs>
      <w:spacing w:after="0"/>
      <w:jc w:val="left"/>
      <w:pBdr>
        <w:bottom w:val="single" w:sz="5" w:space="2" w:color="C7D1D8"/>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173" w:val="right"/>
      </w:tabs>
      <w:spacing w:after="0"/>
      <w:jc w:val="left"/>
      <w:pBdr>
        <w:bottom w:val="single" w:sz="5" w:space="2" w:color="C7D1D8"/>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4"/>
        <w:szCs w:val="24"/>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jc w:val="both"/>
    </w:pPr>
    <w:rPr>
      <w:rFonts w:ascii="Times New Roman" w:hAnsi="Times New Roman" w:eastAsia="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jc w:val="center"/>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80"/>
      <w:jc w:val="left"/>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60"/>
      <w:jc w:val="left"/>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100"/>
      <w:ind w:left="720"/>
      <w:contextualSpacing/>
    </w:pPr>
    <w:rPr>
      <w:rFonts w:ascii="Times New Roman" w:hAnsi="Times New Roman"/>
      <w:b w:val="0"/>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60" w:lineRule="auto"/>
      <w:ind w:left="403" w:hanging="245"/>
      <w:contextualSpacing/>
    </w:pPr>
    <w:rPr>
      <w:rFonts w:ascii="Times New Roman" w:hAnsi="Times New Roman" w:eastAsia="Arial"/>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360" w:lineRule="auto"/>
      <w:ind w:left="403" w:hanging="245"/>
      <w:contextualSpacing/>
    </w:pPr>
    <w:rPr>
      <w:rFonts w:ascii="Times New Roman" w:hAnsi="Times New Roman" w:eastAsia="Arial"/>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Times New Roman" w:hAnsi="Times New Roman" w:eastAsia="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www.npci.org.in/what-we-do/upi/product-statistics" TargetMode="External"/><Relationship Id="rId23" Type="http://schemas.openxmlformats.org/officeDocument/2006/relationships/hyperlink" Target="https://beta.bseindia.com/stock-share-price/pine-labs-ltd/pinelabs/544606/" TargetMode="External"/><Relationship Id="rId24" Type="http://schemas.openxmlformats.org/officeDocument/2006/relationships/hyperlink" Target="https://www.pinelabs.com/investors" TargetMode="External"/><Relationship Id="rId25" Type="http://schemas.openxmlformats.org/officeDocument/2006/relationships/hyperlink" Target="https://github.com/nscrypto1968/Pine-Labs" TargetMode="External"/><Relationship Id="rId26" Type="http://schemas.openxmlformats.org/officeDocument/2006/relationships/hyperlink" Target="https://www.rosybluesecurities.co.in/" TargetMode="External"/><Relationship Id="rId27" Type="http://schemas.openxmlformats.org/officeDocument/2006/relationships/hyperlink" Target="https://www.nseindia.com/static/trade/platform-services-neat-trading-system" TargetMode="External"/><Relationship Id="rId28" Type="http://schemas.openxmlformats.org/officeDocument/2006/relationships/hyperlink" Target="https://www.nseindia.com/static/trade/platform-services-non-neat-ctcl" TargetMode="External"/><Relationship Id="rId29" Type="http://schemas.openxmlformats.org/officeDocument/2006/relationships/hyperlink" Target="https://www.sebi.gov.in/sebi_data/commondocs/RESEARCHANALYSTS-regulations_p.pdf" TargetMode="External"/><Relationship Id="rId30" Type="http://schemas.openxmlformats.org/officeDocument/2006/relationships/hyperlink" Target="https://www.sebi.gov.in/reports-and-statistics/reports/aug-2025/consultation-paper-on-review-of-sebi-stock-brokers-regulations-1992_96050.html" TargetMode="External"/><Relationship Id="rId31" Type="http://schemas.openxmlformats.org/officeDocument/2006/relationships/hyperlink" Target="https://www.nseindia.com/static/products-services/equity-market-trading" TargetMode="External"/><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header" Target="header4.xml"/><Relationship Id="rId3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Project Report — Pine Labs Limited</dc:title>
  <dc:subject>Finance research report formatted to match the Debt Market report reference</dc:subject>
  <dc:creator>Nikhil Udaypratap Singh</dc:creator>
  <cp:keywords>MMS, Finance, Pine Labs, fintech, SIP, financial analysis</cp:keywords>
  <dc:description>generated by python-docx</dc:description>
  <cp:lastModifiedBy/>
  <cp:revision>1</cp:revision>
  <dcterms:created xsi:type="dcterms:W3CDTF">2013-12-23T23:15:00Z</dcterms:created>
  <dcterms:modified xsi:type="dcterms:W3CDTF">2013-12-23T23:15:00Z</dcterms:modified>
  <cp:category/>
</cp:coreProperties>
</file>