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FC4" w:rsidRDefault="00000000">
      <w:pPr>
        <w:spacing w:before="720" w:after="180" w:line="240" w:lineRule="auto"/>
        <w:jc w:val="center"/>
      </w:pPr>
      <w:r>
        <w:rPr>
          <w:b/>
          <w:bCs/>
          <w:sz w:val="28"/>
          <w:szCs w:val="28"/>
        </w:rPr>
        <w:t>SUMMER INTERNSHIP REPORT ON</w:t>
      </w:r>
    </w:p>
    <w:p w:rsidR="005F2FC4" w:rsidRDefault="00000000">
      <w:pPr>
        <w:spacing w:after="180" w:line="240" w:lineRule="auto"/>
        <w:ind w:left="300" w:right="300"/>
        <w:jc w:val="center"/>
      </w:pPr>
      <w:r>
        <w:rPr>
          <w:b/>
          <w:bCs/>
          <w:sz w:val="28"/>
          <w:szCs w:val="28"/>
        </w:rPr>
        <w:t>A STUDY OF THE FINTECH BUSINESS MODEL AND FINANCIAL PERFORMANCE OF PINE LABS LIMITED</w:t>
      </w:r>
    </w:p>
    <w:p w:rsidR="005F2FC4" w:rsidRDefault="00000000">
      <w:pPr>
        <w:spacing w:after="180" w:line="240" w:lineRule="auto"/>
        <w:jc w:val="center"/>
      </w:pPr>
      <w:r>
        <w:rPr>
          <w:b/>
          <w:bCs/>
          <w:sz w:val="28"/>
          <w:szCs w:val="28"/>
        </w:rPr>
        <w:t>Submitted in partial fulfilment for the award of the degree of</w:t>
      </w:r>
    </w:p>
    <w:p w:rsidR="005F2FC4" w:rsidRDefault="00000000">
      <w:pPr>
        <w:spacing w:after="180" w:line="240" w:lineRule="auto"/>
        <w:jc w:val="center"/>
      </w:pPr>
      <w:r>
        <w:rPr>
          <w:b/>
          <w:bCs/>
          <w:sz w:val="28"/>
          <w:szCs w:val="28"/>
        </w:rPr>
        <w:t>MASTER OF MANAGEMENT STUDIES</w:t>
      </w:r>
    </w:p>
    <w:p w:rsidR="005F2FC4" w:rsidRDefault="00000000">
      <w:pPr>
        <w:spacing w:after="180" w:line="240" w:lineRule="auto"/>
        <w:jc w:val="center"/>
      </w:pPr>
      <w:r>
        <w:rPr>
          <w:b/>
          <w:bCs/>
          <w:sz w:val="28"/>
          <w:szCs w:val="28"/>
        </w:rPr>
        <w:t>FINANCE</w:t>
      </w:r>
    </w:p>
    <w:p w:rsidR="005F2FC4" w:rsidRDefault="00000000">
      <w:pPr>
        <w:spacing w:before="520" w:after="180" w:line="240" w:lineRule="auto"/>
        <w:jc w:val="center"/>
      </w:pPr>
      <w:r>
        <w:rPr>
          <w:b/>
          <w:bCs/>
          <w:sz w:val="28"/>
          <w:szCs w:val="28"/>
        </w:rPr>
        <w:t>UNIVERSITY OF MUMBAI</w:t>
      </w:r>
    </w:p>
    <w:p w:rsidR="005F2FC4" w:rsidRDefault="00000000">
      <w:pPr>
        <w:spacing w:before="340" w:after="180" w:line="240" w:lineRule="auto"/>
        <w:jc w:val="center"/>
      </w:pPr>
      <w:r>
        <w:rPr>
          <w:b/>
          <w:bCs/>
          <w:sz w:val="28"/>
          <w:szCs w:val="28"/>
        </w:rPr>
        <w:t>Submitted by</w:t>
      </w:r>
    </w:p>
    <w:p w:rsidR="005F2FC4" w:rsidRDefault="00000000">
      <w:pPr>
        <w:spacing w:after="180" w:line="240" w:lineRule="auto"/>
        <w:jc w:val="center"/>
      </w:pPr>
      <w:r>
        <w:rPr>
          <w:b/>
          <w:bCs/>
          <w:sz w:val="28"/>
          <w:szCs w:val="28"/>
        </w:rPr>
        <w:t>NIKHIL UDAYPRATAP SINGH</w:t>
      </w:r>
    </w:p>
    <w:p w:rsidR="005F2FC4" w:rsidRDefault="00000000">
      <w:pPr>
        <w:spacing w:after="180" w:line="240" w:lineRule="auto"/>
        <w:jc w:val="center"/>
      </w:pPr>
      <w:r>
        <w:rPr>
          <w:b/>
          <w:bCs/>
          <w:sz w:val="28"/>
          <w:szCs w:val="28"/>
        </w:rPr>
        <w:t>ROLL NO: M- 16158</w:t>
      </w:r>
    </w:p>
    <w:p w:rsidR="005F2FC4" w:rsidRDefault="00000000">
      <w:pPr>
        <w:spacing w:before="520" w:after="180" w:line="240" w:lineRule="auto"/>
        <w:jc w:val="center"/>
      </w:pPr>
      <w:r>
        <w:rPr>
          <w:b/>
          <w:bCs/>
          <w:sz w:val="28"/>
          <w:szCs w:val="28"/>
        </w:rPr>
        <w:t>2026-2027</w:t>
      </w:r>
    </w:p>
    <w:p w:rsidR="005F2FC4" w:rsidRDefault="00000000">
      <w:pPr>
        <w:spacing w:before="520" w:after="180" w:line="240" w:lineRule="auto"/>
        <w:jc w:val="center"/>
      </w:pPr>
      <w:r>
        <w:rPr>
          <w:b/>
          <w:bCs/>
          <w:sz w:val="28"/>
          <w:szCs w:val="28"/>
        </w:rPr>
        <w:t>Under The Guidance of</w:t>
      </w:r>
    </w:p>
    <w:p w:rsidR="005F2FC4" w:rsidRDefault="00000000">
      <w:pPr>
        <w:spacing w:after="180" w:line="240" w:lineRule="auto"/>
        <w:jc w:val="center"/>
      </w:pPr>
      <w:r>
        <w:rPr>
          <w:b/>
          <w:bCs/>
          <w:sz w:val="28"/>
          <w:szCs w:val="28"/>
        </w:rPr>
        <w:t>DR. RAHUL N. WADEKAR</w:t>
      </w:r>
    </w:p>
    <w:p w:rsidR="005F2FC4" w:rsidRDefault="00000000">
      <w:pPr>
        <w:spacing w:before="460" w:after="200" w:line="240" w:lineRule="auto"/>
        <w:jc w:val="center"/>
      </w:pPr>
      <w:r>
        <w:rPr>
          <w:noProof/>
        </w:rPr>
        <w:drawing>
          <wp:inline distT="0" distB="0" distL="0" distR="0">
            <wp:extent cx="1485900" cy="1308100"/>
            <wp:effectExtent l="0" t="0" r="0" b="0"/>
            <wp:docPr id="901" name="D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ES logo"/>
                    <pic:cNvPicPr/>
                  </pic:nvPicPr>
                  <pic:blipFill>
                    <a:blip r:embed="rId8"/>
                    <a:stretch>
                      <a:fillRect/>
                    </a:stretch>
                  </pic:blipFill>
                  <pic:spPr>
                    <a:xfrm>
                      <a:off x="0" y="0"/>
                      <a:ext cx="1485900" cy="1308100"/>
                    </a:xfrm>
                    <a:prstGeom prst="rect">
                      <a:avLst/>
                    </a:prstGeom>
                  </pic:spPr>
                </pic:pic>
              </a:graphicData>
            </a:graphic>
          </wp:inline>
        </w:drawing>
      </w:r>
    </w:p>
    <w:p w:rsidR="005F2FC4" w:rsidRDefault="00000000">
      <w:pPr>
        <w:spacing w:after="0" w:line="240" w:lineRule="auto"/>
        <w:ind w:left="-200" w:right="-200"/>
        <w:jc w:val="center"/>
      </w:pPr>
      <w:r>
        <w:rPr>
          <w:b/>
          <w:bCs/>
          <w:sz w:val="28"/>
          <w:szCs w:val="28"/>
        </w:rPr>
        <w:t>DES’S NAVINCHANDRA MEHTA INSTITUTE OF TECHNOLOGY</w:t>
      </w:r>
    </w:p>
    <w:p w:rsidR="005F2FC4" w:rsidRDefault="00000000">
      <w:pPr>
        <w:spacing w:after="0" w:line="240" w:lineRule="auto"/>
        <w:jc w:val="center"/>
      </w:pPr>
      <w:r>
        <w:rPr>
          <w:b/>
          <w:bCs/>
          <w:sz w:val="28"/>
          <w:szCs w:val="28"/>
        </w:rPr>
        <w:t>AND DEVELOPMENT, MUMBAI – 400028</w:t>
      </w:r>
    </w:p>
    <w:p w:rsidR="005F2FC4" w:rsidRDefault="00000000">
      <w:pPr>
        <w:pageBreakBefore/>
        <w:spacing w:before="300" w:after="0" w:line="240" w:lineRule="auto"/>
        <w:jc w:val="center"/>
      </w:pPr>
      <w:r>
        <w:rPr>
          <w:noProof/>
        </w:rPr>
        <w:lastRenderedPageBreak/>
        <w:drawing>
          <wp:inline distT="0" distB="0" distL="0" distR="0">
            <wp:extent cx="4953000" cy="1104900"/>
            <wp:effectExtent l="0" t="0" r="0" b="0"/>
            <wp:docPr id="902" name="NMITD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NMITD banner"/>
                    <pic:cNvPicPr/>
                  </pic:nvPicPr>
                  <pic:blipFill>
                    <a:blip r:embed="rId9"/>
                    <a:stretch>
                      <a:fillRect/>
                    </a:stretch>
                  </pic:blipFill>
                  <pic:spPr>
                    <a:xfrm>
                      <a:off x="0" y="0"/>
                      <a:ext cx="4953000" cy="1104900"/>
                    </a:xfrm>
                    <a:prstGeom prst="rect">
                      <a:avLst/>
                    </a:prstGeom>
                  </pic:spPr>
                </pic:pic>
              </a:graphicData>
            </a:graphic>
          </wp:inline>
        </w:drawing>
      </w:r>
    </w:p>
    <w:p w:rsidR="005F2FC4" w:rsidRDefault="00000000">
      <w:pPr>
        <w:spacing w:before="640" w:after="180" w:line="240" w:lineRule="auto"/>
        <w:jc w:val="center"/>
      </w:pPr>
      <w:r>
        <w:rPr>
          <w:b/>
          <w:bCs/>
          <w:sz w:val="28"/>
          <w:szCs w:val="28"/>
          <w:u w:val="single"/>
        </w:rPr>
        <w:t>CERTIFICATE</w:t>
      </w:r>
    </w:p>
    <w:p w:rsidR="005F2FC4" w:rsidRDefault="00000000">
      <w:pPr>
        <w:keepNext/>
        <w:spacing w:after="0" w:line="360" w:lineRule="auto"/>
        <w:ind w:left="1260" w:right="1260"/>
        <w:jc w:val="both"/>
      </w:pPr>
      <w:r>
        <w:t xml:space="preserve">This is to certify that the summer internship report titled “A Study of the Fintech Business Model and Financial Performance of Pine Labs Limited” submitted in partial fulfilment for MMS Degree Examination by </w:t>
      </w:r>
      <w:r>
        <w:rPr>
          <w:b/>
          <w:bCs/>
        </w:rPr>
        <w:t>Nikhil Udaypratap Singh</w:t>
      </w:r>
      <w:r>
        <w:t xml:space="preserve"> is a record of Research work carried out by the student during the period from </w:t>
      </w:r>
      <w:r>
        <w:rPr>
          <w:b/>
          <w:bCs/>
        </w:rPr>
        <w:t>2026 to 2027</w:t>
      </w:r>
      <w:r>
        <w:t xml:space="preserve"> under my guidance, and has been found satisfactory. This project work is original and not submitted earlier for the award of any degree, diploma or associateship of any other University/Institute.</w:t>
      </w:r>
    </w:p>
    <w:p w:rsidR="005F2FC4" w:rsidRDefault="005F2FC4">
      <w:pPr>
        <w:spacing w:after="0" w:line="240" w:lineRule="auto"/>
      </w:pPr>
    </w:p>
    <w:p w:rsidR="005F2FC4" w:rsidRDefault="005F2FC4">
      <w:pPr>
        <w:spacing w:after="0" w:line="240" w:lineRule="auto"/>
      </w:pPr>
    </w:p>
    <w:p w:rsidR="005F2FC4" w:rsidRDefault="005F2FC4">
      <w:pPr>
        <w:spacing w:after="0" w:line="240" w:lineRule="auto"/>
      </w:pPr>
    </w:p>
    <w:tbl>
      <w:tblPr>
        <w:tblW w:w="2340"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340"/>
      </w:tblGrid>
      <w:tr w:rsidR="005F2FC4">
        <w:trPr>
          <w:cantSplit/>
          <w:trHeight w:hRule="exact" w:val="2360"/>
          <w:jc w:val="center"/>
        </w:trPr>
        <w:tc>
          <w:tcPr>
            <w:tcW w:w="2340" w:type="dxa"/>
          </w:tcPr>
          <w:p w:rsidR="005F2FC4" w:rsidRDefault="00000000">
            <w:pPr>
              <w:spacing w:before="100" w:after="0" w:line="240" w:lineRule="auto"/>
              <w:jc w:val="center"/>
            </w:pPr>
            <w:r>
              <w:rPr>
                <w:rFonts w:ascii="Calibri" w:hAnsi="Calibri" w:cs="Calibri"/>
                <w:sz w:val="22"/>
                <w:szCs w:val="22"/>
              </w:rPr>
              <w:t>COLLEGE STAMP HERE</w:t>
            </w:r>
          </w:p>
        </w:tc>
      </w:tr>
    </w:tbl>
    <w:p w:rsidR="005F2FC4" w:rsidRDefault="00000000">
      <w:pPr>
        <w:tabs>
          <w:tab w:val="left" w:pos="6020"/>
        </w:tabs>
        <w:spacing w:before="1000" w:after="300" w:line="240" w:lineRule="auto"/>
        <w:ind w:left="1260"/>
      </w:pPr>
      <w:r>
        <w:rPr>
          <w:b/>
          <w:bCs/>
        </w:rPr>
        <w:t>---------------------------</w:t>
      </w:r>
      <w:r>
        <w:tab/>
      </w:r>
      <w:r>
        <w:rPr>
          <w:b/>
          <w:bCs/>
        </w:rPr>
        <w:t>---------------------------</w:t>
      </w:r>
    </w:p>
    <w:p w:rsidR="005F2FC4" w:rsidRDefault="00000000">
      <w:pPr>
        <w:tabs>
          <w:tab w:val="left" w:pos="6020"/>
        </w:tabs>
        <w:spacing w:after="300" w:line="240" w:lineRule="auto"/>
        <w:ind w:left="1260"/>
      </w:pPr>
      <w:r>
        <w:rPr>
          <w:b/>
          <w:bCs/>
        </w:rPr>
        <w:t>Dr. Rasika Mallya</w:t>
      </w:r>
      <w:r>
        <w:tab/>
      </w:r>
      <w:r>
        <w:rPr>
          <w:b/>
          <w:bCs/>
        </w:rPr>
        <w:t>Dr. Rahul N. Wadekar</w:t>
      </w:r>
    </w:p>
    <w:p w:rsidR="005F2FC4" w:rsidRDefault="00000000">
      <w:pPr>
        <w:tabs>
          <w:tab w:val="left" w:pos="6020"/>
        </w:tabs>
        <w:spacing w:after="0" w:line="240" w:lineRule="auto"/>
        <w:ind w:left="1260"/>
      </w:pPr>
      <w:r>
        <w:rPr>
          <w:b/>
          <w:bCs/>
        </w:rPr>
        <w:t>DIRECTOR</w:t>
      </w:r>
      <w:r>
        <w:tab/>
      </w:r>
      <w:r>
        <w:rPr>
          <w:b/>
          <w:bCs/>
        </w:rPr>
        <w:t>PROJECT GUIDE</w:t>
      </w:r>
    </w:p>
    <w:p w:rsidR="005F2FC4" w:rsidRDefault="00000000">
      <w:pPr>
        <w:pBdr>
          <w:top w:val="single" w:sz="6" w:space="1" w:color="000000"/>
        </w:pBdr>
        <w:spacing w:before="1000" w:after="0" w:line="240" w:lineRule="auto"/>
        <w:ind w:left="3500" w:right="3500"/>
        <w:jc w:val="center"/>
      </w:pPr>
      <w:r>
        <w:rPr>
          <w:b/>
          <w:bCs/>
        </w:rPr>
        <w:t>EXTERNAL EXAMINER</w:t>
      </w:r>
    </w:p>
    <w:p w:rsidR="005F2FC4" w:rsidRDefault="005F2FC4">
      <w:pPr>
        <w:pageBreakBefore/>
        <w:spacing w:after="0" w:line="240" w:lineRule="auto"/>
        <w:jc w:val="center"/>
      </w:pPr>
    </w:p>
    <w:tbl>
      <w:tblPr>
        <w:tblW w:w="9000"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000"/>
      </w:tblGrid>
      <w:tr w:rsidR="005F2FC4">
        <w:trPr>
          <w:trHeight w:hRule="exact" w:val="12600"/>
          <w:jc w:val="center"/>
        </w:trPr>
        <w:tc>
          <w:tcPr>
            <w:tcW w:w="9000" w:type="dxa"/>
            <w:vAlign w:val="center"/>
          </w:tcPr>
          <w:p w:rsidR="005F2FC4" w:rsidRDefault="009E313C">
            <w:pPr>
              <w:spacing w:after="0" w:line="240" w:lineRule="auto"/>
              <w:ind w:left="800" w:right="800"/>
              <w:jc w:val="center"/>
            </w:pPr>
            <w:r>
              <w:rPr>
                <w:noProof/>
              </w:rPr>
              <w:drawing>
                <wp:anchor distT="0" distB="0" distL="114300" distR="114300" simplePos="0" relativeHeight="251658240" behindDoc="0" locked="0" layoutInCell="1" allowOverlap="1">
                  <wp:simplePos x="0" y="0"/>
                  <wp:positionH relativeFrom="column">
                    <wp:posOffset>-517525</wp:posOffset>
                  </wp:positionH>
                  <wp:positionV relativeFrom="paragraph">
                    <wp:posOffset>-407035</wp:posOffset>
                  </wp:positionV>
                  <wp:extent cx="6634480" cy="9290685"/>
                  <wp:effectExtent l="0" t="0" r="0" b="5715"/>
                  <wp:wrapNone/>
                  <wp:docPr id="20165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505" name="Picture 201652505"/>
                          <pic:cNvPicPr/>
                        </pic:nvPicPr>
                        <pic:blipFill>
                          <a:blip r:embed="rId10"/>
                          <a:stretch>
                            <a:fillRect/>
                          </a:stretch>
                        </pic:blipFill>
                        <pic:spPr>
                          <a:xfrm>
                            <a:off x="0" y="0"/>
                            <a:ext cx="6634480" cy="9290685"/>
                          </a:xfrm>
                          <a:prstGeom prst="rect">
                            <a:avLst/>
                          </a:prstGeom>
                        </pic:spPr>
                      </pic:pic>
                    </a:graphicData>
                  </a:graphic>
                  <wp14:sizeRelH relativeFrom="page">
                    <wp14:pctWidth>0</wp14:pctWidth>
                  </wp14:sizeRelH>
                  <wp14:sizeRelV relativeFrom="page">
                    <wp14:pctHeight>0</wp14:pctHeight>
                  </wp14:sizeRelV>
                </wp:anchor>
              </w:drawing>
            </w:r>
          </w:p>
        </w:tc>
      </w:tr>
    </w:tbl>
    <w:p w:rsidR="005F2FC4" w:rsidRDefault="00000000">
      <w:pPr>
        <w:pageBreakBefore/>
        <w:spacing w:before="800" w:after="300" w:line="240" w:lineRule="auto"/>
        <w:jc w:val="center"/>
      </w:pPr>
      <w:r>
        <w:rPr>
          <w:sz w:val="22"/>
          <w:szCs w:val="22"/>
          <w:u w:val="single"/>
        </w:rPr>
        <w:lastRenderedPageBreak/>
        <w:t>DECLARATION</w:t>
      </w:r>
    </w:p>
    <w:p w:rsidR="005F2FC4" w:rsidRDefault="00000000">
      <w:pPr>
        <w:spacing w:after="0" w:line="360" w:lineRule="auto"/>
        <w:ind w:left="540" w:right="540"/>
        <w:jc w:val="both"/>
      </w:pPr>
      <w:r>
        <w:t>I hereby declare that this project report submitted by me to the partial fulfillment of the requirement for the award of Master of Management Studies (MMS) of the University of Mumbai is a bonafide work undertaken by me and it is not submitted to any other University or Institute for the award of any degree, diploma/ certificate or published any time before.</w:t>
      </w:r>
    </w:p>
    <w:p w:rsidR="005F2FC4" w:rsidRDefault="00000000">
      <w:pPr>
        <w:tabs>
          <w:tab w:val="right" w:pos="9560"/>
        </w:tabs>
        <w:spacing w:before="6100" w:after="200" w:line="360" w:lineRule="auto"/>
        <w:ind w:left="540"/>
      </w:pPr>
      <w:r>
        <w:t>Name : Nikhil Udaypratap Singh</w:t>
      </w:r>
      <w:r>
        <w:tab/>
        <w:t>Signature</w:t>
      </w:r>
    </w:p>
    <w:p w:rsidR="005F2FC4" w:rsidRDefault="00000000">
      <w:pPr>
        <w:tabs>
          <w:tab w:val="right" w:pos="9560"/>
        </w:tabs>
        <w:spacing w:after="0" w:line="360" w:lineRule="auto"/>
        <w:ind w:left="540"/>
      </w:pPr>
      <w:r>
        <w:t>Roll No. M-16158</w:t>
      </w:r>
      <w:r>
        <w:tab/>
        <w:t>(Nikhil Udaypratap Singh)</w:t>
      </w:r>
    </w:p>
    <w:p w:rsidR="005F2FC4" w:rsidRDefault="00000000">
      <w:pPr>
        <w:pageBreakBefore/>
        <w:spacing w:before="200" w:after="600" w:line="240" w:lineRule="auto"/>
        <w:jc w:val="center"/>
      </w:pPr>
      <w:r>
        <w:rPr>
          <w:b/>
          <w:bCs/>
          <w:sz w:val="28"/>
          <w:szCs w:val="28"/>
          <w:u w:val="single"/>
        </w:rPr>
        <w:lastRenderedPageBreak/>
        <w:t>ACKNOWLEDGEMENT</w:t>
      </w:r>
    </w:p>
    <w:p w:rsidR="005F2FC4" w:rsidRDefault="00000000">
      <w:pPr>
        <w:spacing w:after="0" w:line="360" w:lineRule="auto"/>
        <w:ind w:left="-120" w:right="-120"/>
        <w:jc w:val="center"/>
      </w:pPr>
      <w:r>
        <w:rPr>
          <w:sz w:val="28"/>
          <w:szCs w:val="28"/>
        </w:rPr>
        <w:t xml:space="preserve">This project has been a tremendous learning experience, and I’m truly grateful to everyone who has supported me along the way. First and foremost, I want to extend my deepest thanks to </w:t>
      </w:r>
      <w:r>
        <w:rPr>
          <w:b/>
          <w:bCs/>
          <w:sz w:val="28"/>
          <w:szCs w:val="28"/>
        </w:rPr>
        <w:t>Dr. Rahul N. Wadekar</w:t>
      </w:r>
      <w:r>
        <w:rPr>
          <w:sz w:val="28"/>
          <w:szCs w:val="28"/>
        </w:rPr>
        <w:t xml:space="preserve">, my internal project guide. His invaluable guidance and thoughtful suggestions made this project possible. His constant support and encouragement have been a source of inspiration, helping me channel my enthusiasm effectively. I am profoundly grateful to my parents, whose unwavering support and belief in me have been my greatest strength. I also want to express my sincere thanks to my friends, who have been incredibly committed and willing to help throughout my project work. I am deeply thankful to </w:t>
      </w:r>
      <w:r>
        <w:rPr>
          <w:b/>
          <w:bCs/>
          <w:sz w:val="28"/>
          <w:szCs w:val="28"/>
        </w:rPr>
        <w:t>Dr. Anita Bobade</w:t>
      </w:r>
      <w:r>
        <w:rPr>
          <w:sz w:val="28"/>
          <w:szCs w:val="28"/>
        </w:rPr>
        <w:t>, Director of DES’s Navinchandra Mehta Institute of Technology and Development, for providing me the opportunity to work on this project and expand my knowledge and experience. I would also like to extend my heartfelt thanks to all the professors and staff of DES’s NMITD, especially the library staff, who were always helpful in providing the necessary books and articles for my project. I also acknowledge the public disclosures of Pine Labs Limited, the Reserve Bank of India, the National Payments Corporation of India, BSE and the other cited sources that made this desk-based study possible, and the exposure to dealer and analyst work gained at Rosy Blue Securities Pvt. Ltd. Lastly, I am grateful to everyone who indirectly supported me and contributed to the success of this project. Your cooperation and invaluable support have been much appreciated.</w:t>
      </w:r>
    </w:p>
    <w:p w:rsidR="005F2FC4" w:rsidRDefault="00000000">
      <w:pPr>
        <w:pageBreakBefore/>
        <w:spacing w:before="200" w:after="360" w:line="240" w:lineRule="auto"/>
        <w:jc w:val="center"/>
      </w:pPr>
      <w:r>
        <w:rPr>
          <w:b/>
          <w:bCs/>
          <w:sz w:val="28"/>
          <w:szCs w:val="28"/>
          <w:u w:val="single"/>
        </w:rPr>
        <w:lastRenderedPageBreak/>
        <w:t>EXECUTIVE SUMMARY</w:t>
      </w:r>
    </w:p>
    <w:p w:rsidR="005F2FC4" w:rsidRDefault="00000000">
      <w:pPr>
        <w:spacing w:after="140" w:line="240" w:lineRule="auto"/>
        <w:ind w:left="-120" w:right="-120"/>
        <w:jc w:val="center"/>
      </w:pPr>
      <w:r>
        <w:t>Pine Labs Limited is an India-founded fintech and commerce-technology company whose platform connects merchants, consumer brands, banks, fintechs and payment networks. Its prospectus describes two operating platforms: Digital Infrastructure and Transaction Platform (DITP), covering in-store and online acceptance, affordability and fintech infrastructure; and Issuing and Acquiring Platform (IAP), covering prepaid and card issuance, processing and distribution. The business is a technology and processing provider, not a bank. In affordability programmes, the lending partner generally bears the consumer credit risk described by the company. [1]</w:t>
      </w:r>
    </w:p>
    <w:p w:rsidR="005F2FC4" w:rsidRDefault="00000000">
      <w:pPr>
        <w:spacing w:after="140" w:line="240" w:lineRule="auto"/>
        <w:ind w:left="-120" w:right="-120"/>
        <w:jc w:val="center"/>
      </w:pPr>
      <w:r>
        <w:t>The financial record shows rapid scale-up and a recent profitability inflection. Restated consolidated revenue from operations increased from ₹1,597.66 crore in FY23 to ₹2,710.59 crore in FY26, a three-year CAGR of about 19.3%. PAT improved from losses in FY23–FY25 to a profit of ₹112.51 crore in audited FY26. Company-defined adjusted EBITDA rose from ₹158.19 crore in FY24 to ₹558.87 crore in FY26, with margin improving from 8.94% to 20.62%; these figures include management-defined adjustments and are not statutory EBITDA. [1–3]</w:t>
      </w:r>
    </w:p>
    <w:p w:rsidR="005F2FC4" w:rsidRDefault="00000000">
      <w:pPr>
        <w:spacing w:after="140" w:line="240" w:lineRule="auto"/>
        <w:ind w:left="-120" w:right="-120"/>
        <w:jc w:val="center"/>
      </w:pPr>
      <w:r>
        <w:t>Operating metrics grew faster than revenue: platform GTV rose from approximately ₹4.40 lakh crore in FY23 to ₹17.15 lakh crore in FY26; FY26 platform activity included 740.37 crore transactions, 20.28 lakh digital checkout points and 11.03 lakh merchants. In Q1 FY27, revenue was ₹736.92 crore (+19.65% year on year), PAT was ₹19.57 crore, GTV was ₹4.22 lakh crore, and the reported network comprised 21.7 lakh DCPs and 11.5 lakh merchants. Contribution margin was 72.3% and adjusted EBITDA margin approximately 17.1%, both below the prior-year quarter on the company’s disclosures. [3,5,6]</w:t>
      </w:r>
    </w:p>
    <w:p w:rsidR="005F2FC4" w:rsidRDefault="00000000">
      <w:pPr>
        <w:spacing w:after="140" w:line="240" w:lineRule="auto"/>
        <w:ind w:left="-120" w:right="-120"/>
        <w:jc w:val="center"/>
      </w:pPr>
      <w:r>
        <w:t>The balance sheet strengthened after the IPO: FY26 borrowings excluding leases were ₹282.87 crore compared with ₹829.49 crore in FY25. Liquidity ratios must be interpreted cautiously because other bank balances, prepaid-card funds and settlement-related obligations are material. FY26 operating cash flow was positive at ₹395.39 crore, but Q1 FY27 operating cash flow ranged from ₹78 crore excluding early settlement to negative ₹159 crore including it. Cash conversion therefore remains a key monitoring item. [2,5,6]</w:t>
      </w:r>
    </w:p>
    <w:p w:rsidR="005F2FC4" w:rsidRDefault="00000000">
      <w:pPr>
        <w:spacing w:after="140" w:line="240" w:lineRule="auto"/>
        <w:ind w:left="-120" w:right="-120"/>
        <w:jc w:val="center"/>
      </w:pPr>
      <w:r>
        <w:t>As a dated valuation illustration, the BSE close of ₹167.55 on 1 October 2026 and approximately 115.39 crore paid-up shares imply an equity value of roughly ₹19,334 crore. Using FY26 and Q1 FY27 less Q1 FY26 yields TTM revenue of ₹2,831.60 crore and TTM PAT of ₹127.29 crore; the resulting indicative P/S is about 6.83× and P/E about 152×. These are analyst calculations using a rounded basic share count, not published company multiples; they are sensitive to period, dilution, cash classification and share-count assumptions. [5,11]</w:t>
      </w:r>
    </w:p>
    <w:p w:rsidR="005F2FC4" w:rsidRDefault="00000000">
      <w:pPr>
        <w:spacing w:after="140" w:line="240" w:lineRule="auto"/>
        <w:ind w:left="-120" w:right="-120"/>
        <w:jc w:val="center"/>
      </w:pPr>
      <w:r>
        <w:t>Overall, the company has strong scale, broad merchant and issuer relationships, expanding international operations and improving reported profitability. The key questions are whether high GTV growth can sustain revenue yield and recurring margins, whether positive PAT and operating cash flow become repeatable, and whether new products and acquisitions earn adequate returns. The company’s growth opportunity is material, but the 1 October 2026 valuation snapshot is demanding. The research view is “watch / valuation-sensitive,” not a buy or sell recommendation. Separately, I completed my internship at Rosy Blue Securities Pvt. Ltd. as a Dealer and Analyst, working on trading terminals (NEAT PLUS and CTCL), the cash and F&amp;O markets, client trading and EIC-based company and business analysis (Chapter 2).</w:t>
      </w:r>
    </w:p>
    <w:p w:rsidR="005F2FC4" w:rsidRDefault="005F2FC4">
      <w:pPr>
        <w:pageBreakBefore/>
        <w:spacing w:after="0" w:line="20" w:lineRule="auto"/>
        <w:jc w:val="center"/>
      </w:pPr>
    </w:p>
    <w:p w:rsidR="005F2FC4" w:rsidRDefault="00000000">
      <w:pPr>
        <w:pageBreakBefore/>
        <w:keepNext/>
        <w:spacing w:before="120" w:after="160" w:line="240" w:lineRule="auto"/>
        <w:jc w:val="center"/>
      </w:pPr>
      <w:r>
        <w:rPr>
          <w:b/>
          <w:bCs/>
          <w:sz w:val="28"/>
          <w:szCs w:val="28"/>
        </w:rPr>
        <w:t xml:space="preserve">INDEX</w:t>
      </w:r>
    </w:p>
    <w:tbl>
      <w:tblPr>
        <w:tblW w:w="0" w:type="auto"/>
        <w:jc w:val="center"/>
        <w:tblLayout w:type="fixed"/>
        <w:tblLook w:val="04A0" w:firstRow="1" w:lastRow="0" w:firstColumn="1" w:lastColumn="0" w:noHBand="0" w:noVBand="1"/>
      </w:tblPr>
      <w:tblGrid>
        <w:gridCol w:w="1250"/>
        <w:gridCol w:w="850"/>
        <w:gridCol w:w="6336"/>
        <w:gridCol w:w="1500"/>
      </w:tblGrid>
      <w:tr w:rsidR="005F2FC4">
        <w:trPr>
          <w:cantSplit/>
          <w:tblHeader/>
          <w:jc w:val="center"/>
        </w:trPr>
        <w:tc>
          <w:tcPr>
            <w:tcW w:w="125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
            </w:r>
          </w:p>
        </w:tc>
        <w:tc>
          <w:tcPr>
            <w:tcW w:w="85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
            </w:r>
          </w:p>
        </w:tc>
        <w:tc>
          <w:tcPr>
            <w:tcW w:w="63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CONTENT</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PAGE NO.</w:t>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1</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INTRODUCTION AND RESEARCH DESIGN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 \h </w:instrText>
            </w:r>
            <w:r>
              <w:rPr>
                <w:sz w:val="20"/>
              </w:rPr>
              <w:fldChar w:fldCharType="separate"/>
            </w:r>
            <w:r>
              <w:rPr>
                <w:sz w:val="20"/>
              </w:rPr>
              <w:t>15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Introduction to the study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 \h </w:instrText>
            </w:r>
            <w:r>
              <w:rPr>
                <w:sz w:val="20"/>
              </w:rPr>
              <w:fldChar w:fldCharType="separate"/>
            </w:r>
            <w:r>
              <w:rPr>
                <w:sz w:val="20"/>
              </w:rPr>
              <w:t>15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Need of the study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 \h </w:instrText>
            </w:r>
            <w:r>
              <w:rPr>
                <w:sz w:val="20"/>
              </w:rPr>
              <w:fldChar w:fldCharType="separate"/>
            </w:r>
            <w:r>
              <w:rPr>
                <w:sz w:val="20"/>
              </w:rPr>
              <w:t>15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Objectives of the study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 \h </w:instrText>
            </w:r>
            <w:r>
              <w:rPr>
                <w:sz w:val="20"/>
              </w:rPr>
              <w:fldChar w:fldCharType="separate"/>
            </w:r>
            <w:r>
              <w:rPr>
                <w:sz w:val="20"/>
              </w:rPr>
              <w:t>16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Scope of the study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 \h </w:instrText>
            </w:r>
            <w:r>
              <w:rPr>
                <w:sz w:val="20"/>
              </w:rPr>
              <w:fldChar w:fldCharType="separate"/>
            </w:r>
            <w:r>
              <w:rPr>
                <w:sz w:val="20"/>
              </w:rPr>
              <w:t>17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questions and propositions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 \h </w:instrText>
            </w:r>
            <w:r>
              <w:rPr>
                <w:sz w:val="20"/>
              </w:rPr>
              <w:fldChar w:fldCharType="separate"/>
            </w:r>
            <w:r>
              <w:rPr>
                <w:sz w:val="20"/>
              </w:rPr>
              <w:t>17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Key concepts and terminology used in this report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 \h </w:instrText>
            </w:r>
            <w:r>
              <w:rPr>
                <w:sz w:val="20"/>
              </w:rPr>
              <w:fldChar w:fldCharType="separate"/>
            </w:r>
            <w:r>
              <w:rPr>
                <w:sz w:val="20"/>
              </w:rPr>
              <w:t>18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Overview of the Indian digital-payments environment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 \h </w:instrText>
            </w:r>
            <w:r>
              <w:rPr>
                <w:sz w:val="20"/>
              </w:rPr>
              <w:fldChar w:fldCharType="separate"/>
            </w:r>
            <w:r>
              <w:rPr>
                <w:sz w:val="20"/>
              </w:rPr>
              <w:t>18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methodology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 \h </w:instrText>
            </w:r>
            <w:r>
              <w:rPr>
                <w:sz w:val="20"/>
              </w:rPr>
              <w:fldChar w:fldCharType="separate"/>
            </w:r>
            <w:r>
              <w:rPr>
                <w:sz w:val="20"/>
              </w:rPr>
              <w:t>19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and data discipline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 \h </w:instrText>
            </w:r>
            <w:r>
              <w:rPr>
                <w:sz w:val="20"/>
              </w:rPr>
              <w:fldChar w:fldCharType="separate"/>
            </w:r>
            <w:r>
              <w:rPr>
                <w:sz w:val="20"/>
              </w:rPr>
              <w:t>20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Review of relevant literature and analytical frameworks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 \h </w:instrText>
            </w:r>
            <w:r>
              <w:rPr>
                <w:sz w:val="20"/>
              </w:rPr>
              <w:fldChar w:fldCharType="separate"/>
            </w:r>
            <w:r>
              <w:rPr>
                <w:sz w:val="20"/>
              </w:rPr>
              <w:t>21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Structure of the report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 \h </w:instrText>
            </w:r>
            <w:r>
              <w:rPr>
                <w:sz w:val="20"/>
              </w:rPr>
              <w:fldChar w:fldCharType="separate"/>
            </w:r>
            <w:r>
              <w:rPr>
                <w:sz w:val="20"/>
              </w:rPr>
              <w:t>21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2</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ORGANISATIONAL BACKGROUND AND JOB DESCRIPTION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 \h </w:instrText>
            </w:r>
            <w:r>
              <w:rPr>
                <w:sz w:val="20"/>
              </w:rPr>
              <w:fldChar w:fldCharType="separate"/>
            </w:r>
            <w:r>
              <w:rPr>
                <w:sz w:val="20"/>
              </w:rPr>
              <w:t>23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Organisational introduction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 \h </w:instrText>
            </w:r>
            <w:r>
              <w:rPr>
                <w:sz w:val="20"/>
              </w:rPr>
              <w:fldChar w:fldCharType="separate"/>
            </w:r>
            <w:r>
              <w:rPr>
                <w:sz w:val="20"/>
              </w:rPr>
              <w:t>23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Services of the firm</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 \h </w:instrText>
            </w:r>
            <w:r>
              <w:rPr>
                <w:sz w:val="20"/>
              </w:rPr>
              <w:fldChar w:fldCharType="separate"/>
            </w:r>
            <w:r>
              <w:rPr>
                <w:sz w:val="20"/>
              </w:rPr>
              <w:t>23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Departments and my roles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_Rpt22 \h </w:instrText>
            </w:r>
            <w:r>
              <w:rPr>
                <w:sz w:val="20"/>
              </w:rPr>
              <w:fldChar w:fldCharType="separate"/>
            </w:r>
            <w:r>
              <w:rPr>
                <w:sz w:val="20"/>
              </w:rPr>
              <w:t>23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Job description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_Rpt23 \h </w:instrText>
            </w:r>
            <w:r>
              <w:rPr>
                <w:sz w:val="20"/>
              </w:rPr>
              <w:fldChar w:fldCharType="separate"/>
            </w:r>
            <w:r>
              <w:rPr>
                <w:sz w:val="20"/>
              </w:rPr>
              <w:t>24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Trading terminals and markets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_Rpt24 \h </w:instrText>
            </w:r>
            <w:r>
              <w:rPr>
                <w:sz w:val="20"/>
              </w:rPr>
              <w:fldChar w:fldCharType="separate"/>
            </w:r>
            <w:r>
              <w:rPr>
                <w:sz w:val="20"/>
              </w:rPr>
              <w:t>24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Dealing-desk workflow</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_Rpt26 \h </w:instrText>
            </w:r>
            <w:r>
              <w:rPr>
                <w:sz w:val="20"/>
              </w:rPr>
              <w:fldChar w:fldCharType="separate"/>
            </w:r>
            <w:r>
              <w:rPr>
                <w:sz w:val="20"/>
              </w:rPr>
              <w:t>25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The EIC framework in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_Rpt27 \h </w:instrText>
            </w:r>
            <w:r>
              <w:rPr>
                <w:sz w:val="20"/>
              </w:rPr>
              <w:fldChar w:fldCharType="separate"/>
            </w:r>
            <w:r>
              <w:rPr>
                <w:sz w:val="20"/>
              </w:rPr>
              <w:t>25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Institutions around a securities transaction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_Rpt29 \h </w:instrText>
            </w:r>
            <w:r>
              <w:rPr>
                <w:sz w:val="20"/>
              </w:rPr>
              <w:fldChar w:fldCharType="separate"/>
            </w:r>
            <w:r>
              <w:rPr>
                <w:sz w:val="20"/>
              </w:rPr>
              <w:t>26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and a securities broker: complementary, not identical models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_Rpt31 \h </w:instrText>
            </w:r>
            <w:r>
              <w:rPr>
                <w:sz w:val="20"/>
              </w:rPr>
              <w:fldChar w:fldCharType="separate"/>
            </w:r>
            <w:r>
              <w:rPr>
                <w:sz w:val="20"/>
              </w:rPr>
              <w:t>26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Skills developed during the internship</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_Rpt33 \h </w:instrText>
            </w:r>
            <w:r>
              <w:rPr>
                <w:sz w:val="20"/>
              </w:rPr>
              <w:fldChar w:fldCharType="separate"/>
            </w:r>
            <w:r>
              <w:rPr>
                <w:sz w:val="20"/>
              </w:rPr>
              <w:t>27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Learning outcomes evidenced by this research</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_Rpt35 \h </w:instrText>
            </w:r>
            <w:r>
              <w:rPr>
                <w:sz w:val="20"/>
              </w:rPr>
              <w:fldChar w:fldCharType="separate"/>
            </w:r>
            <w:r>
              <w:rPr>
                <w:sz w:val="20"/>
              </w:rPr>
              <w:t>28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Internship particulars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_Rpt37 \h </w:instrText>
            </w:r>
            <w:r>
              <w:rPr>
                <w:sz w:val="20"/>
              </w:rPr>
              <w:fldChar w:fldCharType="separate"/>
            </w:r>
            <w:r>
              <w:rPr>
                <w:sz w:val="20"/>
              </w:rPr>
              <w:t>28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Chapter 3</w:t>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THEORETICAL FRAMEWORK: INDIAN FINTECH AND DIGITAL PAYMENTS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_Rpt39 \h </w:instrText>
            </w:r>
            <w:r>
              <w:rPr>
                <w:sz w:val="20"/>
              </w:rPr>
              <w:fldChar w:fldCharType="separate"/>
            </w:r>
            <w:r>
              <w:rPr>
                <w:sz w:val="20"/>
              </w:rPr>
              <w:t>30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Introduction to the framework</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_Rpt40 \h </w:instrText>
            </w:r>
            <w:r>
              <w:rPr>
                <w:sz w:val="20"/>
              </w:rPr>
              <w:fldChar w:fldCharType="separate"/>
            </w:r>
            <w:r>
              <w:rPr>
                <w:sz w:val="20"/>
              </w:rPr>
              <w:t>30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structure and the payments value chain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_Rpt41 \h </w:instrText>
            </w:r>
            <w:r>
              <w:rPr>
                <w:sz w:val="20"/>
              </w:rPr>
              <w:fldChar w:fldCharType="separate"/>
            </w:r>
            <w:r>
              <w:rPr>
                <w:sz w:val="20"/>
              </w:rPr>
              <w:t>30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3.3</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 scale and current system indicators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_Rpt43 \h </w:instrText>
            </w:r>
            <w:r>
              <w:rPr>
                <w:sz w:val="20"/>
              </w:rPr>
              <w:fldChar w:fldCharType="separate"/>
            </w:r>
            <w:r>
              <w:rPr>
                <w:sz w:val="20"/>
              </w:rPr>
              <w:t>31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System scale and interpretation in detail</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_Rpt45 \h </w:instrText>
            </w:r>
            <w:r>
              <w:rPr>
                <w:sz w:val="20"/>
              </w:rPr>
              <w:fldChar w:fldCharType="separate"/>
            </w:r>
            <w:r>
              <w:rPr>
                <w:sz w:val="20"/>
              </w:rPr>
              <w:t>31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economics and value creation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_Rpt47 \h </w:instrText>
            </w:r>
            <w:r>
              <w:rPr>
                <w:sz w:val="20"/>
              </w:rPr>
              <w:fldChar w:fldCharType="separate"/>
            </w:r>
            <w:r>
              <w:rPr>
                <w:sz w:val="20"/>
              </w:rPr>
              <w:t>32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3.6</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Opportunity areas and headwinds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_Rpt48 \h </w:instrText>
            </w:r>
            <w:r>
              <w:rPr>
                <w:sz w:val="20"/>
              </w:rPr>
              <w:fldChar w:fldCharType="separate"/>
            </w:r>
            <w:r>
              <w:rPr>
                <w:sz w:val="20"/>
              </w:rPr>
              <w:t>32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3.7</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Competitive landscape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_Rpt50 \h </w:instrText>
            </w:r>
            <w:r>
              <w:rPr>
                <w:sz w:val="20"/>
              </w:rPr>
              <w:fldChar w:fldCharType="separate"/>
            </w:r>
            <w:r>
              <w:rPr>
                <w:sz w:val="20"/>
              </w:rPr>
              <w:t>33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3.8</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PESTLE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_Rpt52 \h </w:instrText>
            </w:r>
            <w:r>
              <w:rPr>
                <w:sz w:val="20"/>
              </w:rPr>
              <w:fldChar w:fldCharType="separate"/>
            </w:r>
            <w:r>
              <w:rPr>
                <w:sz w:val="20"/>
              </w:rPr>
              <w:t>33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Porter’s Five Forces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_Rpt54 \h </w:instrText>
            </w:r>
            <w:r>
              <w:rPr>
                <w:sz w:val="20"/>
              </w:rPr>
              <w:fldChar w:fldCharType="separate"/>
            </w:r>
            <w:r>
              <w:rPr>
                <w:sz w:val="20"/>
              </w:rPr>
              <w:t>34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3.10</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Strategic implication of the industry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_Rpt56 \h </w:instrText>
            </w:r>
            <w:r>
              <w:rPr>
                <w:sz w:val="20"/>
              </w:rPr>
              <w:fldChar w:fldCharType="separate"/>
            </w:r>
            <w:r>
              <w:rPr>
                <w:sz w:val="20"/>
              </w:rPr>
              <w:t>35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3.11</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Payments technology: reliability, cybersecurity and AI controls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_Rpt57 \h </w:instrText>
            </w:r>
            <w:r>
              <w:rPr>
                <w:sz w:val="20"/>
              </w:rPr>
              <w:fldChar w:fldCharType="separate"/>
            </w:r>
            <w:r>
              <w:rPr>
                <w:sz w:val="20"/>
              </w:rPr>
              <w:t>35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3.12</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Regulatory perimeter: different activities, different rules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_Rpt59 \h </w:instrText>
            </w:r>
            <w:r>
              <w:rPr>
                <w:sz w:val="20"/>
              </w:rPr>
              <w:fldChar w:fldCharType="separate"/>
            </w:r>
            <w:r>
              <w:rPr>
                <w:sz w:val="20"/>
              </w:rPr>
              <w:t>36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3.13</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Trust, suitability and fair treatment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_Rpt61 \h </w:instrText>
            </w:r>
            <w:r>
              <w:rPr>
                <w:sz w:val="20"/>
              </w:rPr>
              <w:fldChar w:fldCharType="separate"/>
            </w:r>
            <w:r>
              <w:rPr>
                <w:sz w:val="20"/>
              </w:rPr>
              <w:t>36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3.14</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Responsible fintech: stakeholders, benefits and trade-offs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_Rpt63 \h </w:instrText>
            </w:r>
            <w:r>
              <w:rPr>
                <w:sz w:val="20"/>
              </w:rPr>
              <w:fldChar w:fldCharType="separate"/>
            </w:r>
            <w:r>
              <w:rPr>
                <w:sz w:val="20"/>
              </w:rPr>
              <w:t>37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3.15</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The economy layer: macro drivers of merchant payments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_Rpt65 \h </w:instrText>
            </w:r>
            <w:r>
              <w:rPr>
                <w:sz w:val="20"/>
              </w:rPr>
              <w:fldChar w:fldCharType="separate"/>
            </w:r>
            <w:r>
              <w:rPr>
                <w:sz w:val="20"/>
              </w:rPr>
              <w:t>38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3.16</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Summary of the theoretical framework</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_Rpt67 \h </w:instrText>
            </w:r>
            <w:r>
              <w:rPr>
                <w:sz w:val="20"/>
              </w:rPr>
              <w:fldChar w:fldCharType="separate"/>
            </w:r>
            <w:r>
              <w:rPr>
                <w:sz w:val="20"/>
              </w:rPr>
              <w:t>39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4</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PROFILE AND BUSINESS MODEL: PINE LABS LIMITED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_Rpt69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identification sheet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_Rpt70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question addressed in this chapter</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_Rpt72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History and milestones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_Rpt73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Two-platform architecture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_Rpt75 \h </w:instrText>
            </w:r>
            <w:r>
              <w:rPr>
                <w:sz w:val="20"/>
              </w:rPr>
              <w:fldChar w:fldCharType="separate"/>
            </w:r>
            <w:r>
              <w:rPr>
                <w:sz w:val="20"/>
              </w:rPr>
              <w:t>41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Products and services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_Rpt77 \h </w:instrText>
            </w:r>
            <w:r>
              <w:rPr>
                <w:sz w:val="20"/>
              </w:rPr>
              <w:fldChar w:fldCharType="separate"/>
            </w:r>
            <w:r>
              <w:rPr>
                <w:sz w:val="20"/>
              </w:rPr>
              <w:t>42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by operating segment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_Rpt79 \h </w:instrText>
            </w:r>
            <w:r>
              <w:rPr>
                <w:sz w:val="20"/>
              </w:rPr>
              <w:fldChar w:fldCharType="separate"/>
            </w:r>
            <w:r>
              <w:rPr>
                <w:sz w:val="20"/>
              </w:rPr>
              <w:t>42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How the company makes money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_Rpt82 \h </w:instrText>
            </w:r>
            <w:r>
              <w:rPr>
                <w:sz w:val="20"/>
              </w:rPr>
              <w:fldChar w:fldCharType="separate"/>
            </w:r>
            <w:r>
              <w:rPr>
                <w:sz w:val="20"/>
              </w:rPr>
              <w:t>43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Geographic footprint, customer base and strategy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_Rpt84 \h </w:instrText>
            </w:r>
            <w:r>
              <w:rPr>
                <w:sz w:val="20"/>
              </w:rPr>
              <w:fldChar w:fldCharType="separate"/>
            </w:r>
            <w:r>
              <w:rPr>
                <w:sz w:val="20"/>
              </w:rPr>
              <w:t>44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merchant journey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_Rpt85 \h </w:instrText>
            </w:r>
            <w:r>
              <w:rPr>
                <w:sz w:val="20"/>
              </w:rPr>
              <w:fldChar w:fldCharType="separate"/>
            </w:r>
            <w:r>
              <w:rPr>
                <w:sz w:val="20"/>
              </w:rPr>
              <w:t>44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prepaid and issuing journey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_Rpt86 \h </w:instrText>
            </w:r>
            <w:r>
              <w:rPr>
                <w:sz w:val="20"/>
              </w:rPr>
              <w:fldChar w:fldCharType="separate"/>
            </w:r>
            <w:r>
              <w:rPr>
                <w:sz w:val="20"/>
              </w:rPr>
              <w:t>44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Product evaluation framework</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_Rpt87 \h </w:instrText>
            </w:r>
            <w:r>
              <w:rPr>
                <w:sz w:val="20"/>
              </w:rPr>
              <w:fldChar w:fldCharType="separate"/>
            </w:r>
            <w:r>
              <w:rPr>
                <w:sz w:val="20"/>
              </w:rPr>
              <w:t>45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Innovation claims and the evidence standard applied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_Rpt89 \h </w:instrText>
            </w:r>
            <w:r>
              <w:rPr>
                <w:sz w:val="20"/>
              </w:rPr>
              <w:fldChar w:fldCharType="separate"/>
            </w:r>
            <w:r>
              <w:rPr>
                <w:sz w:val="20"/>
              </w:rPr>
              <w:t>45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Recent initiatives and corporate actions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_Rpt90 \h </w:instrText>
            </w:r>
            <w:r>
              <w:rPr>
                <w:sz w:val="20"/>
              </w:rPr>
              <w:fldChar w:fldCharType="separate"/>
            </w:r>
            <w:r>
              <w:rPr>
                <w:sz w:val="20"/>
              </w:rPr>
              <w:t>45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SWOT analysis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_Rpt91 \h </w:instrText>
            </w:r>
            <w:r>
              <w:rPr>
                <w:sz w:val="20"/>
              </w:rPr>
              <w:fldChar w:fldCharType="separate"/>
            </w:r>
            <w:r>
              <w:rPr>
                <w:sz w:val="20"/>
              </w:rPr>
              <w:t>46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Management, governance and ownership</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_Rpt93 \h </w:instrText>
            </w:r>
            <w:r>
              <w:rPr>
                <w:sz w:val="20"/>
              </w:rPr>
              <w:fldChar w:fldCharType="separate"/>
            </w:r>
            <w:r>
              <w:rPr>
                <w:sz w:val="20"/>
              </w:rPr>
              <w:t>46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Governance questions for investors and students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_Rpt95 \h </w:instrText>
            </w:r>
            <w:r>
              <w:rPr>
                <w:sz w:val="20"/>
              </w:rPr>
              <w:fldChar w:fldCharType="separate"/>
            </w:r>
            <w:r>
              <w:rPr>
                <w:sz w:val="20"/>
              </w:rPr>
              <w:t>47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 summary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_Rpt96 \h </w:instrText>
            </w:r>
            <w:r>
              <w:rPr>
                <w:sz w:val="20"/>
              </w:rPr>
              <w:fldChar w:fldCharType="separate"/>
            </w:r>
            <w:r>
              <w:rPr>
                <w:sz w:val="20"/>
              </w:rPr>
              <w:t>47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5</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ANALYSIS AND INTERPRETATION OF FINANCIAL AND OPERATING DATA</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_Rpt98 \h </w:instrText>
            </w:r>
            <w:r>
              <w:rPr>
                <w:sz w:val="20"/>
              </w:rPr>
              <w:fldChar w:fldCharType="separate"/>
            </w:r>
            <w:r>
              <w:rPr>
                <w:sz w:val="20"/>
              </w:rPr>
              <w:t>49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Introduction to the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_Rpt99 \h </w:instrText>
            </w:r>
            <w:r>
              <w:rPr>
                <w:sz w:val="20"/>
              </w:rPr>
              <w:fldChar w:fldCharType="separate"/>
            </w:r>
            <w:r>
              <w:rPr>
                <w:sz w:val="20"/>
              </w:rPr>
              <w:t>49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Income statement: four-year consolidated trend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_Rpt101 \h </w:instrText>
            </w:r>
            <w:r>
              <w:rPr>
                <w:sz w:val="20"/>
              </w:rPr>
              <w:fldChar w:fldCharType="separate"/>
            </w:r>
            <w:r>
              <w:rPr>
                <w:sz w:val="20"/>
              </w:rPr>
              <w:t>49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Growth and margin interpretation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_Rpt104 \h </w:instrText>
            </w:r>
            <w:r>
              <w:rPr>
                <w:sz w:val="20"/>
              </w:rPr>
              <w:fldChar w:fldCharType="separate"/>
            </w:r>
            <w:r>
              <w:rPr>
                <w:sz w:val="20"/>
              </w:rPr>
              <w:t>50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Nine-quarter revenue and segment mix</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_Rpt105 \h </w:instrText>
            </w:r>
            <w:r>
              <w:rPr>
                <w:sz w:val="20"/>
              </w:rPr>
              <w:fldChar w:fldCharType="separate"/>
            </w:r>
            <w:r>
              <w:rPr>
                <w:sz w:val="20"/>
              </w:rPr>
              <w:t>51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Contribution, adjusted EBITDA and PAT: reading the definitions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_Rpt107 \h </w:instrText>
            </w:r>
            <w:r>
              <w:rPr>
                <w:sz w:val="20"/>
              </w:rPr>
              <w:fldChar w:fldCharType="separate"/>
            </w:r>
            <w:r>
              <w:rPr>
                <w:sz w:val="20"/>
              </w:rPr>
              <w:t>52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Segment growth, mix shift and monetisation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_Rpt109 \h </w:instrText>
            </w:r>
            <w:r>
              <w:rPr>
                <w:sz w:val="20"/>
              </w:rPr>
              <w:fldChar w:fldCharType="separate"/>
            </w:r>
            <w:r>
              <w:rPr>
                <w:sz w:val="20"/>
              </w:rPr>
              <w:t>53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FY27 interim update and year-on-year bridge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_Rpt111 \h </w:instrText>
            </w:r>
            <w:r>
              <w:rPr>
                <w:sz w:val="20"/>
              </w:rPr>
              <w:fldChar w:fldCharType="separate"/>
            </w:r>
            <w:r>
              <w:rPr>
                <w:sz w:val="20"/>
              </w:rPr>
              <w:t>54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Balance sheet: selected indicators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_Rpt114 \h </w:instrText>
            </w:r>
            <w:r>
              <w:rPr>
                <w:sz w:val="20"/>
              </w:rPr>
              <w:fldChar w:fldCharType="separate"/>
            </w:r>
            <w:r>
              <w:rPr>
                <w:sz w:val="20"/>
              </w:rPr>
              <w:t>55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Funding and liquidity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_Rpt116 \h </w:instrText>
            </w:r>
            <w:r>
              <w:rPr>
                <w:sz w:val="20"/>
              </w:rPr>
              <w:fldChar w:fldCharType="separate"/>
            </w:r>
            <w:r>
              <w:rPr>
                <w:sz w:val="20"/>
              </w:rPr>
              <w:t>55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flow and funding movements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_Rpt117 \h </w:instrText>
            </w:r>
            <w:r>
              <w:rPr>
                <w:sz w:val="20"/>
              </w:rPr>
              <w:fldChar w:fldCharType="separate"/>
            </w:r>
            <w:r>
              <w:rPr>
                <w:sz w:val="20"/>
              </w:rPr>
              <w:t>56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Working capital: profitability is not the same as cash flow</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_Rpt121 \h </w:instrText>
            </w:r>
            <w:r>
              <w:rPr>
                <w:sz w:val="20"/>
              </w:rPr>
              <w:fldChar w:fldCharType="separate"/>
            </w:r>
            <w:r>
              <w:rPr>
                <w:sz w:val="20"/>
              </w:rPr>
              <w:t>57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analysis: formula sheet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_Rpt123 \h </w:instrText>
            </w:r>
            <w:r>
              <w:rPr>
                <w:sz w:val="20"/>
              </w:rPr>
              <w:fldChar w:fldCharType="separate"/>
            </w:r>
            <w:r>
              <w:rPr>
                <w:sz w:val="20"/>
              </w:rPr>
              <w:t>58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analysis: core dashboard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_Rpt125 \h </w:instrText>
            </w:r>
            <w:r>
              <w:rPr>
                <w:sz w:val="20"/>
              </w:rPr>
              <w:fldChar w:fldCharType="separate"/>
            </w:r>
            <w:r>
              <w:rPr>
                <w:sz w:val="20"/>
              </w:rPr>
              <w:t>58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Supporting annual ratio series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_Rpt127 \h </w:instrText>
            </w:r>
            <w:r>
              <w:rPr>
                <w:sz w:val="20"/>
              </w:rPr>
              <w:fldChar w:fldCharType="separate"/>
            </w:r>
            <w:r>
              <w:rPr>
                <w:sz w:val="20"/>
              </w:rPr>
              <w:t>59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interpretation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_Rpt129 \h </w:instrText>
            </w:r>
            <w:r>
              <w:rPr>
                <w:sz w:val="20"/>
              </w:rPr>
              <w:fldChar w:fldCharType="separate"/>
            </w:r>
            <w:r>
              <w:rPr>
                <w:sz w:val="20"/>
              </w:rPr>
              <w:t>59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caveats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_Rpt130 \h </w:instrText>
            </w:r>
            <w:r>
              <w:rPr>
                <w:sz w:val="20"/>
              </w:rPr>
              <w:fldChar w:fldCharType="separate"/>
            </w:r>
            <w:r>
              <w:rPr>
                <w:sz w:val="20"/>
              </w:rPr>
              <w:t>60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DuPont analysis: method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_Rpt131 \h </w:instrText>
            </w:r>
            <w:r>
              <w:rPr>
                <w:sz w:val="20"/>
              </w:rPr>
              <w:fldChar w:fldCharType="separate"/>
            </w:r>
            <w:r>
              <w:rPr>
                <w:sz w:val="20"/>
              </w:rPr>
              <w:t>60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DuPont analysis: results and interpretation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_Rpt132 \h </w:instrText>
            </w:r>
            <w:r>
              <w:rPr>
                <w:sz w:val="20"/>
              </w:rPr>
              <w:fldChar w:fldCharType="separate"/>
            </w:r>
            <w:r>
              <w:rPr>
                <w:sz w:val="20"/>
              </w:rPr>
              <w:t>60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5.19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KPIs: scale and activity indicators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_Rpt134 \h </w:instrText>
            </w:r>
            <w:r>
              <w:rPr>
                <w:sz w:val="20"/>
              </w:rPr>
              <w:fldChar w:fldCharType="separate"/>
            </w:r>
            <w:r>
              <w:rPr>
                <w:sz w:val="20"/>
              </w:rPr>
              <w:t>61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FY27 operating snapshot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_Rpt138 \h </w:instrText>
            </w:r>
            <w:r>
              <w:rPr>
                <w:sz w:val="20"/>
              </w:rPr>
              <w:fldChar w:fldCharType="separate"/>
            </w:r>
            <w:r>
              <w:rPr>
                <w:sz w:val="20"/>
              </w:rPr>
              <w:t>63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Revenue-to-GTV proxy: a diagnostic, not a take rate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_Rpt140 \h </w:instrText>
            </w:r>
            <w:r>
              <w:rPr>
                <w:sz w:val="20"/>
              </w:rPr>
              <w:fldChar w:fldCharType="separate"/>
            </w:r>
            <w:r>
              <w:rPr>
                <w:sz w:val="20"/>
              </w:rPr>
              <w:t>63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KPI interpretation cautions and monitoring dashboard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_Rpt142 \h </w:instrText>
            </w:r>
            <w:r>
              <w:rPr>
                <w:sz w:val="20"/>
              </w:rPr>
              <w:fldChar w:fldCharType="separate"/>
            </w:r>
            <w:r>
              <w:rPr>
                <w:sz w:val="20"/>
              </w:rPr>
              <w:t>64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Peer comparability: why one-line multiples can mislead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_Rpt144 \h </w:instrText>
            </w:r>
            <w:r>
              <w:rPr>
                <w:sz w:val="20"/>
              </w:rPr>
              <w:fldChar w:fldCharType="separate"/>
            </w:r>
            <w:r>
              <w:rPr>
                <w:sz w:val="20"/>
              </w:rPr>
              <w:t>65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Qualitative peer comparison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_Rpt146 \h </w:instrText>
            </w:r>
            <w:r>
              <w:rPr>
                <w:sz w:val="20"/>
              </w:rPr>
              <w:fldChar w:fldCharType="separate"/>
            </w:r>
            <w:r>
              <w:rPr>
                <w:sz w:val="20"/>
              </w:rPr>
              <w:t>66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 snapshot and last-twelve-month valuation calculation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_Rpt148 \h </w:instrText>
            </w:r>
            <w:r>
              <w:rPr>
                <w:sz w:val="20"/>
              </w:rPr>
              <w:fldChar w:fldCharType="separate"/>
            </w:r>
            <w:r>
              <w:rPr>
                <w:sz w:val="20"/>
              </w:rPr>
              <w:t>66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Price-to-book sensitivity: an illustrative expectation test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_Rpt150 \h </w:instrText>
            </w:r>
            <w:r>
              <w:rPr>
                <w:sz w:val="20"/>
              </w:rPr>
              <w:fldChar w:fldCharType="separate"/>
            </w:r>
            <w:r>
              <w:rPr>
                <w:sz w:val="20"/>
              </w:rPr>
              <w:t>67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Revenue-growth and price-to-sales scenarios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_Rpt152 \h </w:instrText>
            </w:r>
            <w:r>
              <w:rPr>
                <w:sz w:val="20"/>
              </w:rPr>
              <w:fldChar w:fldCharType="separate"/>
            </w:r>
            <w:r>
              <w:rPr>
                <w:sz w:val="20"/>
              </w:rPr>
              <w:t>68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Valuation interpretation and limits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_Rpt154 \h </w:instrText>
            </w:r>
            <w:r>
              <w:rPr>
                <w:sz w:val="20"/>
              </w:rPr>
              <w:fldChar w:fldCharType="separate"/>
            </w:r>
            <w:r>
              <w:rPr>
                <w:sz w:val="20"/>
              </w:rPr>
              <w:t>68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Listed-market snapshot and price context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_Rpt155 \h </w:instrText>
            </w:r>
            <w:r>
              <w:rPr>
                <w:sz w:val="20"/>
              </w:rPr>
              <w:fldChar w:fldCharType="separate"/>
            </w:r>
            <w:r>
              <w:rPr>
                <w:sz w:val="20"/>
              </w:rPr>
              <w:t>69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5.30</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Scope of technical analysis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_Rpt159 \h </w:instrText>
            </w:r>
            <w:r>
              <w:rPr>
                <w:sz w:val="20"/>
              </w:rPr>
              <w:fldChar w:fldCharType="separate"/>
            </w:r>
            <w:r>
              <w:rPr>
                <w:sz w:val="20"/>
              </w:rPr>
              <w:t>70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Risk analysis: risk register</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_Rpt161 \h </w:instrText>
            </w:r>
            <w:r>
              <w:rPr>
                <w:sz w:val="20"/>
              </w:rPr>
              <w:fldChar w:fldCharType="separate"/>
            </w:r>
            <w:r>
              <w:rPr>
                <w:sz w:val="20"/>
              </w:rPr>
              <w:t>71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Early-warning dashboard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_Rpt163 \h </w:instrText>
            </w:r>
            <w:r>
              <w:rPr>
                <w:sz w:val="20"/>
              </w:rPr>
              <w:fldChar w:fldCharType="separate"/>
            </w:r>
            <w:r>
              <w:rPr>
                <w:sz w:val="20"/>
              </w:rPr>
              <w:t>71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ESG and responsible fintech</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_Rpt165 \h </w:instrText>
            </w:r>
            <w:r>
              <w:rPr>
                <w:sz w:val="20"/>
              </w:rPr>
              <w:fldChar w:fldCharType="separate"/>
            </w:r>
            <w:r>
              <w:rPr>
                <w:sz w:val="20"/>
              </w:rPr>
              <w:t>72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Separating facts, inferences, assumptions and judgments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_Rpt167 \h </w:instrText>
            </w:r>
            <w:r>
              <w:rPr>
                <w:sz w:val="20"/>
              </w:rPr>
              <w:fldChar w:fldCharType="separate"/>
            </w:r>
            <w:r>
              <w:rPr>
                <w:sz w:val="20"/>
              </w:rPr>
              <w:t>73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Common-size reading of the FY26 income statement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_Rpt169 \h </w:instrText>
            </w:r>
            <w:r>
              <w:rPr>
                <w:sz w:val="20"/>
              </w:rPr>
              <w:fldChar w:fldCharType="separate"/>
            </w:r>
            <w:r>
              <w:rPr>
                <w:sz w:val="20"/>
              </w:rPr>
              <w:t>74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Trend index analysis with FY23 as the base year</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_Rpt171 \h </w:instrText>
            </w:r>
            <w:r>
              <w:rPr>
                <w:sz w:val="20"/>
              </w:rPr>
              <w:fldChar w:fldCharType="separate"/>
            </w:r>
            <w:r>
              <w:rPr>
                <w:sz w:val="20"/>
              </w:rPr>
              <w:t>74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Summary of the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_Rpt173 \h </w:instrText>
            </w:r>
            <w:r>
              <w:rPr>
                <w:sz w:val="20"/>
              </w:rPr>
              <w:fldChar w:fldCharType="separate"/>
            </w:r>
            <w:r>
              <w:rPr>
                <w:sz w:val="20"/>
              </w:rPr>
              <w:t>75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6</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FINDINGS, SUGGESTIONS AND CONCLUSION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_Rpt175 \h </w:instrText>
            </w:r>
            <w:r>
              <w:rPr>
                <w:sz w:val="20"/>
              </w:rPr>
              <w:fldChar w:fldCharType="separate"/>
            </w:r>
            <w:r>
              <w:rPr>
                <w:sz w:val="20"/>
              </w:rPr>
              <w:t>76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Key findings at a glance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_Rpt176 \h </w:instrText>
            </w:r>
            <w:r>
              <w:rPr>
                <w:sz w:val="20"/>
              </w:rPr>
              <w:fldChar w:fldCharType="separate"/>
            </w:r>
            <w:r>
              <w:rPr>
                <w:sz w:val="20"/>
              </w:rPr>
              <w:t>76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Major findings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_Rpt178 \h </w:instrText>
            </w:r>
            <w:r>
              <w:rPr>
                <w:sz w:val="20"/>
              </w:rPr>
              <w:fldChar w:fldCharType="separate"/>
            </w:r>
            <w:r>
              <w:rPr>
                <w:sz w:val="20"/>
              </w:rPr>
              <w:t>76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Findings mapped to the research propositions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_Rpt179 \h </w:instrText>
            </w:r>
            <w:r>
              <w:rPr>
                <w:sz w:val="20"/>
              </w:rPr>
              <w:fldChar w:fldCharType="separate"/>
            </w:r>
            <w:r>
              <w:rPr>
                <w:sz w:val="20"/>
              </w:rPr>
              <w:t>77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Investment thesis and final recommendation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_Rpt181 \h </w:instrText>
            </w:r>
            <w:r>
              <w:rPr>
                <w:sz w:val="20"/>
              </w:rPr>
              <w:fldChar w:fldCharType="separate"/>
            </w:r>
            <w:r>
              <w:rPr>
                <w:sz w:val="20"/>
              </w:rPr>
              <w:t>77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Researcher’s view</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_Rpt183 \h </w:instrText>
            </w:r>
            <w:r>
              <w:rPr>
                <w:sz w:val="20"/>
              </w:rPr>
              <w:fldChar w:fldCharType="separate"/>
            </w:r>
            <w:r>
              <w:rPr>
                <w:sz w:val="20"/>
              </w:rPr>
              <w:t>78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Suggestions for Pine Labs Limited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_Rpt185 \h </w:instrText>
            </w:r>
            <w:r>
              <w:rPr>
                <w:sz w:val="20"/>
              </w:rPr>
              <w:fldChar w:fldCharType="separate"/>
            </w:r>
            <w:r>
              <w:rPr>
                <w:sz w:val="20"/>
              </w:rPr>
              <w:t>78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Suggestions for investors and future student researchers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_Rpt186 \h </w:instrText>
            </w:r>
            <w:r>
              <w:rPr>
                <w:sz w:val="20"/>
              </w:rPr>
              <w:fldChar w:fldCharType="separate"/>
            </w:r>
            <w:r>
              <w:rPr>
                <w:sz w:val="20"/>
              </w:rPr>
              <w:t>79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6.8</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Learning outcomes of the project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_Rpt187 \h </w:instrText>
            </w:r>
            <w:r>
              <w:rPr>
                <w:sz w:val="20"/>
              </w:rPr>
              <w:fldChar w:fldCharType="separate"/>
            </w:r>
            <w:r>
              <w:rPr>
                <w:sz w:val="20"/>
              </w:rPr>
              <w:t>79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6.9</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Conclusion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_Rpt188 \h </w:instrText>
            </w:r>
            <w:r>
              <w:rPr>
                <w:sz w:val="20"/>
              </w:rPr>
              <w:fldChar w:fldCharType="separate"/>
            </w:r>
            <w:r>
              <w:rPr>
                <w:sz w:val="20"/>
              </w:rPr>
              <w:t>80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Chapter 7</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OF THE STUDY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_Rpt189 \h </w:instrText>
            </w:r>
            <w:r>
              <w:rPr>
                <w:sz w:val="20"/>
              </w:rPr>
              <w:fldChar w:fldCharType="separate"/>
            </w:r>
            <w:r>
              <w:rPr>
                <w:sz w:val="20"/>
              </w:rPr>
              <w:t>81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7.1</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arising from the data</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_Rpt190 \h </w:instrText>
            </w:r>
            <w:r>
              <w:rPr>
                <w:sz w:val="20"/>
              </w:rPr>
              <w:fldChar w:fldCharType="separate"/>
            </w:r>
            <w:r>
              <w:rPr>
                <w:sz w:val="20"/>
              </w:rPr>
              <w:t>81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7.2</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arising from the period of study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_Rpt191 \h </w:instrText>
            </w:r>
            <w:r>
              <w:rPr>
                <w:sz w:val="20"/>
              </w:rPr>
              <w:fldChar w:fldCharType="separate"/>
            </w:r>
            <w:r>
              <w:rPr>
                <w:sz w:val="20"/>
              </w:rPr>
              <w:t>81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arising from the method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_Rpt192 \h </w:instrText>
            </w:r>
            <w:r>
              <w:rPr>
                <w:sz w:val="20"/>
              </w:rPr>
              <w:fldChar w:fldCharType="separate"/>
            </w:r>
            <w:r>
              <w:rPr>
                <w:sz w:val="20"/>
              </w:rPr>
              <w:t>81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arising from the scope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_Rpt193 \h </w:instrText>
            </w:r>
            <w:r>
              <w:rPr>
                <w:sz w:val="20"/>
              </w:rPr>
              <w:fldChar w:fldCharType="separate"/>
            </w:r>
            <w:r>
              <w:rPr>
                <w:sz w:val="20"/>
              </w:rPr>
              <w:t>82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7.5</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arising from interpretation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_Rpt194 \h </w:instrText>
            </w:r>
            <w:r>
              <w:rPr>
                <w:sz w:val="20"/>
              </w:rPr>
              <w:fldChar w:fldCharType="separate"/>
            </w:r>
            <w:r>
              <w:rPr>
                <w:sz w:val="20"/>
              </w:rPr>
              <w:t>82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7.6</w:t>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Effect of the limitations on the conclusions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_Rpt195 \h </w:instrText>
            </w:r>
            <w:r>
              <w:rPr>
                <w:sz w:val="20"/>
              </w:rPr>
              <w:fldChar w:fldCharType="separate"/>
            </w:r>
            <w:r>
              <w:rPr>
                <w:sz w:val="20"/>
              </w:rPr>
              <w:t>82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7.7</w:t>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Directions for future research</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_Rpt197 \h </w:instrText>
            </w:r>
            <w:r>
              <w:rPr>
                <w:sz w:val="20"/>
              </w:rPr>
              <w:fldChar w:fldCharType="separate"/>
            </w:r>
            <w:r>
              <w:rPr>
                <w:sz w:val="20"/>
              </w:rPr>
              <w:t>83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REFERENCES AND BIBLIOGRAPHY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_Rpt199 \h </w:instrText>
            </w:r>
            <w:r>
              <w:rPr>
                <w:sz w:val="20"/>
              </w:rPr>
              <w:fldChar w:fldCharType="separate"/>
            </w:r>
            <w:r>
              <w:rPr>
                <w:sz w:val="20"/>
              </w:rPr>
              <w:t>84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Annexure A</w:t>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COMPACT DATA SHEET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_Rpt200 \h </w:instrText>
            </w:r>
            <w:r>
              <w:rPr>
                <w:sz w:val="20"/>
              </w:rPr>
              <w:fldChar w:fldCharType="separate"/>
            </w:r>
            <w:r>
              <w:rPr>
                <w:sz w:val="20"/>
              </w:rPr>
              <w:t>87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Annexure B</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FORMULAS AND WORKED CALCULATIONS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_Rpt204 \h </w:instrText>
            </w:r>
            <w:r>
              <w:rPr>
                <w:sz w:val="20"/>
              </w:rPr>
              <w:fldChar w:fldCharType="separate"/>
            </w:r>
            <w:r>
              <w:rPr>
                <w:sz w:val="20"/>
              </w:rPr>
              <w:t>89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Annexure C</w:t>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GLOSSARY OF TERMS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_Rpt206 \h </w:instrText>
            </w:r>
            <w:r>
              <w:rPr>
                <w:sz w:val="20"/>
              </w:rPr>
              <w:fldChar w:fldCharType="separate"/>
            </w:r>
            <w:r>
              <w:rPr>
                <w:sz w:val="20"/>
              </w:rPr>
              <w:t>90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Annexure D</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 OF ABBREVIATIONS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_Rpt208 \h </w:instrText>
            </w:r>
            <w:r>
              <w:rPr>
                <w:sz w:val="20"/>
              </w:rPr>
              <w:fldChar w:fldCharType="separate"/>
            </w:r>
            <w:r>
              <w:rPr>
                <w:sz w:val="20"/>
              </w:rPr>
              <w:t>91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Annexure E</w:t>
            </w:r>
          </w:p>
        </w:tc>
        <w:tc>
          <w:tcPr>
            <w:tcW w:w="8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DATA BOOK AND SUPPORTING EXHIBITS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_Rpt210 \h </w:instrText>
            </w:r>
            <w:r>
              <w:rPr>
                <w:sz w:val="20"/>
              </w:rPr>
              <w:fldChar w:fldCharType="separate"/>
            </w:r>
            <w:r>
              <w:rPr>
                <w:sz w:val="20"/>
              </w:rPr>
              <w:t>93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Annexure F</w:t>
            </w:r>
          </w:p>
        </w:tc>
        <w:tc>
          <w:tcPr>
            <w:tcW w:w="8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
            </w:r>
          </w:p>
        </w:tc>
        <w:tc>
          <w:tcPr>
            <w:tcW w:w="6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FINAL SUBMISSION CHECKLIST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_Rpt217 \h </w:instrText>
            </w:r>
            <w:r>
              <w:rPr>
                <w:sz w:val="20"/>
              </w:rPr>
              <w:fldChar w:fldCharType="separate"/>
            </w:r>
            <w:r>
              <w:rPr>
                <w:sz w:val="20"/>
              </w:rPr>
              <w:t>96</w:t>
            </w:r>
            <w:r>
              <w:rPr>
                <w:sz w:val="20"/>
              </w:rPr>
              <w:fldChar w:fldCharType="end"/>
            </w:r>
          </w:p>
        </w:tc>
      </w:tr>
    </w:tbl>
    <w:p w:rsidR="005F2FC4" w:rsidRDefault="00000000">
      <w:pPr>
        <w:pageBreakBefore/>
        <w:keepNext/>
        <w:spacing w:before="120" w:after="160" w:line="240" w:lineRule="auto"/>
        <w:jc w:val="center"/>
      </w:pPr>
      <w:r>
        <w:rPr>
          <w:b/>
          <w:bCs/>
          <w:sz w:val="28"/>
          <w:szCs w:val="28"/>
        </w:rPr>
        <w:t xml:space="preserve">LIST OF TABLES</w:t>
      </w:r>
    </w:p>
    <w:tbl>
      <w:tblPr>
        <w:tblW w:w="0" w:type="auto"/>
        <w:jc w:val="center"/>
        <w:tblLayout w:type="fixed"/>
        <w:tblLook w:val="04A0" w:firstRow="1" w:lastRow="0" w:firstColumn="1" w:lastColumn="0" w:noHBand="0" w:noVBand="1"/>
      </w:tblPr>
      <w:tblGrid>
        <w:gridCol w:w="1250"/>
        <w:gridCol w:w="7186"/>
        <w:gridCol w:w="1500"/>
      </w:tblGrid>
      <w:tr w:rsidR="005F2FC4">
        <w:trPr>
          <w:cantSplit/>
          <w:tblHeader/>
          <w:jc w:val="center"/>
        </w:trPr>
        <w:tc>
          <w:tcPr>
            <w:tcW w:w="125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TABLE NO.</w:t>
            </w:r>
          </w:p>
        </w:tc>
        <w:tc>
          <w:tcPr>
            <w:tcW w:w="71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TITLE</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PAGE NO.</w:t>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1.1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Mapping of objectives to methods and report sections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 \h </w:instrText>
            </w:r>
            <w:r>
              <w:rPr>
                <w:sz w:val="20"/>
              </w:rPr>
              <w:fldChar w:fldCharType="separate"/>
            </w:r>
            <w:r>
              <w:rPr>
                <w:sz w:val="20"/>
              </w:rPr>
              <w:t>16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1.2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questions and propositions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 \h </w:instrText>
            </w:r>
            <w:r>
              <w:rPr>
                <w:sz w:val="20"/>
              </w:rPr>
              <w:fldChar w:fldCharType="separate"/>
            </w:r>
            <w:r>
              <w:rPr>
                <w:sz w:val="20"/>
              </w:rPr>
              <w:t>17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1.3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Core terminology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 \h </w:instrText>
            </w:r>
            <w:r>
              <w:rPr>
                <w:sz w:val="20"/>
              </w:rPr>
              <w:fldChar w:fldCharType="separate"/>
            </w:r>
            <w:r>
              <w:rPr>
                <w:sz w:val="20"/>
              </w:rPr>
              <w:t>18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1.4</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and analytical foundations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 \h </w:instrText>
            </w:r>
            <w:r>
              <w:rPr>
                <w:sz w:val="20"/>
              </w:rPr>
              <w:fldChar w:fldCharType="separate"/>
            </w:r>
            <w:r>
              <w:rPr>
                <w:sz w:val="20"/>
              </w:rPr>
              <w:t>21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1.5</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 plan of the report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 \h </w:instrText>
            </w:r>
            <w:r>
              <w:rPr>
                <w:sz w:val="20"/>
              </w:rPr>
              <w:fldChar w:fldCharType="separate"/>
            </w:r>
            <w:r>
              <w:rPr>
                <w:sz w:val="20"/>
              </w:rPr>
              <w:t>21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2.1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Service lines of Rosy Blue Securities Pvt. Ltd.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 \h </w:instrText>
            </w:r>
            <w:r>
              <w:rPr>
                <w:sz w:val="20"/>
              </w:rPr>
              <w:fldChar w:fldCharType="separate"/>
            </w:r>
            <w:r>
              <w:rPr>
                <w:sz w:val="20"/>
              </w:rPr>
              <w:t>23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2.2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market and F&amp;O market compared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_Rpt25 \h </w:instrText>
            </w:r>
            <w:r>
              <w:rPr>
                <w:sz w:val="20"/>
              </w:rPr>
              <w:fldChar w:fldCharType="separate"/>
            </w:r>
            <w:r>
              <w:rPr>
                <w:sz w:val="20"/>
              </w:rPr>
              <w:t>24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2.3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EIC framework and its use in this report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_Rpt28 \h </w:instrText>
            </w:r>
            <w:r>
              <w:rPr>
                <w:sz w:val="20"/>
              </w:rPr>
              <w:fldChar w:fldCharType="separate"/>
            </w:r>
            <w:r>
              <w:rPr>
                <w:sz w:val="20"/>
              </w:rPr>
              <w:t>25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2.4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Market-infrastructure roles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_Rpt30 \h </w:instrText>
            </w:r>
            <w:r>
              <w:rPr>
                <w:sz w:val="20"/>
              </w:rPr>
              <w:fldChar w:fldCharType="separate"/>
            </w:r>
            <w:r>
              <w:rPr>
                <w:sz w:val="20"/>
              </w:rPr>
              <w:t>26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2.5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Conceptual business-model contrast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_Rpt32 \h </w:instrText>
            </w:r>
            <w:r>
              <w:rPr>
                <w:sz w:val="20"/>
              </w:rPr>
              <w:fldChar w:fldCharType="separate"/>
            </w:r>
            <w:r>
              <w:rPr>
                <w:sz w:val="20"/>
              </w:rPr>
              <w:t>27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2.6</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Skills developed during the internship</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_Rpt34 \h </w:instrText>
            </w:r>
            <w:r>
              <w:rPr>
                <w:sz w:val="20"/>
              </w:rPr>
              <w:fldChar w:fldCharType="separate"/>
            </w:r>
            <w:r>
              <w:rPr>
                <w:sz w:val="20"/>
              </w:rPr>
              <w:t>27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2.7</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Learning outcomes evidenced by this research</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_Rpt36 \h </w:instrText>
            </w:r>
            <w:r>
              <w:rPr>
                <w:sz w:val="20"/>
              </w:rPr>
              <w:fldChar w:fldCharType="separate"/>
            </w:r>
            <w:r>
              <w:rPr>
                <w:sz w:val="20"/>
              </w:rPr>
              <w:t>28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2.8</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Internship summary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_Rpt38 \h </w:instrText>
            </w:r>
            <w:r>
              <w:rPr>
                <w:sz w:val="20"/>
              </w:rPr>
              <w:fldChar w:fldCharType="separate"/>
            </w:r>
            <w:r>
              <w:rPr>
                <w:sz w:val="20"/>
              </w:rPr>
              <w:t>28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Simplified digital-payments value chain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_Rpt42 \h </w:instrText>
            </w:r>
            <w:r>
              <w:rPr>
                <w:sz w:val="20"/>
              </w:rPr>
              <w:fldChar w:fldCharType="separate"/>
            </w:r>
            <w:r>
              <w:rPr>
                <w:sz w:val="20"/>
              </w:rPr>
              <w:t>30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indicators and interpretation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_Rpt44 \h </w:instrText>
            </w:r>
            <w:r>
              <w:rPr>
                <w:sz w:val="20"/>
              </w:rPr>
              <w:fldChar w:fldCharType="separate"/>
            </w:r>
            <w:r>
              <w:rPr>
                <w:sz w:val="20"/>
              </w:rPr>
              <w:t>31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Public payment-system indicators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_Rpt46 \h </w:instrText>
            </w:r>
            <w:r>
              <w:rPr>
                <w:sz w:val="20"/>
              </w:rPr>
              <w:fldChar w:fldCharType="separate"/>
            </w:r>
            <w:r>
              <w:rPr>
                <w:sz w:val="20"/>
              </w:rPr>
              <w:t>32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opportunity / headwind scan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_Rpt49 \h </w:instrText>
            </w:r>
            <w:r>
              <w:rPr>
                <w:sz w:val="20"/>
              </w:rPr>
              <w:fldChar w:fldCharType="separate"/>
            </w:r>
            <w:r>
              <w:rPr>
                <w:sz w:val="20"/>
              </w:rPr>
              <w:t>32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Selected peer and adjacent-company context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_Rpt51 \h </w:instrText>
            </w:r>
            <w:r>
              <w:rPr>
                <w:sz w:val="20"/>
              </w:rPr>
              <w:fldChar w:fldCharType="separate"/>
            </w:r>
            <w:r>
              <w:rPr>
                <w:sz w:val="20"/>
              </w:rPr>
              <w:t>33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3.6</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PESTLE assessment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_Rpt53 \h </w:instrText>
            </w:r>
            <w:r>
              <w:rPr>
                <w:sz w:val="20"/>
              </w:rPr>
              <w:fldChar w:fldCharType="separate"/>
            </w:r>
            <w:r>
              <w:rPr>
                <w:sz w:val="20"/>
              </w:rPr>
              <w:t>34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3.7</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Porter’s Five Forces rating</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_Rpt55 \h </w:instrText>
            </w:r>
            <w:r>
              <w:rPr>
                <w:sz w:val="20"/>
              </w:rPr>
              <w:fldChar w:fldCharType="separate"/>
            </w:r>
            <w:r>
              <w:rPr>
                <w:sz w:val="20"/>
              </w:rPr>
              <w:t>34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3.8</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Generic threat-to-control lens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_Rpt58 \h </w:instrText>
            </w:r>
            <w:r>
              <w:rPr>
                <w:sz w:val="20"/>
              </w:rPr>
              <w:fldChar w:fldCharType="separate"/>
            </w:r>
            <w:r>
              <w:rPr>
                <w:sz w:val="20"/>
              </w:rPr>
              <w:t>35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3.9</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Activity-to-rule mapping (high level)</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_Rpt60 \h </w:instrText>
            </w:r>
            <w:r>
              <w:rPr>
                <w:sz w:val="20"/>
              </w:rPr>
              <w:fldChar w:fldCharType="separate"/>
            </w:r>
            <w:r>
              <w:rPr>
                <w:sz w:val="20"/>
              </w:rPr>
              <w:t>36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3.10</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Customer-protection questions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_Rpt62 \h </w:instrText>
            </w:r>
            <w:r>
              <w:rPr>
                <w:sz w:val="20"/>
              </w:rPr>
              <w:fldChar w:fldCharType="separate"/>
            </w:r>
            <w:r>
              <w:rPr>
                <w:sz w:val="20"/>
              </w:rPr>
              <w:t>37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3.11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Stakeholder and responsibility matrix</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_Rpt64 \h </w:instrText>
            </w:r>
            <w:r>
              <w:rPr>
                <w:sz w:val="20"/>
              </w:rPr>
              <w:fldChar w:fldCharType="separate"/>
            </w:r>
            <w:r>
              <w:rPr>
                <w:sz w:val="20"/>
              </w:rPr>
              <w:t>38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3.12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Macro channels and their transmission to platform revenue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_Rpt66 \h </w:instrText>
            </w:r>
            <w:r>
              <w:rPr>
                <w:sz w:val="20"/>
              </w:rPr>
              <w:fldChar w:fldCharType="separate"/>
            </w:r>
            <w:r>
              <w:rPr>
                <w:sz w:val="20"/>
              </w:rPr>
              <w:t>38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3.13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Framework conclusions carried into the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_Rpt68 \h </w:instrText>
            </w:r>
            <w:r>
              <w:rPr>
                <w:sz w:val="20"/>
              </w:rPr>
              <w:fldChar w:fldCharType="separate"/>
            </w:r>
            <w:r>
              <w:rPr>
                <w:sz w:val="20"/>
              </w:rPr>
              <w:t>39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4.1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identification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_Rpt71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4.2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Selected corporate milestones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_Rpt74 \h </w:instrText>
            </w:r>
            <w:r>
              <w:rPr>
                <w:sz w:val="20"/>
              </w:rPr>
              <w:fldChar w:fldCharType="separate"/>
            </w:r>
            <w:r>
              <w:rPr>
                <w:sz w:val="20"/>
              </w:rPr>
              <w:t>40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4.3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Products and service economics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_Rpt78 \h </w:instrText>
            </w:r>
            <w:r>
              <w:rPr>
                <w:sz w:val="20"/>
              </w:rPr>
              <w:fldChar w:fldCharType="separate"/>
            </w:r>
            <w:r>
              <w:rPr>
                <w:sz w:val="20"/>
              </w:rPr>
              <w:t>42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4.4</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mix by platform (₹ crore except share)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_Rpt80 \h </w:instrText>
            </w:r>
            <w:r>
              <w:rPr>
                <w:sz w:val="20"/>
              </w:rPr>
              <w:fldChar w:fldCharType="separate"/>
            </w:r>
            <w:r>
              <w:rPr>
                <w:sz w:val="20"/>
              </w:rPr>
              <w:t>42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4.5</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Disclosed revenue streams by activity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_Rpt83 \h </w:instrText>
            </w:r>
            <w:r>
              <w:rPr>
                <w:sz w:val="20"/>
              </w:rPr>
              <w:fldChar w:fldCharType="separate"/>
            </w:r>
            <w:r>
              <w:rPr>
                <w:sz w:val="20"/>
              </w:rPr>
              <w:t>43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4.6</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Questions to assess each product line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_Rpt88 \h </w:instrText>
            </w:r>
            <w:r>
              <w:rPr>
                <w:sz w:val="20"/>
              </w:rPr>
              <w:fldChar w:fldCharType="separate"/>
            </w:r>
            <w:r>
              <w:rPr>
                <w:sz w:val="20"/>
              </w:rPr>
              <w:t>45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4.7</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SWOT matrix</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_Rpt92 \h </w:instrText>
            </w:r>
            <w:r>
              <w:rPr>
                <w:sz w:val="20"/>
              </w:rPr>
              <w:fldChar w:fldCharType="separate"/>
            </w:r>
            <w:r>
              <w:rPr>
                <w:sz w:val="20"/>
              </w:rPr>
              <w:t>46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4.8</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Governance and ownership review points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_Rpt94 \h </w:instrText>
            </w:r>
            <w:r>
              <w:rPr>
                <w:sz w:val="20"/>
              </w:rPr>
              <w:fldChar w:fldCharType="separate"/>
            </w:r>
            <w:r>
              <w:rPr>
                <w:sz w:val="20"/>
              </w:rPr>
              <w:t>46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4.9</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Business-model conclusions carried into Chapter 5</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_Rpt97 \h </w:instrText>
            </w:r>
            <w:r>
              <w:rPr>
                <w:sz w:val="20"/>
              </w:rPr>
              <w:fldChar w:fldCharType="separate"/>
            </w:r>
            <w:r>
              <w:rPr>
                <w:sz w:val="20"/>
              </w:rPr>
              <w:t>47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Structure of the analysis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_Rpt100 \h </w:instrText>
            </w:r>
            <w:r>
              <w:rPr>
                <w:sz w:val="20"/>
              </w:rPr>
              <w:fldChar w:fldCharType="separate"/>
            </w:r>
            <w:r>
              <w:rPr>
                <w:sz w:val="20"/>
              </w:rPr>
              <w:t>49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Selected income and company-defined measures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_Rpt102 \h </w:instrText>
            </w:r>
            <w:r>
              <w:rPr>
                <w:sz w:val="20"/>
              </w:rPr>
              <w:fldChar w:fldCharType="separate"/>
            </w:r>
            <w:r>
              <w:rPr>
                <w:sz w:val="20"/>
              </w:rPr>
              <w:t>49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revenue by platform (₹ crore, rounded)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_Rpt106 \h </w:instrText>
            </w:r>
            <w:r>
              <w:rPr>
                <w:sz w:val="20"/>
              </w:rPr>
              <w:fldChar w:fldCharType="separate"/>
            </w:r>
            <w:r>
              <w:rPr>
                <w:sz w:val="20"/>
              </w:rPr>
              <w:t>51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margin and profit indicators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_Rpt108 \h </w:instrText>
            </w:r>
            <w:r>
              <w:rPr>
                <w:sz w:val="20"/>
              </w:rPr>
              <w:fldChar w:fldCharType="separate"/>
            </w:r>
            <w:r>
              <w:rPr>
                <w:sz w:val="20"/>
              </w:rPr>
              <w:t>52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Annual and Q1 segment mix (₹ crore, rounded)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_Rpt110 \h </w:instrText>
            </w:r>
            <w:r>
              <w:rPr>
                <w:sz w:val="20"/>
              </w:rPr>
              <w:fldChar w:fldCharType="separate"/>
            </w:r>
            <w:r>
              <w:rPr>
                <w:sz w:val="20"/>
              </w:rPr>
              <w:t>53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5.6</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FY27 performance snapshot (quarter ended 30 June 2026)</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_Rpt112 \h </w:instrText>
            </w:r>
            <w:r>
              <w:rPr>
                <w:sz w:val="20"/>
              </w:rPr>
              <w:fldChar w:fldCharType="separate"/>
            </w:r>
            <w:r>
              <w:rPr>
                <w:sz w:val="20"/>
              </w:rPr>
              <w:t>54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5.7</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year-on-year bridge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_Rpt113 \h </w:instrText>
            </w:r>
            <w:r>
              <w:rPr>
                <w:sz w:val="20"/>
              </w:rPr>
              <w:fldChar w:fldCharType="separate"/>
            </w:r>
            <w:r>
              <w:rPr>
                <w:sz w:val="20"/>
              </w:rPr>
              <w:t>54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5.8</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Selected consolidated balance-sheet items (₹ crore)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_Rpt115 \h </w:instrText>
            </w:r>
            <w:r>
              <w:rPr>
                <w:sz w:val="20"/>
              </w:rPr>
              <w:fldChar w:fldCharType="separate"/>
            </w:r>
            <w:r>
              <w:rPr>
                <w:sz w:val="20"/>
              </w:rPr>
              <w:t>55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5.9</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cash flow trend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_Rpt118 \h </w:instrText>
            </w:r>
            <w:r>
              <w:rPr>
                <w:sz w:val="20"/>
              </w:rPr>
              <w:fldChar w:fldCharType="separate"/>
            </w:r>
            <w:r>
              <w:rPr>
                <w:sz w:val="20"/>
              </w:rPr>
              <w:t>56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5.10</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cash-flow statement summary (₹ crore)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_Rpt120 \h </w:instrText>
            </w:r>
            <w:r>
              <w:rPr>
                <w:sz w:val="20"/>
              </w:rPr>
              <w:fldChar w:fldCharType="separate"/>
            </w:r>
            <w:r>
              <w:rPr>
                <w:sz w:val="20"/>
              </w:rPr>
              <w:t>56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Selected cash-flow and balance-sheet context (₹ crore)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_Rpt122 \h </w:instrText>
            </w:r>
            <w:r>
              <w:rPr>
                <w:sz w:val="20"/>
              </w:rPr>
              <w:fldChar w:fldCharType="separate"/>
            </w:r>
            <w:r>
              <w:rPr>
                <w:sz w:val="20"/>
              </w:rPr>
              <w:t>57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5.12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formula sheet and what each ratio tells the reader</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_Rpt124 \h </w:instrText>
            </w:r>
            <w:r>
              <w:rPr>
                <w:sz w:val="20"/>
              </w:rPr>
              <w:fldChar w:fldCharType="separate"/>
            </w:r>
            <w:r>
              <w:rPr>
                <w:sz w:val="20"/>
              </w:rPr>
              <w:t>58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dashboard (selected years)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_Rpt126 \h </w:instrText>
            </w:r>
            <w:r>
              <w:rPr>
                <w:sz w:val="20"/>
              </w:rPr>
              <w:fldChar w:fldCharType="separate"/>
            </w:r>
            <w:r>
              <w:rPr>
                <w:sz w:val="20"/>
              </w:rPr>
              <w:t>58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5.14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Profitability, liquidity and leverage series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_Rpt128 \h </w:instrText>
            </w:r>
            <w:r>
              <w:rPr>
                <w:sz w:val="20"/>
              </w:rPr>
              <w:fldChar w:fldCharType="separate"/>
            </w:r>
            <w:r>
              <w:rPr>
                <w:sz w:val="20"/>
              </w:rPr>
              <w:t>59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DuPont decomposition</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_Rpt133 \h </w:instrText>
            </w:r>
            <w:r>
              <w:rPr>
                <w:sz w:val="20"/>
              </w:rPr>
              <w:fldChar w:fldCharType="separate"/>
            </w:r>
            <w:r>
              <w:rPr>
                <w:sz w:val="20"/>
              </w:rPr>
              <w:t>61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5.16</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Scale and activity indicators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_Rpt135 \h </w:instrText>
            </w:r>
            <w:r>
              <w:rPr>
                <w:sz w:val="20"/>
              </w:rPr>
              <w:fldChar w:fldCharType="separate"/>
            </w:r>
            <w:r>
              <w:rPr>
                <w:sz w:val="20"/>
              </w:rPr>
              <w:t>61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5.17</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activity indicators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_Rpt137 \h </w:instrText>
            </w:r>
            <w:r>
              <w:rPr>
                <w:sz w:val="20"/>
              </w:rPr>
              <w:fldChar w:fldCharType="separate"/>
            </w:r>
            <w:r>
              <w:rPr>
                <w:sz w:val="20"/>
              </w:rPr>
              <w:t>62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5.18</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FY27 operating metrics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_Rpt139 \h </w:instrText>
            </w:r>
            <w:r>
              <w:rPr>
                <w:sz w:val="20"/>
              </w:rPr>
              <w:fldChar w:fldCharType="separate"/>
            </w:r>
            <w:r>
              <w:rPr>
                <w:sz w:val="20"/>
              </w:rPr>
              <w:t>63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5.19</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to platform GTV proxy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_Rpt141 \h </w:instrText>
            </w:r>
            <w:r>
              <w:rPr>
                <w:sz w:val="20"/>
              </w:rPr>
              <w:fldChar w:fldCharType="separate"/>
            </w:r>
            <w:r>
              <w:rPr>
                <w:sz w:val="20"/>
              </w:rPr>
              <w:t>64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5.20</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Suggested quarterly monitoring dashboard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_Rpt143 \h </w:instrText>
            </w:r>
            <w:r>
              <w:rPr>
                <w:sz w:val="20"/>
              </w:rPr>
              <w:fldChar w:fldCharType="separate"/>
            </w:r>
            <w:r>
              <w:rPr>
                <w:sz w:val="20"/>
              </w:rPr>
              <w:t>65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5.21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Peer-comparison readiness checklist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_Rpt145 \h </w:instrText>
            </w:r>
            <w:r>
              <w:rPr>
                <w:sz w:val="20"/>
              </w:rPr>
              <w:fldChar w:fldCharType="separate"/>
            </w:r>
            <w:r>
              <w:rPr>
                <w:sz w:val="20"/>
              </w:rPr>
              <w:t>65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Qualitative peer set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_Rpt147 \h </w:instrText>
            </w:r>
            <w:r>
              <w:rPr>
                <w:sz w:val="20"/>
              </w:rPr>
              <w:fldChar w:fldCharType="separate"/>
            </w:r>
            <w:r>
              <w:rPr>
                <w:sz w:val="20"/>
              </w:rPr>
              <w:t>66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5.23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valuation snapshot as at 1 October 2026</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_Rpt149 \h </w:instrText>
            </w:r>
            <w:r>
              <w:rPr>
                <w:sz w:val="20"/>
              </w:rPr>
              <w:fldChar w:fldCharType="separate"/>
            </w:r>
            <w:r>
              <w:rPr>
                <w:sz w:val="20"/>
              </w:rPr>
              <w:t>66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justified price-to-book sensitivity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_Rpt151 \h </w:instrText>
            </w:r>
            <w:r>
              <w:rPr>
                <w:sz w:val="20"/>
              </w:rPr>
              <w:fldChar w:fldCharType="separate"/>
            </w:r>
            <w:r>
              <w:rPr>
                <w:sz w:val="20"/>
              </w:rPr>
              <w:t>67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5.25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equity value and per-share sensitivity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_Rpt153 \h </w:instrText>
            </w:r>
            <w:r>
              <w:rPr>
                <w:sz w:val="20"/>
              </w:rPr>
              <w:fldChar w:fldCharType="separate"/>
            </w:r>
            <w:r>
              <w:rPr>
                <w:sz w:val="20"/>
              </w:rPr>
              <w:t>68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5.26</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Listed-market reference points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_Rpt157 \h </w:instrText>
            </w:r>
            <w:r>
              <w:rPr>
                <w:sz w:val="20"/>
              </w:rPr>
              <w:fldChar w:fldCharType="separate"/>
            </w:r>
            <w:r>
              <w:rPr>
                <w:sz w:val="20"/>
              </w:rPr>
              <w:t>69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5.27</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Dated price and valuation observations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_Rpt158 \h </w:instrText>
            </w:r>
            <w:r>
              <w:rPr>
                <w:sz w:val="20"/>
              </w:rPr>
              <w:fldChar w:fldCharType="separate"/>
            </w:r>
            <w:r>
              <w:rPr>
                <w:sz w:val="20"/>
              </w:rPr>
              <w:t>69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5.28</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Technical indicators: status in this study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_Rpt160 \h </w:instrText>
            </w:r>
            <w:r>
              <w:rPr>
                <w:sz w:val="20"/>
              </w:rPr>
              <w:fldChar w:fldCharType="separate"/>
            </w:r>
            <w:r>
              <w:rPr>
                <w:sz w:val="20"/>
              </w:rPr>
              <w:t>70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5.29</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Risk register (qualitative likelihood and impact ratings)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_Rpt162 \h </w:instrText>
            </w:r>
            <w:r>
              <w:rPr>
                <w:sz w:val="20"/>
              </w:rPr>
              <w:fldChar w:fldCharType="separate"/>
            </w:r>
            <w:r>
              <w:rPr>
                <w:sz w:val="20"/>
              </w:rPr>
              <w:t>71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5.30</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Indicators to track each quarter</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_Rpt164 \h </w:instrText>
            </w:r>
            <w:r>
              <w:rPr>
                <w:sz w:val="20"/>
              </w:rPr>
              <w:fldChar w:fldCharType="separate"/>
            </w:r>
            <w:r>
              <w:rPr>
                <w:sz w:val="20"/>
              </w:rPr>
              <w:t>71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5.31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Potential metrics for future disclosure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_Rpt166 \h </w:instrText>
            </w:r>
            <w:r>
              <w:rPr>
                <w:sz w:val="20"/>
              </w:rPr>
              <w:fldChar w:fldCharType="separate"/>
            </w:r>
            <w:r>
              <w:rPr>
                <w:sz w:val="20"/>
              </w:rPr>
              <w:t>72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5.32</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Example evidence labels used in this report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_Rpt168 \h </w:instrText>
            </w:r>
            <w:r>
              <w:rPr>
                <w:sz w:val="20"/>
              </w:rPr>
              <w:fldChar w:fldCharType="separate"/>
            </w:r>
            <w:r>
              <w:rPr>
                <w:sz w:val="20"/>
              </w:rPr>
              <w:t>73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5.33</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Common-size statement of profit and loss, FY26</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_Rpt170 \h </w:instrText>
            </w:r>
            <w:r>
              <w:rPr>
                <w:sz w:val="20"/>
              </w:rPr>
              <w:fldChar w:fldCharType="separate"/>
            </w:r>
            <w:r>
              <w:rPr>
                <w:sz w:val="20"/>
              </w:rPr>
              <w:t>74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5.34</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Trend indices for revenue and gross transaction value, FY23 = 100</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_Rpt172 \h </w:instrText>
            </w:r>
            <w:r>
              <w:rPr>
                <w:sz w:val="20"/>
              </w:rPr>
              <w:fldChar w:fldCharType="separate"/>
            </w:r>
            <w:r>
              <w:rPr>
                <w:sz w:val="20"/>
              </w:rPr>
              <w:t>74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5.35</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Summary of analytical findings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_Rpt174 \h </w:instrText>
            </w:r>
            <w:r>
              <w:rPr>
                <w:sz w:val="20"/>
              </w:rPr>
              <w:fldChar w:fldCharType="separate"/>
            </w:r>
            <w:r>
              <w:rPr>
                <w:sz w:val="20"/>
              </w:rPr>
              <w:t>75</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6.1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Key findings at a glance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_Rpt177 \h </w:instrText>
            </w:r>
            <w:r>
              <w:rPr>
                <w:sz w:val="20"/>
              </w:rPr>
              <w:fldChar w:fldCharType="separate"/>
            </w:r>
            <w:r>
              <w:rPr>
                <w:sz w:val="20"/>
              </w:rPr>
              <w:t>76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6.2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Propositions tested and outcomes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_Rpt180 \h </w:instrText>
            </w:r>
            <w:r>
              <w:rPr>
                <w:sz w:val="20"/>
              </w:rPr>
              <w:fldChar w:fldCharType="separate"/>
            </w:r>
            <w:r>
              <w:rPr>
                <w:sz w:val="20"/>
              </w:rPr>
              <w:t>77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6.3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Investment thesis worksheet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_Rpt182 \h </w:instrText>
            </w:r>
            <w:r>
              <w:rPr>
                <w:sz w:val="20"/>
              </w:rPr>
              <w:fldChar w:fldCharType="separate"/>
            </w:r>
            <w:r>
              <w:rPr>
                <w:sz w:val="20"/>
              </w:rPr>
              <w:t>77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6.4</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Research view dashboard</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_Rpt184 \h </w:instrText>
            </w:r>
            <w:r>
              <w:rPr>
                <w:sz w:val="20"/>
              </w:rPr>
              <w:fldChar w:fldCharType="separate"/>
            </w:r>
            <w:r>
              <w:rPr>
                <w:sz w:val="20"/>
              </w:rPr>
              <w:t>78</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7.1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How each limitation constrains a specific conclusion</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_Rpt196 \h </w:instrText>
            </w:r>
            <w:r>
              <w:rPr>
                <w:sz w:val="20"/>
              </w:rPr>
              <w:fldChar w:fldCharType="separate"/>
            </w:r>
            <w:r>
              <w:rPr>
                <w:sz w:val="20"/>
              </w:rPr>
              <w:t>82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7.2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Directions for future research arising from this study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_Rpt198 \h </w:instrText>
            </w:r>
            <w:r>
              <w:rPr>
                <w:sz w:val="20"/>
              </w:rPr>
              <w:fldChar w:fldCharType="separate"/>
            </w:r>
            <w:r>
              <w:rPr>
                <w:sz w:val="20"/>
              </w:rPr>
              <w:t>83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A.1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Core financial series (₹ crore unless stated)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_Rpt201 \h </w:instrText>
            </w:r>
            <w:r>
              <w:rPr>
                <w:sz w:val="20"/>
              </w:rPr>
              <w:fldChar w:fldCharType="separate"/>
            </w:r>
            <w:r>
              <w:rPr>
                <w:sz w:val="20"/>
              </w:rPr>
              <w:t>87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A.2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balance-sheet and cash-flow snapshot (₹ crore)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_Rpt202 \h </w:instrText>
            </w:r>
            <w:r>
              <w:rPr>
                <w:sz w:val="20"/>
              </w:rPr>
              <w:fldChar w:fldCharType="separate"/>
            </w:r>
            <w:r>
              <w:rPr>
                <w:sz w:val="20"/>
              </w:rPr>
              <w:t>87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A.3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Q1 FY27 interim snapshot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_Rpt203 \h </w:instrText>
            </w:r>
            <w:r>
              <w:rPr>
                <w:sz w:val="20"/>
              </w:rPr>
              <w:fldChar w:fldCharType="separate"/>
            </w:r>
            <w:r>
              <w:rPr>
                <w:sz w:val="20"/>
              </w:rPr>
              <w:t>87</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B.1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Formula reference with worked illustrations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_Rpt205 \h </w:instrText>
            </w:r>
            <w:r>
              <w:rPr>
                <w:sz w:val="20"/>
              </w:rPr>
              <w:fldChar w:fldCharType="separate"/>
            </w:r>
            <w:r>
              <w:rPr>
                <w:sz w:val="20"/>
              </w:rPr>
              <w:t>89</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C.1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Key terms used in this report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_Rpt207 \h </w:instrText>
            </w:r>
            <w:r>
              <w:rPr>
                <w:sz w:val="20"/>
              </w:rPr>
              <w:fldChar w:fldCharType="separate"/>
            </w:r>
            <w:r>
              <w:rPr>
                <w:sz w:val="20"/>
              </w:rPr>
              <w:t>90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D.1</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Abbreviations used in this report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_Rpt209 \h </w:instrText>
            </w:r>
            <w:r>
              <w:rPr>
                <w:sz w:val="20"/>
              </w:rPr>
              <w:fldChar w:fldCharType="separate"/>
            </w:r>
            <w:r>
              <w:rPr>
                <w:sz w:val="20"/>
              </w:rPr>
              <w:t>91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E.1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revenue by platform (₹ crore, rounded)</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_Rpt211 \h </w:instrText>
            </w:r>
            <w:r>
              <w:rPr>
                <w:sz w:val="20"/>
              </w:rPr>
              <w:fldChar w:fldCharType="separate"/>
            </w:r>
            <w:r>
              <w:rPr>
                <w:sz w:val="20"/>
              </w:rPr>
              <w:t>93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E.2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margin and profit indicators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_Rpt212 \h </w:instrText>
            </w:r>
            <w:r>
              <w:rPr>
                <w:sz w:val="20"/>
              </w:rPr>
              <w:fldChar w:fldCharType="separate"/>
            </w:r>
            <w:r>
              <w:rPr>
                <w:sz w:val="20"/>
              </w:rPr>
              <w:t>93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E.3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activity indicators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_Rpt213 \h </w:instrText>
            </w:r>
            <w:r>
              <w:rPr>
                <w:sz w:val="20"/>
              </w:rPr>
              <w:fldChar w:fldCharType="separate"/>
            </w:r>
            <w:r>
              <w:rPr>
                <w:sz w:val="20"/>
              </w:rPr>
              <w:t>94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E.4</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Public payment-system indicators</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_Rpt214 \h </w:instrText>
            </w:r>
            <w:r>
              <w:rPr>
                <w:sz w:val="20"/>
              </w:rPr>
              <w:fldChar w:fldCharType="separate"/>
            </w:r>
            <w:r>
              <w:rPr>
                <w:sz w:val="20"/>
              </w:rPr>
              <w:t>94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Table E.5</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to platform GTV proxy</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_Rpt215 \h </w:instrText>
            </w:r>
            <w:r>
              <w:rPr>
                <w:sz w:val="20"/>
              </w:rPr>
              <w:fldChar w:fldCharType="separate"/>
            </w:r>
            <w:r>
              <w:rPr>
                <w:sz w:val="20"/>
              </w:rPr>
              <w:t>94</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Table E.6</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Illustrative equity value and per-share sensitivity</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_Rpt216 \h </w:instrText>
            </w:r>
            <w:r>
              <w:rPr>
                <w:sz w:val="20"/>
              </w:rPr>
              <w:fldChar w:fldCharType="separate"/>
            </w:r>
            <w:r>
              <w:rPr>
                <w:sz w:val="20"/>
              </w:rPr>
              <w:t>94</w:t>
            </w:r>
            <w:r>
              <w:rPr>
                <w:sz w:val="20"/>
              </w:rPr>
              <w:fldChar w:fldCharType="end"/>
            </w:r>
          </w:p>
        </w:tc>
      </w:tr>
    </w:tbl>
    <w:p w:rsidR="005F2FC4" w:rsidRDefault="00000000">
      <w:pPr>
        <w:pageBreakBefore/>
        <w:keepNext/>
        <w:spacing w:before="120" w:after="160" w:line="240" w:lineRule="auto"/>
        <w:jc w:val="center"/>
      </w:pPr>
      <w:r>
        <w:rPr>
          <w:b/>
          <w:bCs/>
          <w:sz w:val="28"/>
          <w:szCs w:val="28"/>
        </w:rPr>
        <w:t xml:space="preserve">LIST OF FIGURES</w:t>
      </w:r>
    </w:p>
    <w:tbl>
      <w:tblPr>
        <w:tblW w:w="0" w:type="auto"/>
        <w:jc w:val="center"/>
        <w:tblLayout w:type="fixed"/>
        <w:tblLook w:val="04A0" w:firstRow="1" w:lastRow="0" w:firstColumn="1" w:lastColumn="0" w:noHBand="0" w:noVBand="1"/>
      </w:tblPr>
      <w:tblGrid>
        <w:gridCol w:w="1250"/>
        <w:gridCol w:w="7186"/>
        <w:gridCol w:w="1500"/>
      </w:tblGrid>
      <w:tr w:rsidR="005F2FC4">
        <w:trPr>
          <w:cantSplit/>
          <w:tblHeader/>
          <w:jc w:val="center"/>
        </w:trPr>
        <w:tc>
          <w:tcPr>
            <w:tcW w:w="125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FIGURE NO.</w:t>
            </w:r>
          </w:p>
        </w:tc>
        <w:tc>
          <w:tcPr>
            <w:tcW w:w="71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TITLE</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PAGE NO.</w:t>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Figure 4.1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Conceptual Pine Labs platform and value flow</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_Rpt76 \h </w:instrText>
            </w:r>
            <w:r>
              <w:rPr>
                <w:sz w:val="20"/>
              </w:rPr>
              <w:fldChar w:fldCharType="separate"/>
            </w:r>
            <w:r>
              <w:rPr>
                <w:sz w:val="20"/>
              </w:rPr>
              <w:t>41</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Figure 4.2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Annual revenue by segment</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_Rpt81 \h </w:instrText>
            </w:r>
            <w:r>
              <w:rPr>
                <w:sz w:val="20"/>
              </w:rPr>
              <w:fldChar w:fldCharType="separate"/>
            </w:r>
            <w:r>
              <w:rPr>
                <w:sz w:val="20"/>
              </w:rPr>
              <w:t>43</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Figure 5.1</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growth and reported PAT</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_Rpt103 \h </w:instrText>
            </w:r>
            <w:r>
              <w:rPr>
                <w:sz w:val="20"/>
              </w:rPr>
              <w:fldChar w:fldCharType="separate"/>
            </w:r>
            <w:r>
              <w:rPr>
                <w:sz w:val="20"/>
              </w:rPr>
              <w:t>50</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Figure 5.2</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cash flow has improved but remains period-sensitive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_Rpt119 \h </w:instrText>
            </w:r>
            <w:r>
              <w:rPr>
                <w:sz w:val="20"/>
              </w:rPr>
              <w:fldChar w:fldCharType="separate"/>
            </w:r>
            <w:r>
              <w:rPr>
                <w:sz w:val="20"/>
              </w:rPr>
              <w:t>56</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Figure 5.3</w:t>
            </w:r>
          </w:p>
        </w:tc>
        <w:tc>
          <w:tcPr>
            <w:tcW w:w="71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Platform GTV increased faster than recognised revenue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_Rpt136 \h </w:instrText>
            </w:r>
            <w:r>
              <w:rPr>
                <w:sz w:val="20"/>
              </w:rPr>
              <w:fldChar w:fldCharType="separate"/>
            </w:r>
            <w:r>
              <w:rPr>
                <w:sz w:val="20"/>
              </w:rPr>
              <w:t>62</w:t>
            </w:r>
            <w:r>
              <w:rPr>
                <w:sz w:val="20"/>
              </w:rPr>
              <w:fldChar w:fldCharType="end"/>
            </w:r>
          </w:p>
        </w:tc>
      </w:tr>
      <w:tr w:rsidR="005F2FC4">
        <w:trPr>
          <w:cantSplit/>
          <w:jc w:val="center"/>
        </w:trPr>
        <w:tc>
          <w:tcPr>
            <w:tcW w:w="125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Figure 5.4</w:t>
            </w:r>
          </w:p>
        </w:tc>
        <w:tc>
          <w:tcPr>
            <w:tcW w:w="71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BSE price range and IPO issue-price reference</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fldChar w:fldCharType="begin"/>
            </w:r>
            <w:r>
              <w:rPr>
                <w:sz w:val="20"/>
              </w:rPr>
              <w:instrText xml:space="preserve"> PAGEREF _Rpt156 \h </w:instrText>
            </w:r>
            <w:r>
              <w:rPr>
                <w:sz w:val="20"/>
              </w:rPr>
              <w:fldChar w:fldCharType="separate"/>
            </w:r>
            <w:r>
              <w:rPr>
                <w:sz w:val="20"/>
              </w:rPr>
              <w:t>69</w:t>
            </w:r>
            <w:r>
              <w:rPr>
                <w:sz w:val="20"/>
              </w:rPr>
              <w:fldChar w:fldCharType="end"/>
            </w:r>
          </w:p>
        </w:tc>
      </w:tr>
    </w:tbl>
    <w:p w:rsidR="005F2FC4" w:rsidRDefault="00000000">
      <w:pPr>
        <w:pageBreakBefore/>
        <w:spacing w:before="200" w:after="360" w:line="240" w:lineRule="auto"/>
        <w:jc w:val="center"/>
      </w:pPr>
      <w:r>
        <w:rPr>
          <w:b/>
          <w:bCs/>
          <w:sz w:val="28"/>
          <w:szCs w:val="28"/>
          <w:u w:val="single"/>
        </w:rPr>
        <w:lastRenderedPageBreak/>
        <w:t>READING AND DATA CONVENTIONS</w:t>
      </w:r>
    </w:p>
    <w:p w:rsidR="005F2FC4" w:rsidRDefault="00000000">
      <w:pPr>
        <w:pStyle w:val="ListBullet"/>
        <w:spacing w:after="50"/>
        <w:ind w:left="317" w:hanging="202"/>
      </w:pPr>
      <w:r>
        <w:t>₹ crore unless otherwise indicated; FY ends 31 March. Lakh crore means ₹1,00,000 crore. Percentages and multiples are rounded for readability.</w:t>
      </w:r>
    </w:p>
    <w:p w:rsidR="005F2FC4" w:rsidRDefault="00000000">
      <w:pPr>
        <w:pStyle w:val="ListBullet"/>
        <w:spacing w:after="50"/>
        <w:ind w:left="317" w:hanging="202"/>
      </w:pPr>
      <w:r>
        <w:t>“Reported” refers to audited or interim financial statements. Adjusted EBITDA, contribution margin and operating KPIs are company-defined disclosures; author calculations are explicitly labelled.</w:t>
      </w:r>
    </w:p>
    <w:p w:rsidR="005F2FC4" w:rsidRDefault="00000000">
      <w:pPr>
        <w:pStyle w:val="ListBullet"/>
        <w:spacing w:after="50"/>
        <w:ind w:left="317" w:hanging="202"/>
      </w:pPr>
      <w:r>
        <w:t>The analysis cut-off is 3 October 2026; the market-price snapshot uses the 1 October 2026 BSE close. The latest financial period used is Q1 FY27 (quarter ended 30 June 2026).</w:t>
      </w:r>
    </w:p>
    <w:p w:rsidR="005F2FC4" w:rsidRDefault="00000000">
      <w:pPr>
        <w:pStyle w:val="ListBullet"/>
        <w:spacing w:after="50"/>
        <w:ind w:left="317" w:hanging="202"/>
      </w:pPr>
      <w:r>
        <w:t>The GitHub repository supplied by the student is cited as a source location for primary company documents, not as an independent validator of those documents. The company’s investor-relations page is also cited. [12,13]</w:t>
      </w:r>
    </w:p>
    <w:p w:rsidR="005F2FC4" w:rsidRDefault="005F2FC4">
      <w:pPr>
        <w:sectPr w:rsidR="005F2FC4">
          <w:footerReference w:type="default" r:id="rId11"/>
          <w:pgSz w:w="11909" w:h="16834"/>
          <w:pgMar w:top="1250" w:right="907" w:bottom="1300" w:left="907" w:header="475" w:footer="900" w:gutter="0"/>
          <w:pgBorders w:offsetFrom="page">
            <w:top w:val="thickThinSmallGap" w:sz="18" w:space="24" w:color="000000"/>
            <w:left w:val="thickThinSmallGap" w:sz="18" w:space="24" w:color="000000"/>
            <w:bottom w:val="thinThickSmallGap" w:sz="18" w:space="24" w:color="000000"/>
            <w:right w:val="thinThickSmallGap" w:sz="18" w:space="24" w:color="000000"/>
          </w:pgBorders>
          <w:pgNumType w:start="1"/>
          <w:cols w:space="720"/>
          <w:docGrid w:linePitch="360"/>
        </w:sectPr>
      </w:pPr>
    </w:p>
    <w:p w:rsidR="005F2FC4" w:rsidRDefault="00000000">
      <w:pPr>
        <w:pageBreakBefore/>
        <w:keepNext/>
        <w:spacing w:before="120" w:after="160" w:line="240" w:lineRule="auto"/>
        <w:jc w:val="center"/>
      </w:pPr>
      <w:bookmarkStart w:id="5001" w:name="_Rpt1"/>
      <w:r>
        <w:rPr>
          <w:b/>
          <w:bCs/>
          <w:sz w:val="28"/>
          <w:szCs w:val="28"/>
        </w:rPr>
        <w:t xml:space="preserve">CHAPTER 1</w:t>
      </w:r>
      <w:bookmarkEnd w:id="5001"/>
    </w:p>
    <w:p w:rsidR="005F2FC4" w:rsidRDefault="00000000">
      <w:pPr>
        <w:pStyle w:val="Heading1"/>
      </w:pPr>
      <w:r>
        <w:t xml:space="preserve">Introduction and Research Design</w:t>
      </w:r>
    </w:p>
    <w:p w:rsidR="005F2FC4" w:rsidRDefault="00000000">
      <w:pPr>
        <w:spacing w:after="160"/>
      </w:pPr>
      <w:r>
        <w:rPr>
          <w:i/>
          <w:sz w:val="20"/>
        </w:rPr>
        <w:t xml:space="preserve">Need, objectives, scope, key concepts, methodology and the limits of a secondary-data study</w:t>
      </w:r>
    </w:p>
    <w:p w:rsidR="005F2FC4" w:rsidRDefault="00000000">
      <w:pPr>
        <w:pStyle w:val="Heading2"/>
      </w:pPr>
      <w:bookmarkStart w:id="5002" w:name="_Rpt2"/>
      <w:r>
        <w:t xml:space="preserve">1.1 Introduction to the study</w:t>
      </w:r>
      <w:bookmarkEnd w:id="5002"/>
    </w:p>
    <w:p w:rsidR="005F2FC4" w:rsidRDefault="00000000">
      <w:pPr>
        <w:jc w:val="both"/>
      </w:pPr>
      <w:r>
        <w:t xml:space="preserve">A summer internship report in finance is expected to do two things at once. It must describe the organisation in which the internship was served, and it must demonstrate that the student can carry out a disciplined piece of applied financial research. This report does both. The internship was served at Rosy Blue Securities Pvt. Ltd., a SEBI-registered stock broker, in the dual roles of Dealer and Analyst. The research exercise applies the Economy–Industry–Company (EIC) method learned on that desk to a single listed case company, Pine Labs Limited, using only publicly available documents.</w:t>
      </w:r>
    </w:p>
    <w:p w:rsidR="005F2FC4" w:rsidRDefault="00000000">
      <w:pPr>
        <w:jc w:val="both"/>
      </w:pPr>
      <w:r>
        <w:t xml:space="preserve">Pine Labs was selected because it is a rare example of a large Indian commerce-technology platform that listed recently, publishes a detailed key-performance-indicator (KPI) data book alongside its statutory statements, and reached its first year of positive reported profit after a multi-year loss record. That combination makes it an unusually instructive teaching case: the student must reconcile audited numbers with company-defined measures, must separate transaction volume from recognised revenue, and must form a view in the absence of a long public track record.</w:t>
      </w:r>
    </w:p>
    <w:p w:rsidR="005F2FC4" w:rsidRDefault="00000000">
      <w:pPr>
        <w:jc w:val="both"/>
      </w:pPr>
      <w:r>
        <w:t xml:space="preserve">The report is organised so that the reader moves from context to evidence and only then to judgement. Chapter 1 sets out the research design. Chapter 2 describes the host organisation and the job performed. Chapter 3 builds the theoretical and industry framework. Chapter 4 profiles the case company and its business model. Chapter 5 presents the analysis and interpretation of financial and operating data. Chapter 6 states the findings, suggestions and conclusion, and Chapter 7 records the limitations of the study. References and six annexures follow.</w:t>
      </w:r>
    </w:p>
    <w:p w:rsidR="005F2FC4" w:rsidRDefault="00000000">
      <w:pPr>
        <w:pStyle w:val="Heading2"/>
      </w:pPr>
      <w:bookmarkStart w:id="5003" w:name="_Rpt3"/>
      <w:r>
        <w:t xml:space="preserve">1.2 Need of the study</w:t>
      </w:r>
      <w:bookmarkEnd w:id="5003"/>
    </w:p>
    <w:p w:rsidR="005F2FC4" w:rsidRDefault="00000000">
      <w:pPr>
        <w:jc w:val="both"/>
      </w:pPr>
      <w:r>
        <w:t xml:space="preserve">Fintech combines software, data, communications and regulated financial infrastructure to deliver or support payments, credit, savings, insurance and other financial services. Pine Labs is studied here through the merchant-commerce and payment-infrastructure lens: it supplies technology that allows in-store and online acceptance, transaction routing and processing, merchant affordability offers, prepaid programmes and financial APIs. This positioning makes it a useful case for examining how a platform can scale transaction volume without recognizing the full transaction value as revenue.</w:t>
      </w:r>
    </w:p>
    <w:p w:rsidR="005F2FC4" w:rsidRDefault="00000000">
      <w:pPr>
        <w:jc w:val="both"/>
      </w:pPr>
      <w:r>
        <w:t xml:space="preserve">India’s digital-payment system is shaped by public rails, private networks, banks, fintechs and merchant technology providers. The Reserve Bank of India (RBI) reports rapid growth in payment volume and value over 2016–2025; NPCI’s UPI statistics show continuing scale through 2026. Such growth expands the addressable ecosystem, but does not guarantee high fee income for every participant. Economics depend on the specific role in the chain, the contractual fee, product mix, settlement exposure, customer acquisition cost and operating efficiency. [9,10]</w:t>
      </w:r>
    </w:p>
    <w:p w:rsidR="005F2FC4" w:rsidRDefault="00000000">
      <w:pPr>
        <w:jc w:val="both"/>
      </w:pPr>
      <w:r>
        <w:t xml:space="preserve">There is a further, narrower need. Most student reports on payment companies stop at describing transaction growth. Very few test whether that growth is converted into recognised revenue, contribution, profit and cash. Pine Labs makes this testable because it publishes both a gross transaction value (GTV) series and a statutory revenue series. Studying the gap between the two is the analytical core of this report and is the reason the study was undertaken in this form.</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need for the study arises from three gaps. First, India’s digital-payment system has grown faster than the published academic literature on the firms that operate inside it. Second, a newly listed platform company cannot be judged by the conventional five-year-track-record method, so a method has to be adapted. Third, platform companies report a mixture of audited figures and company-defined measures, and students are rarely taught to separate the two. This report is designed to close those three gaps on a single, well-documented case.</w:t>
            </w:r>
          </w:p>
        </w:tc>
      </w:tr>
    </w:tbl>
    <w:p w:rsidR="005F2FC4" w:rsidRDefault="00000000">
      <w:pPr>
        <w:pStyle w:val="Heading2"/>
      </w:pPr>
      <w:bookmarkStart w:id="5004" w:name="_Rpt4"/>
      <w:r>
        <w:t xml:space="preserve">1.3 Objectives of the study</w:t>
      </w:r>
      <w:bookmarkEnd w:id="5004"/>
    </w:p>
    <w:p w:rsidR="005F2FC4" w:rsidRDefault="00000000">
      <w:pPr>
        <w:jc w:val="both"/>
      </w:pPr>
      <w:r>
        <w:t xml:space="preserve">The study combines business-model analysis, industry structure, audited and restated financial information, interim operating indicators, ratio analysis, risk review and a dated valuation snapshot. The objectives are to:</w:t>
      </w:r>
    </w:p>
    <w:p w:rsidR="005F2FC4" w:rsidRDefault="00000000">
      <w:pPr>
        <w:pStyle w:val="ListBullet"/>
        <w:spacing w:after="50"/>
        <w:ind w:left="317" w:hanging="202"/>
        <w:jc w:val="both"/>
      </w:pPr>
      <w:r>
        <w:t xml:space="preserve">Explain Pine Labs’ two-platform operating model, customer groups and disclosed sources of monetization.</w:t>
      </w:r>
    </w:p>
    <w:p w:rsidR="005F2FC4" w:rsidRDefault="00000000">
      <w:pPr>
        <w:pStyle w:val="ListBullet"/>
        <w:spacing w:after="50"/>
        <w:ind w:left="317" w:hanging="202"/>
        <w:jc w:val="both"/>
      </w:pPr>
      <w:r>
        <w:t xml:space="preserve">Assess the Indian payment and fintech context relevant to merchant acceptance, issuing, affordability and infrastructure.</w:t>
      </w:r>
    </w:p>
    <w:p w:rsidR="005F2FC4" w:rsidRDefault="00000000">
      <w:pPr>
        <w:pStyle w:val="ListBullet"/>
        <w:spacing w:after="50"/>
        <w:ind w:left="317" w:hanging="202"/>
        <w:jc w:val="both"/>
      </w:pPr>
      <w:r>
        <w:t xml:space="preserve">Track consolidated revenue, profitability, balance-sheet funding and cash flow for FY23–FY26, with a Q1 FY27 update.</w:t>
      </w:r>
    </w:p>
    <w:p w:rsidR="005F2FC4" w:rsidRDefault="00000000">
      <w:pPr>
        <w:pStyle w:val="ListBullet"/>
        <w:spacing w:after="50"/>
        <w:ind w:left="317" w:hanging="202"/>
        <w:jc w:val="both"/>
      </w:pPr>
      <w:r>
        <w:t xml:space="preserve">Interpret company KPIs such as GTV, transactions, merchants, DCPs and prepaid cards without equating volume with revenue.</w:t>
      </w:r>
    </w:p>
    <w:p w:rsidR="005F2FC4" w:rsidRDefault="00000000">
      <w:pPr>
        <w:pStyle w:val="ListBullet"/>
        <w:spacing w:after="50"/>
        <w:ind w:left="317" w:hanging="202"/>
        <w:jc w:val="both"/>
      </w:pPr>
      <w:r>
        <w:t xml:space="preserve">Evaluate strategic, regulatory, operational, governance and ESG risks and compare Pine Labs qualitatively with selected peers.</w:t>
      </w:r>
    </w:p>
    <w:p w:rsidR="005F2FC4" w:rsidRDefault="00000000">
      <w:pPr>
        <w:pStyle w:val="ListBullet"/>
        <w:spacing w:after="50"/>
        <w:ind w:left="317" w:hanging="202"/>
        <w:jc w:val="both"/>
      </w:pPr>
      <w:r>
        <w:t xml:space="preserve">Estimate selected valuation multiples using a clearly dated market price and explicitly stated assumptions.</w:t>
      </w:r>
    </w:p>
    <w:p w:rsidR="005F2FC4" w:rsidRDefault="00000000">
      <w:pPr>
        <w:jc w:val="both"/>
      </w:pPr>
      <w:r>
        <w:t xml:space="preserve">Each objective is matched to a specific method and a specific section of this report. The mapping is given in Table 1.4 so that the reader can verify that every stated objective is actually discharged somewhere in the document rather than merely asserted in the introduction.</w:t>
      </w:r>
    </w:p>
    <w:p w:rsidR="005F2FC4" w:rsidRDefault="00000000">
      <w:pPr>
        <w:keepNext/>
        <w:spacing w:before="80" w:after="60"/>
      </w:pPr>
      <w:bookmarkStart w:id="5005" w:name="_Rpt5"/>
      <w:r>
        <w:rPr>
          <w:b/>
          <w:sz w:val="20"/>
        </w:rPr>
        <w:t xml:space="preserve">Table 1.1. Mapping of objectives to methods and report sections</w:t>
      </w:r>
      <w:bookmarkEnd w:id="5005"/>
    </w:p>
    <w:tbl>
      <w:tblPr>
        <w:tblW w:w="0" w:type="auto"/>
        <w:jc w:val="center"/>
        <w:tblLayout w:type="fixed"/>
        <w:tblLook w:val="04A0" w:firstRow="1" w:lastRow="0" w:firstColumn="1" w:lastColumn="0" w:noHBand="0" w:noVBand="1"/>
      </w:tblPr>
      <w:tblGrid>
        <w:gridCol w:w="3100"/>
        <w:gridCol w:w="3900"/>
        <w:gridCol w:w="2936"/>
      </w:tblGrid>
      <w:tr w:rsidR="005F2FC4">
        <w:trPr>
          <w:cantSplit/>
          <w:tblHeader/>
          <w:jc w:val="center"/>
        </w:trPr>
        <w:tc>
          <w:tcPr>
            <w:tcW w:w="31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Objective</w:t>
            </w:r>
          </w:p>
        </w:tc>
        <w:tc>
          <w:tcPr>
            <w:tcW w:w="39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Method applied</w:t>
            </w:r>
          </w:p>
        </w:tc>
        <w:tc>
          <w:tcPr>
            <w:tcW w:w="2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Where discharged</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Explain the two-platform operating model and monetisation</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Descriptive study of prospectus and segment disclosures</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4.3 to 4.8</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Assess the Indian payment and fintech context</w:t>
            </w:r>
          </w:p>
        </w:tc>
        <w:tc>
          <w:tcPr>
            <w:tcW w:w="3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structure, PESTLE, Porter’s Five Forces, value-chain mapping</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 3</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Track revenue, profitability, funding and cash flow FY23–FY26</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Trend analysis, year-on-year growth, CAGR, common-size reading</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5.2 to 5.11</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Interpret company KPIs without equating volume with revenue</w:t>
            </w:r>
          </w:p>
        </w:tc>
        <w:tc>
          <w:tcPr>
            <w:tcW w:w="3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KPI tabulation and a revenue-to-GTV diagnostic</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5.19 to 5.22</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Evaluate strategic, regulatory, operational and ESG risks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Qualitative risk register with likelihood/impact rating</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5.31 to 5.33</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Estimate selected valuation multiples on a stated date</w:t>
            </w:r>
          </w:p>
        </w:tc>
        <w:tc>
          <w:tcPr>
            <w:tcW w:w="3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Dated P/E, P/S and P/B snapshot plus sensitivity tables</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5.24 to 5.28</w:t>
            </w:r>
          </w:p>
        </w:tc>
      </w:tr>
      <w:tr w:rsidR="005F2FC4">
        <w:trPr>
          <w:cantSplit/>
          <w:jc w:val="center"/>
        </w:trPr>
        <w:tc>
          <w:tcPr>
            <w:tcW w:w="31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Compare the case company with the internship host’s business model</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Conceptual business-model contrast</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 2.9</w:t>
            </w:r>
          </w:p>
        </w:tc>
      </w:tr>
    </w:tbl>
    <w:p w:rsidR="005F2FC4" w:rsidRDefault="00000000">
      <w:pPr>
        <w:spacing w:before="40" w:after="140"/>
        <w:jc w:val="both"/>
      </w:pPr>
      <w:r>
        <w:rPr>
          <w:i/>
          <w:sz w:val="20"/>
        </w:rPr>
        <w:t xml:space="preserve">Source / note: Author’s mapping. Every objective in Section 1.3 is traceable to a method and a numbered section of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mapping is included as a control, not as decoration. A common weakness in student project work is that the objectives stated in Chapter 1 are never revisited, so the reader cannot tell whether they were met. Here each of the seven objectives names the technique used to discharge it and the numbered section in which the result appears, and Section 6.3 returns to the same list to state which propositions the evidence supported, refuted or left unresolved.</w:t>
            </w:r>
          </w:p>
        </w:tc>
      </w:tr>
    </w:tbl>
    <w:p w:rsidR="005F2FC4" w:rsidRDefault="00000000">
      <w:pPr>
        <w:pStyle w:val="Heading2"/>
      </w:pPr>
      <w:bookmarkStart w:id="5006" w:name="_Rpt6"/>
      <w:r>
        <w:t xml:space="preserve">1.4 Scope of the study</w:t>
      </w:r>
      <w:bookmarkEnd w:id="5006"/>
    </w:p>
    <w:p w:rsidR="005F2FC4" w:rsidRDefault="00000000">
      <w:pPr>
        <w:jc w:val="both"/>
      </w:pPr>
      <w:r>
        <w:t xml:space="preserve">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rsidR="005F2FC4" w:rsidRDefault="00000000">
      <w:pPr>
        <w:jc w:val="both"/>
      </w:pPr>
      <w:r>
        <w:t xml:space="preserve">The scope is deliberately bounded in four ways. In terms of entity, the study covers Pine Labs Limited and the subsidiaries consolidated into its reported results; it does not analyse individual subsidiaries, joint arrangements or overseas legal entities separately. In terms of period, the annual window is FY23 to FY26 with a single interim update for Q1 FY27 (quarter ended 30 June 2026). In terms of data, only secondary, publicly available documents are used. In terms of output, the report produces an evidence-based research view and explicitly does not produce an investment recommendation, a price target or a discounted-cash-flow valuation.</w:t>
      </w:r>
    </w:p>
    <w:p w:rsidR="005F2FC4" w:rsidRDefault="00000000">
      <w:pPr>
        <w:jc w:val="both"/>
      </w:pPr>
      <w:r>
        <w:t xml:space="preserve">The study will be of use to management students learning company analysis, to readers who wish to understand how merchant-payment economics differ from the headline transaction numbers quoted in the press, and to the host organisation’s analyst function as a worked template for covering a newly listed technology company.</w:t>
      </w:r>
    </w:p>
    <w:p w:rsidR="005F2FC4" w:rsidRDefault="00000000">
      <w:pPr>
        <w:pStyle w:val="Heading2"/>
      </w:pPr>
      <w:bookmarkStart w:id="5007" w:name="_Rpt7"/>
      <w:r>
        <w:t xml:space="preserve">1.5 Research questions and propositions</w:t>
      </w:r>
      <w:bookmarkEnd w:id="5007"/>
    </w:p>
    <w:p w:rsidR="005F2FC4" w:rsidRDefault="00000000">
      <w:pPr>
        <w:keepNext/>
        <w:spacing w:before="80" w:after="60"/>
      </w:pPr>
      <w:bookmarkStart w:id="5008" w:name="_Rpt8"/>
      <w:r>
        <w:rPr>
          <w:b/>
          <w:sz w:val="20"/>
        </w:rPr>
        <w:t xml:space="preserve">Table 1.2. Research questions and propositions</w:t>
      </w:r>
      <w:bookmarkEnd w:id="5008"/>
    </w:p>
    <w:tbl>
      <w:tblPr>
        <w:tblW w:w="0" w:type="auto"/>
        <w:jc w:val="center"/>
        <w:tblLayout w:type="fixed"/>
        <w:tblLook w:val="04A0" w:firstRow="1" w:lastRow="0" w:firstColumn="1" w:lastColumn="0" w:noHBand="0" w:noVBand="1"/>
      </w:tblPr>
      <w:tblGrid>
        <w:gridCol w:w="2592"/>
        <w:gridCol w:w="3024"/>
        <w:gridCol w:w="4320"/>
      </w:tblGrid>
      <w:tr w:rsidR="005F2FC4">
        <w:trPr>
          <w:cantSplit/>
          <w:tblHeader/>
          <w:jc w:val="center"/>
        </w:trPr>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Question / proposition</w:t>
            </w:r>
          </w:p>
        </w:tc>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Evidence approach</w:t>
            </w:r>
          </w:p>
        </w:tc>
        <w:tc>
          <w:tcPr>
            <w:tcW w:w="43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Assessment in this report</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How does Pine Labs monetize the platform?</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Prospectus, segment disclosures, Q1/FY26 letters</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Mapped to subscriptions, transaction/value-linked, processing/distribution and disclosed float-related income.</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Does GTV growth translate one-for-one into revenue?</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FY23–FY26 GTV and revenue; calculated yield proxy</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 Volume scaled faster; revenue/GTV proxy declined, reflecting mix and measurement limits.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Is the profitability inflection durable?</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Audited FY26; interim Q1 FY27; adjusted KPIs</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improved materially; Q1 shows positive PAT but lower contribution and adjusted EBITDA margins year on year.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Has the capital structure improved?</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FY25/FY26 balance sheets and IPO disclosure</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Borrowings/equity reduced, while equity rose after listing; cash-flow classification remains important.</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Has operating cash conversion become predictable?</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 series and early-settlement disclosures</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established: FY23–FY26 CFO varies; Q1 FY27 differs sharply with/without early-settlement effects.</w:t>
            </w:r>
          </w:p>
        </w:tc>
      </w:tr>
    </w:tbl>
    <w:p w:rsidR="005F2FC4" w:rsidRDefault="00000000">
      <w:pPr>
        <w:spacing w:before="40" w:after="140"/>
        <w:jc w:val="both"/>
      </w:pPr>
      <w:r>
        <w:rPr>
          <w:i/>
          <w:sz w:val="20"/>
        </w:rPr>
        <w:t xml:space="preserve">Source / note: Propositions are analytical tests, not statistical hypotheses; the study uses secondary descriptive analysis.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five propositions are the spine of the report. Each is written so that the evidence can refute it. Proposition two, in particular, is answered in the negative: platform GTV grew roughly 3.9 times between FY23 and FY26 while revenue grew about 1.7 times, so volume growth does not translate one-for-one into revenue. Proposition five is recorded as not established, because the operating-cash-flow series reverses sign within the study window. A report that confirmed all five propositions would be a weaker piece of research than one that reports a mixed result.</w:t>
            </w:r>
          </w:p>
        </w:tc>
      </w:tr>
    </w:tbl>
    <w:p w:rsidR="005F2FC4" w:rsidRDefault="00000000">
      <w:pPr>
        <w:pStyle w:val="Heading2"/>
      </w:pPr>
      <w:bookmarkStart w:id="5009" w:name="_Rpt9"/>
      <w:r>
        <w:t xml:space="preserve">1.6 Key concepts and terminology used in this report</w:t>
      </w:r>
      <w:bookmarkEnd w:id="5009"/>
    </w:p>
    <w:p w:rsidR="005F2FC4" w:rsidRDefault="00000000">
      <w:pPr>
        <w:keepNext/>
        <w:spacing w:before="80" w:after="60"/>
      </w:pPr>
      <w:bookmarkStart w:id="5010" w:name="_Rpt10"/>
      <w:r>
        <w:rPr>
          <w:b/>
          <w:sz w:val="20"/>
        </w:rPr>
        <w:t xml:space="preserve">Table 1.3. Core terminology</w:t>
      </w:r>
      <w:bookmarkEnd w:id="5010"/>
    </w:p>
    <w:tbl>
      <w:tblPr>
        <w:tblW w:w="0" w:type="auto"/>
        <w:jc w:val="center"/>
        <w:tblLayout w:type="fixed"/>
        <w:tblLook w:val="04A0" w:firstRow="1" w:lastRow="0" w:firstColumn="1" w:lastColumn="0" w:noHBand="0" w:noVBand="1"/>
      </w:tblPr>
      <w:tblGrid>
        <w:gridCol w:w="2232"/>
        <w:gridCol w:w="7704"/>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Term</w:t>
            </w:r>
          </w:p>
        </w:tc>
        <w:tc>
          <w:tcPr>
            <w:tcW w:w="77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Working definition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Acquiring</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Merchant-facing acceptance of card or other digital-payment transactions, usually involving an acquirer, network and issuer.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Issuing / processor</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Technology and programme services that help a bank, brand or fintech issue and service payment or prepaid products.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checkout point; company KPI for an enabled acceptance location/checkout point. It is not necessarily a unique merchant.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GTV</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Gross transaction value routed, processed or serviced on the company’s platforms under its definition. It is not company revenue, cash collected or profit.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revenue less specified direct costs; a management KPI, not a statutory subtotal.</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EBITDA measure with disclosed adjustments. It is not reported PAT or operating cash flow and may exclude recurring economic costs.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Payment aggregator</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 RBI-regulated intermediary that facilitates merchant payments and settlement, subject to the relevant legal and operational framework. Pine Labs’ exact role depends on the product and entity.</w:t>
            </w:r>
          </w:p>
        </w:tc>
      </w:tr>
    </w:tbl>
    <w:p w:rsidR="005F2FC4" w:rsidRDefault="00000000">
      <w:pPr>
        <w:spacing w:before="40" w:after="140"/>
        <w:jc w:val="both"/>
      </w:pPr>
      <w:r>
        <w:rPr>
          <w:i/>
          <w:sz w:val="20"/>
        </w:rPr>
        <w:t xml:space="preserve">Source / note: Definitions are used for this project; company KPIs follow company documents. [1,3,5]</w:t>
      </w:r>
    </w:p>
    <w:p w:rsidR="005F2FC4" w:rsidRDefault="00000000">
      <w:pPr>
        <w:jc w:val="both"/>
      </w:pPr>
      <w:r>
        <w:t xml:space="preserve">Two of these definitions deserve emphasis because they are the most frequent source of error in student work on payment companies. Gross transaction value is the value routed, processed or serviced across the platform; it is not turnover, it is not revenue, and the company does not receive it. Contribution margin is a company-defined measure struck after specified direct costs; it is not gross profit as defined by any accounting standard, and its definition can be revised by the company.</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terminology table is the foundation of every number in Chapter 5. Acquiring, issuing and processing are different activities performed by different entities under different obligations; digital checkout points and merchants are different counts and must not be compared with each other; gross transaction value and revenue are different quantities measured on different bases. Where a report confuses any of these pairs, every ratio built on them inherits the error.</w:t>
            </w:r>
          </w:p>
        </w:tc>
      </w:tr>
    </w:tbl>
    <w:p w:rsidR="005F2FC4" w:rsidRDefault="00000000">
      <w:pPr>
        <w:pStyle w:val="Heading2"/>
      </w:pPr>
      <w:bookmarkStart w:id="5011" w:name="_Rpt11"/>
      <w:r>
        <w:t xml:space="preserve">1.7 Overview of the Indian digital-payments environment</w:t>
      </w:r>
      <w:bookmarkEnd w:id="5011"/>
    </w:p>
    <w:p w:rsidR="005F2FC4" w:rsidRDefault="00000000">
      <w:pPr>
        <w:jc w:val="both"/>
      </w:pPr>
      <w:r>
        <w:t xml:space="preserve">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rsidR="005F2FC4" w:rsidRDefault="00000000">
      <w:pPr>
        <w:jc w:val="both"/>
      </w:pPr>
      <w:r>
        <w:t xml:space="preserve">NPCI’s UPI statistics report monthly UPI volume of 24,508.96 million and transaction value of ₹29,82,355.95 crore for August 2026. The series is cited as an indicator of UPI scale, not as a direct addressable-market denominator for Pine Labs. [10]</w:t>
      </w:r>
    </w:p>
    <w:p w:rsidR="005F2FC4" w:rsidRDefault="00000000">
      <w:pPr>
        <w:jc w:val="both"/>
      </w:pPr>
      <w:r>
        <w:t xml:space="preserve">For the purposes of the introduction it is enough to record that the system in which the case company operates is large, is growing quickly in volume terms, and is characterised by low or zero customer-visible pricing on some of its fastest-growing rails. That combination — very high volume growth with contested per-transaction economics — is the central tension examined throughout this report. The detailed industry treatment is given in Chapter 3.</w:t>
      </w:r>
    </w:p>
    <w:p w:rsidR="005F2FC4" w:rsidRDefault="00000000">
      <w:pPr>
        <w:pStyle w:val="Heading2"/>
      </w:pPr>
      <w:bookmarkStart w:id="5012" w:name="_Rpt12"/>
      <w:r>
        <w:t xml:space="preserve">1.8 Research methodology</w:t>
      </w:r>
      <w:bookmarkEnd w:id="5012"/>
    </w:p>
    <w:p w:rsidR="005F2FC4" w:rsidRDefault="00000000">
      <w:pPr>
        <w:pStyle w:val="Heading3"/>
      </w:pPr>
      <w:r>
        <w:t xml:space="preserve">1.8.1 Research design</w:t>
      </w:r>
    </w:p>
    <w:p w:rsidR="005F2FC4" w:rsidRDefault="00000000">
      <w:pPr>
        <w:jc w:val="both"/>
      </w:pPr>
      <w:r>
        <w:t xml:space="preserve">The research design is descriptive, comparative and analytical, carried out as a single case study. The descriptive element sets out the structure of the industry, the business model of the company and the content of its disclosures. The comparative element places the company alongside qualitatively similar firms and alongside the internship host’s broking model. The analytical element recomputes growth rates, margins, ratios, a DuPont decomposition, a revenue-to-GTV diagnostic and a dated set of market multiples from the reported figures.</w:t>
      </w:r>
    </w:p>
    <w:p w:rsidR="005F2FC4" w:rsidRDefault="00000000">
      <w:pPr>
        <w:pStyle w:val="Heading3"/>
      </w:pPr>
      <w:r>
        <w:t xml:space="preserve">1.8.2 Unit of analysis and period</w:t>
      </w:r>
    </w:p>
    <w:p w:rsidR="005F2FC4" w:rsidRDefault="00000000">
      <w:pPr>
        <w:jc w:val="both"/>
      </w:pPr>
      <w:r>
        <w:t xml:space="preserve">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rsidR="005F2FC4" w:rsidRDefault="00000000">
      <w:pPr>
        <w:pStyle w:val="Heading3"/>
      </w:pPr>
      <w:r>
        <w:t xml:space="preserve">1.8.3 Data collection</w:t>
      </w:r>
    </w:p>
    <w:p w:rsidR="005F2FC4" w:rsidRDefault="00000000">
      <w:pPr>
        <w:jc w:val="both"/>
      </w:pPr>
      <w:r>
        <w:t xml:space="preserve">Primary data is data generated by the researcher at the time of research, through instruments such as interviews, questionnaires or experiments. No primary survey was conducted for this study. The case company is a listed issuer whose obligations require it to publish the information needed for the stated objectives, and an unverified interview would have weakened rather than strengthened the evidence base.</w:t>
      </w:r>
    </w:p>
    <w:p w:rsidR="005F2FC4" w:rsidRDefault="00000000">
      <w:pPr>
        <w:jc w:val="both"/>
      </w:pPr>
      <w:r>
        <w:t xml:space="preserve">Secondary data is data already collected, recorded and published by others. The study rests entirely on secondary data drawn from primary-source documents, which is the strongest available category of secondary evidence: the issuer’s own prospectus, its audited and limited-reviewed results, its KPI data books, its shareholder letters and press releases, the regulator’s published payment statistics, the national payments operator’s product statistics and the exchange’s own quote page.</w:t>
      </w:r>
    </w:p>
    <w:p w:rsidR="005F2FC4" w:rsidRDefault="00000000">
      <w:pPr>
        <w:jc w:val="both"/>
      </w:pPr>
      <w:r>
        <w:t xml:space="preserve">Sources comprise the Pine Labs prospectus, audited FY26 results and KPI workbook, Q1 FY27 results and KPI workbook, selected call excerpts / press release, RBI Payment Systems Report, NPCI UPI statistics, and BSE market data. The Pine Labs GitHub repository supplied by the student was used to locate historical primary company files; current interim documents were checked against the official investor-relations site. [1–6,8–13]</w:t>
      </w:r>
    </w:p>
    <w:p w:rsidR="005F2FC4" w:rsidRDefault="00000000">
      <w:pPr>
        <w:pStyle w:val="Heading3"/>
      </w:pPr>
      <w:r>
        <w:t xml:space="preserve">1.8.4 Tools and techniques of analysis</w:t>
      </w:r>
    </w:p>
    <w:p w:rsidR="005F2FC4" w:rsidRDefault="00000000">
      <w:pPr>
        <w:jc w:val="both"/>
      </w:pPr>
      <w:r>
        <w:t xml:space="preserve">Analytical tools include year-on-year growth, CAGR, common-size and segment analysis, liquidity and leverage ratios, ROA/ROE, DuPont decomposition, revenue-to-GTV proxy, qualitative PESTLE / Five Forces / SWOT, and a dated P/E, P/S and P/B snapshot. Formulas appear in Annexure B. Calculations are rounded; differences of ₹0.01 crore may arise from reported rounding.</w:t>
      </w:r>
    </w:p>
    <w:p w:rsidR="005F2FC4" w:rsidRDefault="00000000">
      <w:pPr>
        <w:pStyle w:val="ListBullet"/>
        <w:spacing w:after="50"/>
        <w:ind w:left="317" w:hanging="202"/>
        <w:jc w:val="both"/>
      </w:pPr>
      <w:r>
        <w:t xml:space="preserve">Trend and growth analysis: year-on-year growth and compound annual growth rate (CAGR) on revenue, profit, cash flow and operating indicators.</w:t>
      </w:r>
    </w:p>
    <w:p w:rsidR="005F2FC4" w:rsidRDefault="00000000">
      <w:pPr>
        <w:pStyle w:val="ListBullet"/>
        <w:spacing w:after="50"/>
        <w:ind w:left="317" w:hanging="202"/>
        <w:jc w:val="both"/>
      </w:pPr>
      <w:r>
        <w:t xml:space="preserve">Common-size and segment analysis: segment revenue as a share of total revenue, and international revenue as a share of total revenue.</w:t>
      </w:r>
    </w:p>
    <w:p w:rsidR="005F2FC4" w:rsidRDefault="00000000">
      <w:pPr>
        <w:pStyle w:val="ListBullet"/>
        <w:spacing w:after="50"/>
        <w:ind w:left="317" w:hanging="202"/>
        <w:jc w:val="both"/>
      </w:pPr>
      <w:r>
        <w:t xml:space="preserve">Ratio analysis: profitability, liquidity, leverage, efficiency and return ratios, each accompanied by the formula used and the caveat attaching to it.</w:t>
      </w:r>
    </w:p>
    <w:p w:rsidR="005F2FC4" w:rsidRDefault="00000000">
      <w:pPr>
        <w:pStyle w:val="ListBullet"/>
        <w:spacing w:after="50"/>
        <w:ind w:left="317" w:hanging="202"/>
        <w:jc w:val="both"/>
      </w:pPr>
      <w:r>
        <w:t xml:space="preserve">DuPont decomposition: three-factor separation of return on equity into net profit margin, asset turnover and the equity multiplier.</w:t>
      </w:r>
    </w:p>
    <w:p w:rsidR="005F2FC4" w:rsidRDefault="00000000">
      <w:pPr>
        <w:pStyle w:val="ListBullet"/>
        <w:spacing w:after="50"/>
        <w:ind w:left="317" w:hanging="202"/>
        <w:jc w:val="both"/>
      </w:pPr>
      <w:r>
        <w:t xml:space="preserve">Monetisation diagnostics: a revenue-to-GTV proxy expressed in basis points, used as a direction-of-travel indicator rather than as a contractual take rate.</w:t>
      </w:r>
    </w:p>
    <w:p w:rsidR="005F2FC4" w:rsidRDefault="00000000">
      <w:pPr>
        <w:pStyle w:val="ListBullet"/>
        <w:spacing w:after="50"/>
        <w:ind w:left="317" w:hanging="202"/>
        <w:jc w:val="both"/>
      </w:pPr>
      <w:r>
        <w:t xml:space="preserve">Qualitative strategic frameworks: PESTLE, Porter’s Five Forces, SWOT and a likelihood–impact risk register.</w:t>
      </w:r>
    </w:p>
    <w:p w:rsidR="005F2FC4" w:rsidRDefault="00000000">
      <w:pPr>
        <w:pStyle w:val="ListBullet"/>
        <w:spacing w:after="50"/>
        <w:ind w:left="317" w:hanging="202"/>
        <w:jc w:val="both"/>
      </w:pPr>
      <w:r>
        <w:t xml:space="preserve">Dated relative valuation: price-to-earnings, price-to-sales and price-to-book on a single stated market date, with sensitivity tables that make the assumptions visible.</w:t>
      </w:r>
    </w:p>
    <w:p w:rsidR="005F2FC4" w:rsidRDefault="00000000">
      <w:pPr>
        <w:pStyle w:val="Heading3"/>
      </w:pPr>
      <w:r>
        <w:t xml:space="preserve">1.8.5 Treatment of company-defined measures</w:t>
      </w:r>
    </w:p>
    <w:p w:rsidR="005F2FC4" w:rsidRDefault="00000000">
      <w:pPr>
        <w:jc w:val="both"/>
      </w:pPr>
      <w:r>
        <w:t xml:space="preserve">Company-defined measures such as contribution margin and adjusted EBITDA are reported in this study because they are the measures management uses to explain performance, but they are never substituted for audited figures. Wherever such a measure is used, the table states that it is company-defined, and the accompanying interpretation states what the measure excludes. Where the company’s own reconciliation is available, it is described rather than reproduced in full.</w:t>
      </w:r>
    </w:p>
    <w:p w:rsidR="005F2FC4" w:rsidRDefault="00000000">
      <w:pPr>
        <w:pStyle w:val="Heading2"/>
      </w:pPr>
      <w:bookmarkStart w:id="5013" w:name="_Rpt13"/>
      <w:r>
        <w:t xml:space="preserve">1.9 Limitations and data discipline</w:t>
      </w:r>
      <w:bookmarkEnd w:id="5013"/>
    </w:p>
    <w:p w:rsidR="005F2FC4" w:rsidRDefault="00000000">
      <w:pPr>
        <w:pStyle w:val="ListBullet"/>
        <w:spacing w:after="50"/>
        <w:ind w:left="317" w:hanging="202"/>
        <w:jc w:val="both"/>
      </w:pPr>
      <w:r>
        <w:t xml:space="preserve">Pine Labs became publicly listed in 2025, so the public track record is short. Older group information is prospectus-restated following the Singapore merger and is not identical to previously reported legal-entity accounts.</w:t>
      </w:r>
    </w:p>
    <w:p w:rsidR="005F2FC4" w:rsidRDefault="00000000">
      <w:pPr>
        <w:pStyle w:val="ListBullet"/>
        <w:spacing w:after="50"/>
        <w:ind w:left="317" w:hanging="202"/>
        <w:jc w:val="both"/>
      </w:pPr>
      <w:r>
        <w:t xml:space="preserve">Company-defined contribution margin, adjusted EBITDA and platform KPIs are useful but not substitutes for audited revenue, PAT, cash flow or statutory segment results. Their definitions may be revised.</w:t>
      </w:r>
    </w:p>
    <w:p w:rsidR="005F2FC4" w:rsidRDefault="00000000">
      <w:pPr>
        <w:pStyle w:val="ListBullet"/>
        <w:spacing w:after="50"/>
        <w:ind w:left="317" w:hanging="202"/>
        <w:jc w:val="both"/>
      </w:pPr>
      <w:r>
        <w:t xml:space="preserve">GTV includes transaction activity routed or serviced across platform categories; overlapping categories must not be added. GTV is not revenue or a measure of funds available to shareholders.</w:t>
      </w:r>
    </w:p>
    <w:p w:rsidR="005F2FC4" w:rsidRDefault="00000000">
      <w:pPr>
        <w:pStyle w:val="ListBullet"/>
        <w:spacing w:after="50"/>
        <w:ind w:left="317" w:hanging="202"/>
        <w:jc w:val="both"/>
      </w:pPr>
      <w:r>
        <w:t xml:space="preserve">Working-capital and settlement balances make reported CFO and cash balances sensitive to timing, earmarking and early-settlement activity. Other bank balances are not treated as unrestricted cash.</w:t>
      </w:r>
    </w:p>
    <w:p w:rsidR="005F2FC4" w:rsidRDefault="00000000">
      <w:pPr>
        <w:pStyle w:val="ListBullet"/>
        <w:spacing w:after="50"/>
        <w:ind w:left="317" w:hanging="202"/>
        <w:jc w:val="both"/>
      </w:pPr>
      <w:r>
        <w:t xml:space="preserve">Q1 FY27 is a single unaudited / limited-reviewed quarter. It is not annualized as a forecast. Company revenue-growth guidance is forward-looking, not a result.</w:t>
      </w:r>
    </w:p>
    <w:p w:rsidR="005F2FC4" w:rsidRDefault="00000000">
      <w:pPr>
        <w:pStyle w:val="ListBullet"/>
        <w:spacing w:after="50"/>
        <w:ind w:left="317" w:hanging="202"/>
        <w:jc w:val="both"/>
      </w:pPr>
      <w:r>
        <w:t xml:space="preserve">No interviews, internal data, customer-level unit economics, complete daily price history or formal ESG assurance were supplied. Only the opening portion of the Q1 FY27 call transcript was reviewed; Q1 results and operating interpretations here rely on the shareholder letter, press release and KPI book. The market snapshot is not investment advice.</w:t>
      </w:r>
    </w:p>
    <w:p w:rsidR="005F2FC4" w:rsidRDefault="00000000">
      <w:pPr>
        <w:jc w:val="both"/>
      </w:pPr>
      <w:r>
        <w:t xml:space="preserve">These limitations are not boilerplate. They determine the form of several conclusions in this report: they are the reason no discounted-cash-flow valuation is attempted, the reason the technical-analysis section is confined to a dated price observation, and the reason the cash-conversion proposition is recorded as unresolved. A fuller statement of limitations is given in Chapter 7.</w:t>
      </w:r>
    </w:p>
    <w:p w:rsidR="005F2FC4" w:rsidRDefault="00000000">
      <w:pPr>
        <w:pStyle w:val="Heading2"/>
      </w:pPr>
      <w:bookmarkStart w:id="5014" w:name="_Rpt14"/>
      <w:r>
        <w:t xml:space="preserve">1.10 Review of relevant literature and analytical frameworks</w:t>
      </w:r>
      <w:bookmarkEnd w:id="5014"/>
    </w:p>
    <w:p w:rsidR="005F2FC4" w:rsidRDefault="00000000">
      <w:pPr>
        <w:keepNext/>
        <w:spacing w:before="80" w:after="60"/>
      </w:pPr>
      <w:bookmarkStart w:id="5015" w:name="_Rpt15"/>
      <w:r>
        <w:rPr>
          <w:b/>
          <w:sz w:val="20"/>
        </w:rPr>
        <w:t xml:space="preserve">Table 1.4. Research and analytical foundations</w:t>
      </w:r>
      <w:bookmarkEnd w:id="5015"/>
    </w:p>
    <w:tbl>
      <w:tblPr>
        <w:tblW w:w="0" w:type="auto"/>
        <w:jc w:val="center"/>
        <w:tblLayout w:type="fixed"/>
        <w:tblLook w:val="04A0" w:firstRow="1" w:lastRow="0" w:firstColumn="1" w:lastColumn="0" w:noHBand="0" w:noVBand="1"/>
      </w:tblPr>
      <w:tblGrid>
        <w:gridCol w:w="2952"/>
        <w:gridCol w:w="6984"/>
      </w:tblGrid>
      <w:tr w:rsidR="005F2FC4">
        <w:trPr>
          <w:cantSplit/>
          <w:tblHeader/>
          <w:jc w:val="center"/>
        </w:trPr>
        <w:tc>
          <w:tcPr>
            <w:tcW w:w="295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Source / framework</w:t>
            </w:r>
          </w:p>
        </w:tc>
        <w:tc>
          <w:tcPr>
            <w:tcW w:w="698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Relevance to this study</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RBI, Payment Systems Report (December 2025)</w:t>
            </w:r>
          </w:p>
        </w:tc>
        <w:tc>
          <w:tcPr>
            <w:tcW w:w="69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Provides system-level evidence on payment volume, value, infrastructure and policy. It is an industry source, not a Pine Labs market-share validation. [9]</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Porter (1979), Five Forces</w:t>
            </w:r>
          </w:p>
        </w:tc>
        <w:tc>
          <w:tcPr>
            <w:tcW w:w="69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Structures the assessment of rivalry, entry, substitutes, supplier power and buyer power; ratings in Section 3.9 are the author’s qualitative judgements. [14]</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DuPont identity and equity valuation</w:t>
            </w:r>
          </w:p>
        </w:tc>
        <w:tc>
          <w:tcPr>
            <w:tcW w:w="69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Separates profit margin, asset turnover and leverage; the P/B sensitivity uses a simplified stable-growth relation and is illustrative only. [15]</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Pine Labs prospectus and investor disclosures</w:t>
            </w:r>
          </w:p>
        </w:tc>
        <w:tc>
          <w:tcPr>
            <w:tcW w:w="69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Primary company evidence on operating architecture, financial history, risk factors and company-defined KPIs; issuer disclosures are not independent assurance of market claims. [1–6,8]</w:t>
            </w:r>
          </w:p>
        </w:tc>
      </w:tr>
    </w:tbl>
    <w:p w:rsidR="005F2FC4" w:rsidRDefault="00000000">
      <w:pPr>
        <w:spacing w:before="40" w:after="140"/>
        <w:jc w:val="both"/>
      </w:pPr>
      <w:r>
        <w:rPr>
          <w:i/>
          <w:sz w:val="20"/>
        </w:rPr>
        <w:t xml:space="preserve">Source / note: Full citations and links are provided in the References section.</w:t>
      </w:r>
    </w:p>
    <w:p w:rsidR="005F2FC4" w:rsidRDefault="00000000">
      <w:pPr>
        <w:jc w:val="both"/>
      </w:pPr>
      <w:r>
        <w:t xml:space="preserve">Three strands of literature inform the study. The first is the regulator’s own reporting on payment-system growth, which supplies system-level evidence against which company claims can be sized. The second is the industrial-organisation tradition, through which the structural attractiveness of the industry is assessed rather than assumed. The third is the corporate finance tradition of return decomposition and relative valuation, which supplies the arithmetic used in Chapter 5 and the discipline of stating the assumptions behind every multiple.</w:t>
      </w:r>
    </w:p>
    <w:p w:rsidR="005F2FC4" w:rsidRDefault="00000000">
      <w:pPr>
        <w:jc w:val="both"/>
      </w:pPr>
      <w:r>
        <w:t xml:space="preserve">The literature review is deliberately framework-led rather than survey-led. For a single-company case study of a recently listed issuer, the binding constraint is not the absence of academic theory but the absence of a long disclosure history. The frameworks are therefore used as instruments of interrogation, and the issuer’s own documents supply the evidence.</w:t>
      </w:r>
    </w:p>
    <w:p w:rsidR="005F2FC4" w:rsidRDefault="00000000">
      <w:pPr>
        <w:pStyle w:val="Heading2"/>
      </w:pPr>
      <w:bookmarkStart w:id="5016" w:name="_Rpt16"/>
      <w:r>
        <w:t xml:space="preserve">1.11 Structure of the report</w:t>
      </w:r>
      <w:bookmarkEnd w:id="5016"/>
    </w:p>
    <w:p w:rsidR="005F2FC4" w:rsidRDefault="00000000">
      <w:pPr>
        <w:keepNext/>
        <w:spacing w:before="80" w:after="60"/>
      </w:pPr>
      <w:bookmarkStart w:id="5017" w:name="_Rpt17"/>
      <w:r>
        <w:rPr>
          <w:b/>
          <w:sz w:val="20"/>
        </w:rPr>
        <w:t xml:space="preserve">Table 1.5. Chapter plan of the report</w:t>
      </w:r>
      <w:bookmarkEnd w:id="5017"/>
    </w:p>
    <w:tbl>
      <w:tblPr>
        <w:tblW w:w="0" w:type="auto"/>
        <w:jc w:val="center"/>
        <w:tblLayout w:type="fixed"/>
        <w:tblLook w:val="04A0" w:firstRow="1" w:lastRow="0" w:firstColumn="1" w:lastColumn="0" w:noHBand="0" w:noVBand="1"/>
      </w:tblPr>
      <w:tblGrid>
        <w:gridCol w:w="900"/>
        <w:gridCol w:w="3200"/>
        <w:gridCol w:w="5836"/>
      </w:tblGrid>
      <w:tr w:rsidR="005F2FC4">
        <w:trPr>
          <w:cantSplit/>
          <w:tblHeader/>
          <w:jc w:val="center"/>
        </w:trPr>
        <w:tc>
          <w:tcPr>
            <w:tcW w:w="9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Chapter</w:t>
            </w:r>
          </w:p>
        </w:tc>
        <w:tc>
          <w:tcPr>
            <w:tcW w:w="3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Title</w:t>
            </w:r>
          </w:p>
        </w:tc>
        <w:tc>
          <w:tcPr>
            <w:tcW w:w="58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it contains</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1</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Introduction and Research Design</w:t>
            </w:r>
          </w:p>
        </w:tc>
        <w:tc>
          <w:tcPr>
            <w:tcW w:w="5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Need, objectives, scope, research questions, concepts, methodology, limitations, literature and structure.</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w:t>
            </w:r>
          </w:p>
        </w:tc>
        <w:tc>
          <w:tcPr>
            <w:tcW w:w="3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Organisational Background and Job Description</w:t>
            </w:r>
          </w:p>
        </w:tc>
        <w:tc>
          <w:tcPr>
            <w:tcW w:w="5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Rosy Blue Securities Pvt. Ltd., services, departments, dealer and analyst duties, trading terminals, market infrastructure and skills developed.</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3</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Theoretical Framework: Indian Fintech and Digital Payments</w:t>
            </w:r>
          </w:p>
        </w:tc>
        <w:tc>
          <w:tcPr>
            <w:tcW w:w="5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Industry structure, value chain, system scale, economics, PESTLE, Five Forces, technology, regulation and consumer protection.</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4</w:t>
            </w:r>
          </w:p>
        </w:tc>
        <w:tc>
          <w:tcPr>
            <w:tcW w:w="3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Profile and Business Model: Pine Labs Limited</w:t>
            </w:r>
          </w:p>
        </w:tc>
        <w:tc>
          <w:tcPr>
            <w:tcW w:w="5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Identification sheet, history, platforms, products, segments, geography, monetisation, customer journeys, SWOT and governance.</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5</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Analysis and Interpretation of Financial and Operating Data</w:t>
            </w:r>
          </w:p>
        </w:tc>
        <w:tc>
          <w:tcPr>
            <w:tcW w:w="5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Income statement, balance sheet, cash flow, ratios, DuPont, KPIs, peer context, valuation, market snapshot, risk and ESG.</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6</w:t>
            </w:r>
          </w:p>
        </w:tc>
        <w:tc>
          <w:tcPr>
            <w:tcW w:w="3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Findings, Suggestions and Conclusion</w:t>
            </w:r>
          </w:p>
        </w:tc>
        <w:tc>
          <w:tcPr>
            <w:tcW w:w="5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Major findings, investment thesis, researcher’s view, recommendations and conclusion.</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7</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Limitations of the Study</w:t>
            </w:r>
          </w:p>
        </w:tc>
        <w:tc>
          <w:tcPr>
            <w:tcW w:w="5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Data, period, method, scope and interpretation limitations.</w:t>
            </w:r>
          </w:p>
        </w:tc>
      </w:tr>
      <w:tr w:rsidR="005F2FC4">
        <w:trPr>
          <w:cantSplit/>
          <w:jc w:val="center"/>
        </w:trPr>
        <w:tc>
          <w:tcPr>
            <w:tcW w:w="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t>
            </w:r>
          </w:p>
        </w:tc>
        <w:tc>
          <w:tcPr>
            <w:tcW w:w="3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References and Annexures A to F</w:t>
            </w:r>
          </w:p>
        </w:tc>
        <w:tc>
          <w:tcPr>
            <w:tcW w:w="5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Source list, compact data sheet, formula sheet, glossary, abbreviations, quarterly data book and submission checklist.</w:t>
            </w:r>
          </w:p>
        </w:tc>
      </w:tr>
    </w:tbl>
    <w:p w:rsidR="005F2FC4" w:rsidRDefault="00000000">
      <w:pPr>
        <w:spacing w:before="40" w:after="140"/>
        <w:jc w:val="both"/>
      </w:pPr>
      <w:r>
        <w:rPr>
          <w:i/>
          <w:sz w:val="20"/>
        </w:rPr>
        <w:t xml:space="preserve">Source / note: Author’s plan. Section numbers are continuous within each chapter so that every table and figure can be located from the index.</w:t>
      </w:r>
    </w:p>
    <w:p w:rsidR="005F2FC4" w:rsidRDefault="00000000">
      <w:pPr>
        <w:jc w:val="both"/>
      </w:pPr>
      <w:r>
        <w:rPr>
          <w:i/>
        </w:rPr>
        <w:t xml:space="preserve">The chapters that follow examine the evidence behind each finding and distinguish reported figures from management metrics and author calculations.</w:t>
      </w:r>
    </w:p>
    <w:p w:rsidR="005F2FC4" w:rsidRDefault="00000000">
      <w:pPr>
        <w:pageBreakBefore/>
        <w:keepNext/>
        <w:spacing w:before="120" w:after="160" w:line="240" w:lineRule="auto"/>
        <w:jc w:val="center"/>
      </w:pPr>
      <w:bookmarkStart w:id="5018" w:name="_Rpt18"/>
      <w:r>
        <w:rPr>
          <w:b/>
          <w:bCs/>
          <w:sz w:val="28"/>
          <w:szCs w:val="28"/>
        </w:rPr>
        <w:t xml:space="preserve">CHAPTER 2</w:t>
      </w:r>
      <w:bookmarkEnd w:id="5018"/>
    </w:p>
    <w:p w:rsidR="005F2FC4" w:rsidRDefault="00000000">
      <w:pPr>
        <w:pStyle w:val="Heading1"/>
      </w:pPr>
      <w:r>
        <w:t xml:space="preserve">Organisational Background and Job Description</w:t>
      </w:r>
    </w:p>
    <w:p w:rsidR="005F2FC4" w:rsidRDefault="00000000">
      <w:pPr>
        <w:spacing w:after="160"/>
      </w:pPr>
      <w:r>
        <w:rPr>
          <w:i/>
          <w:sz w:val="20"/>
        </w:rPr>
        <w:t xml:space="preserve">The internship host, the dealing desk, the analyst function and the institutions around a securities transaction</w:t>
      </w:r>
    </w:p>
    <w:p w:rsidR="005F2FC4" w:rsidRDefault="00000000">
      <w:pPr>
        <w:pStyle w:val="Heading2"/>
      </w:pPr>
      <w:bookmarkStart w:id="5019" w:name="_Rpt19"/>
      <w:r>
        <w:t xml:space="preserve">2.1 Organisational introduction</w:t>
      </w:r>
      <w:bookmarkEnd w:id="5019"/>
    </w:p>
    <w:p w:rsidR="005F2FC4" w:rsidRDefault="00000000">
      <w:pPr>
        <w:jc w:val="both"/>
      </w:pPr>
      <w:r>
        <w:t xml:space="preserve">Rosy Blue Securities Pvt. Ltd. is a securities intermediary (stock broker). According to its official website, the firm provides stock-broking services on the NSE and BSE in the capital (cash) market, futures-and-options (F&amp;O) and currency-derivatives segments, and separately offers mutual-fund distribution as a distributor [16].</w:t>
      </w:r>
    </w:p>
    <w:p w:rsidR="005F2FC4" w:rsidRDefault="00000000">
      <w:pPr>
        <w:jc w:val="both"/>
      </w:pPr>
      <w:r>
        <w:t xml:space="preserve">A stock broker connects clients to the exchange. A client instruction is converted into an order, the order is entered on the exchange trading system through the broker’s terminal, and the executed trade is confirmed to the client and settled through the clearing and depository system. I worked with the firm as a Dealer and as an Analyst, that is, on both the execution side and the research side of this business. Client names, account details and trade data are confidential and are not disclosed in this report.</w:t>
      </w:r>
    </w:p>
    <w:p w:rsidR="005F2FC4" w:rsidRDefault="00000000">
      <w:pPr>
        <w:jc w:val="both"/>
      </w:pPr>
      <w:r>
        <w:t xml:space="preserve">Internship period: 12 May 2026 to 13 Aug 2026.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host organisation is an intermediary, not a principal. Its economic function is to convert a client instruction into an exchange order and to see that order through to confirmation and settlement. That distinction matters for this report, because the case company studied in Chapters 4 and 5 performs an analogous intermediation role in the payments chain: it carries value and instructions between merchants, banks and networks without owning the underlying funds. Working on the broking side made that parallel, and its limits, directly observable.</w:t>
            </w:r>
          </w:p>
        </w:tc>
      </w:tr>
    </w:tbl>
    <w:p w:rsidR="005F2FC4" w:rsidRDefault="00000000">
      <w:pPr>
        <w:pStyle w:val="Heading2"/>
      </w:pPr>
      <w:bookmarkStart w:id="5020" w:name="_Rpt20"/>
      <w:r>
        <w:t xml:space="preserve">2.2 Services of the firm</w:t>
      </w:r>
      <w:bookmarkEnd w:id="5020"/>
    </w:p>
    <w:p w:rsidR="005F2FC4" w:rsidRDefault="00000000">
      <w:pPr>
        <w:jc w:val="both"/>
      </w:pPr>
      <w:r>
        <w:t xml:space="preserve">The firm’s publicly stated service lines are summarised below. My own work was concentrated on the cash market and the F&amp;O market.</w:t>
      </w:r>
    </w:p>
    <w:p w:rsidR="005F2FC4" w:rsidRDefault="00000000">
      <w:pPr>
        <w:keepNext/>
        <w:spacing w:before="80" w:after="60"/>
      </w:pPr>
      <w:bookmarkStart w:id="5021" w:name="_Rpt21"/>
      <w:r>
        <w:rPr>
          <w:b/>
          <w:sz w:val="20"/>
        </w:rPr>
        <w:t xml:space="preserve">Table 2.1. Service lines of Rosy Blue Securities Pvt. Ltd.</w:t>
      </w:r>
      <w:bookmarkEnd w:id="5021"/>
    </w:p>
    <w:tbl>
      <w:tblPr>
        <w:tblW w:w="0" w:type="auto"/>
        <w:jc w:val="center"/>
        <w:tblLayout w:type="fixed"/>
        <w:tblLook w:val="04A0" w:firstRow="1" w:lastRow="0" w:firstColumn="1" w:lastColumn="0" w:noHBand="0" w:noVBand="1"/>
      </w:tblPr>
      <w:tblGrid>
        <w:gridCol w:w="3000"/>
        <w:gridCol w:w="6936"/>
      </w:tblGrid>
      <w:tr w:rsidR="005F2FC4">
        <w:trPr>
          <w:cantSplit/>
          <w:tblHeader/>
          <w:jc w:val="center"/>
        </w:trPr>
        <w:tc>
          <w:tcPr>
            <w:tcW w:w="30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Service line</w:t>
            </w:r>
          </w:p>
        </w:tc>
        <w:tc>
          <w:tcPr>
            <w:tcW w:w="6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Description</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 market (NSE / BSE)</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Buying and selling of listed equity shares for clients on the exchanges.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Futures and options (F&amp;O)</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Trading in derivative contracts whose value depends on an underlying security or index.</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Currency derivatives</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 in the firm’s public service profile; not part of my work.</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Mutual-fund distribution</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Distribution of mutual-fund schemes as a distributor; separate from exchange-traded broking.</w:t>
            </w:r>
          </w:p>
        </w:tc>
      </w:tr>
    </w:tbl>
    <w:p w:rsidR="005F2FC4" w:rsidRDefault="00000000">
      <w:pPr>
        <w:spacing w:before="40" w:after="140"/>
        <w:jc w:val="both"/>
      </w:pPr>
      <w:r>
        <w:rPr>
          <w:i/>
          <w:sz w:val="20"/>
        </w:rPr>
        <w:t xml:space="preserve">Source / note: Compiled from the firm’s public service profile. My own work was concentrated on the cash and F&amp;O segments.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service list shows a firm operating across two regulatory logics at once. Exchange broking in the cash, derivative and currency segments is an execution service governed by exchange and clearing rules; mutual-fund distribution is a product-distribution activity governed by a different framework and carrying a different grievance route. The firm’s own public disclosures keep the two separate, and Section 2.8 explains why that separation matters when describing any intermediary.</w:t>
            </w:r>
          </w:p>
        </w:tc>
      </w:tr>
    </w:tbl>
    <w:p w:rsidR="005F2FC4" w:rsidRDefault="00000000">
      <w:pPr>
        <w:pStyle w:val="Heading2"/>
      </w:pPr>
      <w:bookmarkStart w:id="5022" w:name="_Rpt22"/>
      <w:r>
        <w:t xml:space="preserve">2.3 Departments and my roles</w:t>
      </w:r>
      <w:bookmarkEnd w:id="5022"/>
    </w:p>
    <w:p w:rsidR="005F2FC4" w:rsidRDefault="00000000">
      <w:pPr>
        <w:jc w:val="both"/>
      </w:pPr>
      <w:r>
        <w:t xml:space="preserve">The internship covered two functions of the firm. As a Dealer, I worked on the dealing desk, where client orders are placed in the cash and F&amp;O markets. As an Analyst, I worked on analysis of the economy, industries and companies. The two roles complemented each other: the dealing desk gave direct exposure to live market activity, while the analysis work gave a structured way to understand the companies and sectors being traded.</w:t>
      </w:r>
    </w:p>
    <w:p w:rsidR="005F2FC4" w:rsidRDefault="00000000">
      <w:pPr>
        <w:jc w:val="both"/>
      </w:pPr>
      <w:r>
        <w:t xml:space="preserve">The two roles were deliberately sequenced. Time on the dealing desk came first, because order handling teaches the mechanics of the market — segments, order types, margins, settlement timetables and the consequences of an error. Analyst work followed, because a view on a security is only useful if the person forming it understands how that security is actually traded, what it costs to transact, and how quickly a position can be exited.</w:t>
      </w:r>
    </w:p>
    <w:p w:rsidR="005F2FC4" w:rsidRDefault="00000000">
      <w:pPr>
        <w:pStyle w:val="Heading2"/>
      </w:pPr>
      <w:bookmarkStart w:id="5023" w:name="_Rpt23"/>
      <w:r>
        <w:t xml:space="preserve">2.4 Job description</w:t>
      </w:r>
      <w:bookmarkEnd w:id="5023"/>
    </w:p>
    <w:p w:rsidR="005F2FC4" w:rsidRDefault="00000000">
      <w:pPr>
        <w:pStyle w:val="Heading3"/>
      </w:pPr>
      <w:r>
        <w:t xml:space="preserve">Dealer</w:t>
      </w:r>
    </w:p>
    <w:p w:rsidR="005F2FC4" w:rsidRDefault="00000000">
      <w:pPr>
        <w:pStyle w:val="ListBullet"/>
        <w:spacing w:after="50"/>
        <w:ind w:left="317" w:hanging="202"/>
        <w:jc w:val="both"/>
      </w:pPr>
      <w:r>
        <w:t xml:space="preserve">Learned to use trading terminals, including NEAT PLUS and CTCL, to place and monitor orders.</w:t>
      </w:r>
    </w:p>
    <w:p w:rsidR="005F2FC4" w:rsidRDefault="00000000">
      <w:pPr>
        <w:pStyle w:val="ListBullet"/>
        <w:spacing w:after="50"/>
        <w:ind w:left="317" w:hanging="202"/>
        <w:jc w:val="both"/>
      </w:pPr>
      <w:r>
        <w:t xml:space="preserve">Learned about the cash market and the F&amp;O market.</w:t>
      </w:r>
    </w:p>
    <w:p w:rsidR="005F2FC4" w:rsidRDefault="00000000">
      <w:pPr>
        <w:pStyle w:val="ListBullet"/>
        <w:spacing w:after="50"/>
        <w:ind w:left="317" w:hanging="202"/>
        <w:jc w:val="both"/>
      </w:pPr>
      <w:r>
        <w:t xml:space="preserve">Engaged in buying and selling (trading) on behalf of clients, as guided by the clients’ instructions.</w:t>
      </w:r>
    </w:p>
    <w:p w:rsidR="005F2FC4" w:rsidRDefault="00000000">
      <w:pPr>
        <w:pStyle w:val="ListBullet"/>
        <w:spacing w:after="50"/>
        <w:ind w:left="317" w:hanging="202"/>
        <w:jc w:val="both"/>
      </w:pPr>
      <w:r>
        <w:t xml:space="preserve">Learned option-trading strategies and the use of trading charts.</w:t>
      </w:r>
    </w:p>
    <w:p w:rsidR="005F2FC4" w:rsidRDefault="00000000">
      <w:pPr>
        <w:pStyle w:val="ListBullet"/>
        <w:spacing w:after="50"/>
        <w:ind w:left="317" w:hanging="202"/>
        <w:jc w:val="both"/>
      </w:pPr>
      <w:r>
        <w:t xml:space="preserve">Communicated with clients on their instructions and order status, and supported client relationship management.</w:t>
      </w:r>
    </w:p>
    <w:p w:rsidR="005F2FC4" w:rsidRDefault="00000000">
      <w:pPr>
        <w:pStyle w:val="ListBullet"/>
        <w:spacing w:after="50"/>
        <w:ind w:left="317" w:hanging="202"/>
        <w:jc w:val="both"/>
      </w:pPr>
      <w:r>
        <w:t xml:space="preserve">Took quick decisions in a live, fast-moving market.</w:t>
      </w:r>
    </w:p>
    <w:p w:rsidR="005F2FC4" w:rsidRDefault="00000000">
      <w:pPr>
        <w:pStyle w:val="Heading3"/>
      </w:pPr>
      <w:r>
        <w:t xml:space="preserve">Analyst</w:t>
      </w:r>
    </w:p>
    <w:p w:rsidR="005F2FC4" w:rsidRDefault="00000000">
      <w:pPr>
        <w:pStyle w:val="ListBullet"/>
        <w:spacing w:after="50"/>
        <w:ind w:left="317" w:hanging="202"/>
        <w:jc w:val="both"/>
      </w:pPr>
      <w:r>
        <w:t xml:space="preserve">Learned the EIC (Economy–Industry–Company) approach and how it is carried out in practice.</w:t>
      </w:r>
    </w:p>
    <w:p w:rsidR="005F2FC4" w:rsidRDefault="00000000">
      <w:pPr>
        <w:pStyle w:val="ListBullet"/>
        <w:spacing w:after="50"/>
        <w:ind w:left="317" w:hanging="202"/>
        <w:jc w:val="both"/>
      </w:pPr>
      <w:r>
        <w:t xml:space="preserve">Learned how company analysis is done, studying a company’s business, financial position and performance.</w:t>
      </w:r>
    </w:p>
    <w:p w:rsidR="005F2FC4" w:rsidRDefault="00000000">
      <w:pPr>
        <w:pStyle w:val="ListBullet"/>
        <w:spacing w:after="50"/>
        <w:ind w:left="317" w:hanging="202"/>
        <w:jc w:val="both"/>
      </w:pPr>
      <w:r>
        <w:t xml:space="preserve">Learned how business analysis is done, understanding how a company earns and what drives its industry.</w:t>
      </w:r>
    </w:p>
    <w:p w:rsidR="005F2FC4" w:rsidRDefault="00000000">
      <w:pPr>
        <w:pStyle w:val="Heading2"/>
      </w:pPr>
      <w:bookmarkStart w:id="5024" w:name="_Rpt24"/>
      <w:r>
        <w:t xml:space="preserve">2.5 Trading terminals and markets</w:t>
      </w:r>
      <w:bookmarkEnd w:id="5024"/>
    </w:p>
    <w:p w:rsidR="005F2FC4" w:rsidRDefault="00000000">
      <w:pPr>
        <w:jc w:val="both"/>
      </w:pPr>
      <w:r>
        <w:t xml:space="preserve">NEAT PLUS is the trading terminal of the National Stock Exchange (NSE) through which a trading member enters orders and views live market data. CTCL (Computer-to-Computer Link) is the facility through which a member routes orders to the exchange from its own trading software instead of the exchange terminal. Both were used to place and monitor client orders.</w:t>
      </w:r>
    </w:p>
    <w:p w:rsidR="005F2FC4" w:rsidRDefault="00000000">
      <w:pPr>
        <w:jc w:val="both"/>
      </w:pPr>
      <w:r>
        <w:t xml:space="preserve">The cash market is the segment in which shares are bought and sold for delivery. The F&amp;O market is the derivatives segment, in which futures and options contracts are traded on margin. Working in both segments showed how differently the two markets behave.</w:t>
      </w:r>
    </w:p>
    <w:p w:rsidR="005F2FC4" w:rsidRDefault="00000000">
      <w:pPr>
        <w:keepNext/>
        <w:spacing w:before="80" w:after="60"/>
      </w:pPr>
      <w:bookmarkStart w:id="5025" w:name="_Rpt25"/>
      <w:r>
        <w:rPr>
          <w:b/>
          <w:sz w:val="20"/>
        </w:rPr>
        <w:t xml:space="preserve">Table 2.2. Cash market and F&amp;O market compared</w:t>
      </w:r>
      <w:bookmarkEnd w:id="5025"/>
    </w:p>
    <w:tbl>
      <w:tblPr>
        <w:tblW w:w="0" w:type="auto"/>
        <w:jc w:val="center"/>
        <w:tblLayout w:type="fixed"/>
        <w:tblLook w:val="04A0" w:firstRow="1" w:lastRow="0" w:firstColumn="1" w:lastColumn="0" w:noHBand="0" w:noVBand="1"/>
      </w:tblPr>
      <w:tblGrid>
        <w:gridCol w:w="2400"/>
        <w:gridCol w:w="3768"/>
        <w:gridCol w:w="3768"/>
      </w:tblGrid>
      <w:tr w:rsidR="005F2FC4">
        <w:trPr>
          <w:cantSplit/>
          <w:tblHeader/>
          <w:jc w:val="center"/>
        </w:trPr>
        <w:tc>
          <w:tcPr>
            <w:tcW w:w="24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Aspect</w:t>
            </w:r>
          </w:p>
        </w:tc>
        <w:tc>
          <w:tcPr>
            <w:tcW w:w="37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Cash market</w:t>
            </w:r>
          </w:p>
        </w:tc>
        <w:tc>
          <w:tcPr>
            <w:tcW w:w="37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F&amp;O market</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is traded</w:t>
            </w:r>
          </w:p>
        </w:tc>
        <w:tc>
          <w:tcPr>
            <w:tcW w:w="3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Shares of listed companies.</w:t>
            </w:r>
          </w:p>
        </w:tc>
        <w:tc>
          <w:tcPr>
            <w:tcW w:w="3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Futures and options contracts on shares and indices.</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Nature of the position</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Ownership of the share when taken for delivery.</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contract with an expiry date; options give the buyer a right, not an obligation.</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Funds required</w:t>
            </w:r>
          </w:p>
        </w:tc>
        <w:tc>
          <w:tcPr>
            <w:tcW w:w="3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Full value of the shares for delivery trades.</w:t>
            </w:r>
          </w:p>
        </w:tc>
        <w:tc>
          <w:tcPr>
            <w:tcW w:w="3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Margin or premium rather than the full contract value.</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Main risk</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Fall in the price of the shares held.</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Leverage and, for options, time decay; strategy selection and risk control matter more.</w:t>
            </w:r>
          </w:p>
        </w:tc>
      </w:tr>
    </w:tbl>
    <w:p w:rsidR="005F2FC4" w:rsidRDefault="00000000">
      <w:pPr>
        <w:spacing w:before="40" w:after="140"/>
        <w:jc w:val="both"/>
      </w:pPr>
      <w:r>
        <w:rPr>
          <w:i/>
          <w:sz w:val="20"/>
        </w:rPr>
        <w:t xml:space="preserve">Source / note: Compiled from desk practice and exchange segment descriptions.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comparison explains why the same client can hold very different risk in the two segments. A cash-market position is funded in full and its worst outcome is a fall in the price of an owned asset. An F&amp;O position is funded by margin, carries an expiry date and, for a written option, can lose more than the premium received. On the desk this showed up as a difference in supervision intensity rather than a difference in order mechanics: the same screen, the same order ticket, a materially different consequence of being wrong.</w:t>
            </w:r>
          </w:p>
        </w:tc>
      </w:tr>
    </w:tbl>
    <w:p w:rsidR="005F2FC4" w:rsidRDefault="00000000">
      <w:pPr>
        <w:pStyle w:val="Heading2"/>
      </w:pPr>
      <w:bookmarkStart w:id="5026" w:name="_Rpt26"/>
      <w:r>
        <w:t xml:space="preserve">2.6 Dealing-desk workflow</w:t>
      </w:r>
      <w:bookmarkEnd w:id="5026"/>
    </w:p>
    <w:p w:rsidR="005F2FC4" w:rsidRDefault="00000000">
      <w:pPr>
        <w:jc w:val="both"/>
      </w:pPr>
      <w:r>
        <w:t xml:space="preserve">A typical order on the dealing desk moves through the following steps. Client details are not reproduced in this report.</w:t>
      </w:r>
    </w:p>
    <w:p w:rsidR="005F2FC4" w:rsidRDefault="00000000">
      <w:pPr>
        <w:pStyle w:val="ListBullet"/>
        <w:spacing w:after="50"/>
        <w:ind w:left="317" w:hanging="202"/>
        <w:jc w:val="both"/>
      </w:pPr>
      <w:r>
        <w:t xml:space="preserve">Receive the client’s instruction on the security, whether to buy or sell, quantity and price.</w:t>
      </w:r>
    </w:p>
    <w:p w:rsidR="005F2FC4" w:rsidRDefault="00000000">
      <w:pPr>
        <w:pStyle w:val="ListBullet"/>
        <w:spacing w:after="50"/>
        <w:ind w:left="317" w:hanging="202"/>
        <w:jc w:val="both"/>
      </w:pPr>
      <w:r>
        <w:t xml:space="preserve">Confirm the instruction with the client and check the order details.</w:t>
      </w:r>
    </w:p>
    <w:p w:rsidR="005F2FC4" w:rsidRDefault="00000000">
      <w:pPr>
        <w:pStyle w:val="ListBullet"/>
        <w:spacing w:after="50"/>
        <w:ind w:left="317" w:hanging="202"/>
        <w:jc w:val="both"/>
      </w:pPr>
      <w:r>
        <w:t xml:space="preserve">Enter the order on the trading terminal (NEAT PLUS or CTCL) in the correct segment.</w:t>
      </w:r>
    </w:p>
    <w:p w:rsidR="005F2FC4" w:rsidRDefault="00000000">
      <w:pPr>
        <w:pStyle w:val="ListBullet"/>
        <w:spacing w:after="50"/>
        <w:ind w:left="317" w:hanging="202"/>
        <w:jc w:val="both"/>
      </w:pPr>
      <w:r>
        <w:t xml:space="preserve">Monitor the order status: executed, partly executed, open or rejected.</w:t>
      </w:r>
    </w:p>
    <w:p w:rsidR="005F2FC4" w:rsidRDefault="00000000">
      <w:pPr>
        <w:pStyle w:val="ListBullet"/>
        <w:spacing w:after="50"/>
        <w:ind w:left="317" w:hanging="202"/>
        <w:jc w:val="both"/>
      </w:pPr>
      <w:r>
        <w:t xml:space="preserve">Inform the client of the outcome and the price at which the trade was done.</w:t>
      </w:r>
    </w:p>
    <w:p w:rsidR="005F2FC4" w:rsidRDefault="00000000">
      <w:pPr>
        <w:jc w:val="both"/>
      </w:pPr>
      <w:r>
        <w:t xml:space="preserve">Two controls run through every step. The first is confirmation: an instruction is repeated back before it is entered, because an order cannot be recalled once it is matched. The second is record-keeping: the status of each order is reported to the client, so that the client always knows the executed quantity and price. Both controls are forms of the same discipline used in the research part of this report — state the source, state the date, and do not present an inference as a fact.</w:t>
      </w:r>
    </w:p>
    <w:p w:rsidR="005F2FC4" w:rsidRDefault="00000000">
      <w:pPr>
        <w:pStyle w:val="Heading2"/>
      </w:pPr>
      <w:bookmarkStart w:id="5027" w:name="_Rpt27"/>
      <w:r>
        <w:t xml:space="preserve">2.7 The EIC framework in analysis</w:t>
      </w:r>
      <w:bookmarkEnd w:id="5027"/>
    </w:p>
    <w:p w:rsidR="005F2FC4" w:rsidRDefault="00000000">
      <w:pPr>
        <w:jc w:val="both"/>
      </w:pPr>
      <w:r>
        <w:t xml:space="preserve">The EIC (Economy–Industry–Company) framework is a top-down method of analysis. The analyst first studies the economy, then the industry in which the company operates, and finally the company itself, so that a company is judged in the context of its environment.</w:t>
      </w:r>
    </w:p>
    <w:p w:rsidR="005F2FC4" w:rsidRDefault="00000000">
      <w:pPr>
        <w:keepNext/>
        <w:spacing w:before="80" w:after="60"/>
      </w:pPr>
      <w:bookmarkStart w:id="5028" w:name="_Rpt28"/>
      <w:r>
        <w:rPr>
          <w:b/>
          <w:sz w:val="20"/>
        </w:rPr>
        <w:t xml:space="preserve">Table 2.3. EIC framework and its use in this report</w:t>
      </w:r>
      <w:bookmarkEnd w:id="5028"/>
    </w:p>
    <w:tbl>
      <w:tblPr>
        <w:tblW w:w="0" w:type="auto"/>
        <w:jc w:val="center"/>
        <w:tblLayout w:type="fixed"/>
        <w:tblLook w:val="04A0" w:firstRow="1" w:lastRow="0" w:firstColumn="1" w:lastColumn="0" w:noHBand="0" w:noVBand="1"/>
      </w:tblPr>
      <w:tblGrid>
        <w:gridCol w:w="1800"/>
        <w:gridCol w:w="4636"/>
        <w:gridCol w:w="3500"/>
      </w:tblGrid>
      <w:tr w:rsidR="005F2FC4">
        <w:trPr>
          <w:cantSplit/>
          <w:tblHeader/>
          <w:jc w:val="center"/>
        </w:trPr>
        <w:tc>
          <w:tcPr>
            <w:tcW w:w="18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Level</w:t>
            </w:r>
          </w:p>
        </w:tc>
        <w:tc>
          <w:tcPr>
            <w:tcW w:w="46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is examined</w:t>
            </w:r>
          </w:p>
        </w:tc>
        <w:tc>
          <w:tcPr>
            <w:tcW w:w="3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Where used in this report</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Economy</w:t>
            </w:r>
          </w:p>
        </w:tc>
        <w:tc>
          <w:tcPr>
            <w:tcW w:w="4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Growth, inflation, interest rates, policy and the overall business environment.</w:t>
            </w:r>
          </w:p>
        </w:tc>
        <w:tc>
          <w:tcPr>
            <w:tcW w:w="3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 3 (industry context, PESTLE, Sections 3.2 to 3.10).</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Industry</w:t>
            </w:r>
          </w:p>
        </w:tc>
        <w:tc>
          <w:tcPr>
            <w:tcW w:w="4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Size, growth, competition, regulation and opportunities and risks of the sector.</w:t>
            </w:r>
          </w:p>
        </w:tc>
        <w:tc>
          <w:tcPr>
            <w:tcW w:w="3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 3 (industry structure and Porter’s Five Forces).</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Company</w:t>
            </w:r>
          </w:p>
        </w:tc>
        <w:tc>
          <w:tcPr>
            <w:tcW w:w="4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Business model, financial statements, ratios and valuation.</w:t>
            </w:r>
          </w:p>
        </w:tc>
        <w:tc>
          <w:tcPr>
            <w:tcW w:w="3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Chapters 4 and 5.</w:t>
            </w:r>
          </w:p>
        </w:tc>
      </w:tr>
    </w:tbl>
    <w:p w:rsidR="005F2FC4" w:rsidRDefault="00000000">
      <w:pPr>
        <w:spacing w:before="40" w:after="140"/>
        <w:jc w:val="both"/>
      </w:pPr>
      <w:r>
        <w:rPr>
          <w:i/>
          <w:sz w:val="20"/>
        </w:rPr>
        <w:t xml:space="preserve">Source / note: Author’s mapping of the top-down method taught on the analyst desk to the chapters of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EIC method is the organising logic of the whole report, not a decorative framework. The economy and industry layers are discharged in Chapter 3, where system-level payment statistics and the structure of the value chain are examined before any company figure is quoted. The company layer is discharged in Chapters 4 and 5. Following the sequence prevents the most common error in student company analysis, which is to treat a company’s growth rate as evidence of its quality without first establishing how fast its industry was growing anyway.</w:t>
            </w:r>
          </w:p>
        </w:tc>
      </w:tr>
    </w:tbl>
    <w:p w:rsidR="005F2FC4" w:rsidRDefault="00000000">
      <w:pPr>
        <w:pStyle w:val="Heading2"/>
      </w:pPr>
      <w:bookmarkStart w:id="5029" w:name="_Rpt29"/>
      <w:r>
        <w:t xml:space="preserve">2.8 Institutions around a securities transaction</w:t>
      </w:r>
      <w:bookmarkEnd w:id="5029"/>
    </w:p>
    <w:p w:rsidR="005F2FC4" w:rsidRDefault="00000000">
      <w:pPr>
        <w:jc w:val="both"/>
      </w:pPr>
      <w:r>
        <w:t xml:space="preserve">The Indian securities market includes a regulator, recognised exchanges, clearing corporations, depositories, depository participants, brokers, banks and investor-facing service providers. SEBI sets and administers the regulatory framework; exchanges operate trading venues; clearing corporations manage clearing and settlement; depositories maintain electronic securities records; brokers connect clients to exchange trading. The entities have separate rulebooks, memberships and responsibilities.</w:t>
      </w:r>
    </w:p>
    <w:p w:rsidR="005F2FC4" w:rsidRDefault="00000000">
      <w:pPr>
        <w:jc w:val="both"/>
      </w:pPr>
      <w:r>
        <w:t xml:space="preserve">Mutual-fund distribution is not the same service as exchange broking, and an investor’s fund application is not necessarily an exchange-traded order. Rosy Blue’s own public website explicitly separates its distribution activity from stock-exchange investor-redressal and arbitration routes. That qualification is relevant when describing product types, complaint pathways and the client relationship.</w:t>
      </w:r>
    </w:p>
    <w:p w:rsidR="005F2FC4" w:rsidRDefault="00000000">
      <w:pPr>
        <w:jc w:val="both"/>
      </w:pPr>
      <w:r>
        <w:t xml:space="preserve">For a student report, use the exact institution relevant to a claim. A broker’s registration does not make it a bank, exchange, clearing corporation, depository or research analyst by default. A Pine Labs merchant-payment or prepaid product likewise should not be described as a securities-broking service.</w:t>
      </w:r>
    </w:p>
    <w:p w:rsidR="005F2FC4" w:rsidRDefault="00000000">
      <w:pPr>
        <w:keepNext/>
        <w:spacing w:before="80" w:after="60"/>
      </w:pPr>
      <w:bookmarkStart w:id="5030" w:name="_Rpt30"/>
      <w:r>
        <w:rPr>
          <w:b/>
          <w:sz w:val="20"/>
        </w:rPr>
        <w:t xml:space="preserve">Table 2.4. Market-infrastructure roles</w:t>
      </w:r>
      <w:bookmarkEnd w:id="5030"/>
    </w:p>
    <w:tbl>
      <w:tblPr>
        <w:tblW w:w="0" w:type="auto"/>
        <w:jc w:val="center"/>
        <w:tblLayout w:type="fixed"/>
        <w:tblLook w:val="04A0" w:firstRow="1" w:lastRow="0" w:firstColumn="1" w:lastColumn="0" w:noHBand="0" w:noVBand="1"/>
      </w:tblPr>
      <w:tblGrid>
        <w:gridCol w:w="2342"/>
        <w:gridCol w:w="3832"/>
        <w:gridCol w:w="3762"/>
      </w:tblGrid>
      <w:tr w:rsidR="005F2FC4">
        <w:trPr>
          <w:cantSplit/>
          <w:tblHeader/>
          <w:jc w:val="center"/>
        </w:trPr>
        <w:tc>
          <w:tcPr>
            <w:tcW w:w="234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Institution / role</w:t>
            </w:r>
          </w:p>
        </w:tc>
        <w:tc>
          <w:tcPr>
            <w:tcW w:w="38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Primary function</w:t>
            </w:r>
          </w:p>
        </w:tc>
        <w:tc>
          <w:tcPr>
            <w:tcW w:w="376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Analytical caution</w:t>
            </w:r>
          </w:p>
        </w:tc>
      </w:tr>
      <w:tr w:rsidR="005F2FC4">
        <w:trPr>
          <w:cantSplit/>
          <w:jc w:val="center"/>
        </w:trPr>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SEBI</w:t>
            </w:r>
          </w:p>
        </w:tc>
        <w:tc>
          <w:tcPr>
            <w:tcW w:w="38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Securities-market regulation and supervision.</w:t>
            </w:r>
          </w:p>
        </w:tc>
        <w:tc>
          <w:tcPr>
            <w:tcW w:w="376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Check the current regulation / circular, not an old summary.</w:t>
            </w:r>
          </w:p>
        </w:tc>
      </w:tr>
      <w:tr w:rsidR="005F2FC4">
        <w:trPr>
          <w:cantSplit/>
          <w:jc w:val="center"/>
        </w:trPr>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NSE / BSE</w:t>
            </w:r>
          </w:p>
        </w:tc>
        <w:tc>
          <w:tcPr>
            <w:tcW w:w="38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Trading venues and exchange rule administration.</w:t>
            </w:r>
          </w:p>
        </w:tc>
        <w:tc>
          <w:tcPr>
            <w:tcW w:w="376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broker routes; it does not itself operate the exchange.</w:t>
            </w:r>
          </w:p>
        </w:tc>
      </w:tr>
      <w:tr w:rsidR="005F2FC4">
        <w:trPr>
          <w:cantSplit/>
          <w:jc w:val="center"/>
        </w:trPr>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Clearing corporation</w:t>
            </w:r>
          </w:p>
        </w:tc>
        <w:tc>
          <w:tcPr>
            <w:tcW w:w="38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Clearing, net obligations and settlement processes.</w:t>
            </w:r>
          </w:p>
        </w:tc>
        <w:tc>
          <w:tcPr>
            <w:tcW w:w="376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Settlement rules differ by segment and cycle.</w:t>
            </w:r>
          </w:p>
        </w:tc>
      </w:tr>
      <w:tr w:rsidR="005F2FC4">
        <w:trPr>
          <w:cantSplit/>
          <w:jc w:val="center"/>
        </w:trPr>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NSDL / CDSL and DPs</w:t>
            </w:r>
          </w:p>
        </w:tc>
        <w:tc>
          <w:tcPr>
            <w:tcW w:w="38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Electronic securities records and investor account services.</w:t>
            </w:r>
          </w:p>
        </w:tc>
        <w:tc>
          <w:tcPr>
            <w:tcW w:w="376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not treat a demat account as a trading account.</w:t>
            </w:r>
          </w:p>
        </w:tc>
      </w:tr>
      <w:tr w:rsidR="005F2FC4">
        <w:trPr>
          <w:cantSplit/>
          <w:jc w:val="center"/>
        </w:trPr>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Broker / distributor</w:t>
            </w:r>
          </w:p>
        </w:tc>
        <w:tc>
          <w:tcPr>
            <w:tcW w:w="38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Client-facing broking or distribution, under applicable rules.</w:t>
            </w:r>
          </w:p>
        </w:tc>
        <w:tc>
          <w:tcPr>
            <w:tcW w:w="376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Different products can have different complaint routes.</w:t>
            </w:r>
          </w:p>
        </w:tc>
      </w:tr>
    </w:tbl>
    <w:p w:rsidR="005F2FC4" w:rsidRDefault="00000000">
      <w:pPr>
        <w:spacing w:before="40" w:after="140"/>
        <w:jc w:val="both"/>
      </w:pPr>
      <w:r>
        <w:rPr>
          <w:i/>
          <w:sz w:val="20"/>
        </w:rPr>
        <w:t xml:space="preserve">Source / method: SEBI investor education [19], NSE market pages [20–22] and Rosy Blue service description [16].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table is a safeguard against a frequent reporting error: describing an intermediary as though it performed the function of the institution it connects to. A broker routes orders but does not operate a trading venue; a depository participant maintains securities records but does not clear trades; a distributor sells a fund but is not the fund. The same discipline is applied to the case company in Chapter 4, where technology and processing services are distinguished from the licensed banking and issuing functions performed by its partners.</w:t>
            </w:r>
          </w:p>
        </w:tc>
      </w:tr>
    </w:tbl>
    <w:p w:rsidR="005F2FC4" w:rsidRDefault="00000000">
      <w:pPr>
        <w:pStyle w:val="Heading2"/>
      </w:pPr>
      <w:bookmarkStart w:id="5031" w:name="_Rpt31"/>
      <w:r>
        <w:t xml:space="preserve">2.9 Pine Labs and a securities broker: complementary, not identical models</w:t>
      </w:r>
      <w:bookmarkEnd w:id="5031"/>
    </w:p>
    <w:p w:rsidR="005F2FC4" w:rsidRDefault="00000000">
      <w:pPr>
        <w:jc w:val="both"/>
      </w:pPr>
      <w:r>
        <w:t xml:space="preserve">Pine Labs is analysed as a merchant and issuer-facing fintech platform. Its Digital Infrastructure and Transaction Platform includes acceptance, affordability and fintech infrastructure; its Issuing and Acquiring Platform includes prepaid issuance, processing and distribution. The company earns a mix of subscription, transaction / processing, distribution and other product-related income under its disclosed accounting and KPI definitions. GTV is a platform activity measure, not revenue.</w:t>
      </w:r>
    </w:p>
    <w:p w:rsidR="005F2FC4" w:rsidRDefault="00000000">
      <w:pPr>
        <w:jc w:val="both"/>
      </w:pPr>
      <w:r>
        <w:t xml:space="preserve">Rosy Blue Securities’ public website describes stock broking across exchange segments and mutual-fund distribution. A brokerage business typically facilitates orders and related services; the firm’s revenue, customer mix and financial performance are not analysed here because this study relies on public information. Any brokerage, commission, distribution or client-fee terms must be taken from official disclosures and agreements rather than assumed.</w:t>
      </w:r>
    </w:p>
    <w:p w:rsidR="005F2FC4" w:rsidRDefault="00000000">
      <w:pPr>
        <w:jc w:val="both"/>
      </w:pPr>
      <w:r>
        <w:t xml:space="preserve">The comparison is useful because both models depend on trusted digital workflows and regulated counterparties, but the customer proposition, settlement process, revenue recognition and primary risks differ. A stockbroker’s client order flow is not comparable with a payments platform’s GTV, and neither metric should be used as a substitute for recognised revenue.</w:t>
      </w:r>
    </w:p>
    <w:p w:rsidR="005F2FC4" w:rsidRDefault="00000000">
      <w:pPr>
        <w:keepNext/>
        <w:spacing w:before="80" w:after="60"/>
      </w:pPr>
      <w:bookmarkStart w:id="5032" w:name="_Rpt32"/>
      <w:r>
        <w:rPr>
          <w:b/>
          <w:sz w:val="20"/>
        </w:rPr>
        <w:t xml:space="preserve">Table 2.5. Conceptual business-model contrast</w:t>
      </w:r>
      <w:bookmarkEnd w:id="5032"/>
    </w:p>
    <w:tbl>
      <w:tblPr>
        <w:tblW w:w="0" w:type="auto"/>
        <w:jc w:val="center"/>
        <w:tblLayout w:type="fixed"/>
        <w:tblLook w:val="04A0" w:firstRow="1" w:lastRow="0" w:firstColumn="1" w:lastColumn="0" w:noHBand="0" w:noVBand="1"/>
      </w:tblPr>
      <w:tblGrid>
        <w:gridCol w:w="1774"/>
        <w:gridCol w:w="4116"/>
        <w:gridCol w:w="4046"/>
      </w:tblGrid>
      <w:tr w:rsidR="005F2FC4">
        <w:trPr>
          <w:cantSplit/>
          <w:tblHeader/>
          <w:jc w:val="center"/>
        </w:trPr>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41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Pine Labs case company</w:t>
            </w:r>
          </w:p>
        </w:tc>
        <w:tc>
          <w:tcPr>
            <w:tcW w:w="404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Rosy Blue Securities profile</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Core activity</w:t>
            </w:r>
          </w:p>
        </w:tc>
        <w:tc>
          <w:tcPr>
            <w:tcW w:w="41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 / issuer technology and processing platform.</w:t>
            </w:r>
          </w:p>
        </w:tc>
        <w:tc>
          <w:tcPr>
            <w:tcW w:w="404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Publicly stated stock broking and fund distribution.</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Activity measure</w:t>
            </w:r>
          </w:p>
        </w:tc>
        <w:tc>
          <w:tcPr>
            <w:tcW w:w="41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Platform GTV, transactions, DCPs and prepaid issuance.</w:t>
            </w:r>
          </w:p>
        </w:tc>
        <w:tc>
          <w:tcPr>
            <w:tcW w:w="404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Client order flow and traded volumes (not analysed in this report).</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lens</w:t>
            </w:r>
          </w:p>
        </w:tc>
        <w:tc>
          <w:tcPr>
            <w:tcW w:w="41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Subscriptions, processing, distribution and other disclosed lines.</w:t>
            </w:r>
          </w:p>
        </w:tc>
        <w:tc>
          <w:tcPr>
            <w:tcW w:w="404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Broking and distribution income (not analysed in this report).</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Risk lens</w:t>
            </w:r>
          </w:p>
        </w:tc>
        <w:tc>
          <w:tcPr>
            <w:tcW w:w="41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Platform, counterparties, payment operations and monetisation.</w:t>
            </w:r>
          </w:p>
        </w:tc>
        <w:tc>
          <w:tcPr>
            <w:tcW w:w="404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Order handling, market, client-asset and settlement controls.</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Comparison rule</w:t>
            </w:r>
          </w:p>
        </w:tc>
        <w:tc>
          <w:tcPr>
            <w:tcW w:w="41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not equate GTV with revenue.</w:t>
            </w:r>
          </w:p>
        </w:tc>
        <w:tc>
          <w:tcPr>
            <w:tcW w:w="404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not infer broker financials from Pine Labs data.</w:t>
            </w:r>
          </w:p>
        </w:tc>
      </w:tr>
    </w:tbl>
    <w:p w:rsidR="005F2FC4" w:rsidRDefault="00000000">
      <w:pPr>
        <w:spacing w:before="40" w:after="140"/>
        <w:jc w:val="both"/>
      </w:pPr>
      <w:r>
        <w:rPr>
          <w:i/>
          <w:sz w:val="20"/>
        </w:rPr>
        <w:t xml:space="preserve">Source / method: Pine Labs public disclosures [1,3,5,6]; Rosy Blue official service profile [16].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two businesses rhyme without matching. Both depend on reliable digital workflows, regulated counterparties and accurate settlement, and both are measured publicly by an activity number that is not revenue — traded volume for the broker, gross transaction value for the platform. The difference is where the economics sit. A broker’s income is tied to the act of transacting; a payments platform earns through a mixture of subscription, processing and service fees that are only loosely related to the value carried. Treating either activity measure as turnover would overstate both businesses by orders of magnitude.</w:t>
            </w:r>
          </w:p>
        </w:tc>
      </w:tr>
    </w:tbl>
    <w:p w:rsidR="005F2FC4" w:rsidRDefault="00000000">
      <w:pPr>
        <w:pStyle w:val="Heading2"/>
      </w:pPr>
      <w:bookmarkStart w:id="5033" w:name="_Rpt33"/>
      <w:r>
        <w:t xml:space="preserve">2.10 Skills developed during the internship</w:t>
      </w:r>
      <w:bookmarkEnd w:id="5033"/>
    </w:p>
    <w:p w:rsidR="005F2FC4" w:rsidRDefault="00000000">
      <w:pPr>
        <w:keepNext/>
        <w:spacing w:before="80" w:after="60"/>
      </w:pPr>
      <w:bookmarkStart w:id="5034" w:name="_Rpt34"/>
      <w:r>
        <w:rPr>
          <w:b/>
          <w:sz w:val="20"/>
        </w:rPr>
        <w:t xml:space="preserve">Table 2.6. Skills developed during the internship</w:t>
      </w:r>
      <w:bookmarkEnd w:id="5034"/>
    </w:p>
    <w:tbl>
      <w:tblPr>
        <w:tblW w:w="0" w:type="auto"/>
        <w:jc w:val="center"/>
        <w:tblLayout w:type="fixed"/>
        <w:tblLook w:val="04A0" w:firstRow="1" w:lastRow="0" w:firstColumn="1" w:lastColumn="0" w:noHBand="0" w:noVBand="1"/>
      </w:tblPr>
      <w:tblGrid>
        <w:gridCol w:w="3000"/>
        <w:gridCol w:w="6936"/>
      </w:tblGrid>
      <w:tr w:rsidR="005F2FC4">
        <w:trPr>
          <w:cantSplit/>
          <w:tblHeader/>
          <w:jc w:val="center"/>
        </w:trPr>
        <w:tc>
          <w:tcPr>
            <w:tcW w:w="30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Skill</w:t>
            </w:r>
          </w:p>
        </w:tc>
        <w:tc>
          <w:tcPr>
            <w:tcW w:w="6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How it was developed</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Trading-terminal operation</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Order entry and monitoring on NEAT PLUS and CTCL.</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Market knowledge</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Working in the cash market and the F&amp;O market.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Option-trading strategies</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Learning how option positions are structured for different market views.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Chart reading</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Using trading charts to follow price movement and price levels.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Communication</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Taking clients’ instructions and confirming order status.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Client relationship management</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Handling the day-to-day trading needs of clients.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Quick decision-making</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Placing and managing trades in live markets.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Fundamental analysis</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EIC, company analysis and business analysis.</w:t>
            </w:r>
          </w:p>
        </w:tc>
      </w:tr>
    </w:tbl>
    <w:p w:rsidR="005F2FC4" w:rsidRDefault="00000000">
      <w:pPr>
        <w:spacing w:before="40" w:after="140"/>
        <w:jc w:val="both"/>
      </w:pPr>
      <w:r>
        <w:rPr>
          <w:i/>
          <w:sz w:val="20"/>
        </w:rPr>
        <w:t xml:space="preserve">Source / note: Author’s record of the internship period, 12 May 2026 to 13 August 2026.</w:t>
      </w:r>
    </w:p>
    <w:p w:rsidR="005F2FC4" w:rsidRDefault="00000000">
      <w:pPr>
        <w:jc w:val="both"/>
      </w:pPr>
      <w:r>
        <w:t xml:space="preserve">The analyst-side learning is applied directly in this report, and the dealer-side understanding of how shares trade on the exchange supports the listed-market snapshot in Section 5.29.</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skills divide into two groups that this report uses differently. The execution skills — terminal operation, order monitoring, client confirmation and quick decision-making under live market conditions — inform Chapter 2 and the market-infrastructure discussion. The analytical skills — the EIC sequence, company analysis and business analysis — are what Chapters 3 to 5 actually apply. The internship is therefore evidenced in this report by method rather than only by description.</w:t>
            </w:r>
          </w:p>
        </w:tc>
      </w:tr>
    </w:tbl>
    <w:p w:rsidR="005F2FC4" w:rsidRDefault="00000000">
      <w:pPr>
        <w:pStyle w:val="Heading2"/>
      </w:pPr>
      <w:bookmarkStart w:id="5035" w:name="_Rpt35"/>
      <w:r>
        <w:t xml:space="preserve">2.11 Learning outcomes evidenced by this research</w:t>
      </w:r>
      <w:bookmarkEnd w:id="5035"/>
    </w:p>
    <w:p w:rsidR="005F2FC4" w:rsidRDefault="00000000">
      <w:pPr>
        <w:jc w:val="both"/>
      </w:pPr>
      <w:r>
        <w:t xml:space="preserve">Internship at Rosy Blue Securities Pvt. Ltd. as Dealer and Analyst; Pine Labs as the case company</w:t>
      </w:r>
    </w:p>
    <w:p w:rsidR="005F2FC4" w:rsidRDefault="00000000">
      <w:pPr>
        <w:jc w:val="both"/>
      </w:pPr>
      <w:r>
        <w:t xml:space="preserve">This report combines a public-data company-research study of Pine Labs with my internship at Rosy Blue Securities Pvt. Ltd., where I worked as a Dealer and as an Analyst (see Chapter 2). The two organisations are distinct: Pine Labs is the fintech case company, while Rosy Blue Securities is the firm where I interned. The EIC and company-analysis approach learned in the analyst role is applied in the Pine Labs study, and the dealing-desk experience in the cash and F&amp;O markets supports the understanding of exchange trading used in the listed-market snapshot.</w:t>
      </w:r>
    </w:p>
    <w:p w:rsidR="005F2FC4" w:rsidRDefault="00000000">
      <w:pPr>
        <w:keepNext/>
        <w:spacing w:before="80" w:after="60"/>
      </w:pPr>
      <w:bookmarkStart w:id="5036" w:name="_Rpt36"/>
      <w:r>
        <w:rPr>
          <w:b/>
          <w:sz w:val="20"/>
        </w:rPr>
        <w:t xml:space="preserve">Table 2.7. Learning outcomes evidenced by this research</w:t>
      </w:r>
      <w:bookmarkEnd w:id="5036"/>
    </w:p>
    <w:tbl>
      <w:tblPr>
        <w:tblW w:w="0" w:type="auto"/>
        <w:jc w:val="center"/>
        <w:tblLayout w:type="fixed"/>
        <w:tblLook w:val="04A0" w:firstRow="1" w:lastRow="0" w:firstColumn="1" w:lastColumn="0" w:noHBand="0" w:noVBand="1"/>
      </w:tblPr>
      <w:tblGrid>
        <w:gridCol w:w="2448"/>
        <w:gridCol w:w="7488"/>
      </w:tblGrid>
      <w:tr w:rsidR="005F2FC4">
        <w:trPr>
          <w:cantSplit/>
          <w:tblHeader/>
          <w:jc w:val="center"/>
        </w:trPr>
        <w:tc>
          <w:tcPr>
            <w:tcW w:w="24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Learning area</w:t>
            </w:r>
          </w:p>
        </w:tc>
        <w:tc>
          <w:tcPr>
            <w:tcW w:w="74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Application in the report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Financial statement analysis</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Separated restated prospectus comparatives, audited FY26 results, and interim Q1 FY27 results; reconciled key reported and calculated measures.</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Fintech business understanding</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Mapped rails, banks, merchants, payment processing, issuing, prepaid and affordability relationships.</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Working-capital analysis</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Interpreted cash-flow volatility in the context of settlement, prepaid-card liabilities, bank balances and early settlement.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Strategic frameworks</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Applied PESTLE, Porter’s Five Forces and SWOT as qualitative tools, with ratings identified as author judgement.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Valuation and ethics</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Calculated dated multiples with a rounded share-count proxy, disclosed mixed-date limitations and avoided an unsupported price target.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Research communication</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Cited source documents, documented assumptions, constructed tables / charts and identified evidence gaps.</w:t>
            </w:r>
          </w:p>
        </w:tc>
      </w:tr>
    </w:tbl>
    <w:p w:rsidR="005F2FC4" w:rsidRDefault="00000000">
      <w:pPr>
        <w:spacing w:before="40" w:after="140"/>
        <w:jc w:val="both"/>
      </w:pPr>
      <w:r>
        <w:rPr>
          <w:i/>
          <w:sz w:val="20"/>
        </w:rPr>
        <w:t xml:space="preserve">Source / note: Author’s mapping of internship learning to the analytical content of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two organisations are kept distinct throughout. Rosy Blue Securities Pvt. Ltd. is the internship host and is described from its public service profile; Pine Labs Limited is the research case and is analysed from its own filings. No financial information about the host is presented, and no client, account or confidential desk information appears anywhere in this report.</w:t>
            </w:r>
          </w:p>
        </w:tc>
      </w:tr>
    </w:tbl>
    <w:p w:rsidR="005F2FC4" w:rsidRDefault="00000000">
      <w:pPr>
        <w:pStyle w:val="Heading2"/>
      </w:pPr>
      <w:bookmarkStart w:id="5037" w:name="_Rpt37"/>
      <w:r>
        <w:t xml:space="preserve">2.12 Internship particulars</w:t>
      </w:r>
      <w:bookmarkEnd w:id="5037"/>
    </w:p>
    <w:p w:rsidR="005F2FC4" w:rsidRDefault="00000000">
      <w:pPr>
        <w:jc w:val="both"/>
      </w:pPr>
      <w:r>
        <w:t xml:space="preserve">The internship was undertaken at Rosy Blue Securities Pvt. Ltd. in the roles of Dealer and Analyst. Client identities, account details and confidential data are not disclosed in this report.</w:t>
      </w:r>
    </w:p>
    <w:p w:rsidR="005F2FC4" w:rsidRDefault="00000000">
      <w:pPr>
        <w:keepNext/>
        <w:spacing w:before="80" w:after="60"/>
      </w:pPr>
      <w:bookmarkStart w:id="5038" w:name="_Rpt38"/>
      <w:r>
        <w:rPr>
          <w:b/>
          <w:sz w:val="20"/>
        </w:rPr>
        <w:t xml:space="preserve">Table 2.8. Internship summary</w:t>
      </w:r>
      <w:bookmarkEnd w:id="5038"/>
    </w:p>
    <w:tbl>
      <w:tblPr>
        <w:tblW w:w="0" w:type="auto"/>
        <w:jc w:val="center"/>
        <w:tblLayout w:type="fixed"/>
        <w:tblLook w:val="04A0" w:firstRow="1" w:lastRow="0" w:firstColumn="1" w:lastColumn="0" w:noHBand="0" w:noVBand="1"/>
      </w:tblPr>
      <w:tblGrid>
        <w:gridCol w:w="3168"/>
        <w:gridCol w:w="6768"/>
      </w:tblGrid>
      <w:tr w:rsidR="005F2FC4">
        <w:trPr>
          <w:cantSplit/>
          <w:tblHeader/>
          <w:jc w:val="center"/>
        </w:trPr>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Field</w:t>
            </w:r>
          </w:p>
        </w:tc>
        <w:tc>
          <w:tcPr>
            <w:tcW w:w="67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Details</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Host organisation</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Rosy Blue Securities Pvt. Ltd.</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Internship dates</w:t>
            </w:r>
          </w:p>
        </w:tc>
        <w:tc>
          <w:tcPr>
            <w:tcW w:w="6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 May 2026 to 13 Aug 2026</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Roles</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Dealer and Analyst</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Trading terminals</w:t>
            </w:r>
          </w:p>
        </w:tc>
        <w:tc>
          <w:tcPr>
            <w:tcW w:w="6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NEAT PLUS and CTCL</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Key duties</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Client trading in the cash and F&amp;O markets; EIC, company and business analysis (see Chapter 2)</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Certificate</w:t>
            </w:r>
          </w:p>
        </w:tc>
        <w:tc>
          <w:tcPr>
            <w:tcW w:w="6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Internship / experience certificate placed at the front of this report</w:t>
            </w:r>
          </w:p>
        </w:tc>
      </w:tr>
    </w:tbl>
    <w:p w:rsidR="005F2FC4" w:rsidRDefault="00000000">
      <w:pPr>
        <w:spacing w:before="40" w:after="140"/>
        <w:jc w:val="both"/>
      </w:pPr>
      <w:r>
        <w:rPr>
          <w:i/>
          <w:sz w:val="20"/>
        </w:rPr>
        <w:t xml:space="preserve">Source / note: Internship record. Client identities, account details and confidential data are not disclosed in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internship ran from 12 May 2026 to 13 August 2026 across two roles and two market segments, using the NEAT PLUS and CTCL terminals. The duties recorded — order placement and monitoring, client communication and EIC-based company and business analysis — map directly onto the two halves of this report: the market-infrastructure material in Chapter 2 and the company analysis in Chapters 4 and 5.</w:t>
            </w:r>
          </w:p>
        </w:tc>
      </w:tr>
    </w:tbl>
    <w:p w:rsidR="005F2FC4" w:rsidRDefault="00000000">
      <w:pPr>
        <w:pageBreakBefore/>
        <w:keepNext/>
        <w:spacing w:before="120" w:after="160" w:line="240" w:lineRule="auto"/>
        <w:jc w:val="center"/>
      </w:pPr>
      <w:bookmarkStart w:id="5039" w:name="_Rpt39"/>
      <w:r>
        <w:rPr>
          <w:b/>
          <w:bCs/>
          <w:sz w:val="28"/>
          <w:szCs w:val="28"/>
        </w:rPr>
        <w:t xml:space="preserve">CHAPTER 3</w:t>
      </w:r>
      <w:bookmarkEnd w:id="5039"/>
    </w:p>
    <w:p w:rsidR="005F2FC4" w:rsidRDefault="00000000">
      <w:pPr>
        <w:pStyle w:val="Heading1"/>
      </w:pPr>
      <w:r>
        <w:t xml:space="preserve">Theoretical Framework: Indian Fintech and Digital Payments</w:t>
      </w:r>
    </w:p>
    <w:p w:rsidR="005F2FC4" w:rsidRDefault="00000000">
      <w:pPr>
        <w:spacing w:after="160"/>
      </w:pPr>
      <w:r>
        <w:rPr>
          <w:i/>
          <w:sz w:val="20"/>
        </w:rPr>
        <w:t xml:space="preserve">Industry structure, system scale, value-chain economics, external conditions, competitive forces and the rules that govern them</w:t>
      </w:r>
    </w:p>
    <w:p w:rsidR="005F2FC4" w:rsidRDefault="00000000">
      <w:pPr>
        <w:pStyle w:val="Heading2"/>
      </w:pPr>
      <w:bookmarkStart w:id="5040" w:name="_Rpt40"/>
      <w:r>
        <w:t xml:space="preserve">3.1 Introduction to the framework</w:t>
      </w:r>
      <w:bookmarkEnd w:id="5040"/>
    </w:p>
    <w:p w:rsidR="005F2FC4" w:rsidRDefault="00000000">
      <w:pPr>
        <w:jc w:val="both"/>
      </w:pPr>
      <w:r>
        <w:t xml:space="preserve">This chapter builds the industry and conceptual framework against which the case company is assessed. It proceeds from structure to scale, from scale to economics, and from economics to the external and competitive forces that determine how much of the value created in the chain any single participant can retain. The chapter closes with the technology, regulatory and consumer-protection conditions that constrain every firm in the industry, including the internship host.</w:t>
      </w:r>
    </w:p>
    <w:p w:rsidR="005F2FC4" w:rsidRDefault="00000000">
      <w:pPr>
        <w:jc w:val="both"/>
      </w:pPr>
      <w:r>
        <w:t xml:space="preserve">The framework matters because digital payments is an industry in which volume growth and profit growth are only loosely connected. A participant can process a very large and rapidly rising value of transactions while earning a small and falling fee on each one. Establishing that proposition at the industry level, before examining any company figure, is what allows Chapter 5 to interpret the case company’s numbers rather than merely report them.</w:t>
      </w:r>
    </w:p>
    <w:p w:rsidR="005F2FC4" w:rsidRDefault="00000000">
      <w:pPr>
        <w:pStyle w:val="Heading2"/>
      </w:pPr>
      <w:bookmarkStart w:id="5041" w:name="_Rpt41"/>
      <w:r>
        <w:t xml:space="preserve">3.2 Industry structure and the payments value chain</w:t>
      </w:r>
      <w:bookmarkEnd w:id="5041"/>
    </w:p>
    <w:p w:rsidR="005F2FC4" w:rsidRDefault="00000000">
      <w:pPr>
        <w:jc w:val="both"/>
      </w:pPr>
      <w:r>
        <w:t xml:space="preserve">Digital payments are delivered through a chain rather than a single provider. RBI and other authorities set rules and supervise relevant entities; NPCI and card networks provide payment rails; banks and regulated acquirers/issuers hold customer relationships and settlement obligations; technology firms provide gateways, terminal software, orchestration, fraud controls, reconciliation, stored-value programme processing and merchant tools. Pine Labs can participate in several layers through different group entities and contracts.</w:t>
      </w:r>
    </w:p>
    <w:p w:rsidR="005F2FC4" w:rsidRDefault="00000000">
      <w:pPr>
        <w:keepNext/>
        <w:spacing w:before="80" w:after="60"/>
      </w:pPr>
      <w:bookmarkStart w:id="5042" w:name="_Rpt42"/>
      <w:r>
        <w:rPr>
          <w:b/>
          <w:sz w:val="20"/>
        </w:rPr>
        <w:t xml:space="preserve">Table 3.1. Simplified digital-payments value chain</w:t>
      </w:r>
      <w:bookmarkEnd w:id="5042"/>
    </w:p>
    <w:tbl>
      <w:tblPr>
        <w:tblW w:w="0" w:type="auto"/>
        <w:jc w:val="center"/>
        <w:tblLayout w:type="fixed"/>
        <w:tblLook w:val="04A0" w:firstRow="1" w:lastRow="0" w:firstColumn="1" w:lastColumn="0" w:noHBand="0" w:noVBand="1"/>
      </w:tblPr>
      <w:tblGrid>
        <w:gridCol w:w="2088"/>
        <w:gridCol w:w="3816"/>
        <w:gridCol w:w="403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Layer</w:t>
            </w:r>
          </w:p>
        </w:tc>
        <w:tc>
          <w:tcPr>
            <w:tcW w:w="38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Typical participants / function</w:t>
            </w:r>
          </w:p>
        </w:tc>
        <w:tc>
          <w:tcPr>
            <w:tcW w:w="40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Pine Labs relevance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Rules and rails</w:t>
            </w:r>
          </w:p>
        </w:tc>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RBI, NPCI systems, card networks; standards, settlement and oversight</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integrates to rails and regulated partners; compliance obligations vary by activity.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Issuers and acquirers</w:t>
            </w:r>
          </w:p>
        </w:tc>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Banks / licensed entities; customer accounts, card issuance, merchant acquiring and settlement</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supplies technology, processing, acceptance and programme services.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Technology and orchestration</w:t>
            </w:r>
          </w:p>
        </w:tc>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POS / checkout software, gateway, routing, tokens, reconciliation, APIs, fraud tools</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Core merchant and fintech infrastructure layer; multiple fee models.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Merchants, brands and users</w:t>
            </w:r>
          </w:p>
        </w:tc>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Retailers, e-commerce businesses, brands, employers and end customers</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Customers, acceptance locations, programme sponsors and payment users.</w:t>
            </w:r>
          </w:p>
        </w:tc>
      </w:tr>
    </w:tbl>
    <w:p w:rsidR="005F2FC4" w:rsidRDefault="00000000">
      <w:pPr>
        <w:spacing w:before="40" w:after="140"/>
        <w:jc w:val="both"/>
      </w:pPr>
      <w:r>
        <w:rPr>
          <w:i/>
          <w:sz w:val="20"/>
        </w:rPr>
        <w:t xml:space="preserve">Source / note: Illustrative market map; exact regulatory responsibility follows each contracted entity and product. [1,9]</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value chain shows where economic power sits. Rules and rails are set by public institutions and networks and are not a source of competitive advantage for any technology provider. Issuing and acquiring are licensed activities that require a balance sheet and regulatory permission. The technology and orchestration layer, where the case company operates, is the least capital-intensive and the most contestable: entry is possible with software, but durable advantage requires integration depth, reliability and switching costs rather than price. The merchant layer holds the customer relationship and can therefore bargain.</w:t>
            </w:r>
          </w:p>
        </w:tc>
      </w:tr>
    </w:tbl>
    <w:p w:rsidR="005F2FC4" w:rsidRDefault="00000000">
      <w:pPr>
        <w:pStyle w:val="Heading2"/>
      </w:pPr>
      <w:bookmarkStart w:id="5043" w:name="_Rpt43"/>
      <w:r>
        <w:t xml:space="preserve">3.3 Market scale and current system indicators</w:t>
      </w:r>
      <w:bookmarkEnd w:id="5043"/>
    </w:p>
    <w:p w:rsidR="005F2FC4" w:rsidRDefault="00000000">
      <w:pPr>
        <w:jc w:val="both"/>
      </w:pPr>
      <w:r>
        <w:t xml:space="preserve">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rsidR="005F2FC4" w:rsidRDefault="00000000">
      <w:pPr>
        <w:jc w:val="both"/>
      </w:pPr>
      <w:r>
        <w:t xml:space="preserve">NPCI’s UPI statistics report monthly UPI volume of 24,508.96 million and transaction value of ₹29,82,355.95 crore for August 2026. The series is cited as an indicator of UPI scale, not as a direct addressable-market denominator for Pine Labs. [10]</w:t>
      </w:r>
    </w:p>
    <w:p w:rsidR="005F2FC4" w:rsidRDefault="00000000">
      <w:pPr>
        <w:keepNext/>
        <w:spacing w:before="80" w:after="60"/>
      </w:pPr>
      <w:bookmarkStart w:id="5044" w:name="_Rpt44"/>
      <w:r>
        <w:rPr>
          <w:b/>
          <w:sz w:val="20"/>
        </w:rPr>
        <w:t xml:space="preserve">Table 3.2. Industry indicators and interpretation</w:t>
      </w:r>
      <w:bookmarkEnd w:id="5044"/>
    </w:p>
    <w:tbl>
      <w:tblPr>
        <w:tblW w:w="0" w:type="auto"/>
        <w:jc w:val="center"/>
        <w:tblLayout w:type="fixed"/>
        <w:tblLook w:val="04A0" w:firstRow="1" w:lastRow="0" w:firstColumn="1" w:lastColumn="0" w:noHBand="0" w:noVBand="1"/>
      </w:tblPr>
      <w:tblGrid>
        <w:gridCol w:w="2232"/>
        <w:gridCol w:w="3096"/>
        <w:gridCol w:w="4608"/>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Indicator</w:t>
            </w:r>
          </w:p>
        </w:tc>
        <w:tc>
          <w:tcPr>
            <w:tcW w:w="309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Published value</w:t>
            </w:r>
          </w:p>
        </w:tc>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 / caveat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Digital payments, H2 2025</w:t>
            </w:r>
          </w:p>
        </w:tc>
        <w:tc>
          <w:tcPr>
            <w:tcW w:w="30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14,242 crore transactions; ₹1,608 lakh crore value</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RBI system-wide measure; includes multiple instruments and participants, not comparable one-for-one with Pine Labs annual GTV.</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UPI, August 2026</w:t>
            </w:r>
          </w:p>
        </w:tc>
        <w:tc>
          <w:tcPr>
            <w:tcW w:w="30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24,508.96 million transactions; ₹29,82,355.95 crore</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NPCI monthly UPI statistic; highlights network scale, not fee pool or Pine Labs revenue.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Pine Labs platform, FY26</w:t>
            </w:r>
          </w:p>
        </w:tc>
        <w:tc>
          <w:tcPr>
            <w:tcW w:w="30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 lakh crore GTV; 740.37 crore transactions</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Issuer-reported platform activity across its own definition; not a market share calculation.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Pine Labs Q1 FY27</w:t>
            </w:r>
          </w:p>
        </w:tc>
        <w:tc>
          <w:tcPr>
            <w:tcW w:w="30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₹4.22 lakh crore platform GTV; 201 crore transactions</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period; do not compare with annual industry totals without normalising period and scope.</w:t>
            </w:r>
          </w:p>
        </w:tc>
      </w:tr>
    </w:tbl>
    <w:p w:rsidR="005F2FC4" w:rsidRDefault="00000000">
      <w:pPr>
        <w:spacing w:before="40" w:after="140"/>
        <w:jc w:val="both"/>
      </w:pPr>
      <w:r>
        <w:rPr>
          <w:i/>
          <w:sz w:val="20"/>
        </w:rPr>
        <w:t xml:space="preserve">Source / note: RBI, NPCI and company sources [3,5,6,9,10]. Figures are deliberately not converted into a market-share estimate because definitions overlap and differ.</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Three readings follow from the table. First, the system is very large and still compounding, which supports the view that the addressable opportunity is not the constraint on any individual firm. Second, the measures are not additive and not directly comparable: regulator, network and company figures count different things over different periods, so no market share is calculated here. Third, the company’s own platform activity is substantial in absolute terms, which is precisely why the revenue earned on that activity, examined in Section 5.21, is the more informative number.</w:t>
            </w:r>
          </w:p>
        </w:tc>
      </w:tr>
    </w:tbl>
    <w:p w:rsidR="005F2FC4" w:rsidRDefault="00000000">
      <w:pPr>
        <w:pStyle w:val="Heading2"/>
      </w:pPr>
      <w:bookmarkStart w:id="5045" w:name="_Rpt45"/>
      <w:r>
        <w:t xml:space="preserve">3.4 System scale and interpretation in detail</w:t>
      </w:r>
      <w:bookmarkEnd w:id="5045"/>
    </w:p>
    <w:p w:rsidR="005F2FC4" w:rsidRDefault="00000000">
      <w:pPr>
        <w:jc w:val="both"/>
      </w:pPr>
      <w:r>
        <w:t xml:space="preserve">The RBI’s Payment System Report for December 2025 records 14,242 crore digital-payment transactions worth about ₹1,608 lakh crore in the second half of calendar 2025. NPCI’s August 2026 UPI statistics report 24,508.96 million UPI transactions with value of ₹29,82,355.95 crore. The two figures are different windows and different scopes: the RBI total covers digital-payment systems, while the NPCI figure is a monthly UPI series.</w:t>
      </w:r>
    </w:p>
    <w:p w:rsidR="005F2FC4" w:rsidRDefault="00000000">
      <w:pPr>
        <w:jc w:val="both"/>
      </w:pPr>
      <w:r>
        <w:t xml:space="preserve">Dividing total value by transaction count gives a rough average value per transaction—about ₹11,290 for the RBI half-year aggregate and around ₹1,217 for UPI in August 2026. This is only an arithmetic average. It does not represent the typical consumer purchase, because the population includes transactions of very different sizes, use cases and rails.</w:t>
      </w:r>
    </w:p>
    <w:p w:rsidR="005F2FC4" w:rsidRDefault="00000000">
      <w:pPr>
        <w:jc w:val="both"/>
      </w:pPr>
      <w:r>
        <w:t xml:space="preserve">These numbers illustrate the addressable infrastructure opportunity, not Pine Labs’ market share or revenue. A market statistic should not be multiplied by a company share without a compatible product scope, period and reliable share measure. The growth of UPI is also not evidence that every payment is monetisable by one processor.</w:t>
      </w:r>
    </w:p>
    <w:p w:rsidR="005F2FC4" w:rsidRDefault="00000000">
      <w:pPr>
        <w:keepNext/>
        <w:spacing w:before="80" w:after="60"/>
      </w:pPr>
      <w:bookmarkStart w:id="5046" w:name="_Rpt46"/>
      <w:r>
        <w:rPr>
          <w:b/>
          <w:sz w:val="20"/>
        </w:rPr>
        <w:t xml:space="preserve">Table 3.3. Public payment-system indicators</w:t>
      </w:r>
      <w:bookmarkEnd w:id="5046"/>
    </w:p>
    <w:tbl>
      <w:tblPr>
        <w:tblW w:w="0" w:type="auto"/>
        <w:jc w:val="center"/>
        <w:tblLayout w:type="fixed"/>
        <w:tblLook w:val="04A0" w:firstRow="1" w:lastRow="0" w:firstColumn="1" w:lastColumn="0" w:noHBand="0" w:noVBand="1"/>
      </w:tblPr>
      <w:tblGrid>
        <w:gridCol w:w="2555"/>
        <w:gridCol w:w="1986"/>
        <w:gridCol w:w="2200"/>
        <w:gridCol w:w="3195"/>
      </w:tblGrid>
      <w:tr w:rsidR="005F2FC4">
        <w:trPr>
          <w:cantSplit/>
          <w:tblHeader/>
          <w:jc w:val="center"/>
        </w:trPr>
        <w:tc>
          <w:tcPr>
            <w:tcW w:w="255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Series / period</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Transactions</w:t>
            </w:r>
          </w:p>
        </w:tc>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319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RBI digital payments, H2 2025</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14,242 crore</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₹1,608 lakh crore</w:t>
            </w:r>
          </w:p>
        </w:tc>
        <w:tc>
          <w:tcPr>
            <w:tcW w:w="31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All reported digital-payment systems in the RBI series.</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NPCI UPI, Aug 2026</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24,508.96 million</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₹29,82,355.95 crore</w:t>
            </w:r>
          </w:p>
        </w:tc>
        <w:tc>
          <w:tcPr>
            <w:tcW w:w="319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Monthly UPI series; one payment rail.</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Average value / transaction</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Derived: ~₹11,290</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Derived: ~₹1,217</w:t>
            </w:r>
          </w:p>
        </w:tc>
        <w:tc>
          <w:tcPr>
            <w:tcW w:w="31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Simple aggregate arithmetic; not a consumer ticket-size forecast.</w:t>
            </w:r>
          </w:p>
        </w:tc>
      </w:tr>
    </w:tbl>
    <w:p w:rsidR="005F2FC4" w:rsidRDefault="00000000">
      <w:pPr>
        <w:spacing w:before="40" w:after="140"/>
        <w:jc w:val="both"/>
      </w:pPr>
      <w:r>
        <w:rPr>
          <w:i/>
          <w:sz w:val="20"/>
        </w:rPr>
        <w:t xml:space="preserve">Source / method: RBI Payment System Report, December 2025 [9]; NPCI UPI Product Statistics [10]. Derived average values are author calculations.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average-value-per-transaction arithmetic is the most useful discipline in this table. A payment system whose average ticket size is falling is a system in which low-value, high-frequency transactions are growing fastest. For a fee-earning participant that is a mixed signal: transaction counts rise, but the revenue opportunity per transaction typically falls, and the cost of processing does not fall proportionately. This is the industry-level explanation for the declining revenue-to-GTV proxy observed for the case company in Section 5.21.</w:t>
            </w:r>
          </w:p>
        </w:tc>
      </w:tr>
    </w:tbl>
    <w:p w:rsidR="005F2FC4" w:rsidRDefault="00000000">
      <w:pPr>
        <w:pStyle w:val="Heading2"/>
      </w:pPr>
      <w:bookmarkStart w:id="5047" w:name="_Rpt47"/>
      <w:r>
        <w:t xml:space="preserve">3.5 Industry economics and value creation</w:t>
      </w:r>
      <w:bookmarkEnd w:id="5047"/>
    </w:p>
    <w:p w:rsidR="005F2FC4" w:rsidRDefault="00000000">
      <w:pPr>
        <w:pStyle w:val="ListBullet"/>
        <w:spacing w:after="50"/>
        <w:ind w:left="317" w:hanging="202"/>
        <w:jc w:val="both"/>
      </w:pPr>
      <w:r>
        <w:rPr>
          <w:b/>
        </w:rPr>
        <w:t xml:space="preserve">Transaction scale is an input, not monetization. Routing a ₹1,000 payment does not mean ₹1,000 of revenue. The platform recognizes only contractual subscription, processing, value-linked or other service fees.</w:t>
      </w:r>
    </w:p>
    <w:p w:rsidR="005F2FC4" w:rsidRDefault="00000000">
      <w:pPr>
        <w:pStyle w:val="ListBullet"/>
        <w:spacing w:after="50"/>
        <w:ind w:left="317" w:hanging="202"/>
        <w:jc w:val="both"/>
      </w:pPr>
      <w:r>
        <w:rPr>
          <w:b/>
        </w:rPr>
        <w:t xml:space="preserve">Mix matters. A merchant may generate card, UPI, affordability, online and in-store transactions with materially different pricing, direct costs and settlement characteristics.</w:t>
      </w:r>
    </w:p>
    <w:p w:rsidR="005F2FC4" w:rsidRDefault="00000000">
      <w:pPr>
        <w:pStyle w:val="ListBullet"/>
        <w:spacing w:after="50"/>
        <w:ind w:left="317" w:hanging="202"/>
        <w:jc w:val="both"/>
      </w:pPr>
      <w:r>
        <w:rPr>
          <w:b/>
        </w:rPr>
        <w:t xml:space="preserve">Recurring value-added services can deepen merchant relationships. Reconciliation, loyalty, tokenization, risk tools, marketing, billing, data, checkout and working-capital solutions can increase revenue per client if adoption and retention are strong.</w:t>
      </w:r>
    </w:p>
    <w:p w:rsidR="005F2FC4" w:rsidRDefault="00000000">
      <w:pPr>
        <w:pStyle w:val="ListBullet"/>
        <w:spacing w:after="50"/>
        <w:ind w:left="317" w:hanging="202"/>
        <w:jc w:val="both"/>
      </w:pPr>
      <w:r>
        <w:rPr>
          <w:b/>
        </w:rPr>
        <w:t xml:space="preserve">Scale has a cost. Devices, field support, software, network availability, security, compliance, sales acquisition and payment operations require ongoing investment. A broad installed base can therefore improve reach while also increasing depreciation and service costs.</w:t>
      </w:r>
    </w:p>
    <w:p w:rsidR="005F2FC4" w:rsidRDefault="00000000">
      <w:pPr>
        <w:pStyle w:val="ListBullet"/>
        <w:spacing w:after="50"/>
        <w:ind w:left="317" w:hanging="202"/>
        <w:jc w:val="both"/>
      </w:pPr>
      <w:r>
        <w:rPr>
          <w:b/>
        </w:rPr>
        <w:t xml:space="preserve">Regulation and trust are foundational. Payments are mission-critical. License boundaries, customer-fund handling, data protection, cyber resilience, fraud monitoring and timely settlement can affect both economics and reputation.</w:t>
      </w:r>
    </w:p>
    <w:p w:rsidR="005F2FC4" w:rsidRDefault="00000000">
      <w:pPr>
        <w:jc w:val="both"/>
      </w:pPr>
      <w:r>
        <w:t xml:space="preserve">Taken together these five propositions define the economic test applied to the case company in Chapter 5. A platform in this industry creates durable value only if it converts transaction scale into recurring, contracted revenue; if the mix of that revenue is defensible against fee compression; if the services attached to the transaction increase retention; if the cost of serving the installed base grows more slowly than the revenue it generates; and if regulatory and operational trust is maintained throughout. Failure on any one of the five can be masked for several quarters by volume growth.</w:t>
      </w:r>
    </w:p>
    <w:p w:rsidR="005F2FC4" w:rsidRDefault="00000000">
      <w:pPr>
        <w:pStyle w:val="Heading2"/>
      </w:pPr>
      <w:bookmarkStart w:id="5048" w:name="_Rpt48"/>
      <w:r>
        <w:t xml:space="preserve">3.6 Opportunity areas and headwinds</w:t>
      </w:r>
      <w:bookmarkEnd w:id="5048"/>
    </w:p>
    <w:p w:rsidR="005F2FC4" w:rsidRDefault="00000000">
      <w:pPr>
        <w:keepNext/>
        <w:spacing w:before="80" w:after="60"/>
      </w:pPr>
      <w:bookmarkStart w:id="5049" w:name="_Rpt49"/>
      <w:r>
        <w:rPr>
          <w:b/>
          <w:sz w:val="20"/>
        </w:rPr>
        <w:t xml:space="preserve">Table 3.4. Industry opportunity / headwind scan</w:t>
      </w:r>
      <w:bookmarkEnd w:id="5049"/>
    </w:p>
    <w:tbl>
      <w:tblPr>
        <w:tblW w:w="0" w:type="auto"/>
        <w:jc w:val="center"/>
        <w:tblLayout w:type="fixed"/>
        <w:tblLook w:val="04A0" w:firstRow="1" w:lastRow="0" w:firstColumn="1" w:lastColumn="0" w:noHBand="0" w:noVBand="1"/>
      </w:tblPr>
      <w:tblGrid>
        <w:gridCol w:w="3024"/>
        <w:gridCol w:w="3168"/>
        <w:gridCol w:w="3744"/>
      </w:tblGrid>
      <w:tr w:rsidR="005F2FC4">
        <w:trPr>
          <w:cantSplit/>
          <w:tblHeader/>
          <w:jc w:val="center"/>
        </w:trPr>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Opportunity</w:t>
            </w:r>
          </w:p>
        </w:tc>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Headwind</w:t>
            </w:r>
          </w:p>
        </w:tc>
        <w:tc>
          <w:tcPr>
            <w:tcW w:w="37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Pine Labs implication</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SME digitisation and omnichannel acceptance</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Price-sensitive merchants and low-fee payment rails</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Grow value-added services and merchant lifetime value rather than relying only on device additions.</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Embedded affordability and bank-issued credit on UPI</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Consumer protection, credit quality and partner dependence</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Differentiate the orchestration layer while ensuring lender responsibility remains clear.</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Prepaid, gifting and enterprise programmes</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Seasonality, stored-value regulation and large-client procurement cycles</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Scale programme software and distribution; monitor customer concentration and breakage / float-related disclosures.</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Cross-border acceptance and issuing</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Local licensing, FX, settlement, geopolitics and partner risk</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Expand selectively with compliance, unit-economics and foreign-currency discipline.</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AI, agentic commerce and automation</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Fraud, consent, model risk, liability and uncertain adoption</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Treat pilots and launches as optionality until usage, safety and revenue contribution are evidenced.</w:t>
            </w:r>
          </w:p>
        </w:tc>
      </w:tr>
    </w:tbl>
    <w:p w:rsidR="005F2FC4" w:rsidRDefault="00000000">
      <w:pPr>
        <w:spacing w:before="40" w:after="140"/>
        <w:jc w:val="both"/>
      </w:pPr>
      <w:r>
        <w:rPr>
          <w:i/>
          <w:sz w:val="20"/>
        </w:rPr>
        <w:t xml:space="preserve">Source / note: Author analysis informed by RBI report and Pine Labs disclosures. [1,5,9]</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Every row of the table pairs an opportunity with the headwind that limits it, which is the honest way to present an industry scan. Small-merchant digitisation widens reach but brings the most price-sensitive customers. Embedded credit raises revenue per merchant but introduces consumer-protection and credit-quality exposure that sits with a partner bank. Cross-border expansion diversifies revenue but multiplies licensing and settlement complexity. The strategic question for any participant is not which opportunities exist, but which of them it can pursue without importing a risk it cannot manage.</w:t>
            </w:r>
          </w:p>
        </w:tc>
      </w:tr>
    </w:tbl>
    <w:p w:rsidR="005F2FC4" w:rsidRDefault="00000000">
      <w:pPr>
        <w:pStyle w:val="Heading2"/>
      </w:pPr>
      <w:bookmarkStart w:id="5050" w:name="_Rpt50"/>
      <w:r>
        <w:t xml:space="preserve">3.7 Competitive landscape</w:t>
      </w:r>
      <w:bookmarkEnd w:id="5050"/>
    </w:p>
    <w:p w:rsidR="005F2FC4" w:rsidRDefault="00000000">
      <w:pPr>
        <w:jc w:val="both"/>
      </w:pPr>
      <w:r>
        <w:t xml:space="preserve">Competition includes banks and acquirers, terminal providers, payment aggregators, merchant SaaS platforms, issuer processors, prepaid / gifting platforms, wallets and global infrastructure providers. Selected companies are shown as a qualitative context only; they differ in geography, licensing, product mix, scale and accounting, so their reported revenue or margin is not an apples-to-apples comparison.</w:t>
      </w:r>
    </w:p>
    <w:p w:rsidR="005F2FC4" w:rsidRDefault="00000000">
      <w:pPr>
        <w:keepNext/>
        <w:spacing w:before="80" w:after="60"/>
      </w:pPr>
      <w:bookmarkStart w:id="5051" w:name="_Rpt51"/>
      <w:r>
        <w:rPr>
          <w:b/>
          <w:sz w:val="20"/>
        </w:rPr>
        <w:t xml:space="preserve">Table 3.5. Selected peer and adjacent-company context</w:t>
      </w:r>
      <w:bookmarkEnd w:id="5051"/>
    </w:p>
    <w:tbl>
      <w:tblPr>
        <w:tblW w:w="0" w:type="auto"/>
        <w:jc w:val="center"/>
        <w:tblLayout w:type="fixed"/>
        <w:tblLook w:val="04A0" w:firstRow="1" w:lastRow="0" w:firstColumn="1" w:lastColumn="0" w:noHBand="0" w:noVBand="1"/>
      </w:tblPr>
      <w:tblGrid>
        <w:gridCol w:w="2376"/>
        <w:gridCol w:w="3312"/>
        <w:gridCol w:w="4248"/>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Company / group</w:t>
            </w:r>
          </w:p>
        </w:tc>
        <w:tc>
          <w:tcPr>
            <w:tcW w:w="331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Primary overlap</w:t>
            </w:r>
          </w:p>
        </w:tc>
        <w:tc>
          <w:tcPr>
            <w:tcW w:w="42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Why not a direct financial comparable</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One 97 Communications (Paytm)</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 payments, QR / devices, consumer app and financial-services distribution</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Consumer-facing wallet/app ecosystem and regulatory history produce different mix and revenue recognition.</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Razorpay (private)</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Online payments, merchant software and business banking tools</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Private-company disclosures are limited; stronger online emphasis.</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Zaggle Prepaid Ocean Services</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Corporate expense, employee benefits and prepaid / spend-management programmes</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 but more focused on corporate spend and benefits than broad acquiring / merchant checkout.</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PhonePe (private)</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UPI consumer and merchant acceptance, financial and commerce services</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consumer platform; private and broader ecosystem; not a close same-period listed benchmark.</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Global processors (e.g., Adyen / Worldline)</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Acquiring, processing and cross-border acceptance</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Different geographies, regulation, scale, accounting and market maturity.</w:t>
            </w:r>
          </w:p>
        </w:tc>
      </w:tr>
    </w:tbl>
    <w:p w:rsidR="005F2FC4" w:rsidRDefault="00000000">
      <w:pPr>
        <w:spacing w:before="40" w:after="140"/>
        <w:jc w:val="both"/>
      </w:pPr>
      <w:r>
        <w:rPr>
          <w:i/>
          <w:sz w:val="20"/>
        </w:rPr>
        <w:t xml:space="preserve">Source / note: Company names are used as qualitative reference points only; no peer multiples are calculated in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competitive set is unusually heterogeneous. Competition arrives from banks that own the customer relationship, from software companies that own the checkout, from consumer applications that own the payer, and from global processors that own scale. No single competitor faces the case company across all of its product lines, which reduces the risk of head-to-head price war in any one line but also means the company must defend several fronts at once. This is why the Five Forces assessment in Section 3.9 rates rivalry and substitution as high even though no dominant direct rival exists.</w:t>
            </w:r>
          </w:p>
        </w:tc>
      </w:tr>
    </w:tbl>
    <w:p w:rsidR="005F2FC4" w:rsidRDefault="00000000">
      <w:pPr>
        <w:pStyle w:val="Heading2"/>
      </w:pPr>
      <w:bookmarkStart w:id="5052" w:name="_Rpt52"/>
      <w:r>
        <w:t xml:space="preserve">3.8 PESTLE analysis</w:t>
      </w:r>
      <w:bookmarkEnd w:id="5052"/>
    </w:p>
    <w:p w:rsidR="005F2FC4" w:rsidRDefault="00000000">
      <w:pPr>
        <w:keepNext/>
        <w:spacing w:before="80" w:after="60"/>
      </w:pPr>
      <w:bookmarkStart w:id="5053" w:name="_Rpt53"/>
      <w:r>
        <w:rPr>
          <w:b/>
          <w:sz w:val="20"/>
        </w:rPr>
        <w:t xml:space="preserve">Table 3.6. PESTLE assessment</w:t>
      </w:r>
      <w:bookmarkEnd w:id="5053"/>
    </w:p>
    <w:tbl>
      <w:tblPr>
        <w:tblW w:w="0" w:type="auto"/>
        <w:jc w:val="center"/>
        <w:tblLayout w:type="fixed"/>
        <w:tblLook w:val="04A0" w:firstRow="1" w:lastRow="0" w:firstColumn="1" w:lastColumn="0" w:noHBand="0" w:noVBand="1"/>
      </w:tblPr>
      <w:tblGrid>
        <w:gridCol w:w="1656"/>
        <w:gridCol w:w="4104"/>
        <w:gridCol w:w="4176"/>
      </w:tblGrid>
      <w:tr w:rsidR="005F2FC4">
        <w:trPr>
          <w:cantSplit/>
          <w:tblHeader/>
          <w:jc w:val="center"/>
        </w:trPr>
        <w:tc>
          <w:tcPr>
            <w:tcW w:w="165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Factor</w:t>
            </w:r>
          </w:p>
        </w:tc>
        <w:tc>
          <w:tcPr>
            <w:tcW w:w="41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Industry context</w:t>
            </w:r>
          </w:p>
        </w:tc>
        <w:tc>
          <w:tcPr>
            <w:tcW w:w="41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Implication for Pine Labs</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Political / policy</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National digital-payment infrastructure, financial inclusion and cashless-commerce priorities support adoption; policy changes may alter merchant economics or permitted roles.</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Track RBI / government circulars, licensing boundaries and scheme changes.</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Economic</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Consumption, merchant sales, interest rates, FX and retail / e-commerce growth influence transactions and affordability.</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Diversify sectors and geographies; stress-test merchant and partner concentration.</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Social</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Convenience, trust, financial literacy and digital inclusion shape payment choice; users expect simple refunds and dispute resolution.</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Design for accessibility, consent, grievance handling and fraud prevention.</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Technological</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Cloud, APIs, tokenization, AI, identity tools and agentic interfaces create new services; outages or cyber incidents can rapidly undermine trust.</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Invest in resilience, secure software development, monitoring and tested recovery.</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Legal / regulatory</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Payments, stored value, data, cross-border transfers, consumer protection and outsourcing operate under detailed rules.</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Maintain entity-by-entity compliance maps and clear partner accountability. [1,9]</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Environmental</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terminal fleets and data workloads create device, energy and e-waste considerations.</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 refurbishment / recycling, energy and supplier standards; the materials reviewed do not provide an independently assured full footprint.</w:t>
            </w:r>
          </w:p>
        </w:tc>
      </w:tr>
    </w:tbl>
    <w:p w:rsidR="005F2FC4" w:rsidRDefault="00000000">
      <w:pPr>
        <w:spacing w:before="40" w:after="140"/>
        <w:jc w:val="both"/>
      </w:pPr>
      <w:r>
        <w:rPr>
          <w:i/>
          <w:sz w:val="20"/>
        </w:rPr>
        <w:t xml:space="preserve">Source / note: Qualitative assessment by the author; regulatory facts should be verified against current RBI / statutory notices for live decisions. [1,9]</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PESTLE scan shows an industry in which the binding external factors are legal and technological rather than political or social. Policy support for digital payments is settled and broadly favourable; social acceptance is high and rising. The live exposures are the regulatory perimeter around stored value, data and cross-border processing, and the pace of technological change in authentication, tokenisation and artificial intelligence. A firm in this industry therefore spends disproportionately on compliance and engineering relative to its marketing spend.</w:t>
            </w:r>
          </w:p>
        </w:tc>
      </w:tr>
    </w:tbl>
    <w:p w:rsidR="005F2FC4" w:rsidRDefault="00000000">
      <w:pPr>
        <w:pStyle w:val="Heading2"/>
      </w:pPr>
      <w:bookmarkStart w:id="5054" w:name="_Rpt54"/>
      <w:r>
        <w:t xml:space="preserve">3.9 Porter’s Five Forces</w:t>
      </w:r>
      <w:bookmarkEnd w:id="5054"/>
    </w:p>
    <w:p w:rsidR="005F2FC4" w:rsidRDefault="00000000">
      <w:pPr>
        <w:keepNext/>
        <w:spacing w:before="80" w:after="60"/>
      </w:pPr>
      <w:bookmarkStart w:id="5055" w:name="_Rpt55"/>
      <w:r>
        <w:rPr>
          <w:b/>
          <w:sz w:val="20"/>
        </w:rPr>
        <w:t xml:space="preserve">Table 3.7. Porter’s Five Forces rating</w:t>
      </w:r>
      <w:bookmarkEnd w:id="5055"/>
    </w:p>
    <w:tbl>
      <w:tblPr>
        <w:tblW w:w="0" w:type="auto"/>
        <w:jc w:val="center"/>
        <w:tblLayout w:type="fixed"/>
        <w:tblLook w:val="04A0" w:firstRow="1" w:lastRow="0" w:firstColumn="1" w:lastColumn="0" w:noHBand="0" w:noVBand="1"/>
      </w:tblPr>
      <w:tblGrid>
        <w:gridCol w:w="2520"/>
        <w:gridCol w:w="1440"/>
        <w:gridCol w:w="5976"/>
      </w:tblGrid>
      <w:tr w:rsidR="005F2FC4">
        <w:trPr>
          <w:cantSplit/>
          <w:tblHeader/>
          <w:jc w:val="center"/>
        </w:trPr>
        <w:tc>
          <w:tcPr>
            <w:tcW w:w="25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Force</w:t>
            </w:r>
          </w:p>
        </w:tc>
        <w:tc>
          <w:tcPr>
            <w:tcW w:w="14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Author rating</w:t>
            </w:r>
          </w:p>
        </w:tc>
        <w:tc>
          <w:tcPr>
            <w:tcW w:w="59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Reasoning</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Rivalry among incumbents</w:t>
            </w:r>
          </w:p>
        </w:tc>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59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Banks, aggregators, terminal networks, SaaS platforms and global processors compete on price, reliability, coverage, service and merchant outcomes.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Threat of new entrants</w:t>
            </w:r>
          </w:p>
        </w:tc>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Moderate</w:t>
            </w:r>
          </w:p>
        </w:tc>
        <w:tc>
          <w:tcPr>
            <w:tcW w:w="59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Software entry is feasible, but scale, bank/network integrations, certifications, security, field support and trust raise barriers.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Buyer bargaining power</w:t>
            </w:r>
          </w:p>
        </w:tc>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59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retailers, banks and brands can negotiate fees and multi-source providers; small merchants are fragmented but price-sensitive.</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Supplier / partner power</w:t>
            </w:r>
          </w:p>
        </w:tc>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Moderate to high</w:t>
            </w:r>
          </w:p>
        </w:tc>
        <w:tc>
          <w:tcPr>
            <w:tcW w:w="59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Banks, card networks, payment rails, device vendors and cloud / technology providers are important dependencies; concentration can constrain economics.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Threat of substitutes</w:t>
            </w:r>
          </w:p>
        </w:tc>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59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 apps, UPI QR, direct bank acquiring, wallets, cash, in-house gateways and competing devices can replace part of a product stack.</w:t>
            </w:r>
          </w:p>
        </w:tc>
      </w:tr>
    </w:tbl>
    <w:p w:rsidR="005F2FC4" w:rsidRDefault="00000000">
      <w:pPr>
        <w:spacing w:before="40" w:after="140"/>
        <w:jc w:val="both"/>
      </w:pPr>
      <w:r>
        <w:rPr>
          <w:i/>
          <w:sz w:val="20"/>
        </w:rPr>
        <w:t xml:space="preserve">Source / note: Ratings are qualitative judgements using Porter’s framework, not measured market shares. [14]</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Four of the five forces are assessed as high or moderate-to-high, which describes a structurally demanding industry. Buyers are concentrated and sophisticated; suppliers include the banks and networks on whose rails the service runs; substitutes include the merchant simply accepting a bank QR code directly; and rivalry is intense because software differentiation is visible and copyable. Only the threat of new entrants is moderated, and that is by scale, certification and integration effort rather than by any legal barrier. The structural conclusion is that industry growth will not by itself produce attractive margins; firm-specific execution has to.</w:t>
            </w:r>
          </w:p>
        </w:tc>
      </w:tr>
    </w:tbl>
    <w:p w:rsidR="005F2FC4" w:rsidRDefault="00000000">
      <w:pPr>
        <w:pStyle w:val="Heading2"/>
      </w:pPr>
      <w:bookmarkStart w:id="5056" w:name="_Rpt56"/>
      <w:r>
        <w:t xml:space="preserve">3.10 Strategic implication of the industry analysis</w:t>
      </w:r>
      <w:bookmarkEnd w:id="5056"/>
    </w:p>
    <w:p w:rsidR="005F2FC4" w:rsidRDefault="00000000">
      <w:pPr>
        <w:jc w:val="both"/>
      </w:pPr>
      <w:r>
        <w:t xml:space="preserve">The industry can grow rapidly while per-transaction economics remain contested. Pine Labs’ best defence is not simply a large terminal count: it is reliable merchant and issuer integration, differentiated software, high retention, efficient customer support, cross-sell, secure operations and the ability to prove that these services generate recurring contribution. A scale strategy that depends on hardware deployment or discounting without revenue per relationship may not produce durable returns.</w:t>
      </w:r>
    </w:p>
    <w:p w:rsidR="005F2FC4" w:rsidRDefault="00000000">
      <w:pPr>
        <w:jc w:val="both"/>
      </w:pPr>
      <w:r>
        <w:t xml:space="preserve">The implication for the case study is methodological as well as strategic. Because the industry allows very rapid volume growth on thin and contested economics, no single operating indicator is sufficient evidence of success. Chapter 5 therefore never presents a growth rate without the margin and cash-conversion figures that qualify it, and never presents a company-defined measure without naming what it excludes.</w:t>
      </w:r>
    </w:p>
    <w:p w:rsidR="005F2FC4" w:rsidRDefault="00000000">
      <w:pPr>
        <w:pStyle w:val="Heading2"/>
      </w:pPr>
      <w:bookmarkStart w:id="5057" w:name="_Rpt57"/>
      <w:r>
        <w:t xml:space="preserve">3.11 Payments technology: reliability, cybersecurity and AI controls</w:t>
      </w:r>
      <w:bookmarkEnd w:id="5057"/>
    </w:p>
    <w:p w:rsidR="005F2FC4" w:rsidRDefault="00000000">
      <w:pPr>
        <w:jc w:val="both"/>
      </w:pPr>
      <w:r>
        <w:t xml:space="preserve">A digital-payment platform depends on secure onboarding, resilient network connections, accurate routing, reconciliation, incident response and protection of customer and merchant data. Generic threats include account takeover, credential theft, malicious software, payment-message manipulation, third-party outages, software defects and delayed settlement reconciliation. The report has not performed a security audit and does not claim to know Pine Labs’ internal control design.</w:t>
      </w:r>
    </w:p>
    <w:p w:rsidR="005F2FC4" w:rsidRDefault="00000000">
      <w:pPr>
        <w:jc w:val="both"/>
      </w:pPr>
      <w:r>
        <w:t xml:space="preserve">Pine Labs’ Q1 FY27 shareholder letter describes continued investment in cloud and technology and outlines product initiatives involving AI, automation and agentic payments. Those statements are company disclosures, not independent verification of safety or deployment effectiveness. Agent-initiated payments heighten the importance of explicit user mandates, spending limits, authentication, revocation, transaction traceability and dispute handling.</w:t>
      </w:r>
    </w:p>
    <w:p w:rsidR="005F2FC4" w:rsidRDefault="00000000">
      <w:pPr>
        <w:jc w:val="both"/>
      </w:pPr>
      <w:r>
        <w:t xml:space="preserve">For a broker or fintech operator, resilient operations are a customer-protection issue as well as a technology issue. Useful public-reporting questions include system availability, incident disclosure, reconciliation timeliness, fraud trends, vendor dependencies and remediation. If no verified metric exists, state that it is not publicly available rather than inventing a control score.</w:t>
      </w:r>
    </w:p>
    <w:p w:rsidR="005F2FC4" w:rsidRDefault="00000000">
      <w:pPr>
        <w:keepNext/>
        <w:spacing w:before="80" w:after="60"/>
      </w:pPr>
      <w:bookmarkStart w:id="5058" w:name="_Rpt58"/>
      <w:r>
        <w:rPr>
          <w:b/>
          <w:sz w:val="20"/>
        </w:rPr>
        <w:t xml:space="preserve">Table 3.8. Generic threat-to-control lens</w:t>
      </w:r>
      <w:bookmarkEnd w:id="5058"/>
    </w:p>
    <w:tbl>
      <w:tblPr>
        <w:tblW w:w="0" w:type="auto"/>
        <w:jc w:val="center"/>
        <w:tblLayout w:type="fixed"/>
        <w:tblLook w:val="04A0" w:firstRow="1" w:lastRow="0" w:firstColumn="1" w:lastColumn="0" w:noHBand="0" w:noVBand="1"/>
      </w:tblPr>
      <w:tblGrid>
        <w:gridCol w:w="2413"/>
        <w:gridCol w:w="4258"/>
        <w:gridCol w:w="3265"/>
      </w:tblGrid>
      <w:tr w:rsidR="005F2FC4">
        <w:trPr>
          <w:cantSplit/>
          <w:tblHeader/>
          <w:jc w:val="center"/>
        </w:trPr>
        <w:tc>
          <w:tcPr>
            <w:tcW w:w="24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Threat / failure mode</w:t>
            </w:r>
          </w:p>
        </w:tc>
        <w:tc>
          <w:tcPr>
            <w:tcW w:w="42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Generic control objective</w:t>
            </w:r>
          </w:p>
        </w:tc>
        <w:tc>
          <w:tcPr>
            <w:tcW w:w="326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Potential monitoring metric</w:t>
            </w:r>
          </w:p>
        </w:tc>
      </w:tr>
      <w:tr w:rsidR="005F2FC4">
        <w:trPr>
          <w:cantSplit/>
          <w:jc w:val="center"/>
        </w:trPr>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Account takeover</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Strong authentication and rapid credential reset.</w:t>
            </w:r>
          </w:p>
        </w:tc>
        <w:tc>
          <w:tcPr>
            <w:tcW w:w="326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Fraud incidents / recovery time.</w:t>
            </w:r>
          </w:p>
        </w:tc>
      </w:tr>
      <w:tr w:rsidR="005F2FC4">
        <w:trPr>
          <w:cantSplit/>
          <w:jc w:val="center"/>
        </w:trPr>
        <w:tc>
          <w:tcPr>
            <w:tcW w:w="24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Payment or order outage</w:t>
            </w:r>
          </w:p>
        </w:tc>
        <w:tc>
          <w:tcPr>
            <w:tcW w:w="42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Redundancy, monitoring and tested recovery.</w:t>
            </w:r>
          </w:p>
        </w:tc>
        <w:tc>
          <w:tcPr>
            <w:tcW w:w="326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Availability / mean time to restore.</w:t>
            </w:r>
          </w:p>
        </w:tc>
      </w:tr>
      <w:tr w:rsidR="005F2FC4">
        <w:trPr>
          <w:cantSplit/>
          <w:jc w:val="center"/>
        </w:trPr>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Reconciliation break</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Independent batch / ledger checks and escalation.</w:t>
            </w:r>
          </w:p>
        </w:tc>
        <w:tc>
          <w:tcPr>
            <w:tcW w:w="326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Unmatched items and ageing.</w:t>
            </w:r>
          </w:p>
        </w:tc>
      </w:tr>
      <w:tr w:rsidR="005F2FC4">
        <w:trPr>
          <w:cantSplit/>
          <w:jc w:val="center"/>
        </w:trPr>
        <w:tc>
          <w:tcPr>
            <w:tcW w:w="24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Agentic payment misuse</w:t>
            </w:r>
          </w:p>
        </w:tc>
        <w:tc>
          <w:tcPr>
            <w:tcW w:w="42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User-set mandate, limits, revocation and audit trail.</w:t>
            </w:r>
          </w:p>
        </w:tc>
        <w:tc>
          <w:tcPr>
            <w:tcW w:w="326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Unauthorised events / dispute resolution.</w:t>
            </w:r>
          </w:p>
        </w:tc>
      </w:tr>
      <w:tr w:rsidR="005F2FC4">
        <w:trPr>
          <w:cantSplit/>
          <w:jc w:val="center"/>
        </w:trPr>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Third-party dependency</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Vendor risk review and contingency planning.</w:t>
            </w:r>
          </w:p>
        </w:tc>
        <w:tc>
          <w:tcPr>
            <w:tcW w:w="326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Critical-vendor incidents / test results.</w:t>
            </w:r>
          </w:p>
        </w:tc>
      </w:tr>
    </w:tbl>
    <w:p w:rsidR="005F2FC4" w:rsidRDefault="00000000">
      <w:pPr>
        <w:spacing w:before="40" w:after="140"/>
        <w:jc w:val="both"/>
      </w:pPr>
      <w:r>
        <w:rPr>
          <w:i/>
          <w:sz w:val="20"/>
        </w:rPr>
        <w:t xml:space="preserve">Source / method: General risk framework; Pine Labs technology / agentic-payment statements [5]. No security-control effectiveness is asserted.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Technology risk in payments is a financial risk, not merely an operational one. An outage during peak trading hours removes revenue that is never recovered, because the transaction is completed on a competing rail. A data or fraud incident imposes remediation cost, regulatory attention and merchant attrition at the same time. The control objectives in the table are therefore the minimum a reader should expect to see evidenced in disclosure; where a company reports uptime, incident counts and recovery testing, that disclosure is itself a quality signal.</w:t>
            </w:r>
          </w:p>
        </w:tc>
      </w:tr>
    </w:tbl>
    <w:p w:rsidR="005F2FC4" w:rsidRDefault="00000000">
      <w:pPr>
        <w:pStyle w:val="Heading2"/>
      </w:pPr>
      <w:bookmarkStart w:id="5059" w:name="_Rpt59"/>
      <w:r>
        <w:t xml:space="preserve">3.12 Regulatory perimeter: different activities, different rules</w:t>
      </w:r>
      <w:bookmarkEnd w:id="5059"/>
    </w:p>
    <w:p w:rsidR="005F2FC4" w:rsidRDefault="00000000">
      <w:pPr>
        <w:jc w:val="both"/>
      </w:pPr>
      <w:r>
        <w:t xml:space="preserve">Fintech groups and brokerages can participate in several regulated or rule-governed activities. A securities broker operates under the stock-broker framework and exchange membership rules. Research services may fall within the research-analyst framework. Payment acceptance, aggregation, issuing, prepaid instruments, lending and mutual-fund distribution can each have different authorisations, regulated counterparties and consumer-disclosure requirements. The precise perimeter depends on the legal entity, contractual role and product.</w:t>
      </w:r>
    </w:p>
    <w:p w:rsidR="005F2FC4" w:rsidRDefault="00000000">
      <w:pPr>
        <w:jc w:val="both"/>
      </w:pPr>
      <w:r>
        <w:t xml:space="preserve">Pine Labs’ company disclosures describe a technology and processing platform and note that partner lenders bear credit risk in relevant affordability arrangements. That does not eliminate every operational, conduct or data obligation. Likewise, Rosy Blue’s broking and distribution services should not be collapsed into one complaint route.</w:t>
      </w:r>
    </w:p>
    <w:p w:rsidR="005F2FC4" w:rsidRDefault="00000000">
      <w:pPr>
        <w:jc w:val="both"/>
      </w:pPr>
      <w:r>
        <w:t xml:space="preserve">This project does not provide a legal opinion on the exact licence or regulated status of a specific product. For a real workplace issue, use the entity’s current registration details, regulator directions, exchange circulars, client agreement and compliance advice. In academic writing, state the entity and activity precisely and cite the correct rule source.</w:t>
      </w:r>
    </w:p>
    <w:p w:rsidR="005F2FC4" w:rsidRDefault="00000000">
      <w:pPr>
        <w:keepNext/>
        <w:spacing w:before="80" w:after="60"/>
      </w:pPr>
      <w:bookmarkStart w:id="5060" w:name="_Rpt60"/>
      <w:r>
        <w:rPr>
          <w:b/>
          <w:sz w:val="20"/>
        </w:rPr>
        <w:t xml:space="preserve">Table 3.9. Activity-to-rule mapping (high level)</w:t>
      </w:r>
      <w:bookmarkEnd w:id="5060"/>
    </w:p>
    <w:tbl>
      <w:tblPr>
        <w:tblW w:w="0" w:type="auto"/>
        <w:jc w:val="center"/>
        <w:tblLayout w:type="fixed"/>
        <w:tblLook w:val="04A0" w:firstRow="1" w:lastRow="0" w:firstColumn="1" w:lastColumn="0" w:noHBand="0" w:noVBand="1"/>
      </w:tblPr>
      <w:tblGrid>
        <w:gridCol w:w="2058"/>
        <w:gridCol w:w="4045"/>
        <w:gridCol w:w="3833"/>
      </w:tblGrid>
      <w:tr w:rsidR="005F2FC4">
        <w:trPr>
          <w:cantSplit/>
          <w:tblHeader/>
          <w:jc w:val="center"/>
        </w:trPr>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Activity</w:t>
            </w:r>
          </w:p>
        </w:tc>
        <w:tc>
          <w:tcPr>
            <w:tcW w:w="40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Likely framework lens</w:t>
            </w:r>
          </w:p>
        </w:tc>
        <w:tc>
          <w:tcPr>
            <w:tcW w:w="383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Report-writing boundary</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Stock broking</w:t>
            </w:r>
          </w:p>
        </w:tc>
        <w:tc>
          <w:tcPr>
            <w:tcW w:w="4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SEBI Stock Brokers Regulations and exchange rules.</w:t>
            </w:r>
          </w:p>
        </w:tc>
        <w:tc>
          <w:tcPr>
            <w:tcW w:w="38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Rosy Blue public service profile; dealing-desk context.</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Published research</w:t>
            </w:r>
          </w:p>
        </w:tc>
        <w:tc>
          <w:tcPr>
            <w:tcW w:w="4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SEBI Research Analyst framework where applicable.</w:t>
            </w:r>
          </w:p>
        </w:tc>
        <w:tc>
          <w:tcPr>
            <w:tcW w:w="38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role title alone does not establish registration.</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Payments / processing</w:t>
            </w:r>
          </w:p>
        </w:tc>
        <w:tc>
          <w:tcPr>
            <w:tcW w:w="4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Applicable RBI directions, network rules and contracts.</w:t>
            </w:r>
          </w:p>
        </w:tc>
        <w:tc>
          <w:tcPr>
            <w:tcW w:w="38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Describe Pine Labs only from product-specific sources.</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Credit / affordability</w:t>
            </w:r>
          </w:p>
        </w:tc>
        <w:tc>
          <w:tcPr>
            <w:tcW w:w="4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Lender’s regulated credit role plus platform / merchant obligations.</w:t>
            </w:r>
          </w:p>
        </w:tc>
        <w:tc>
          <w:tcPr>
            <w:tcW w:w="38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not attribute partner underwriting to the processor.</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Mutual-fund distribution</w:t>
            </w:r>
          </w:p>
        </w:tc>
        <w:tc>
          <w:tcPr>
            <w:tcW w:w="4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Applicable distribution and product disclosure rules.</w:t>
            </w:r>
          </w:p>
        </w:tc>
        <w:tc>
          <w:tcPr>
            <w:tcW w:w="38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Separate from exchange-traded broking and redressal.</w:t>
            </w:r>
          </w:p>
        </w:tc>
      </w:tr>
    </w:tbl>
    <w:p w:rsidR="005F2FC4" w:rsidRDefault="00000000">
      <w:pPr>
        <w:spacing w:before="40" w:after="140"/>
        <w:jc w:val="both"/>
      </w:pPr>
      <w:r>
        <w:rPr>
          <w:i/>
          <w:sz w:val="20"/>
        </w:rPr>
        <w:t xml:space="preserve">Source / method: SEBI broker and RA sources [17–19]; company / host public descriptions [1,5,16]. Product-level legal analysis is outside scope.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mapping enforces a boundary that this report observes throughout: an activity is described by what the documents say the firm does, not by what the firm’s brand implies. Supplying processing technology to a bank is not the same as holding a banking licence; distributing a prepaid programme is not the same as issuing stored value; facilitating an affordability offer is not the same as lending. Each of those distinctions changes who carries the credit, custody and conduct obligation, and therefore changes the risk that should be attributed to the company in Section 5.31.</w:t>
            </w:r>
          </w:p>
        </w:tc>
      </w:tr>
    </w:tbl>
    <w:p w:rsidR="005F2FC4" w:rsidRDefault="00000000">
      <w:pPr>
        <w:pStyle w:val="Heading2"/>
      </w:pPr>
      <w:bookmarkStart w:id="5061" w:name="_Rpt61"/>
      <w:r>
        <w:t xml:space="preserve">3.13 Trust, suitability and fair treatment</w:t>
      </w:r>
      <w:bookmarkEnd w:id="5061"/>
    </w:p>
    <w:p w:rsidR="005F2FC4" w:rsidRDefault="00000000">
      <w:pPr>
        <w:jc w:val="both"/>
      </w:pPr>
      <w:r>
        <w:t xml:space="preserve">Customer trust is created through clear information and reliable execution, not only by product reach. For a securities client, key expectations include transparent charges, accurate order status, appropriate risk disclosure, secure handling of funds and securities, and an accessible complaint route. For a merchant or payment user, important issues include correct settlement, transparent pricing, fraud response, data privacy and clear explanations of any affordability or credit offer.</w:t>
      </w:r>
    </w:p>
    <w:p w:rsidR="005F2FC4" w:rsidRDefault="00000000">
      <w:pPr>
        <w:jc w:val="both"/>
      </w:pPr>
      <w:r>
        <w:t xml:space="preserve">Pine Labs’ public materials describe affordability programmes alongside payment technology; the company has stated that lending partners bear the credit risk in relevant arrangements. The customer experience can still involve several entities, so the responsible lender, processor, merchant and support channel should be identified accurately. A broker’s exchange grievance route may differ from a distributor’s route; Rosy Blue’s public site itself draws this distinction for mutual-fund distribution.</w:t>
      </w:r>
    </w:p>
    <w:p w:rsidR="005F2FC4" w:rsidRDefault="00000000">
      <w:pPr>
        <w:jc w:val="both"/>
      </w:pPr>
      <w:r>
        <w:t xml:space="preserve">During the internship, client orders were handled as guided by the client’s instructions. Client identities and personal information are omitted from this report.</w:t>
      </w:r>
    </w:p>
    <w:p w:rsidR="005F2FC4" w:rsidRDefault="00000000">
      <w:pPr>
        <w:keepNext/>
        <w:spacing w:before="80" w:after="60"/>
      </w:pPr>
      <w:bookmarkStart w:id="5062" w:name="_Rpt62"/>
      <w:r>
        <w:rPr>
          <w:b/>
          <w:sz w:val="20"/>
        </w:rPr>
        <w:t xml:space="preserve">Table 3.10. Customer-protection questions</w:t>
      </w:r>
      <w:bookmarkEnd w:id="5062"/>
    </w:p>
    <w:tbl>
      <w:tblPr>
        <w:tblW w:w="0" w:type="auto"/>
        <w:jc w:val="center"/>
        <w:tblLayout w:type="fixed"/>
        <w:tblLook w:val="04A0" w:firstRow="1" w:lastRow="0" w:firstColumn="1" w:lastColumn="0" w:noHBand="0" w:noVBand="1"/>
      </w:tblPr>
      <w:tblGrid>
        <w:gridCol w:w="1561"/>
        <w:gridCol w:w="4258"/>
        <w:gridCol w:w="4117"/>
      </w:tblGrid>
      <w:tr w:rsidR="005F2FC4">
        <w:trPr>
          <w:cantSplit/>
          <w:tblHeader/>
          <w:jc w:val="center"/>
        </w:trPr>
        <w:tc>
          <w:tcPr>
            <w:tcW w:w="156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Issue</w:t>
            </w:r>
          </w:p>
        </w:tc>
        <w:tc>
          <w:tcPr>
            <w:tcW w:w="42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Question for an analyst / dealer</w:t>
            </w:r>
          </w:p>
        </w:tc>
        <w:tc>
          <w:tcPr>
            <w:tcW w:w="411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Evidence to seek</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Pricing</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charges, taxes and deductions understandable?</w:t>
            </w:r>
          </w:p>
        </w:tc>
        <w:tc>
          <w:tcPr>
            <w:tcW w:w="411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Tariff / contract / official disclosure.</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Risk</w:t>
            </w:r>
          </w:p>
        </w:tc>
        <w:tc>
          <w:tcPr>
            <w:tcW w:w="42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Does the client understand leverage, credit or settlement risk?</w:t>
            </w:r>
          </w:p>
        </w:tc>
        <w:tc>
          <w:tcPr>
            <w:tcW w:w="411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Approved risk disclosure and communication.</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Reliability</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orders, payments and settlement reconciled?</w:t>
            </w:r>
          </w:p>
        </w:tc>
        <w:tc>
          <w:tcPr>
            <w:tcW w:w="411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Public controls or authorised process evidence.</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Privacy</w:t>
            </w:r>
          </w:p>
        </w:tc>
        <w:tc>
          <w:tcPr>
            <w:tcW w:w="42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 only necessary customer data collected and retained?</w:t>
            </w:r>
          </w:p>
        </w:tc>
        <w:tc>
          <w:tcPr>
            <w:tcW w:w="411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Applicable policy / public privacy terms.</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Redressal</w:t>
            </w:r>
          </w:p>
        </w:tc>
        <w:tc>
          <w:tcPr>
            <w:tcW w:w="42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Which entity handles the complaint and escalation?</w:t>
            </w:r>
          </w:p>
        </w:tc>
        <w:tc>
          <w:tcPr>
            <w:tcW w:w="411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Correct product-specific grievance route.</w:t>
            </w:r>
          </w:p>
        </w:tc>
      </w:tr>
    </w:tbl>
    <w:p w:rsidR="005F2FC4" w:rsidRDefault="00000000">
      <w:pPr>
        <w:spacing w:before="40" w:after="140"/>
        <w:jc w:val="both"/>
      </w:pPr>
      <w:r>
        <w:rPr>
          <w:i/>
          <w:sz w:val="20"/>
        </w:rPr>
        <w:t xml:space="preserve">Source / method: SEBI investor materials [19]; Rosy Blue service disclosures [16]; Pine Labs public materials [1,5].</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Consumer protection is a commercial variable in both businesses examined in this report. For the broker, suitability and clear communication determine whether a client relationship survives a losing position. For the payments platform, transparent consent, correct lender identification and reliable grievance handling determine whether merchants and end users continue to use a credit-linked product. Conduct failures in either business are rarely confined to the affected customers; they attract regulatory attention that raises the cost of the entire product line.</w:t>
            </w:r>
          </w:p>
        </w:tc>
      </w:tr>
    </w:tbl>
    <w:p w:rsidR="005F2FC4" w:rsidRDefault="00000000">
      <w:pPr>
        <w:pStyle w:val="Heading2"/>
      </w:pPr>
      <w:bookmarkStart w:id="5063" w:name="_Rpt63"/>
      <w:r>
        <w:t xml:space="preserve">3.14 Responsible fintech: stakeholders, benefits and trade-offs</w:t>
      </w:r>
      <w:bookmarkEnd w:id="5063"/>
    </w:p>
    <w:p w:rsidR="005F2FC4" w:rsidRDefault="00000000">
      <w:pPr>
        <w:jc w:val="both"/>
      </w:pPr>
      <w:r>
        <w:t xml:space="preserve">Responsible fintech requires balancing access and convenience with reliability, privacy, inclusion and fair treatment. For a merchant platform, digital acceptance can support business formalisation and improve payment choice; it can also create device, connectivity, fraud, outage and data-management risks. Prepaid and affordability products can improve the customer proposition, but transparent terms and appropriate partner conduct remain important.</w:t>
      </w:r>
    </w:p>
    <w:p w:rsidR="005F2FC4" w:rsidRDefault="00000000">
      <w:pPr>
        <w:jc w:val="both"/>
      </w:pPr>
      <w:r>
        <w:t xml:space="preserve">Environmental questions include the lifecycle, repairability and recycling of payment devices; data-centre energy; transport and servicing; and e-waste management. Social questions include accessibility for small merchants, financial literacy, digital exclusion, fraud protection and the risk of over-borrowing in credit-linked products. Governance questions include cybersecurity, third-party oversight, responsible AI, conflicts, grievance handling and the reliability of public KPI definitions.</w:t>
      </w:r>
    </w:p>
    <w:p w:rsidR="005F2FC4" w:rsidRDefault="00000000">
      <w:pPr>
        <w:jc w:val="both"/>
      </w:pPr>
      <w:r>
        <w:t xml:space="preserve">This report does not assign a proprietary ESG score or claim an independent assurance review. The matrix is a diligence agenda: where a company does not publish comparable data, the appropriate conclusion is that evidence is limited, not that the issue is immaterial.</w:t>
      </w:r>
    </w:p>
    <w:p w:rsidR="005F2FC4" w:rsidRDefault="00000000">
      <w:pPr>
        <w:keepNext/>
        <w:spacing w:before="80" w:after="60"/>
      </w:pPr>
      <w:bookmarkStart w:id="5064" w:name="_Rpt64"/>
      <w:r>
        <w:rPr>
          <w:b/>
          <w:sz w:val="20"/>
        </w:rPr>
        <w:t xml:space="preserve">Table 3.11. Stakeholder and responsibility matrix</w:t>
      </w:r>
      <w:bookmarkEnd w:id="5064"/>
    </w:p>
    <w:tbl>
      <w:tblPr>
        <w:tblW w:w="0" w:type="auto"/>
        <w:jc w:val="center"/>
        <w:tblLayout w:type="fixed"/>
        <w:tblLook w:val="04A0" w:firstRow="1" w:lastRow="0" w:firstColumn="1" w:lastColumn="0" w:noHBand="0" w:noVBand="1"/>
      </w:tblPr>
      <w:tblGrid>
        <w:gridCol w:w="1703"/>
        <w:gridCol w:w="3903"/>
        <w:gridCol w:w="4330"/>
      </w:tblGrid>
      <w:tr w:rsidR="005F2FC4">
        <w:trPr>
          <w:cantSplit/>
          <w:tblHeader/>
          <w:jc w:val="center"/>
        </w:trPr>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39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Potential benefit</w:t>
            </w:r>
          </w:p>
        </w:tc>
        <w:tc>
          <w:tcPr>
            <w:tcW w:w="433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Risk / diligence question</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Environmental</w:t>
            </w:r>
          </w:p>
        </w:tc>
        <w:tc>
          <w:tcPr>
            <w:tcW w:w="39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Digitised workflows may reduce some paper processes.</w:t>
            </w:r>
          </w:p>
        </w:tc>
        <w:tc>
          <w:tcPr>
            <w:tcW w:w="433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Device lifecycle, e-waste and cloud energy disclosure.</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Social</w:t>
            </w:r>
          </w:p>
        </w:tc>
        <w:tc>
          <w:tcPr>
            <w:tcW w:w="39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Broader merchant acceptance and payment choice.</w:t>
            </w:r>
          </w:p>
        </w:tc>
        <w:tc>
          <w:tcPr>
            <w:tcW w:w="433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Fraud, accessibility, affordability and complaint outcomes.</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Governance</w:t>
            </w:r>
          </w:p>
        </w:tc>
        <w:tc>
          <w:tcPr>
            <w:tcW w:w="39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Scalable technology and published performance data.</w:t>
            </w:r>
          </w:p>
        </w:tc>
        <w:tc>
          <w:tcPr>
            <w:tcW w:w="433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Cybersecurity, data use, AI oversight and KPI consistency.</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Employees / partners</w:t>
            </w:r>
          </w:p>
        </w:tc>
        <w:tc>
          <w:tcPr>
            <w:tcW w:w="39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New product and technology skill development.</w:t>
            </w:r>
          </w:p>
        </w:tc>
        <w:tc>
          <w:tcPr>
            <w:tcW w:w="433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Training, conduct, vendor resilience and accountability.</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Investors</w:t>
            </w:r>
          </w:p>
        </w:tc>
        <w:tc>
          <w:tcPr>
            <w:tcW w:w="39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Growth opportunity and expanding platform use.</w:t>
            </w:r>
          </w:p>
        </w:tc>
        <w:tc>
          <w:tcPr>
            <w:tcW w:w="433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conversion, capital allocation and clear risk disclosure.</w:t>
            </w:r>
          </w:p>
        </w:tc>
      </w:tr>
    </w:tbl>
    <w:p w:rsidR="005F2FC4" w:rsidRDefault="00000000">
      <w:pPr>
        <w:spacing w:before="40" w:after="140"/>
        <w:jc w:val="both"/>
      </w:pPr>
      <w:r>
        <w:rPr>
          <w:i/>
          <w:sz w:val="20"/>
        </w:rPr>
        <w:t xml:space="preserve">Source / method: Analytical framework; company-stated products and risk allocations should be verified in primary disclosures [1,5].</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matrix sets out the trade-offs that a purely financial reading would miss. Wider acceptance benefits small merchants but transfers fee and settlement-timing risk to the least resilient participants. Embedded credit widens access but can harm users who do not understand the lender’s identity or the consequence of default. Device-led distribution creates reach and an electronic-waste obligation at the same time. These trade-offs are carried into the ESG assessment in Section 5.33 rather than treated as a separate narrative.</w:t>
            </w:r>
          </w:p>
        </w:tc>
      </w:tr>
    </w:tbl>
    <w:p w:rsidR="005F2FC4" w:rsidRDefault="00000000">
      <w:pPr>
        <w:pStyle w:val="Heading2"/>
      </w:pPr>
      <w:bookmarkStart w:id="5065" w:name="_Rpt65"/>
      <w:r>
        <w:t xml:space="preserve">3.15 The economy layer: macro drivers of merchant payments</w:t>
      </w:r>
      <w:bookmarkEnd w:id="5065"/>
    </w:p>
    <w:p w:rsidR="005F2FC4" w:rsidRDefault="00000000">
      <w:pPr>
        <w:jc w:val="both"/>
      </w:pPr>
      <w:r>
        <w:t xml:space="preserve">The EIC method requires the economy to be considered before the industry. For a merchant-payments platform the relevant macro transmission is indirect but strong: the platform earns on transactions, transactions arise from retail and commercial spending, and spending responds to income growth, credit availability, inflation and consumer confidence. A platform therefore carries cyclical exposure even though it holds no inventory and extends no credit of its own.</w:t>
      </w:r>
    </w:p>
    <w:p w:rsidR="005F2FC4" w:rsidRDefault="00000000">
      <w:pPr>
        <w:jc w:val="both"/>
      </w:pPr>
      <w:r>
        <w:t xml:space="preserve">Four macro channels matter in particular. Consumption growth determines the number and size of transactions presented at the checkout. Credit conditions determine the viability of affordability and equated-instalment offers, which are among the higher-value product lines. Formalisation and digitisation of small business determine how quickly the addressable merchant base widens. Interest rates affect both the cost of funding working capital in the settlement cycle and the discount rate the market applies to a long-duration growth company, which is why the valuation discussion in Section 5.26 is framed around an assumed cost of equity.</w:t>
      </w:r>
    </w:p>
    <w:p w:rsidR="005F2FC4" w:rsidRDefault="00000000">
      <w:pPr>
        <w:keepNext/>
        <w:spacing w:before="80" w:after="60"/>
      </w:pPr>
      <w:bookmarkStart w:id="5066" w:name="_Rpt66"/>
      <w:r>
        <w:rPr>
          <w:b/>
          <w:sz w:val="20"/>
        </w:rPr>
        <w:t xml:space="preserve">Table 3.12. Macro channels and their transmission to platform revenue</w:t>
      </w:r>
      <w:bookmarkEnd w:id="5066"/>
    </w:p>
    <w:tbl>
      <w:tblPr>
        <w:tblW w:w="0" w:type="auto"/>
        <w:jc w:val="center"/>
        <w:tblLayout w:type="fixed"/>
        <w:tblLook w:val="04A0" w:firstRow="1" w:lastRow="0" w:firstColumn="1" w:lastColumn="0" w:noHBand="0" w:noVBand="1"/>
      </w:tblPr>
      <w:tblGrid>
        <w:gridCol w:w="2300"/>
        <w:gridCol w:w="4300"/>
        <w:gridCol w:w="3336"/>
      </w:tblGrid>
      <w:tr w:rsidR="005F2FC4">
        <w:trPr>
          <w:cantSplit/>
          <w:tblHeader/>
          <w:jc w:val="center"/>
        </w:trPr>
        <w:tc>
          <w:tcPr>
            <w:tcW w:w="23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Macro variable</w:t>
            </w:r>
          </w:p>
        </w:tc>
        <w:tc>
          <w:tcPr>
            <w:tcW w:w="43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Transmission channel</w:t>
            </w:r>
          </w:p>
        </w:tc>
        <w:tc>
          <w:tcPr>
            <w:tcW w:w="33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Observable platform effect</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Household consumption</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Number and value of retail transactions presented</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Gross transaction value and transaction count</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Credit conditions</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Availability and pricing of affordability and instalment offers</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Affordability volume and associated service revenue</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Small-business formalisation</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Size of the addressable merchant base</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 and digital-checkout-point additions</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Interest rates</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Working-capital cost in settlement, and the discount rate applied to growth equities</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Finance cost and the valuation multiple</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Inflation</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Average ticket size and merchant cost sensitivity</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per transaction and fee negotiation pressure</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Foreign-exchange movement</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Translation of international revenue and cross-border cost</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Reported overseas revenue share</w:t>
            </w:r>
          </w:p>
        </w:tc>
      </w:tr>
    </w:tbl>
    <w:p w:rsidR="005F2FC4" w:rsidRDefault="00000000">
      <w:pPr>
        <w:spacing w:before="40" w:after="140"/>
        <w:jc w:val="both"/>
      </w:pPr>
      <w:r>
        <w:rPr>
          <w:i/>
          <w:sz w:val="20"/>
        </w:rPr>
        <w:t xml:space="preserve">Source / note: Author’s framework. The channels are stated qualitatively; this study does not model macro sensitivities, which is recorded as a limitation in Section 7.3.</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macro layer explains why a payments platform can be simultaneously described as a technology company and treated by the market as a consumption-linked one. Its revenue is contractual, but the volume on which much of that revenue is earned is cyclical. For this report the practical consequence is modest but real: a single strong or weak quarter should not be attributed entirely to company execution, because part of the movement is the spending cycle passing through the checkout.</w:t>
            </w:r>
          </w:p>
        </w:tc>
      </w:tr>
    </w:tbl>
    <w:p w:rsidR="005F2FC4" w:rsidRDefault="00000000">
      <w:pPr>
        <w:pStyle w:val="Heading2"/>
      </w:pPr>
      <w:bookmarkStart w:id="5067" w:name="_Rpt67"/>
      <w:r>
        <w:t xml:space="preserve">3.16 Summary of the theoretical framework</w:t>
      </w:r>
      <w:bookmarkEnd w:id="5067"/>
    </w:p>
    <w:p w:rsidR="005F2FC4" w:rsidRDefault="00000000">
      <w:pPr>
        <w:keepNext/>
        <w:spacing w:before="80" w:after="60"/>
      </w:pPr>
      <w:bookmarkStart w:id="5068" w:name="_Rpt68"/>
      <w:r>
        <w:rPr>
          <w:b/>
          <w:sz w:val="20"/>
        </w:rPr>
        <w:t xml:space="preserve">Table 3.13. Framework conclusions carried into the analysis</w:t>
      </w:r>
      <w:bookmarkEnd w:id="5068"/>
    </w:p>
    <w:tbl>
      <w:tblPr>
        <w:tblW w:w="0" w:type="auto"/>
        <w:jc w:val="center"/>
        <w:tblLayout w:type="fixed"/>
        <w:tblLook w:val="04A0" w:firstRow="1" w:lastRow="0" w:firstColumn="1" w:lastColumn="0" w:noHBand="0" w:noVBand="1"/>
      </w:tblPr>
      <w:tblGrid>
        <w:gridCol w:w="2400"/>
        <w:gridCol w:w="4600"/>
        <w:gridCol w:w="2936"/>
      </w:tblGrid>
      <w:tr w:rsidR="005F2FC4">
        <w:trPr>
          <w:cantSplit/>
          <w:tblHeader/>
          <w:jc w:val="center"/>
        </w:trPr>
        <w:tc>
          <w:tcPr>
            <w:tcW w:w="24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Framework element</w:t>
            </w:r>
          </w:p>
        </w:tc>
        <w:tc>
          <w:tcPr>
            <w:tcW w:w="4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Conclusion reached</w:t>
            </w:r>
          </w:p>
        </w:tc>
        <w:tc>
          <w:tcPr>
            <w:tcW w:w="2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Where it is tested</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Value chain</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Technology and orchestration is the most contestable layer</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5.19 to 5.22</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System scale</w:t>
            </w:r>
          </w:p>
        </w:tc>
        <w:tc>
          <w:tcPr>
            <w:tcW w:w="4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Volume is abundant; monetisation per transaction is the constraint</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 5.21</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Industry economics</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Scale must convert into recurring, contracted revenue</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5.2 to 5.7</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PESTLE</w:t>
            </w:r>
          </w:p>
        </w:tc>
        <w:tc>
          <w:tcPr>
            <w:tcW w:w="4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Legal and technological factors bind hardest</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5.31 to 5.33</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Five Forces</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Structurally demanding; growth alone will not create margin</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Sections 5.3 and 5.15</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Regulatory perimeter</w:t>
            </w:r>
          </w:p>
        </w:tc>
        <w:tc>
          <w:tcPr>
            <w:tcW w:w="4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Attribute risk to the entity that carries the obligation</w:t>
            </w:r>
          </w:p>
        </w:tc>
        <w:tc>
          <w:tcPr>
            <w:tcW w:w="2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 5.31</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Responsible fintech</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Access, reliability and inclusion carry measurable trade-offs</w:t>
            </w:r>
          </w:p>
        </w:tc>
        <w:tc>
          <w:tcPr>
            <w:tcW w:w="2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Section 5.33</w:t>
            </w:r>
          </w:p>
        </w:tc>
      </w:tr>
    </w:tbl>
    <w:p w:rsidR="005F2FC4" w:rsidRDefault="00000000">
      <w:pPr>
        <w:spacing w:before="40" w:after="140"/>
        <w:jc w:val="both"/>
      </w:pPr>
      <w:r>
        <w:rPr>
          <w:i/>
          <w:sz w:val="20"/>
        </w:rPr>
        <w:t xml:space="preserve">Source / note: Author’s synthesis of Chapter 3. Each conclusion is carried forward as a testable proposition rather than as an assumption.</w:t>
      </w:r>
    </w:p>
    <w:p w:rsidR="005F2FC4" w:rsidRDefault="00000000">
      <w:pPr>
        <w:pageBreakBefore/>
        <w:keepNext/>
        <w:spacing w:before="120" w:after="160" w:line="240" w:lineRule="auto"/>
        <w:jc w:val="center"/>
      </w:pPr>
      <w:bookmarkStart w:id="5069" w:name="_Rpt69"/>
      <w:r>
        <w:rPr>
          <w:b/>
          <w:bCs/>
          <w:sz w:val="28"/>
          <w:szCs w:val="28"/>
        </w:rPr>
        <w:t xml:space="preserve">CHAPTER 4</w:t>
      </w:r>
      <w:bookmarkEnd w:id="5069"/>
    </w:p>
    <w:p w:rsidR="005F2FC4" w:rsidRDefault="00000000">
      <w:pPr>
        <w:pStyle w:val="Heading1"/>
      </w:pPr>
      <w:r>
        <w:t xml:space="preserve">Company Profile and Business Model: Pine Labs Limited</w:t>
      </w:r>
    </w:p>
    <w:p w:rsidR="005F2FC4" w:rsidRDefault="00000000">
      <w:pPr>
        <w:spacing w:after="160"/>
      </w:pPr>
      <w:r>
        <w:rPr>
          <w:i/>
          <w:sz w:val="20"/>
        </w:rPr>
        <w:t xml:space="preserve">Identification, history, platform architecture, products, segments, geography, monetisation, governance and ownership</w:t>
      </w:r>
    </w:p>
    <w:p w:rsidR="005F2FC4" w:rsidRDefault="00000000">
      <w:pPr>
        <w:pStyle w:val="Heading2"/>
      </w:pPr>
      <w:bookmarkStart w:id="5070" w:name="_Rpt70"/>
      <w:r>
        <w:t xml:space="preserve">4.1 Company identification sheet</w:t>
      </w:r>
      <w:bookmarkEnd w:id="5070"/>
    </w:p>
    <w:p w:rsidR="005F2FC4" w:rsidRDefault="00000000">
      <w:pPr>
        <w:keepNext/>
        <w:spacing w:before="80" w:after="60"/>
      </w:pPr>
      <w:bookmarkStart w:id="5071" w:name="_Rpt71"/>
      <w:r>
        <w:rPr>
          <w:b/>
          <w:sz w:val="20"/>
        </w:rPr>
        <w:t xml:space="preserve">Table 4.1. Company identification</w:t>
      </w:r>
      <w:bookmarkEnd w:id="5071"/>
    </w:p>
    <w:tbl>
      <w:tblPr>
        <w:tblW w:w="0" w:type="auto"/>
        <w:jc w:val="center"/>
        <w:tblLayout w:type="fixed"/>
        <w:tblLook w:val="04A0" w:firstRow="1" w:lastRow="0" w:firstColumn="1" w:lastColumn="0" w:noHBand="0" w:noVBand="1"/>
      </w:tblPr>
      <w:tblGrid>
        <w:gridCol w:w="2376"/>
        <w:gridCol w:w="7560"/>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Particular</w:t>
            </w:r>
          </w:p>
        </w:tc>
        <w:tc>
          <w:tcPr>
            <w:tcW w:w="756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Profile</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Legal name</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Limited (formerly Pine Labs Private Limited) [1,2]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Incorporated</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 May 1998; incorporated in New Delhi under the Companies Act, 1956. [1]</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Registered office</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Unit No. 408, 4th Floor, Time Tower, MG Road, Gurugram, Haryana 122002. [2]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Business</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Technology infrastructure for digital payments, merchant commerce, affordability, prepaid and issuing / acquiring services. [1,5]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Platforms</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Infrastructure and Transaction Platform (DITP); Issuing and Acquiring Platform (IAP). [1,5]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Listing identifiers</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NSE: PINELABS; BSE: 544606. [1,11]</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Financial year</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 April to 31 March; reporting currency in this report is Indian rupees. [2]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IPO</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Issue price ₹221 per share; fresh issue ₹2,080 crore and offer for sale approximately ₹1,819.9 crore. [1,2]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Management references</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Amrish Rau, Managing Director and CEO; Sameer Kamath, CFO as identified in company disclosures reviewed. [2,5]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Analysis cut-off</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 October 2026; latest results Q1 FY27 ended 30 June 2026; market snapshot BSE close 1 October 2026.</w:t>
            </w:r>
          </w:p>
        </w:tc>
      </w:tr>
    </w:tbl>
    <w:p w:rsidR="005F2FC4" w:rsidRDefault="00000000">
      <w:pPr>
        <w:spacing w:before="40" w:after="140"/>
        <w:jc w:val="both"/>
      </w:pPr>
      <w:r>
        <w:rPr>
          <w:i/>
          <w:sz w:val="20"/>
        </w:rPr>
        <w:t xml:space="preserve">Source / note: Compiled from the prospectus and company filings; administrative fields should be checked against the latest official filing before final submission. [1,2,5,11]</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Three fields on the identification sheet shape the whole analysis. The company was incorporated in 1998, so it is not a start-up; it is a mature business that listed late. It describes itself as technology infrastructure for digital payments rather than as a financial institution, which determines where regulated obligations sit. And it reports through two platforms rather than one, which is why segment analysis in Sections 4.6 and 5.6 is necessary rather than optional. Administrative fields should be re-verified against the latest official filing before final submission.</w:t>
            </w:r>
          </w:p>
        </w:tc>
      </w:tr>
    </w:tbl>
    <w:p w:rsidR="005F2FC4" w:rsidRDefault="00000000">
      <w:pPr>
        <w:pStyle w:val="Heading2"/>
      </w:pPr>
      <w:bookmarkStart w:id="5072" w:name="_Rpt72"/>
      <w:r>
        <w:t xml:space="preserve">4.2 Research question addressed in this chapter</w:t>
      </w:r>
      <w:bookmarkEnd w:id="5072"/>
    </w:p>
    <w:p w:rsidR="005F2FC4" w:rsidRDefault="00000000">
      <w:pPr>
        <w:jc w:val="both"/>
      </w:pPr>
      <w:r>
        <w:t xml:space="preserve">The question this chapter answers is deliberately narrow: how does Pine Labs Limited actually make money, from whom, and with what obligations attached? Until that question is settled, no financial figure in Chapter 5 can be interpreted. A reader who believes the company earns a percentage of the value it routes will reach a very different conclusion from a reader who understands that most of the value routed never belongs to the company at any point.</w:t>
      </w:r>
    </w:p>
    <w:p w:rsidR="005F2FC4" w:rsidRDefault="00000000">
      <w:pPr>
        <w:pStyle w:val="Heading2"/>
      </w:pPr>
      <w:bookmarkStart w:id="5073" w:name="_Rpt73"/>
      <w:r>
        <w:t xml:space="preserve">4.3 History and milestones</w:t>
      </w:r>
      <w:bookmarkEnd w:id="5073"/>
    </w:p>
    <w:p w:rsidR="005F2FC4" w:rsidRDefault="00000000">
      <w:pPr>
        <w:keepNext/>
        <w:spacing w:before="80" w:after="60"/>
      </w:pPr>
      <w:bookmarkStart w:id="5074" w:name="_Rpt74"/>
      <w:r>
        <w:rPr>
          <w:b/>
          <w:sz w:val="20"/>
        </w:rPr>
        <w:t xml:space="preserve">Table 4.2. Selected corporate milestones</w:t>
      </w:r>
      <w:bookmarkEnd w:id="5074"/>
    </w:p>
    <w:tbl>
      <w:tblPr>
        <w:tblW w:w="0" w:type="auto"/>
        <w:jc w:val="center"/>
        <w:tblLayout w:type="fixed"/>
        <w:tblLook w:val="04A0" w:firstRow="1" w:lastRow="0" w:firstColumn="1" w:lastColumn="0" w:noHBand="0" w:noVBand="1"/>
      </w:tblPr>
      <w:tblGrid>
        <w:gridCol w:w="1944"/>
        <w:gridCol w:w="7992"/>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Period</w:t>
            </w:r>
          </w:p>
        </w:tc>
        <w:tc>
          <w:tcPr>
            <w:tcW w:w="79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Milestone / strategic relevance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1998</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incorporated in India.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2005</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Plutus merchant-payment platform introduced, according to company history.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2017</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Expansion into Malaysia; regional growth outside India.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2019</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Qwikcilver acquisition expanded gift-card and prepaid programme capabilities.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2021</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Plural online payment-gateway brand introduced.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2022</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QFix, Mosambee and Setu acquisitions expanded adjacent merchant / fintech infrastructure capabilities.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2023</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Credit+ proposition added to the issuer / fintech stack.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6 Jun 2025</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Pine Labs Singapore merger became effective; prospectus comparatives were retrospectively presented from 1 Apr 2022 for relevant operating and financial comparisons.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Nov 2025</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IPO and listing as Pine Labs Limited; offer price ₹221 per share. [1,2]</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FY26 / Q1 FY27</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Agya became wholly owned in February 2026; Shopflo agreement signed after FY26 year-end and 100% acquisition was reported in Q1 FY27. [2,5]</w:t>
            </w:r>
          </w:p>
        </w:tc>
      </w:tr>
    </w:tbl>
    <w:p w:rsidR="005F2FC4" w:rsidRDefault="00000000">
      <w:pPr>
        <w:spacing w:before="40" w:after="140"/>
        <w:jc w:val="both"/>
      </w:pPr>
      <w:r>
        <w:rPr>
          <w:i/>
          <w:sz w:val="20"/>
        </w:rPr>
        <w:t xml:space="preserve">Source / note: Company prospectus and subsequent filings. Acquisitions and launches are not evidence of realised synergies; integration outcomes need monitoring. [1,2,5]</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milestone record describes a company that grew by adding capability rather than by deepening a single product. Merchant acceptance software came first, followed by regional expansion, then gift-card and prepaid issuance through acquisition, then an online gateway, then a corporate reorganisation ahead of listing. The analytical consequence is that the consolidated financial statements aggregate businesses with different economics and different acquisition dates, and that the pre-listing comparatives are restated rather than originally reported. Both facts are carried into the reading of the FY23 to FY25 series in Section 5.2.</w:t>
            </w:r>
          </w:p>
        </w:tc>
      </w:tr>
    </w:tbl>
    <w:p w:rsidR="005F2FC4" w:rsidRDefault="00000000">
      <w:pPr>
        <w:pStyle w:val="Heading2"/>
      </w:pPr>
      <w:bookmarkStart w:id="5075" w:name="_Rpt75"/>
      <w:r>
        <w:t xml:space="preserve">4.4 Two-platform architecture</w:t>
      </w:r>
      <w:bookmarkEnd w:id="5075"/>
    </w:p>
    <w:p w:rsidR="005F2FC4" w:rsidRDefault="00000000">
      <w:pPr>
        <w:jc w:val="both"/>
      </w:pPr>
      <w:r>
        <w:t xml:space="preserve">The prospectus describes a Digital Infrastructure and Transaction Platform (DITP) and an Issuing and Acquiring Platform (IAP). DITP supports merchant acceptance and related transactions across in-store and online environments, affordability / value-added services and fintech infrastructure. IAP provides prepaid, issuer / acquirer and processing capabilities for brands, banks, fintechs and enterprises. The segment framework is a useful way to understand revenue; customer, product and payment-flow categories can overlap. [1,5]</w:t>
      </w:r>
    </w:p>
    <w:p w:rsidR="005F2FC4" w:rsidRDefault="00000000">
      <w:pPr>
        <w:spacing w:before="60" w:after="20"/>
        <w:jc w:val="center"/>
      </w:pPr>
      <w:r>
        <w:rPr>
          <w:noProof/>
        </w:rPr>
        <w:drawing>
          <wp:inline distT="0" distB="0" distL="0" distR="0">
            <wp:extent cx="5943600" cy="24215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421598"/>
                    </a:xfrm>
                    <a:prstGeom prst="rect">
                      <a:avLst/>
                    </a:prstGeom>
                  </pic:spPr>
                </pic:pic>
              </a:graphicData>
            </a:graphic>
          </wp:inline>
        </w:drawing>
      </w:r>
    </w:p>
    <w:p w:rsidR="005F2FC4" w:rsidRDefault="00000000">
      <w:pPr>
        <w:keepNext/>
        <w:spacing w:after="20"/>
        <w:jc w:val="center"/>
      </w:pPr>
      <w:bookmarkStart w:id="5076" w:name="_Rpt76"/>
      <w:r>
        <w:rPr>
          <w:b/>
          <w:sz w:val="20"/>
        </w:rPr>
        <w:t xml:space="preserve">Figure 4.1. Conceptual Pine Labs platform and value flow</w:t>
      </w:r>
      <w:bookmarkEnd w:id="5076"/>
    </w:p>
    <w:p w:rsidR="005F2FC4" w:rsidRDefault="00000000">
      <w:pPr>
        <w:spacing w:after="140"/>
        <w:jc w:val="center"/>
      </w:pPr>
      <w:r>
        <w:rPr>
          <w:i/>
          <w:sz w:val="20"/>
        </w:rPr>
        <w:t xml:space="preserve">Author diagram based on the company’s platform and monetisation descriptions. It is not a legal-entity or funds-flow map. [1,5]</w:t>
      </w:r>
    </w:p>
    <w:p w:rsidR="005F2FC4" w:rsidRDefault="00000000">
      <w:pPr>
        <w:jc w:val="both"/>
      </w:pPr>
      <w:r>
        <w:t xml:space="preserve">The architecture is best read as two customer-facing propositions sharing one technology estate. The Digital Infrastructure and Transaction Platform faces merchants and the businesses that serve them: acceptance in store and online, affordability offers at the point of sale, and the application programming interfaces through which other fintechs embed payment capability. The Issuing and Acquiring Platform faces institutions: banks, brands and programme sponsors that need card issuance, prepaid and gift-programme processing, and distribution. The shared estate is what makes cross-sell possible; the separate customer bases are what make segment reporting meaningful.</w:t>
      </w:r>
    </w:p>
    <w:p w:rsidR="005F2FC4" w:rsidRDefault="00000000">
      <w:pPr>
        <w:pStyle w:val="Heading2"/>
      </w:pPr>
      <w:bookmarkStart w:id="5077" w:name="_Rpt77"/>
      <w:r>
        <w:t xml:space="preserve">4.5 Products and services</w:t>
      </w:r>
      <w:bookmarkEnd w:id="5077"/>
    </w:p>
    <w:p w:rsidR="005F2FC4" w:rsidRDefault="00000000">
      <w:pPr>
        <w:keepNext/>
        <w:spacing w:before="80" w:after="60"/>
      </w:pPr>
      <w:bookmarkStart w:id="5078" w:name="_Rpt78"/>
      <w:r>
        <w:rPr>
          <w:b/>
          <w:sz w:val="20"/>
        </w:rPr>
        <w:t xml:space="preserve">Table 4.3. Products and service economics</w:t>
      </w:r>
      <w:bookmarkEnd w:id="5078"/>
    </w:p>
    <w:tbl>
      <w:tblPr>
        <w:tblW w:w="0" w:type="auto"/>
        <w:jc w:val="center"/>
        <w:tblLayout w:type="fixed"/>
        <w:tblLook w:val="04A0" w:firstRow="1" w:lastRow="0" w:firstColumn="1" w:lastColumn="0" w:noHBand="0" w:noVBand="1"/>
      </w:tblPr>
      <w:tblGrid>
        <w:gridCol w:w="2118"/>
        <w:gridCol w:w="2191"/>
        <w:gridCol w:w="2995"/>
        <w:gridCol w:w="2632"/>
      </w:tblGrid>
      <w:tr w:rsidR="005F2FC4">
        <w:trPr>
          <w:cantSplit/>
          <w:tblHeader/>
          <w:jc w:val="center"/>
        </w:trPr>
        <w:tc>
          <w:tcPr>
            <w:tcW w:w="211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Product group</w:t>
            </w:r>
          </w:p>
        </w:tc>
        <w:tc>
          <w:tcPr>
            <w:tcW w:w="219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Primary customer</w:t>
            </w:r>
          </w:p>
        </w:tc>
        <w:tc>
          <w:tcPr>
            <w:tcW w:w="299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Illustrative service</w:t>
            </w:r>
          </w:p>
        </w:tc>
        <w:tc>
          <w:tcPr>
            <w:tcW w:w="26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Revenue / risk note</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Smart POS / in-store acceptance</w:t>
            </w:r>
          </w:p>
        </w:tc>
        <w:tc>
          <w:tcPr>
            <w:tcW w:w="219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Retailers, hospitality, fuel and other merchants</w:t>
            </w:r>
          </w:p>
        </w:tc>
        <w:tc>
          <w:tcPr>
            <w:tcW w:w="29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Terminal, acceptance software, reconciliation and support</w:t>
            </w:r>
          </w:p>
        </w:tc>
        <w:tc>
          <w:tcPr>
            <w:tcW w:w="2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Subscription / transaction / service-based fees vary by contract.</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Online payments / checkout</w:t>
            </w:r>
          </w:p>
        </w:tc>
        <w:tc>
          <w:tcPr>
            <w:tcW w:w="219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E-commerce and direct-to-consumer merchants</w:t>
            </w:r>
          </w:p>
        </w:tc>
        <w:tc>
          <w:tcPr>
            <w:tcW w:w="299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Gateway, payment links, orchestration, checkout and token-related tools</w:t>
            </w:r>
          </w:p>
        </w:tc>
        <w:tc>
          <w:tcPr>
            <w:tcW w:w="26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Value-linked processing and related technology fees.</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Affordability / flow</w:t>
            </w:r>
          </w:p>
        </w:tc>
        <w:tc>
          <w:tcPr>
            <w:tcW w:w="219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Merchants, lenders and consumers</w:t>
            </w:r>
          </w:p>
        </w:tc>
        <w:tc>
          <w:tcPr>
            <w:tcW w:w="29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EMI, offers, bank / lender integration and transaction processing</w:t>
            </w:r>
          </w:p>
        </w:tc>
        <w:tc>
          <w:tcPr>
            <w:tcW w:w="2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Processing / service fees; lender generally makes the credit decision and carries credit risk.</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Fintech infrastructure</w:t>
            </w:r>
          </w:p>
        </w:tc>
        <w:tc>
          <w:tcPr>
            <w:tcW w:w="219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Banks, fintechs and platforms</w:t>
            </w:r>
          </w:p>
        </w:tc>
        <w:tc>
          <w:tcPr>
            <w:tcW w:w="299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APIs, issuer/acquirer processing, data and account/payment services</w:t>
            </w:r>
          </w:p>
        </w:tc>
        <w:tc>
          <w:tcPr>
            <w:tcW w:w="26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Transaction-based or contracted technology fees.</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Prepaid / gifting / benefits</w:t>
            </w:r>
          </w:p>
        </w:tc>
        <w:tc>
          <w:tcPr>
            <w:tcW w:w="219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Brands, employers, programmes and end users</w:t>
            </w:r>
          </w:p>
        </w:tc>
        <w:tc>
          <w:tcPr>
            <w:tcW w:w="29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Card / stored-value issuance, processing, fulfilment and programme management</w:t>
            </w:r>
          </w:p>
        </w:tc>
        <w:tc>
          <w:tcPr>
            <w:tcW w:w="2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Processing / distribution fees; company disclosures note certain interest and breakage income.</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Merchant commerce services</w:t>
            </w:r>
          </w:p>
        </w:tc>
        <w:tc>
          <w:tcPr>
            <w:tcW w:w="219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SMBs, enterprise and D2C</w:t>
            </w:r>
          </w:p>
        </w:tc>
        <w:tc>
          <w:tcPr>
            <w:tcW w:w="299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Marketing, loyalty, campaigns, billing, analytics and commerce funnel tools</w:t>
            </w:r>
          </w:p>
        </w:tc>
        <w:tc>
          <w:tcPr>
            <w:tcW w:w="26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May be subscription, service or campaign-based; adoption is a monetization test.</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New payment interfaces</w:t>
            </w:r>
          </w:p>
        </w:tc>
        <w:tc>
          <w:tcPr>
            <w:tcW w:w="219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Banks, merchants and consumers</w:t>
            </w:r>
          </w:p>
        </w:tc>
        <w:tc>
          <w:tcPr>
            <w:tcW w:w="29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Credit line on UPI, agentic protocol and emerging payment experiences</w:t>
            </w:r>
          </w:p>
        </w:tc>
        <w:tc>
          <w:tcPr>
            <w:tcW w:w="2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Early-stage opportunity; validate adoption, risk controls and unit economics.</w:t>
            </w:r>
          </w:p>
        </w:tc>
      </w:tr>
    </w:tbl>
    <w:p w:rsidR="005F2FC4" w:rsidRDefault="00000000">
      <w:pPr>
        <w:spacing w:before="40" w:after="140"/>
        <w:jc w:val="both"/>
      </w:pPr>
      <w:r>
        <w:rPr>
          <w:i/>
          <w:sz w:val="20"/>
        </w:rPr>
        <w:t xml:space="preserve">Source / note: Company product and business descriptions; exact commercial terms are contract-specific and are not disclosed in a public tariff. [1,5,8]</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Reading the table by column rather than by row is the more useful exercise. The customer column shows that the company sells to four distinct buyer types — merchants, institutions, brands and other fintechs — each with a different purchasing process and a different willingness to pay. The revenue column shows that no single monetisation mechanism dominates: subscription, transaction-linked, value-linked and distribution fees all appear. That diversity is a defence against fee compression in any one line, and it is also the reason a single blended take-rate figure would be misleading.</w:t>
            </w:r>
          </w:p>
        </w:tc>
      </w:tr>
    </w:tbl>
    <w:p w:rsidR="005F2FC4" w:rsidRDefault="00000000">
      <w:pPr>
        <w:pStyle w:val="Heading2"/>
      </w:pPr>
      <w:bookmarkStart w:id="5079" w:name="_Rpt79"/>
      <w:r>
        <w:t xml:space="preserve">4.6 Revenue by operating segment</w:t>
      </w:r>
      <w:bookmarkEnd w:id="5079"/>
    </w:p>
    <w:p w:rsidR="005F2FC4" w:rsidRDefault="00000000">
      <w:pPr>
        <w:keepNext/>
        <w:spacing w:before="80" w:after="60"/>
      </w:pPr>
      <w:bookmarkStart w:id="5080" w:name="_Rpt80"/>
      <w:r>
        <w:rPr>
          <w:b/>
          <w:sz w:val="20"/>
        </w:rPr>
        <w:t xml:space="preserve">Table 4.4. Revenue mix by platform (₹ crore except share)</w:t>
      </w:r>
      <w:bookmarkEnd w:id="5080"/>
    </w:p>
    <w:tbl>
      <w:tblPr>
        <w:tblW w:w="0" w:type="auto"/>
        <w:jc w:val="center"/>
        <w:tblLayout w:type="fixed"/>
        <w:tblLook w:val="04A0" w:firstRow="1" w:lastRow="0" w:firstColumn="1" w:lastColumn="0" w:noHBand="0" w:noVBand="1"/>
      </w:tblPr>
      <w:tblGrid>
        <w:gridCol w:w="3418"/>
        <w:gridCol w:w="1629"/>
        <w:gridCol w:w="1629"/>
        <w:gridCol w:w="1629"/>
        <w:gridCol w:w="1631"/>
      </w:tblGrid>
      <w:tr w:rsidR="005F2FC4">
        <w:trPr>
          <w:cantSplit/>
          <w:tblHeader/>
          <w:jc w:val="center"/>
        </w:trPr>
        <w:tc>
          <w:tcPr>
            <w:tcW w:w="341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Segment / measure</w:t>
            </w:r>
          </w:p>
        </w:tc>
        <w:tc>
          <w:tcPr>
            <w:tcW w:w="162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62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62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c>
          <w:tcPr>
            <w:tcW w:w="163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Q1 FY27</w:t>
            </w:r>
          </w:p>
        </w:tc>
      </w:tr>
      <w:tr w:rsidR="005F2FC4">
        <w:trPr>
          <w:cantSplit/>
          <w:jc w:val="center"/>
        </w:trPr>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DITP</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1,276.43</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1,603.23</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1,836.82</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499.12</w:t>
            </w:r>
          </w:p>
        </w:tc>
      </w:tr>
      <w:tr w:rsidR="005F2FC4">
        <w:trPr>
          <w:cantSplit/>
          <w:jc w:val="center"/>
        </w:trPr>
        <w:tc>
          <w:tcPr>
            <w:tcW w:w="34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IAP</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493.11</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671.05</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873.76</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237.80</w:t>
            </w:r>
          </w:p>
        </w:tc>
      </w:tr>
      <w:tr w:rsidR="005F2FC4">
        <w:trPr>
          <w:cantSplit/>
          <w:jc w:val="center"/>
        </w:trPr>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segment revenue (rounded)</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1,769.54</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2,274.28</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2,710.58</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w:t>
            </w:r>
          </w:p>
        </w:tc>
      </w:tr>
      <w:tr w:rsidR="005F2FC4">
        <w:trPr>
          <w:cantSplit/>
          <w:jc w:val="center"/>
        </w:trPr>
        <w:tc>
          <w:tcPr>
            <w:tcW w:w="34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Consolidated revenue from operations</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16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w:t>
            </w:r>
          </w:p>
        </w:tc>
      </w:tr>
      <w:tr w:rsidR="005F2FC4">
        <w:trPr>
          <w:cantSplit/>
          <w:jc w:val="center"/>
        </w:trPr>
        <w:tc>
          <w:tcPr>
            <w:tcW w:w="34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IAP share of revenue</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27.9%</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29.5%</w:t>
            </w:r>
          </w:p>
        </w:tc>
        <w:tc>
          <w:tcPr>
            <w:tcW w:w="16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32.2%</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32.3%</w:t>
            </w:r>
          </w:p>
        </w:tc>
      </w:tr>
    </w:tbl>
    <w:p w:rsidR="005F2FC4" w:rsidRDefault="00000000">
      <w:pPr>
        <w:spacing w:before="40" w:after="140"/>
        <w:jc w:val="both"/>
      </w:pPr>
      <w:r>
        <w:rPr>
          <w:i/>
          <w:sz w:val="20"/>
        </w:rPr>
        <w:t xml:space="preserve">Source / note: FY24–FY25 restated prospectus / company KPI disclosures; FY26 audited and Q1 FY27 interim company disclosures. Segment totals may differ from consolidated revenue by ₹0.01 crore due to rounding. [1–6]</w:t>
      </w:r>
    </w:p>
    <w:p w:rsidR="005F2FC4" w:rsidRDefault="00000000">
      <w:pPr>
        <w:spacing w:before="60" w:after="20"/>
        <w:jc w:val="center"/>
      </w:pPr>
      <w:r>
        <w:rPr>
          <w:noProof/>
        </w:rPr>
        <w:drawing>
          <wp:inline distT="0" distB="0" distL="0" distR="0">
            <wp:extent cx="5943600" cy="25808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580830"/>
                    </a:xfrm>
                    <a:prstGeom prst="rect">
                      <a:avLst/>
                    </a:prstGeom>
                  </pic:spPr>
                </pic:pic>
              </a:graphicData>
            </a:graphic>
          </wp:inline>
        </w:drawing>
      </w:r>
    </w:p>
    <w:p w:rsidR="005F2FC4" w:rsidRDefault="00000000">
      <w:pPr>
        <w:keepNext/>
        <w:spacing w:after="20"/>
        <w:jc w:val="center"/>
      </w:pPr>
      <w:bookmarkStart w:id="5081" w:name="_Rpt81"/>
      <w:r>
        <w:rPr>
          <w:b/>
          <w:sz w:val="20"/>
        </w:rPr>
        <w:t xml:space="preserve">Figure 4.2. Annual revenue by segment</w:t>
      </w:r>
      <w:bookmarkEnd w:id="5081"/>
    </w:p>
    <w:p w:rsidR="005F2FC4" w:rsidRDefault="00000000">
      <w:pPr>
        <w:spacing w:after="140"/>
        <w:jc w:val="center"/>
      </w:pPr>
      <w:r>
        <w:rPr>
          <w:i/>
          <w:sz w:val="20"/>
        </w:rPr>
        <w:t xml:space="preserve">Company-reported segment revenue; annual FY24–FY26 only. Small ₹0.01 rounding differences may occur against the statutory total. [1,3]</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segment table records a deliberate and sustained mix shift. The Issuing and Acquiring Platform rose from 27.9 per cent of revenue in FY24 to 32.2 per cent in FY26 and 32.3 per cent in Q1 FY27, because it grew faster than the larger merchant-facing platform in every period shown. Two readings are available and the evidence does not yet separate them. The favourable reading is diversification away from dependence on in-store acceptance. The cautious reading is that the faster-growing segment may carry a different cost structure, which would help explain the contribution-margin decline analysed in Section 5.3. Segment revenue alone cannot settle the question because segment profitability is not disclosed.</w:t>
            </w:r>
          </w:p>
        </w:tc>
      </w:tr>
    </w:tbl>
    <w:p w:rsidR="005F2FC4" w:rsidRDefault="00000000">
      <w:pPr>
        <w:pStyle w:val="Heading2"/>
      </w:pPr>
      <w:bookmarkStart w:id="5082" w:name="_Rpt82"/>
      <w:r>
        <w:t xml:space="preserve">4.7 How the company makes money</w:t>
      </w:r>
      <w:bookmarkEnd w:id="5082"/>
    </w:p>
    <w:p w:rsidR="005F2FC4" w:rsidRDefault="00000000">
      <w:pPr>
        <w:keepNext/>
        <w:spacing w:before="80" w:after="60"/>
      </w:pPr>
      <w:bookmarkStart w:id="5083" w:name="_Rpt83"/>
      <w:r>
        <w:rPr>
          <w:b/>
          <w:sz w:val="20"/>
        </w:rPr>
        <w:t xml:space="preserve">Table 4.5. Disclosed revenue streams by activity</w:t>
      </w:r>
      <w:bookmarkEnd w:id="5083"/>
    </w:p>
    <w:tbl>
      <w:tblPr>
        <w:tblW w:w="0" w:type="auto"/>
        <w:jc w:val="center"/>
        <w:tblLayout w:type="fixed"/>
        <w:tblLook w:val="04A0" w:firstRow="1" w:lastRow="0" w:firstColumn="1" w:lastColumn="0" w:noHBand="0" w:noVBand="1"/>
      </w:tblPr>
      <w:tblGrid>
        <w:gridCol w:w="2118"/>
        <w:gridCol w:w="3726"/>
        <w:gridCol w:w="4092"/>
      </w:tblGrid>
      <w:tr w:rsidR="005F2FC4">
        <w:trPr>
          <w:cantSplit/>
          <w:tblHeader/>
          <w:jc w:val="center"/>
        </w:trPr>
        <w:tc>
          <w:tcPr>
            <w:tcW w:w="211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Activity</w:t>
            </w:r>
          </w:p>
        </w:tc>
        <w:tc>
          <w:tcPr>
            <w:tcW w:w="372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Typical disclosed monetization</w:t>
            </w:r>
          </w:p>
        </w:tc>
        <w:tc>
          <w:tcPr>
            <w:tcW w:w="40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Analytical implication</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In-store DITP</w:t>
            </w:r>
          </w:p>
        </w:tc>
        <w:tc>
          <w:tcPr>
            <w:tcW w:w="372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Digital-checkout-point / platform subscriptions and related service fees</w:t>
            </w:r>
          </w:p>
        </w:tc>
        <w:tc>
          <w:tcPr>
            <w:tcW w:w="40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Creates a recurring element, but revenue per point depends on plan, product adoption and transaction volume.</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Online acceptance</w:t>
            </w:r>
          </w:p>
        </w:tc>
        <w:tc>
          <w:tcPr>
            <w:tcW w:w="372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Value-linked transaction / processing fees and associated services</w:t>
            </w:r>
          </w:p>
        </w:tc>
        <w:tc>
          <w:tcPr>
            <w:tcW w:w="40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Fee pool depends on payment method, merchant category, routing, refunds and pricing competition.</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Affordability and value-added services</w:t>
            </w:r>
          </w:p>
        </w:tc>
        <w:tc>
          <w:tcPr>
            <w:tcW w:w="372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GTV-linked processing fees and service income; the lender partner bears consumer credit risk in the described model</w:t>
            </w:r>
          </w:p>
        </w:tc>
        <w:tc>
          <w:tcPr>
            <w:tcW w:w="40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can scale with eligible transactions; lenders, issuers and merchant offers remain critical counterparties.</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Fintech infrastructure</w:t>
            </w:r>
          </w:p>
        </w:tc>
        <w:tc>
          <w:tcPr>
            <w:tcW w:w="372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Transaction-based technology / processing fees for APIs and financial-institution use cases</w:t>
            </w:r>
          </w:p>
        </w:tc>
        <w:tc>
          <w:tcPr>
            <w:tcW w:w="40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Potentially scalable, but requires product integration, reliability and partner adoption.</w:t>
            </w:r>
          </w:p>
        </w:tc>
      </w:tr>
      <w:tr w:rsidR="005F2FC4">
        <w:trPr>
          <w:cantSplit/>
          <w:jc w:val="center"/>
        </w:trPr>
        <w:tc>
          <w:tcPr>
            <w:tcW w:w="211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IAP prepaid / issuing</w:t>
            </w:r>
          </w:p>
        </w:tc>
        <w:tc>
          <w:tcPr>
            <w:tcW w:w="372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Processing and distribution fees; company disclosures also describe interest on certain customer funds and breakage income</w:t>
            </w:r>
          </w:p>
        </w:tc>
        <w:tc>
          <w:tcPr>
            <w:tcW w:w="40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Stored-value balances may bring float-related income, but treatment and customer-fund obligations require careful review.</w:t>
            </w:r>
          </w:p>
        </w:tc>
      </w:tr>
    </w:tbl>
    <w:p w:rsidR="005F2FC4" w:rsidRDefault="00000000">
      <w:pPr>
        <w:spacing w:before="40" w:after="140"/>
        <w:jc w:val="both"/>
      </w:pPr>
      <w:r>
        <w:rPr>
          <w:i/>
          <w:sz w:val="20"/>
        </w:rPr>
        <w:t xml:space="preserve">Source / note: Revenue categories paraphrase the company prospectus and investor materials; not a complete fee schedule. [1,5]</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This is the single most important table in the chapter. It establishes that recognised revenue arises from contracted subscription, processing, service and distribution fees — not from a share of the value routed across the platform. The analytical consequence is stated plainly: gross transaction value is an activity indicator, and any calculation that divides revenue by GTV produces a diagnostic ratio, not a price. Sections 5.19 to 5.22 apply that discipline to the published series.</w:t>
            </w:r>
          </w:p>
        </w:tc>
      </w:tr>
    </w:tbl>
    <w:p w:rsidR="005F2FC4" w:rsidRDefault="00000000">
      <w:pPr>
        <w:pStyle w:val="Heading2"/>
      </w:pPr>
      <w:bookmarkStart w:id="5084" w:name="_Rpt84"/>
      <w:r>
        <w:t xml:space="preserve">4.8 Geographic footprint, customer base and strategy</w:t>
      </w:r>
      <w:bookmarkEnd w:id="5084"/>
    </w:p>
    <w:p w:rsidR="005F2FC4" w:rsidRDefault="00000000">
      <w:pPr>
        <w:jc w:val="both"/>
      </w:pPr>
      <w:r>
        <w:t xml:space="preserve">Company materials describe operations spanning India and international markets across Southeast Asia, the Middle East and other regions, with 22+ countries referenced in Q1 FY27 materials. Q1 FY27 international revenue was approximately ₹114 crore, around 16% of total revenue. Geography adds diversification potential but also increases regulatory, foreign-exchange, settlement and execution complexity. [5,6,8]</w:t>
      </w:r>
    </w:p>
    <w:p w:rsidR="005F2FC4" w:rsidRDefault="00000000">
      <w:pPr>
        <w:jc w:val="both"/>
      </w:pPr>
      <w:r>
        <w:t xml:space="preserve">Pine Labs’ reported network at FY26 year-end included 11.03 lakh merchants, 20.28 lakh DCPs, 740.37 crore transactions and 86.55 crore prepaid cards issued during the year. Q1 FY27 disclosures reported 11.5 lakh merchants and 21.7 lakh DCPs. These are company-defined reach / activity indicators; they are not unique monthly active users or revenue-generating units by themselves. [3,5,6]</w:t>
      </w:r>
    </w:p>
    <w:p w:rsidR="005F2FC4" w:rsidRDefault="00000000">
      <w:pPr>
        <w:jc w:val="both"/>
      </w:pPr>
      <w:r>
        <w:t xml:space="preserve">The strategic logic is cross-sell: a merchant or issuer relationship can be extended from acceptance into checkout, affordability, loyalty, marketing, prepaid, reconciliation or API products. The central execution question is whether added layers increase retained revenue and contribution after support, device, software, sales, compliance and servicing costs.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strategic logic is land-and-expand, and it is measurable. The company reports a large installed base of merchants and digital checkout points, and a rising share of revenue from outside India. If the strategy is working, revenue per merchant and revenue per checkout point should hold or improve as the base grows, and international revenue should grow without a disproportionate increase in compliance and operating cost. Section 5.19 tests the first of those conditions; the second is not fully testable on public disclosure and is listed in Chapter 7 as a limitation.</w:t>
            </w:r>
          </w:p>
        </w:tc>
      </w:tr>
    </w:tbl>
    <w:p w:rsidR="005F2FC4" w:rsidRDefault="00000000">
      <w:pPr>
        <w:pStyle w:val="Heading2"/>
      </w:pPr>
      <w:bookmarkStart w:id="5085" w:name="_Rpt85"/>
      <w:r>
        <w:t xml:space="preserve">4.9 Illustrative merchant journey</w:t>
      </w:r>
      <w:bookmarkEnd w:id="5085"/>
    </w:p>
    <w:p w:rsidR="005F2FC4" w:rsidRDefault="00000000">
      <w:pPr>
        <w:jc w:val="both"/>
      </w:pPr>
      <w:r>
        <w:t xml:space="preserve">Consider a consumer purchasing a ₹50,000 appliance in a physical store. The merchant device or software accepts a card, UPI or another supported instrument; the transaction is routed through the relevant bank, issuer and network; the merchant receives settlement according to the arrangement; and Pine Labs may provide the terminal, software, processing, affordability integration and related support. If an EMI offer is used, a lender / issuer makes the credit decision and is responsible for the lending exposure in the described partner model. Pine Labs’ recognized revenue is its contracted technology and service fee, not the ₹50,000 transaction value. The example describes a process, not a Pine Labs tariff or a particular contract. [1]</w:t>
      </w:r>
    </w:p>
    <w:p w:rsidR="005F2FC4" w:rsidRDefault="00000000">
      <w:pPr>
        <w:jc w:val="both"/>
      </w:pPr>
      <w:r>
        <w:t xml:space="preserve">Three points in that journey determine the economics. The first is the instrument the consumer chooses, because card, unified-payments-interface and affordability transactions carry different pricing and different direct costs. The second is whether the merchant has bought services beyond acceptance — reconciliation, loyalty, billing or data — because those are the recurring elements of the relationship. The third is settlement timing, which determines the working-capital profile examined in Section 5.11 rather than the revenue recognised.</w:t>
      </w:r>
    </w:p>
    <w:p w:rsidR="005F2FC4" w:rsidRDefault="00000000">
      <w:pPr>
        <w:pStyle w:val="Heading2"/>
      </w:pPr>
      <w:bookmarkStart w:id="5086" w:name="_Rpt86"/>
      <w:r>
        <w:t xml:space="preserve">4.10 Illustrative prepaid and issuing journey</w:t>
      </w:r>
      <w:bookmarkEnd w:id="5086"/>
    </w:p>
    <w:p w:rsidR="005F2FC4" w:rsidRDefault="00000000">
      <w:pPr>
        <w:jc w:val="both"/>
      </w:pPr>
      <w:r>
        <w:t xml:space="preserve">A brand may contract for gift or prepaid products, while Pine Labs supplies programme set-up, issuance interfaces, processing, fulfilment or distribution. A bank or programme sponsor may hold regulated responsibilities and customer funds. The company’s disclosures identify processing / distribution fees and, for certain customer-fund balances, interest and breakage income. Funds backing stored value remain subject to the applicable contractual and regulatory structure; they should not be treated as unrestricted shareholder cash. [1,2]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prepaid journey illustrates why balance-sheet size is a poor proxy for financial strength in this business. Programme balances held for brands and end users appear as both an asset and an obligation; they are not shareholder funds and they are not freely distributable. The company’s role is to supply programme software, issuance interfaces, processing and distribution, and to earn fees for doing so. Section 5.9 therefore reads the liquidity ratios with explicit reference to prepaid-card liabilities and other bank balances rather than treating cash-like items as available resources.</w:t>
            </w:r>
          </w:p>
        </w:tc>
      </w:tr>
    </w:tbl>
    <w:p w:rsidR="005F2FC4" w:rsidRDefault="00000000">
      <w:pPr>
        <w:pStyle w:val="Heading2"/>
      </w:pPr>
      <w:bookmarkStart w:id="5087" w:name="_Rpt87"/>
      <w:r>
        <w:t xml:space="preserve">4.11 Product evaluation framework</w:t>
      </w:r>
      <w:bookmarkEnd w:id="5087"/>
    </w:p>
    <w:p w:rsidR="005F2FC4" w:rsidRDefault="00000000">
      <w:pPr>
        <w:keepNext/>
        <w:spacing w:before="80" w:after="60"/>
      </w:pPr>
      <w:bookmarkStart w:id="5088" w:name="_Rpt88"/>
      <w:r>
        <w:rPr>
          <w:b/>
          <w:sz w:val="20"/>
        </w:rPr>
        <w:t xml:space="preserve">Table 4.6. Questions to assess each product line</w:t>
      </w:r>
      <w:bookmarkEnd w:id="5088"/>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Questions for the analyst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Reach</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How many active merchants, banks or brands use the product? Are reported installations active and transacting?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Monetization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is billed: subscription, transaction fee, processing fee, distribution fee or another service? Is there recurring revenue?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Unit economics</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are acquisition, installation, support, network, incentive, fraud and servicing costs per active unit?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Risk allocation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Which entity handles funds, credit decisions, chargebacks, complaints, data and regulatory permissions?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Retention and cross-sell</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Does product adoption increase merchant / client retention and net revenue per relationship?</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Evidence</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volumes, revenue, margins and cash conversion disclosed consistently by period and segment?</w:t>
            </w:r>
          </w:p>
        </w:tc>
      </w:tr>
    </w:tbl>
    <w:p w:rsidR="005F2FC4" w:rsidRDefault="00000000">
      <w:pPr>
        <w:spacing w:before="40" w:after="140"/>
        <w:jc w:val="both"/>
      </w:pPr>
      <w:r>
        <w:rPr>
          <w:i/>
          <w:sz w:val="20"/>
        </w:rPr>
        <w:t xml:space="preserve">Source / note: Author framework; designed to avoid treating product announcements as proven economics.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framework exists to stop a product list being read as a performance record. For each line the analyst must establish reach, the billing mechanism, the unit economics, where risk sits and whether adoption improves retention. Applying it to the disclosed data, reach is well evidenced, the billing mechanism is described qualitatively, risk allocation is stated for credit-linked products, and unit economics and retention are not disclosed at all. Two of the five dimensions therefore remain unanswered on public information, which is recorded in Chapter 7.</w:t>
            </w:r>
          </w:p>
        </w:tc>
      </w:tr>
    </w:tbl>
    <w:p w:rsidR="005F2FC4" w:rsidRDefault="00000000">
      <w:pPr>
        <w:pStyle w:val="Heading2"/>
      </w:pPr>
      <w:bookmarkStart w:id="5089" w:name="_Rpt89"/>
      <w:r>
        <w:t xml:space="preserve">4.12 Innovation claims and the evidence standard applied</w:t>
      </w:r>
      <w:bookmarkEnd w:id="5089"/>
    </w:p>
    <w:p w:rsidR="005F2FC4" w:rsidRDefault="00000000">
      <w:pPr>
        <w:jc w:val="both"/>
      </w:pPr>
      <w:r>
        <w:t xml:space="preserve">Q1 FY27 company materials highlight Credit Line on UPI, an agentic payment protocol, AI-related products and cross-border capabilities. These announcements can broaden the addressable market, but a launch, pilot or first customer should not be described as a scaled business without subsequent verified metrics. The report therefore treats them as strategic options and monitors: customer count, active use, repeat transactions, fee contribution, safety incidents, dispute rates, partner economics and return on development spend. [5,6,8]</w:t>
      </w:r>
    </w:p>
    <w:p w:rsidR="005F2FC4" w:rsidRDefault="00000000">
      <w:pPr>
        <w:jc w:val="both"/>
      </w:pPr>
      <w:r>
        <w:t xml:space="preserve">The standard applied in this report is therefore explicit. A product announcement is recorded as an announcement. A pilot is recorded as a pilot. A revenue contribution is recorded only where the company discloses one. Where a capability is strategically significant but not yet financially material, it is treated as optionality and is not included in any valuation arithmetic in Chapter 5.</w:t>
      </w:r>
    </w:p>
    <w:p w:rsidR="005F2FC4" w:rsidRDefault="00000000">
      <w:pPr>
        <w:pStyle w:val="Heading2"/>
      </w:pPr>
      <w:bookmarkStart w:id="5090" w:name="_Rpt90"/>
      <w:r>
        <w:t xml:space="preserve">4.13 Recent initiatives and corporate actions</w:t>
      </w:r>
      <w:bookmarkEnd w:id="5090"/>
    </w:p>
    <w:p w:rsidR="005F2FC4" w:rsidRDefault="00000000">
      <w:pPr>
        <w:pStyle w:val="ListBullet"/>
        <w:spacing w:after="50"/>
        <w:ind w:left="317" w:hanging="202"/>
        <w:jc w:val="both"/>
      </w:pPr>
      <w:r>
        <w:t xml:space="preserve">Company materials describe a bank-issued Credit Line on UPI proposition; the bank is the credit provider. The report does not attribute the consumer loan or default risk to Pine Labs in this product without a specific contractual disclosure. [5,8]</w:t>
      </w:r>
    </w:p>
    <w:p w:rsidR="005F2FC4" w:rsidRDefault="00000000">
      <w:pPr>
        <w:pStyle w:val="ListBullet"/>
        <w:spacing w:after="50"/>
        <w:ind w:left="317" w:hanging="202"/>
        <w:jc w:val="both"/>
      </w:pPr>
      <w:r>
        <w:t xml:space="preserve">Pine Labs announced an agentic-payment protocol (P3P) on UPI and early merchant use cases in Q1 FY27. This is an emerging proposition; scale, safety, revenue contribution and liability are not yet established by a single quarter. [5,8]</w:t>
      </w:r>
    </w:p>
    <w:p w:rsidR="005F2FC4" w:rsidRDefault="00000000">
      <w:pPr>
        <w:pStyle w:val="ListBullet"/>
        <w:spacing w:after="50"/>
        <w:ind w:left="317" w:hanging="202"/>
        <w:jc w:val="both"/>
      </w:pPr>
      <w:r>
        <w:t xml:space="preserve">FY26 financial statements note the Agya acquisition and a post-year-end Shopflo agreement; Q1 FY27 materials report Shopflo’s acquisition for ₹88 crore. Integration, retention, product overlap and return on acquisition capital should be monitored. [2,5]</w:t>
      </w:r>
    </w:p>
    <w:p w:rsidR="005F2FC4" w:rsidRDefault="00000000">
      <w:pPr>
        <w:pStyle w:val="ListBullet"/>
        <w:spacing w:after="50"/>
        <w:ind w:left="317" w:hanging="202"/>
        <w:jc w:val="both"/>
      </w:pPr>
      <w:r>
        <w:t xml:space="preserve">Company disclosures describe conversion of approximately 57.95 crore compulsorily convertible preference shares into equity shares on a 1:1 basis in December 2025. The capital structure and per-share metrics should therefore use period-specific share counts. [2]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corporate actions matter for per-share work as much as for strategy. The conversion of approximately 57.95 crore compulsorily convertible preference shares into equity on a one-for-one basis in December 2025 changes the share count used in any per-share calculation, and the Agya and Shopflo transactions change the composition of the consolidated group between periods. Section 5.25 therefore states the share count it uses, the date of that count, and the fact that it excludes potential dilution.</w:t>
            </w:r>
          </w:p>
        </w:tc>
      </w:tr>
    </w:tbl>
    <w:p w:rsidR="005F2FC4" w:rsidRDefault="00000000">
      <w:pPr>
        <w:pStyle w:val="Heading2"/>
      </w:pPr>
      <w:bookmarkStart w:id="5091" w:name="_Rpt91"/>
      <w:r>
        <w:t xml:space="preserve">4.14 SWOT analysis</w:t>
      </w:r>
      <w:bookmarkEnd w:id="5091"/>
    </w:p>
    <w:p w:rsidR="005F2FC4" w:rsidRDefault="00000000">
      <w:pPr>
        <w:keepNext/>
        <w:spacing w:before="80" w:after="60"/>
      </w:pPr>
      <w:bookmarkStart w:id="5092" w:name="_Rpt92"/>
      <w:r>
        <w:rPr>
          <w:b/>
          <w:sz w:val="20"/>
        </w:rPr>
        <w:t xml:space="preserve">Table 4.7. SWOT matrix</w:t>
      </w:r>
      <w:bookmarkEnd w:id="5092"/>
    </w:p>
    <w:tbl>
      <w:tblPr>
        <w:tblW w:w="0" w:type="auto"/>
        <w:jc w:val="center"/>
        <w:tblLayout w:type="fixed"/>
        <w:tblLook w:val="04A0" w:firstRow="1" w:lastRow="0" w:firstColumn="1" w:lastColumn="0" w:noHBand="0" w:noVBand="1"/>
      </w:tblPr>
      <w:tblGrid>
        <w:gridCol w:w="1440"/>
        <w:gridCol w:w="5760"/>
        <w:gridCol w:w="2736"/>
      </w:tblGrid>
      <w:tr w:rsidR="005F2FC4">
        <w:trPr>
          <w:cantSplit/>
          <w:tblHeader/>
          <w:jc w:val="center"/>
        </w:trPr>
        <w:tc>
          <w:tcPr>
            <w:tcW w:w="14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Quadrant</w:t>
            </w:r>
          </w:p>
        </w:tc>
        <w:tc>
          <w:tcPr>
            <w:tcW w:w="576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Assessment</w:t>
            </w:r>
          </w:p>
        </w:tc>
        <w:tc>
          <w:tcPr>
            <w:tcW w:w="27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Evidence / note</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Strengths</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merchant acceptance and issuing footprint; two-platform model; broad product range; established bank, brand and merchant relationships; FY26 profitability; international presence.</w:t>
            </w:r>
          </w:p>
        </w:tc>
        <w:tc>
          <w:tcPr>
            <w:tcW w:w="2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 Q1 operating KPIs; prospectus platform map. [1–6]</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Weaknesses</w:t>
            </w:r>
          </w:p>
        </w:tc>
        <w:tc>
          <w:tcPr>
            <w:tcW w:w="57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Short listed-company record; FY23–FY25 statutory losses; low current reported ROE; complexity of group and acquisitions; working-capital volatility; limited public unit economics.</w:t>
            </w:r>
          </w:p>
        </w:tc>
        <w:tc>
          <w:tcPr>
            <w:tcW w:w="2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Restated statements, audited FY26 and interim cash-flow disclosures. [1,2,5]</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Opportunities</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SMB / mid-market penetration; omnichannel checkout; value-added services; prepaid programmes; issuer processing; cross-border and bank-issued affordability; responsible automation.</w:t>
            </w:r>
          </w:p>
        </w:tc>
        <w:tc>
          <w:tcPr>
            <w:tcW w:w="2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strategy and industry growth, subject to conversion into recurring revenue. [5,6,8,9]</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Threats</w:t>
            </w:r>
          </w:p>
        </w:tc>
        <w:tc>
          <w:tcPr>
            <w:tcW w:w="57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Payment fee compression; regulatory and cyber events; bank/network dependence; customer concentration; rapid technology shifts; integration risk; high valuation expectations.</w:t>
            </w:r>
          </w:p>
        </w:tc>
        <w:tc>
          <w:tcPr>
            <w:tcW w:w="2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Prospectus risk factors, customer concentration and the market snapshot. [1,11]</w:t>
            </w:r>
          </w:p>
        </w:tc>
      </w:tr>
    </w:tbl>
    <w:p w:rsidR="005F2FC4" w:rsidRDefault="00000000">
      <w:pPr>
        <w:spacing w:before="40" w:after="140"/>
        <w:jc w:val="both"/>
      </w:pPr>
      <w:r>
        <w:rPr>
          <w:i/>
          <w:sz w:val="20"/>
        </w:rPr>
        <w:t xml:space="preserve">Source / note: Analyst synthesis; strengths and opportunities are not a forecast and do not remove execution risk.</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SWOT is internally consistent with the financial evidence in Chapter 5 rather than aspirational. The strengths are verifiable from the operating data: a large merchant and checkout base and a broad institutional footprint. The weaknesses are verifiable from the statements: a short listed record, a loss history through FY25 and volatile operating cash flow. The opportunities are real but unproven, and are treated as optionality. The threats — fee compression, regulatory change, concentration and execution risk on acquisitions — are precisely the items carried into the risk register in Section 5.31.</w:t>
            </w:r>
          </w:p>
        </w:tc>
      </w:tr>
    </w:tbl>
    <w:p w:rsidR="005F2FC4" w:rsidRDefault="00000000">
      <w:pPr>
        <w:pStyle w:val="Heading2"/>
      </w:pPr>
      <w:bookmarkStart w:id="5093" w:name="_Rpt93"/>
      <w:r>
        <w:t xml:space="preserve">4.15 Management, governance and ownership</w:t>
      </w:r>
      <w:bookmarkEnd w:id="5093"/>
    </w:p>
    <w:p w:rsidR="005F2FC4" w:rsidRDefault="00000000">
      <w:pPr>
        <w:jc w:val="both"/>
      </w:pPr>
      <w:r>
        <w:t xml:space="preserve">The prospectus states that Pine Labs did not have an identifiable promoter under the applicable definition at the offer stage. This disperses control across shareholders and makes board independence, transparent disclosures, related-party oversight, succession and accountability particularly important. The company’s 2025 IPO comprised a fresh issue of approximately ₹2,080 crore and an offer for sale of approximately ₹1,819.9 crore at ₹221 per share. [1,2]</w:t>
      </w:r>
    </w:p>
    <w:p w:rsidR="005F2FC4" w:rsidRDefault="00000000">
      <w:pPr>
        <w:keepNext/>
        <w:spacing w:before="80" w:after="60"/>
      </w:pPr>
      <w:bookmarkStart w:id="5094" w:name="_Rpt94"/>
      <w:r>
        <w:rPr>
          <w:b/>
          <w:sz w:val="20"/>
        </w:rPr>
        <w:t xml:space="preserve">Table 4.8. Governance and ownership review points</w:t>
      </w:r>
      <w:bookmarkEnd w:id="5094"/>
    </w:p>
    <w:tbl>
      <w:tblPr>
        <w:tblW w:w="0" w:type="auto"/>
        <w:jc w:val="center"/>
        <w:tblLayout w:type="fixed"/>
        <w:tblLook w:val="04A0" w:firstRow="1" w:lastRow="0" w:firstColumn="1" w:lastColumn="0" w:noHBand="0" w:noVBand="1"/>
      </w:tblPr>
      <w:tblGrid>
        <w:gridCol w:w="1944"/>
        <w:gridCol w:w="3672"/>
        <w:gridCol w:w="4320"/>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Topic</w:t>
            </w:r>
          </w:p>
        </w:tc>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Evidence in reviewed disclosures</w:t>
            </w:r>
          </w:p>
        </w:tc>
        <w:tc>
          <w:tcPr>
            <w:tcW w:w="43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Analytical note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Promoter status</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Prospectus states no identifiable promoter at the IPO. [1]</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 promoter pledge thesis is applicable in the ordinary sense; post-listing ownership changes should be checked from exchange filings.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Audit</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consolidated statements are audited; audited report / results reviewed. [2]</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Users should read auditor qualifications, key audit matters and subsidiary-scope notes in the underlying annual report, not only headline results.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Equity incentives</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disclosures describe ESOP programmes and equity conversion activity. [2]</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Monitor dilution, compensation expense and fully diluted share count when assessing per-share returns.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M&amp;A and capital allocation</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Agya became wholly owned in FY26; Shopflo was announced / acquired around Q1 FY27. [2,5]</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Monitor acquisition price, integration cost, goodwill / impairment and measurable cross-sell synergies.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Customer concentration</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Top 10 customers were 30.95% of FY25 revenue; top 1 was 10.62%, top 5 22.30%. [1]</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Prospectus-dated FY25 disclosure; do not imply that it is the latest current concentration.</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Regulatory governance</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The business operates through multiple products, entities and partners. [1,9]</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product-by-product map of licences, settlement responsibilities, data and complaints is needed for a complete diligence review.</w:t>
            </w:r>
          </w:p>
        </w:tc>
      </w:tr>
    </w:tbl>
    <w:p w:rsidR="005F2FC4" w:rsidRDefault="00000000">
      <w:pPr>
        <w:spacing w:before="40" w:after="140"/>
        <w:jc w:val="both"/>
      </w:pPr>
      <w:r>
        <w:rPr>
          <w:i/>
          <w:sz w:val="20"/>
        </w:rPr>
        <w:t xml:space="preserve">Source / note: The report is not a legal due-diligence opinion. Current ownership and governance details should be verified in the latest BSE / NSE filings.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absence of an identifiable promoter at the offer stage changes the governance question rather than removing it. There is no promoter-pledge risk and no single controlling shareholder, but accountability then rests entirely on board independence, audit-committee effectiveness, related-party discipline and the quality of disclosure. For a reader, the practical tests are whether non-generally-accepted measures are reconciled consistently to audited figures, whether acquisition outcomes are reported after the deal rather than only at announcement, and whether customer-concentration disclosure is refreshed. Each of those tests is listed in Section 4.16.</w:t>
            </w:r>
          </w:p>
        </w:tc>
      </w:tr>
    </w:tbl>
    <w:p w:rsidR="005F2FC4" w:rsidRDefault="00000000">
      <w:pPr>
        <w:pStyle w:val="Heading2"/>
      </w:pPr>
      <w:bookmarkStart w:id="5095" w:name="_Rpt95"/>
      <w:r>
        <w:t xml:space="preserve">4.16 Governance questions for investors and students</w:t>
      </w:r>
      <w:bookmarkEnd w:id="5095"/>
    </w:p>
    <w:p w:rsidR="005F2FC4" w:rsidRDefault="00000000">
      <w:pPr>
        <w:pStyle w:val="ListBullet"/>
        <w:spacing w:after="50"/>
        <w:ind w:left="317" w:hanging="202"/>
        <w:jc w:val="both"/>
      </w:pPr>
      <w:r>
        <w:t xml:space="preserve">Are non-GAAP measures reconciled consistently to audited statements, with all recurring compensation and acquisition costs visible?</w:t>
      </w:r>
    </w:p>
    <w:p w:rsidR="005F2FC4" w:rsidRDefault="00000000">
      <w:pPr>
        <w:pStyle w:val="ListBullet"/>
        <w:spacing w:after="50"/>
        <w:ind w:left="317" w:hanging="202"/>
        <w:jc w:val="both"/>
      </w:pPr>
      <w:r>
        <w:t xml:space="preserve">Do the board and audit committee receive operational resilience, cyber, fraud, payment-dispute and customer-funds reporting?</w:t>
      </w:r>
    </w:p>
    <w:p w:rsidR="005F2FC4" w:rsidRDefault="00000000">
      <w:pPr>
        <w:pStyle w:val="ListBullet"/>
        <w:spacing w:after="50"/>
        <w:ind w:left="317" w:hanging="202"/>
        <w:jc w:val="both"/>
      </w:pPr>
      <w:r>
        <w:t xml:space="preserve">Are related-party transactions, acquisitions, contingent liabilities and overseas subsidiaries presented clearly and promptly?</w:t>
      </w:r>
    </w:p>
    <w:p w:rsidR="005F2FC4" w:rsidRDefault="00000000">
      <w:pPr>
        <w:pStyle w:val="ListBullet"/>
        <w:spacing w:after="50"/>
        <w:ind w:left="317" w:hanging="202"/>
        <w:jc w:val="both"/>
      </w:pPr>
      <w:r>
        <w:t xml:space="preserve">How are ESOP grants, share-based compensation, dilution and post-IPO capital allocation linked to per-share value creation?</w:t>
      </w:r>
    </w:p>
    <w:p w:rsidR="005F2FC4" w:rsidRDefault="00000000">
      <w:pPr>
        <w:pStyle w:val="ListBullet"/>
        <w:spacing w:after="50"/>
        <w:ind w:left="317" w:hanging="202"/>
        <w:jc w:val="both"/>
      </w:pPr>
      <w:r>
        <w:t xml:space="preserve">Has customer concentration improved after the FY25 prospectus disclosure, and how much is attributable to the largest merchants or bank partners?</w:t>
      </w:r>
    </w:p>
    <w:p w:rsidR="005F2FC4" w:rsidRDefault="00000000">
      <w:pPr>
        <w:pStyle w:val="Heading2"/>
      </w:pPr>
      <w:bookmarkStart w:id="5096" w:name="_Rpt96"/>
      <w:r>
        <w:t xml:space="preserve">4.17 Chapter summary</w:t>
      </w:r>
      <w:bookmarkEnd w:id="5096"/>
    </w:p>
    <w:p w:rsidR="005F2FC4" w:rsidRDefault="00000000">
      <w:pPr>
        <w:keepNext/>
        <w:spacing w:before="80" w:after="60"/>
      </w:pPr>
      <w:bookmarkStart w:id="5097" w:name="_Rpt97"/>
      <w:r>
        <w:rPr>
          <w:b/>
          <w:sz w:val="20"/>
        </w:rPr>
        <w:t xml:space="preserve">Table 4.9. Business-model conclusions carried into Chapter 5</w:t>
      </w:r>
      <w:bookmarkEnd w:id="5097"/>
    </w:p>
    <w:tbl>
      <w:tblPr>
        <w:tblW w:w="0" w:type="auto"/>
        <w:jc w:val="center"/>
        <w:tblLayout w:type="fixed"/>
        <w:tblLook w:val="04A0" w:firstRow="1" w:lastRow="0" w:firstColumn="1" w:lastColumn="0" w:noHBand="0" w:noVBand="1"/>
      </w:tblPr>
      <w:tblGrid>
        <w:gridCol w:w="2300"/>
        <w:gridCol w:w="4300"/>
        <w:gridCol w:w="3336"/>
      </w:tblGrid>
      <w:tr w:rsidR="005F2FC4">
        <w:trPr>
          <w:cantSplit/>
          <w:tblHeader/>
          <w:jc w:val="center"/>
        </w:trPr>
        <w:tc>
          <w:tcPr>
            <w:tcW w:w="23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Question</w:t>
            </w:r>
          </w:p>
        </w:tc>
        <w:tc>
          <w:tcPr>
            <w:tcW w:w="43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Conclusion from Chapter 4</w:t>
            </w:r>
          </w:p>
        </w:tc>
        <w:tc>
          <w:tcPr>
            <w:tcW w:w="33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Consequence for the analysis</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does the company sell?</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Acceptance, affordability, issuing, prepaid and infrastructure software and processing</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must be read by segment and product, not in total</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Who pays?</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Merchants, banks, brands, programme sponsors and other fintechs</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Customer concentration and renewal risk are material</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How is revenue earned?</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Subscription, processing, value-linked, service and distribution fees</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GTV is an activity measure, never a revenue proxy</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Who carries the regulated obligation?</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Partner banks and licensed entities for credit, custody and stored value</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Risk must be attributed to the obligated entity</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has changed recently?</w:t>
            </w:r>
          </w:p>
        </w:tc>
        <w:tc>
          <w:tcPr>
            <w:tcW w:w="4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Listing, preference-share conversion, Agya and Shopflo transactions</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Share count and group composition differ between periods</w:t>
            </w:r>
          </w:p>
        </w:tc>
      </w:tr>
      <w:tr w:rsidR="005F2FC4">
        <w:trPr>
          <w:cantSplit/>
          <w:jc w:val="center"/>
        </w:trPr>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Where is the governance focus?</w:t>
            </w:r>
          </w:p>
        </w:tc>
        <w:tc>
          <w:tcPr>
            <w:tcW w:w="4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 identifiable promoter; board, audit and disclosure quality</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Non-GAAP reconciliation and related-party clarity are the key tests</w:t>
            </w:r>
          </w:p>
        </w:tc>
      </w:tr>
    </w:tbl>
    <w:p w:rsidR="005F2FC4" w:rsidRDefault="00000000">
      <w:pPr>
        <w:spacing w:before="40" w:after="140"/>
        <w:jc w:val="both"/>
      </w:pPr>
      <w:r>
        <w:rPr>
          <w:i/>
          <w:sz w:val="20"/>
        </w:rPr>
        <w:t xml:space="preserve">Source / note: Author’s synthesis of Chapter 4.</w:t>
      </w:r>
    </w:p>
    <w:p w:rsidR="005F2FC4" w:rsidRDefault="00000000">
      <w:pPr>
        <w:pageBreakBefore/>
        <w:keepNext/>
        <w:spacing w:before="120" w:after="160" w:line="240" w:lineRule="auto"/>
        <w:jc w:val="center"/>
      </w:pPr>
      <w:bookmarkStart w:id="5098" w:name="_Rpt98"/>
      <w:r>
        <w:rPr>
          <w:b/>
          <w:bCs/>
          <w:sz w:val="28"/>
          <w:szCs w:val="28"/>
        </w:rPr>
        <w:t xml:space="preserve">CHAPTER 5</w:t>
      </w:r>
      <w:bookmarkEnd w:id="5098"/>
    </w:p>
    <w:p w:rsidR="005F2FC4" w:rsidRDefault="00000000">
      <w:pPr>
        <w:pStyle w:val="Heading1"/>
      </w:pPr>
      <w:r>
        <w:t xml:space="preserve">Analysis and Interpretation of Financial and Operating Data</w:t>
      </w:r>
    </w:p>
    <w:p w:rsidR="005F2FC4" w:rsidRDefault="00000000">
      <w:pPr>
        <w:spacing w:after="160"/>
      </w:pPr>
      <w:r>
        <w:rPr>
          <w:i/>
          <w:sz w:val="20"/>
        </w:rPr>
        <w:t xml:space="preserve">Income statement, balance sheet, cash flow, ratios, DuPont, platform KPIs, peer context, valuation, market snapshot, risk and ESG</w:t>
      </w:r>
    </w:p>
    <w:p w:rsidR="005F2FC4" w:rsidRDefault="00000000">
      <w:pPr>
        <w:pStyle w:val="Heading2"/>
      </w:pPr>
      <w:bookmarkStart w:id="5099" w:name="_Rpt99"/>
      <w:r>
        <w:t xml:space="preserve">5.1 Introduction to the analysis</w:t>
      </w:r>
      <w:bookmarkEnd w:id="5099"/>
    </w:p>
    <w:p w:rsidR="005F2FC4" w:rsidRDefault="00000000">
      <w:pPr>
        <w:jc w:val="both"/>
      </w:pPr>
      <w:r>
        <w:t xml:space="preserve">This chapter contains the analytical core of the report. It follows a fixed sequence so that each result rests on the one before it: reported income first, then the balance sheet and cash flow that the income statement implies, then the ratios that summarise both, then the operating indicators that explain them, then the peer and valuation context in which they are priced, and finally the risks and non-financial factors that could change the conclusion.</w:t>
      </w:r>
    </w:p>
    <w:p w:rsidR="005F2FC4" w:rsidRDefault="00000000">
      <w:pPr>
        <w:jc w:val="both"/>
      </w:pPr>
      <w:r>
        <w:t xml:space="preserve">Three conventions are applied without exception. Every table is followed by an explicit interpretation, in line with the requirement that no figure may be presented without being read. Every company-defined measure is labelled as such and its exclusions are stated. Every calculation performed by the author is labelled as an author calculation and its formula is reproduced in Annexure B.</w:t>
      </w:r>
    </w:p>
    <w:p w:rsidR="005F2FC4" w:rsidRDefault="00000000">
      <w:pPr>
        <w:keepNext/>
        <w:spacing w:before="80" w:after="60"/>
      </w:pPr>
      <w:bookmarkStart w:id="5100" w:name="_Rpt100"/>
      <w:r>
        <w:rPr>
          <w:b/>
          <w:sz w:val="20"/>
        </w:rPr>
        <w:t xml:space="preserve">Table 5.1. Structure of the analysis</w:t>
      </w:r>
      <w:bookmarkEnd w:id="5100"/>
    </w:p>
    <w:tbl>
      <w:tblPr>
        <w:tblW w:w="0" w:type="auto"/>
        <w:jc w:val="center"/>
        <w:tblLayout w:type="fixed"/>
        <w:tblLook w:val="04A0" w:firstRow="1" w:lastRow="0" w:firstColumn="1" w:lastColumn="0" w:noHBand="0" w:noVBand="1"/>
      </w:tblPr>
      <w:tblGrid>
        <w:gridCol w:w="1500"/>
        <w:gridCol w:w="3600"/>
        <w:gridCol w:w="4836"/>
      </w:tblGrid>
      <w:tr w:rsidR="005F2FC4">
        <w:trPr>
          <w:cantSplit/>
          <w:tblHeader/>
          <w:jc w:val="center"/>
        </w:trPr>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Sections</w:t>
            </w:r>
          </w:p>
        </w:tc>
        <w:tc>
          <w:tcPr>
            <w:tcW w:w="3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Analytical block</w:t>
            </w:r>
          </w:p>
        </w:tc>
        <w:tc>
          <w:tcPr>
            <w:tcW w:w="48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Principal question</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5.2 to 5.7</w:t>
            </w:r>
          </w:p>
        </w:tc>
        <w:tc>
          <w:tcPr>
            <w:tcW w:w="3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Income statement and segment performance</w:t>
            </w:r>
          </w:p>
        </w:tc>
        <w:tc>
          <w:tcPr>
            <w:tcW w:w="4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 revenue growth being converted into profit?</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5.8 to 5.11</w:t>
            </w:r>
          </w:p>
        </w:tc>
        <w:tc>
          <w:tcPr>
            <w:tcW w:w="3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Balance sheet, funding and cash flow</w:t>
            </w:r>
          </w:p>
        </w:tc>
        <w:tc>
          <w:tcPr>
            <w:tcW w:w="4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 the reported profit supported by cash and a sound funding structure?</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5.12 to 5.18</w:t>
            </w:r>
          </w:p>
        </w:tc>
        <w:tc>
          <w:tcPr>
            <w:tcW w:w="3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Ratio analysis and DuPont decomposition</w:t>
            </w:r>
          </w:p>
        </w:tc>
        <w:tc>
          <w:tcPr>
            <w:tcW w:w="4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drives profitability, liquidity, leverage and return on equity?</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5.19 to 5.22</w:t>
            </w:r>
          </w:p>
        </w:tc>
        <w:tc>
          <w:tcPr>
            <w:tcW w:w="3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KPIs and platform economics</w:t>
            </w:r>
          </w:p>
        </w:tc>
        <w:tc>
          <w:tcPr>
            <w:tcW w:w="4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Does platform activity translate into recognised revenue?</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5.23 to 5.28</w:t>
            </w:r>
          </w:p>
        </w:tc>
        <w:tc>
          <w:tcPr>
            <w:tcW w:w="3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Peer context and valuation</w:t>
            </w:r>
          </w:p>
        </w:tc>
        <w:tc>
          <w:tcPr>
            <w:tcW w:w="4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is being paid for the business, and on what assumptions?</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5.29 to 5.30</w:t>
            </w:r>
          </w:p>
        </w:tc>
        <w:tc>
          <w:tcPr>
            <w:tcW w:w="3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Listed-market and technical observation</w:t>
            </w:r>
          </w:p>
        </w:tc>
        <w:tc>
          <w:tcPr>
            <w:tcW w:w="48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does the market price record on a stated date?</w:t>
            </w:r>
          </w:p>
        </w:tc>
      </w:tr>
      <w:tr w:rsidR="005F2FC4">
        <w:trPr>
          <w:cantSplit/>
          <w:jc w:val="center"/>
        </w:trPr>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5.31 to 5.34</w:t>
            </w:r>
          </w:p>
        </w:tc>
        <w:tc>
          <w:tcPr>
            <w:tcW w:w="3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Risk, ESG and evidence discipline</w:t>
            </w:r>
          </w:p>
        </w:tc>
        <w:tc>
          <w:tcPr>
            <w:tcW w:w="48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What could change the conclusion, and how confident can it be?</w:t>
            </w:r>
          </w:p>
        </w:tc>
      </w:tr>
    </w:tbl>
    <w:p w:rsidR="005F2FC4" w:rsidRDefault="00000000">
      <w:pPr>
        <w:spacing w:before="40" w:after="140"/>
        <w:jc w:val="both"/>
      </w:pPr>
      <w:r>
        <w:rPr>
          <w:i/>
          <w:sz w:val="20"/>
        </w:rPr>
        <w:t xml:space="preserve">Source / note: Author’s plan for Chapter 5.</w:t>
      </w:r>
    </w:p>
    <w:p w:rsidR="005F2FC4" w:rsidRDefault="00000000">
      <w:pPr>
        <w:pStyle w:val="Heading2"/>
      </w:pPr>
      <w:bookmarkStart w:id="5101" w:name="_Rpt101"/>
      <w:r>
        <w:t xml:space="preserve">5.2 Income statement: four-year consolidated trend</w:t>
      </w:r>
      <w:bookmarkEnd w:id="5101"/>
    </w:p>
    <w:p w:rsidR="005F2FC4" w:rsidRDefault="00000000">
      <w:pPr>
        <w:keepNext/>
        <w:spacing w:before="80" w:after="60"/>
      </w:pPr>
      <w:bookmarkStart w:id="5102" w:name="_Rpt102"/>
      <w:r>
        <w:rPr>
          <w:b/>
          <w:sz w:val="20"/>
        </w:rPr>
        <w:t xml:space="preserve">Table 5.2. Selected income and company-defined measures</w:t>
      </w:r>
      <w:bookmarkEnd w:id="5102"/>
    </w:p>
    <w:tbl>
      <w:tblPr>
        <w:tblW w:w="0" w:type="auto"/>
        <w:jc w:val="center"/>
        <w:tblLayout w:type="fixed"/>
        <w:tblLook w:val="04A0" w:firstRow="1" w:lastRow="0" w:firstColumn="1" w:lastColumn="0" w:noHBand="0" w:noVBand="1"/>
      </w:tblPr>
      <w:tblGrid>
        <w:gridCol w:w="3533"/>
        <w:gridCol w:w="1600"/>
        <w:gridCol w:w="1600"/>
        <w:gridCol w:w="1600"/>
        <w:gridCol w:w="1603"/>
      </w:tblGrid>
      <w:tr w:rsidR="005F2FC4">
        <w:trPr>
          <w:cantSplit/>
          <w:tblHeader/>
          <w:jc w:val="center"/>
        </w:trPr>
        <w:tc>
          <w:tcPr>
            <w:tcW w:w="353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Measure</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FY23</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6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 (₹ crore)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1,597.66</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Year-on-year growth</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10.8%</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28.5%</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19.2%</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Profit / (loss) after tax (₹ crore)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(265.15)</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(341.90)</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(145.49)</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112.51</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PAT margin</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(16.6%)</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Company-defined adjusted EBITDA (₹ crore)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158.19</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356.60</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558.87</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Company-defined adjusted EBITDA margin</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8.94%</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15.68%</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20.62%</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 (₹ crore)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1,385.38</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1,728.89</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2,041.19</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 % of revenue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78.3%</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76.0%</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75.3%</w:t>
            </w:r>
          </w:p>
        </w:tc>
      </w:tr>
    </w:tbl>
    <w:p w:rsidR="005F2FC4" w:rsidRDefault="00000000">
      <w:pPr>
        <w:spacing w:before="40" w:after="140"/>
        <w:jc w:val="both"/>
      </w:pPr>
      <w:r>
        <w:rPr>
          <w:i/>
          <w:sz w:val="20"/>
        </w:rPr>
        <w:t xml:space="preserve">Source / note: FY23–FY25 revenue / PAT: restated prospectus comparatives; FY26: audited consolidated results. FY24–FY26 adjusted EBITDA / contribution margin use the Q4 FY26 company KPI workbook consistently; these company-defined measures may differ marginally from the prospectus KPI table and are not statutory EBITDA or gross profit. [1–3]</w:t>
      </w:r>
    </w:p>
    <w:p w:rsidR="005F2FC4" w:rsidRDefault="00000000">
      <w:pPr>
        <w:spacing w:before="60" w:after="20"/>
        <w:jc w:val="center"/>
      </w:pPr>
      <w:r>
        <w:rPr>
          <w:noProof/>
        </w:rPr>
        <w:drawing>
          <wp:inline distT="0" distB="0" distL="0" distR="0">
            <wp:extent cx="5943600" cy="21065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106503"/>
                    </a:xfrm>
                    <a:prstGeom prst="rect">
                      <a:avLst/>
                    </a:prstGeom>
                  </pic:spPr>
                </pic:pic>
              </a:graphicData>
            </a:graphic>
          </wp:inline>
        </w:drawing>
      </w:r>
    </w:p>
    <w:p w:rsidR="005F2FC4" w:rsidRDefault="00000000">
      <w:pPr>
        <w:keepNext/>
        <w:spacing w:after="20"/>
        <w:jc w:val="center"/>
      </w:pPr>
      <w:bookmarkStart w:id="5103" w:name="_Rpt103"/>
      <w:r>
        <w:rPr>
          <w:b/>
          <w:sz w:val="20"/>
        </w:rPr>
        <w:t xml:space="preserve">Figure 5.1. Revenue growth and reported PAT</w:t>
      </w:r>
      <w:bookmarkEnd w:id="5103"/>
    </w:p>
    <w:p w:rsidR="005F2FC4" w:rsidRDefault="00000000">
      <w:pPr>
        <w:spacing w:after="140"/>
        <w:jc w:val="center"/>
      </w:pPr>
      <w:r>
        <w:rPr>
          <w:i/>
          <w:sz w:val="20"/>
        </w:rPr>
        <w:t xml:space="preserve">Revenue and PAT in ₹ crore. FY23–FY25 restated; FY26 audited. [1,2]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four-year record contains one genuine inflection and one qualification. The inflection is profit: a reported loss of ₹265.15 crore in FY23 widened to ₹341.90 crore in FY24, narrowed to ₹145.49 crore in FY25 and became a profit of ₹112.51 crore in FY26. The qualification is growth: revenue rose 10.8 per cent in FY24, accelerated to 28.5 per cent in FY25 and moderated to 19.2 per cent in FY26, so the growth path is not uniform. Reading the two together, FY26 is the first year in which the operating model covered its full cost base, and it did so in a year when revenue growth was slower than the year before — which points to cost discipline and operating leverage rather than to a growth surge.</w:t>
            </w:r>
          </w:p>
        </w:tc>
      </w:tr>
    </w:tbl>
    <w:p w:rsidR="005F2FC4" w:rsidRDefault="00000000">
      <w:pPr>
        <w:pStyle w:val="Heading2"/>
      </w:pPr>
      <w:bookmarkStart w:id="5104" w:name="_Rpt104"/>
      <w:r>
        <w:t xml:space="preserve">5.3 Growth and margin interpretation</w:t>
      </w:r>
      <w:bookmarkEnd w:id="5104"/>
    </w:p>
    <w:p w:rsidR="005F2FC4" w:rsidRDefault="00000000">
      <w:pPr>
        <w:jc w:val="both"/>
      </w:pPr>
      <w:r>
        <w:t xml:space="preserve">Revenue increased by about 69.7% cumulatively between FY23 and FY26, equivalent to a 19.3% CAGR. Growth accelerated in FY25 and moderated to 19.2% in FY26. Revenue scale therefore expanded across the full period, but the annual path was not uniform. [1,2]</w:t>
      </w:r>
    </w:p>
    <w:p w:rsidR="005F2FC4" w:rsidRDefault="00000000">
      <w:pPr>
        <w:jc w:val="both"/>
      </w:pPr>
      <w:r>
        <w:t xml:space="preserve">The company reported PAT losses through FY25, with the loss narrowing from ₹341.90 crore in FY24 to ₹145.49 crore in FY25. FY26 delivered ₹112.51 crore of audited PAT. Total FY26 income was ₹2,847.15 crore, total expenses ₹2,706.37 crore, PBT ₹137.28 crore and tax expense ₹24.77 crore. The change is a meaningful inflection, but one profitable year is not enough to establish a mature earnings base. [1,2]</w:t>
      </w:r>
    </w:p>
    <w:p w:rsidR="005F2FC4" w:rsidRDefault="00000000">
      <w:pPr>
        <w:jc w:val="both"/>
      </w:pPr>
      <w:r>
        <w:t xml:space="preserve">Adjusted EBITDA improved more quickly than revenue from FY24 to FY26. Management’s measure rose from ₹158.19 crore to ₹558.87 crore, and margin from 8.94% to 20.62%. The Q1 FY27 figure of approximately ₹126 crore and 17.1% margin was lower year on year on the company’s disclosures. The margin decline alongside continued revenue growth suggests mix, investment and cost dynamics need to be monitored; management explanations are not independently tested here. [2,3,5,6]</w:t>
      </w:r>
    </w:p>
    <w:p w:rsidR="005F2FC4" w:rsidRDefault="00000000">
      <w:pPr>
        <w:jc w:val="both"/>
      </w:pPr>
      <w:r>
        <w:t xml:space="preserve">The prospectus reconciliation defines Adjusted EBITDA as EBITDA less other income, with specified additions including impairment, exceptional items, share-based payment expense, net foreign-exchange loss, certain provisions written back, fund-raising / acquisition / restructuring professional fees and acquisition-linked employment incentives; certain purchase-consideration writebacks are deducted. These are company-defined adjustments, and some may recur economically. Adjusted EBITDA is not reported EBITDA, PAT or operating cash flow; the reconciliation should be read alongside audited results. [1–3]</w:t>
      </w:r>
    </w:p>
    <w:p w:rsidR="005F2FC4" w:rsidRDefault="00000000">
      <w:pPr>
        <w:jc w:val="both"/>
      </w:pPr>
      <w:r>
        <w:t xml:space="preserve">Contribution margin increased in rupees but declined as a share of revenue from 78.3% in FY24 to 75.3% in FY26 and 72.3% in Q1 FY27. That pattern is consistent with growing lower-contribution or more heavily processed activity, although product-level economics are not fully public. It is therefore important not to interpret the absolute contribution-margin increase as margin expansion. [2,3,5,6]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margin evidence points in two directions at once and must be reported that way. Company-defined adjusted EBITDA rose from ₹158.19 crore in FY24 to ₹558.87 crore in FY26 and its margin from 8.94 per cent to 20.62 per cent, which is strong operating leverage. Contribution margin, however, fell from 78.3 per cent of revenue in FY24 to 75.3 per cent in FY26 and 72.3 per cent in Q1 FY27. Falling contribution with rising adjusted EBITDA means the improvement is being delivered below the contribution line — by slower growth in indirect and overhead costs — rather than by better pricing on the revenue itself. That is a less durable source of margin than price or mix improvement, and it is the single most important caution in this chapter.</w:t>
            </w:r>
          </w:p>
        </w:tc>
      </w:tr>
    </w:tbl>
    <w:p w:rsidR="005F2FC4" w:rsidRDefault="00000000">
      <w:pPr>
        <w:pStyle w:val="Heading2"/>
      </w:pPr>
      <w:bookmarkStart w:id="5105" w:name="_Rpt105"/>
      <w:r>
        <w:t xml:space="preserve">5.4 Nine-quarter revenue and segment mix</w:t>
      </w:r>
      <w:bookmarkEnd w:id="5105"/>
    </w:p>
    <w:p w:rsidR="005F2FC4" w:rsidRDefault="00000000">
      <w:pPr>
        <w:jc w:val="both"/>
      </w:pPr>
      <w:r>
        <w:t xml:space="preserve">The company’s Q1 FY27 KPI book provides a consistent rounded quarterly series from Q1 FY25 through Q1 FY27. Revenue rose from about ₹522 crore in Q1 FY25 to ₹737 crore in Q1 FY27. The two disclosed platforms do not grow in lockstep: DITP provides the larger revenue base, while IAP has expanded its share over the annual FY24–FY26 series. The table below uses the KPI book’s rounded figures; it is not a replacement for audited statements.</w:t>
      </w:r>
    </w:p>
    <w:p w:rsidR="005F2FC4" w:rsidRDefault="00000000">
      <w:pPr>
        <w:jc w:val="both"/>
      </w:pPr>
      <w:r>
        <w:t xml:space="preserve">Quarterly revenue varies with seasonality, product mix, distribution activity and timing. Q4 FY26 revenue of about ₹701 crore was below Q3 FY26 at ₹744 crore, while Q1 FY27 increased year on year. A single sequential quarter should not be treated as a structural slowdown or acceleration without examining the comparable quarter, management commentary and reported results.</w:t>
      </w:r>
    </w:p>
    <w:p w:rsidR="005F2FC4" w:rsidRDefault="00000000">
      <w:pPr>
        <w:jc w:val="both"/>
      </w:pPr>
      <w:r>
        <w:t xml:space="preserve">The company reports overseas external revenue as a percentage of revenue. The quarterly ratio fluctuates from 12% to 17% across the listed quarters and is 16% in Q1 FY27. The share of international sales is a geographic indicator, not an independent measure of profitability or currency risk.</w:t>
      </w:r>
    </w:p>
    <w:p w:rsidR="005F2FC4" w:rsidRDefault="00000000">
      <w:pPr>
        <w:keepNext/>
        <w:spacing w:before="80" w:after="60"/>
      </w:pPr>
      <w:bookmarkStart w:id="5106" w:name="_Rpt106"/>
      <w:r>
        <w:rPr>
          <w:b/>
          <w:sz w:val="20"/>
        </w:rPr>
        <w:t xml:space="preserve">Table 5.3. Quarterly revenue by platform (₹ crore, rounded)</w:t>
      </w:r>
      <w:bookmarkEnd w:id="5106"/>
    </w:p>
    <w:tbl>
      <w:tblPr>
        <w:tblW w:w="0" w:type="auto"/>
        <w:jc w:val="center"/>
        <w:tblLayout w:type="fixed"/>
        <w:tblLook w:val="04A0" w:firstRow="1" w:lastRow="0" w:firstColumn="1" w:lastColumn="0" w:noHBand="0" w:noVBand="1"/>
      </w:tblPr>
      <w:tblGrid>
        <w:gridCol w:w="1703"/>
        <w:gridCol w:w="2058"/>
        <w:gridCol w:w="2058"/>
        <w:gridCol w:w="2058"/>
        <w:gridCol w:w="2059"/>
      </w:tblGrid>
      <w:tr w:rsidR="005F2FC4">
        <w:trPr>
          <w:cantSplit/>
          <w:tblHeader/>
          <w:jc w:val="center"/>
        </w:trPr>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Revenue</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DITP</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IAP</w:t>
            </w:r>
          </w:p>
        </w:tc>
        <w:tc>
          <w:tcPr>
            <w:tcW w:w="205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Outside India</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522</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373</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149</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552</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393</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602</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175</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599</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188</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616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434</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182</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650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210</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744</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248</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701</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466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234</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737</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238</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w:t>
            </w:r>
          </w:p>
        </w:tc>
      </w:tr>
    </w:tbl>
    <w:p w:rsidR="005F2FC4" w:rsidRDefault="00000000">
      <w:pPr>
        <w:spacing w:before="40" w:after="140"/>
        <w:jc w:val="both"/>
      </w:pPr>
      <w:r>
        <w:rPr>
          <w:i/>
          <w:sz w:val="20"/>
        </w:rPr>
        <w:t xml:space="preserve">Source / method: Pine Labs KPI Data Book, Q1 FY27 [6]. Annual values and financial-statement series in the main report use their stated precision and basis.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quarterly series shows seasonality that the annual table conceals. Revenue does not rise in a straight line from quarter to quarter; fourth quarters carry distribution and programme activity that first quarters do not. For analysis this has one firm consequence: a single quarter must never be multiplied by four to produce an annual figure. The series also shows that the Issuing and Acquiring Platform has grown its share in most quarters, confirming from a second angle the mix shift identified in Section 4.6.</w:t>
            </w:r>
          </w:p>
        </w:tc>
      </w:tr>
    </w:tbl>
    <w:p w:rsidR="005F2FC4" w:rsidRDefault="00000000">
      <w:pPr>
        <w:pStyle w:val="Heading2"/>
      </w:pPr>
      <w:bookmarkStart w:id="5107" w:name="_Rpt107"/>
      <w:r>
        <w:t xml:space="preserve">5.5 Contribution, adjusted EBITDA and PAT: reading the definitions</w:t>
      </w:r>
      <w:bookmarkEnd w:id="5107"/>
    </w:p>
    <w:p w:rsidR="005F2FC4" w:rsidRDefault="00000000">
      <w:pPr>
        <w:jc w:val="both"/>
      </w:pPr>
      <w:r>
        <w:t xml:space="preserve">Contribution margin is a company-defined measure after specified direct costs. Adjusted EBITDA is also company-defined and includes adjustments that differ from statutory EBITDA and PAT. The company’s rounded series shows contribution margin between 72% and 79% of revenue in the quarters shown. Adjusted EBITDA margin rose to 23% in Q3 FY26 and was about 17% in Q1 FY27, below the 20% reported for Q1 FY26.</w:t>
      </w:r>
    </w:p>
    <w:p w:rsidR="005F2FC4" w:rsidRDefault="00000000">
      <w:pPr>
        <w:jc w:val="both"/>
      </w:pPr>
      <w:r>
        <w:t xml:space="preserve">The management P&amp;L shows a PAT loss in each FY25 quarter and positive quarterly profit throughout FY26 and Q1 FY27. The earnings base is still relatively small compared with revenue, and quarter-to-quarter tax, ESOP, depreciation, financing and exceptional items can materially change net income. The KPI book rounds values to whole crore; exact interim statement figures are used in the main financial analysis where available.</w:t>
      </w:r>
    </w:p>
    <w:p w:rsidR="005F2FC4" w:rsidRDefault="00000000">
      <w:pPr>
        <w:jc w:val="both"/>
      </w:pPr>
      <w:r>
        <w:t xml:space="preserve">Margin compression in Q1 FY27 should be read with the company’s commentary on mix and investment, including higher distribution, connectivity and technology/cloud costs. Management’s explanation is relevant evidence, but it does not guarantee future margin recovery.</w:t>
      </w:r>
    </w:p>
    <w:p w:rsidR="005F2FC4" w:rsidRDefault="00000000">
      <w:pPr>
        <w:keepNext/>
        <w:spacing w:before="80" w:after="60"/>
      </w:pPr>
      <w:bookmarkStart w:id="5108" w:name="_Rpt108"/>
      <w:r>
        <w:rPr>
          <w:b/>
          <w:sz w:val="20"/>
        </w:rPr>
        <w:t xml:space="preserve">Table 5.4. Quarterly margin and profit indicators</w:t>
      </w:r>
      <w:bookmarkEnd w:id="5108"/>
    </w:p>
    <w:tbl>
      <w:tblPr>
        <w:tblW w:w="0" w:type="auto"/>
        <w:jc w:val="center"/>
        <w:tblLayout w:type="fixed"/>
        <w:tblLook w:val="04A0" w:firstRow="1" w:lastRow="0" w:firstColumn="1" w:lastColumn="0" w:noHBand="0" w:noVBand="1"/>
      </w:tblPr>
      <w:tblGrid>
        <w:gridCol w:w="1703"/>
        <w:gridCol w:w="2200"/>
        <w:gridCol w:w="1986"/>
        <w:gridCol w:w="2058"/>
        <w:gridCol w:w="1989"/>
      </w:tblGrid>
      <w:tr w:rsidR="005F2FC4">
        <w:trPr>
          <w:cantSplit/>
          <w:tblHeader/>
          <w:jc w:val="center"/>
        </w:trPr>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Contribution margin %</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Adjusted EBITDA ₹cr</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Adj. EBITDA margin</w:t>
            </w:r>
          </w:p>
        </w:tc>
        <w:tc>
          <w:tcPr>
            <w:tcW w:w="198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PAT ₹cr, rounded</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79%</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90</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77%</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108</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84</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78%</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121</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77%</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122</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59</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72%</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bl>
    <w:p w:rsidR="005F2FC4" w:rsidRDefault="00000000">
      <w:pPr>
        <w:spacing w:before="40" w:after="140"/>
        <w:jc w:val="both"/>
      </w:pPr>
      <w:r>
        <w:rPr>
          <w:i/>
          <w:sz w:val="20"/>
        </w:rPr>
        <w:t xml:space="preserve">Source / method: Pine Labs KPI Data Book and management P&amp;L, Q1 FY27 [6]; exact Q1 FY26 / Q1 FY27 PAT in interim disclosure [5].</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This table is the clearest illustration in the report of why definitions must be read before numbers. The management profit-and-loss shows a loss in every FY25 quarter and a profit in each quarter thereafter, so the turn is visible at quarterly frequency and not only in the annual figure. At the same time, Q1 FY27 shows both contribution margin and adjusted EBITDA margin below the comparable prior-year quarter. Adjusted EBITDA excludes other income and adds back items including share-based payment, exceptional items and certain professional fees; those add-backs are recurring in a company that grants equity and acquires businesses. The audited profit figure, not the adjusted measure, is therefore the one used for the return and valuation work later in this chapter.</w:t>
            </w:r>
          </w:p>
        </w:tc>
      </w:tr>
    </w:tbl>
    <w:p w:rsidR="005F2FC4" w:rsidRDefault="00000000">
      <w:pPr>
        <w:pStyle w:val="Heading2"/>
      </w:pPr>
      <w:bookmarkStart w:id="5109" w:name="_Rpt109"/>
      <w:r>
        <w:t xml:space="preserve">5.6 Segment growth, mix shift and monetisation</w:t>
      </w:r>
      <w:bookmarkEnd w:id="5109"/>
    </w:p>
    <w:p w:rsidR="005F2FC4" w:rsidRDefault="00000000">
      <w:pPr>
        <w:jc w:val="both"/>
      </w:pPr>
      <w:r>
        <w:t xml:space="preserve">DITP generated about 67.8% of FY26 revenue; IAP generated roughly 32.2%. FY26 revenue grew around 14.6% in DITP and 30.2% in IAP using rounded disclosed segment data. Q1 FY27 disclosures report DITP growth of about 15% year on year and IAP growth of about 31%. The faster IAP growth increases diversification, but segment margins and working-capital requirements are not fully comparable from public headline data. [2,3,5,6]</w:t>
      </w:r>
    </w:p>
    <w:p w:rsidR="005F2FC4" w:rsidRDefault="00000000">
      <w:pPr>
        <w:jc w:val="both"/>
      </w:pPr>
      <w:r>
        <w:t xml:space="preserve">The prospectus reports that the top 10 customers represented 30.95% of FY25 revenue, compared with 35.17% in FY24 and 38.67% in FY23. This is evidence of declining concentration over that historical interval, but the disclosure is dated FY25 and should not be described as the current position. [1]</w:t>
      </w:r>
    </w:p>
    <w:p w:rsidR="005F2FC4" w:rsidRDefault="00000000">
      <w:pPr>
        <w:jc w:val="both"/>
      </w:pPr>
      <w:r>
        <w:t xml:space="preserve">Annual rounded segment revenues show DITP increasing from roughly ₹1,276 crore in FY24 to ₹1,837 crore in FY26, while IAP increased from roughly ₹493 crore to ₹874 crore. On this rounded basis, IAP rose from about 28% of revenue to about 32%. Its faster growth changes the consolidated mix and can affect the group contribution margin because issuing, acquiring and distribution have different direct-cost structures.</w:t>
      </w:r>
    </w:p>
    <w:p w:rsidR="005F2FC4" w:rsidRDefault="00000000">
      <w:pPr>
        <w:jc w:val="both"/>
      </w:pPr>
      <w:r>
        <w:t xml:space="preserve">Q1 FY27 revenue from operations was ₹736.92 crore: DITP ₹499.12 crore and IAP ₹237.80 crore. DITP grew about 15% year on year and IAP about 31% according to the company’s rounded comparisons. The growth composition is encouraging for diversification, but segment revenue alone does not disclose segment operating profit, customer concentration or incremental return on capital.</w:t>
      </w:r>
    </w:p>
    <w:p w:rsidR="005F2FC4" w:rsidRDefault="00000000">
      <w:pPr>
        <w:jc w:val="both"/>
      </w:pPr>
      <w:r>
        <w:t xml:space="preserve">A careful analyst therefore looks for reconciled segment definitions, product-level volumes, direct-cost allocation, international contribution and incremental margins. Revenue totals should be checked against the statutory statement; GTV subsets should never be summed if categories overlap.</w:t>
      </w:r>
    </w:p>
    <w:p w:rsidR="005F2FC4" w:rsidRDefault="00000000">
      <w:pPr>
        <w:keepNext/>
        <w:spacing w:before="80" w:after="60"/>
      </w:pPr>
      <w:bookmarkStart w:id="5110" w:name="_Rpt110"/>
      <w:r>
        <w:rPr>
          <w:b/>
          <w:sz w:val="20"/>
        </w:rPr>
        <w:t xml:space="preserve">Table 5.5. Annual and Q1 segment mix (₹ crore, rounded)</w:t>
      </w:r>
      <w:bookmarkEnd w:id="5110"/>
    </w:p>
    <w:tbl>
      <w:tblPr>
        <w:tblW w:w="0" w:type="auto"/>
        <w:jc w:val="center"/>
        <w:tblLayout w:type="fixed"/>
        <w:tblLook w:val="04A0" w:firstRow="1" w:lastRow="0" w:firstColumn="1" w:lastColumn="0" w:noHBand="0" w:noVBand="1"/>
      </w:tblPr>
      <w:tblGrid>
        <w:gridCol w:w="1774"/>
        <w:gridCol w:w="1986"/>
        <w:gridCol w:w="1986"/>
        <w:gridCol w:w="4190"/>
      </w:tblGrid>
      <w:tr w:rsidR="005F2FC4">
        <w:trPr>
          <w:cantSplit/>
          <w:tblHeader/>
          <w:jc w:val="center"/>
        </w:trPr>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Period</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DITP revenue</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IAP revenue</w:t>
            </w:r>
          </w:p>
        </w:tc>
        <w:tc>
          <w:tcPr>
            <w:tcW w:w="419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Total / share note</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FY24</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1,276</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493</w:t>
            </w:r>
          </w:p>
        </w:tc>
        <w:tc>
          <w:tcPr>
            <w:tcW w:w="419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 IAP ~27.9%</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FY25</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1,603</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671</w:t>
            </w:r>
          </w:p>
        </w:tc>
        <w:tc>
          <w:tcPr>
            <w:tcW w:w="419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 IAP ~29.5%</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FY26</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1,837</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874</w:t>
            </w:r>
          </w:p>
        </w:tc>
        <w:tc>
          <w:tcPr>
            <w:tcW w:w="419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2,711; IAP ~32.2%</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434</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182</w:t>
            </w:r>
          </w:p>
        </w:tc>
        <w:tc>
          <w:tcPr>
            <w:tcW w:w="419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616; IAP ~29.5%</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499.12</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237.80</w:t>
            </w:r>
          </w:p>
        </w:tc>
        <w:tc>
          <w:tcPr>
            <w:tcW w:w="419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 IAP ~32.3%</w:t>
            </w:r>
          </w:p>
        </w:tc>
      </w:tr>
    </w:tbl>
    <w:p w:rsidR="005F2FC4" w:rsidRDefault="00000000">
      <w:pPr>
        <w:spacing w:before="40" w:after="140"/>
        <w:jc w:val="both"/>
      </w:pPr>
      <w:r>
        <w:rPr>
          <w:i/>
          <w:sz w:val="20"/>
        </w:rPr>
        <w:t xml:space="preserve">Source / method: Pine Labs FY26 and Q1 FY27 company KPI / results disclosures [3,5,6]. Segment shares are author calculations from rounded figures.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Segment growth rates diverge consistently: in FY26 the merchant-facing platform grew about 14.6 per cent while the issuing platform grew about 30.2 per cent, and Q1 FY27 repeated the pattern at roughly 15 per cent against 31 per cent. Diversification is therefore real and is accelerating. The limitation is equally clear: segment profitability is not disclosed, so it cannot be established whether the faster-growing segment is accretive or dilutive to group margin. Given the contribution-margin decline recorded in Section 5.3, the prudent working assumption is that mix is at least part of the explanation, and the question is listed as an open one in Chapter 6.</w:t>
            </w:r>
          </w:p>
        </w:tc>
      </w:tr>
    </w:tbl>
    <w:p w:rsidR="005F2FC4" w:rsidRDefault="00000000">
      <w:pPr>
        <w:pStyle w:val="Heading2"/>
      </w:pPr>
      <w:bookmarkStart w:id="5111" w:name="_Rpt111"/>
      <w:r>
        <w:t xml:space="preserve">5.7 Q1 FY27 interim update and year-on-year bridge</w:t>
      </w:r>
      <w:bookmarkEnd w:id="5111"/>
    </w:p>
    <w:p w:rsidR="005F2FC4" w:rsidRDefault="00000000">
      <w:pPr>
        <w:keepNext/>
        <w:spacing w:before="80" w:after="60"/>
      </w:pPr>
      <w:bookmarkStart w:id="5112" w:name="_Rpt112"/>
      <w:r>
        <w:rPr>
          <w:b/>
          <w:sz w:val="20"/>
        </w:rPr>
        <w:t xml:space="preserve">Table 5.6. Q1 FY27 performance snapshot (quarter ended 30 June 2026)</w:t>
      </w:r>
      <w:bookmarkEnd w:id="5112"/>
    </w:p>
    <w:tbl>
      <w:tblPr>
        <w:tblW w:w="0" w:type="auto"/>
        <w:jc w:val="center"/>
        <w:tblLayout w:type="fixed"/>
        <w:tblLook w:val="04A0" w:firstRow="1" w:lastRow="0" w:firstColumn="1" w:lastColumn="0" w:noHBand="0" w:noVBand="1"/>
      </w:tblPr>
      <w:tblGrid>
        <w:gridCol w:w="2393"/>
        <w:gridCol w:w="3263"/>
        <w:gridCol w:w="4280"/>
      </w:tblGrid>
      <w:tr w:rsidR="005F2FC4">
        <w:trPr>
          <w:cantSplit/>
          <w:tblHeader/>
          <w:jc w:val="center"/>
        </w:trPr>
        <w:tc>
          <w:tcPr>
            <w:tcW w:w="239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Metric</w:t>
            </w:r>
          </w:p>
        </w:tc>
        <w:tc>
          <w:tcPr>
            <w:tcW w:w="326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Q1 FY27</w:t>
            </w:r>
          </w:p>
        </w:tc>
        <w:tc>
          <w:tcPr>
            <w:tcW w:w="42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Context / status</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w:t>
            </w:r>
          </w:p>
        </w:tc>
        <w:tc>
          <w:tcPr>
            <w:tcW w:w="326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 crore</w:t>
            </w:r>
          </w:p>
        </w:tc>
        <w:tc>
          <w:tcPr>
            <w:tcW w:w="42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+19.65% year on year</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326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₹19.57 crore</w:t>
            </w:r>
          </w:p>
        </w:tc>
        <w:tc>
          <w:tcPr>
            <w:tcW w:w="42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₹4.79 crore in Q1 FY26</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DITP / IAP revenue</w:t>
            </w:r>
          </w:p>
        </w:tc>
        <w:tc>
          <w:tcPr>
            <w:tcW w:w="326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₹499.12 crore / ₹237.80 crore</w:t>
            </w:r>
          </w:p>
        </w:tc>
        <w:tc>
          <w:tcPr>
            <w:tcW w:w="42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DITP about +15%; IAP about +31% year on year</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326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₹532.62 crore; 72.3%</w:t>
            </w:r>
          </w:p>
        </w:tc>
        <w:tc>
          <w:tcPr>
            <w:tcW w:w="42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Margin lower year on year</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w:t>
            </w:r>
          </w:p>
        </w:tc>
        <w:tc>
          <w:tcPr>
            <w:tcW w:w="326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Approximately ₹126 crore; 17.1%</w:t>
            </w:r>
          </w:p>
        </w:tc>
        <w:tc>
          <w:tcPr>
            <w:tcW w:w="42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margin lower year on year</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International revenue</w:t>
            </w:r>
          </w:p>
        </w:tc>
        <w:tc>
          <w:tcPr>
            <w:tcW w:w="326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Approximately ₹114 crore / ~16%</w:t>
            </w:r>
          </w:p>
        </w:tc>
        <w:tc>
          <w:tcPr>
            <w:tcW w:w="42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disclosure; scope may be segment/geography-defined</w:t>
            </w:r>
          </w:p>
        </w:tc>
      </w:tr>
      <w:tr w:rsidR="005F2FC4">
        <w:trPr>
          <w:cantSplit/>
          <w:jc w:val="center"/>
        </w:trPr>
        <w:tc>
          <w:tcPr>
            <w:tcW w:w="23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FY27 revenue guidance</w:t>
            </w:r>
          </w:p>
        </w:tc>
        <w:tc>
          <w:tcPr>
            <w:tcW w:w="326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21%–23.5% growth</w:t>
            </w:r>
          </w:p>
        </w:tc>
        <w:tc>
          <w:tcPr>
            <w:tcW w:w="42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Management guidance on the Q4 FY26 call; forward-looking, not a reported result. [4]</w:t>
            </w:r>
          </w:p>
        </w:tc>
      </w:tr>
    </w:tbl>
    <w:p w:rsidR="005F2FC4" w:rsidRDefault="00000000">
      <w:pPr>
        <w:spacing w:before="40" w:after="140"/>
        <w:jc w:val="both"/>
      </w:pPr>
      <w:r>
        <w:rPr>
          <w:i/>
          <w:sz w:val="20"/>
        </w:rPr>
        <w:t xml:space="preserve">Source / note: Q1 FY27 results, KPI data book and press release; FY27 revenue guidance was reiterated on the Q4 FY26 call. Interim figures are unaudited / limited-reviewed; adjusted measures and guidance are company-defined. [4–6,8]</w:t>
      </w:r>
    </w:p>
    <w:p w:rsidR="005F2FC4" w:rsidRDefault="00000000">
      <w:pPr>
        <w:jc w:val="both"/>
      </w:pPr>
      <w:r>
        <w:t xml:space="preserve">Q1 FY27 revenue from operations increased 19.65% year on year to ₹736.92 crore. PAT improved to ₹19.57 crore from ₹4.79 crore. This is a strong reported earnings improvement from a small base, so the percentage increase should not be extrapolated mechanically. The company reported contribution margin of ₹532.62 crore, or 72.3%, and adjusted EBITDA of approximately ₹126 crore, or 17.1%.</w:t>
      </w:r>
    </w:p>
    <w:p w:rsidR="005F2FC4" w:rsidRDefault="00000000">
      <w:pPr>
        <w:jc w:val="both"/>
      </w:pPr>
      <w:r>
        <w:t xml:space="preserve">Operating scale also increased: GTV was ₹4.22 lakh crore, transactions were 201 crore, DCPs were 21.7 lakh and merchants were 11.5 lakh. International revenue was approximately ₹114 crore in the company’s investor presentation. These measures provide context for growth, but revenue still depends on the specific product and contractual monetisation model.</w:t>
      </w:r>
    </w:p>
    <w:p w:rsidR="005F2FC4" w:rsidRDefault="00000000">
      <w:pPr>
        <w:jc w:val="both"/>
      </w:pPr>
      <w:r>
        <w:t xml:space="preserve">The main caution is that contribution and adjusted EBITDA margins were lower than in Q1 FY26. The company attributed pressure to mix and investment in distribution, connectivity, operating infrastructure and technology. Analysts should test that explanation against later quarters, not treat it as proof that margins have already normalised.</w:t>
      </w:r>
    </w:p>
    <w:p w:rsidR="005F2FC4" w:rsidRDefault="00000000">
      <w:pPr>
        <w:keepNext/>
        <w:spacing w:before="80" w:after="60"/>
      </w:pPr>
      <w:bookmarkStart w:id="5113" w:name="_Rpt113"/>
      <w:r>
        <w:rPr>
          <w:b/>
          <w:sz w:val="20"/>
        </w:rPr>
        <w:t xml:space="preserve">Table 5.7. Q1 year-on-year bridge</w:t>
      </w:r>
      <w:bookmarkEnd w:id="5113"/>
    </w:p>
    <w:tbl>
      <w:tblPr>
        <w:tblW w:w="0" w:type="auto"/>
        <w:jc w:val="center"/>
        <w:tblLayout w:type="fixed"/>
        <w:tblLook w:val="04A0" w:firstRow="1" w:lastRow="0" w:firstColumn="1" w:lastColumn="0" w:noHBand="0" w:noVBand="1"/>
      </w:tblPr>
      <w:tblGrid>
        <w:gridCol w:w="2058"/>
        <w:gridCol w:w="1774"/>
        <w:gridCol w:w="1916"/>
        <w:gridCol w:w="4188"/>
      </w:tblGrid>
      <w:tr w:rsidR="005F2FC4">
        <w:trPr>
          <w:cantSplit/>
          <w:tblHeader/>
          <w:jc w:val="center"/>
        </w:trPr>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Metric</w:t>
            </w:r>
          </w:p>
        </w:tc>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Q1 FY26</w:t>
            </w:r>
          </w:p>
        </w:tc>
        <w:tc>
          <w:tcPr>
            <w:tcW w:w="19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Q1 FY27</w:t>
            </w:r>
          </w:p>
        </w:tc>
        <w:tc>
          <w:tcPr>
            <w:tcW w:w="41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₹615.91cr</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₹736.92cr</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+19.65% YoY.</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DITP / IAP revenue</w:t>
            </w:r>
          </w:p>
        </w:tc>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₹434cr / ₹182cr</w:t>
            </w:r>
          </w:p>
        </w:tc>
        <w:tc>
          <w:tcPr>
            <w:tcW w:w="19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₹499.12cr / ₹237.80cr</w:t>
            </w:r>
          </w:p>
        </w:tc>
        <w:tc>
          <w:tcPr>
            <w:tcW w:w="41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Both platforms grew; IAP faster.</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₹480cr / 77.9%</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₹532.62cr / 72.3%</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Value rose; margin fell.</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w:t>
            </w:r>
          </w:p>
        </w:tc>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₹121cr / 19.6%</w:t>
            </w:r>
          </w:p>
        </w:tc>
        <w:tc>
          <w:tcPr>
            <w:tcW w:w="19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~₹126cr / 17.1%</w:t>
            </w:r>
          </w:p>
        </w:tc>
        <w:tc>
          <w:tcPr>
            <w:tcW w:w="41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Absolute growth was modest vs revenue.</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₹4.79cr</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₹19.57cr</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Improved from a low base.</w:t>
            </w:r>
          </w:p>
        </w:tc>
      </w:tr>
    </w:tbl>
    <w:p w:rsidR="005F2FC4" w:rsidRDefault="00000000">
      <w:pPr>
        <w:spacing w:before="40" w:after="140"/>
        <w:jc w:val="both"/>
      </w:pPr>
      <w:r>
        <w:rPr>
          <w:i/>
          <w:sz w:val="20"/>
        </w:rPr>
        <w:t xml:space="preserve">Source / method: Pine Labs Q1 FY27 results and KPI book [5,6]; values are rounded where the KPI book presents whole crore.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bridge separates scale from quality. On scale, revenue rose 19.65 per cent year on year to ₹736.92 crore and profit after tax rose from ₹4.79 crore to ₹19.57 crore. On quality, contribution margin fell from 77.9 per cent to 72.3 per cent and adjusted EBITDA margin from 19.6 per cent to 17.1 per cent, while adjusted EBITDA in rupees rose only from about ₹121 crore to about ₹126 crore on nearly ₹121 crore of additional revenue. The profit increase is large in percentage terms because the prior-year base was very small. The correct reading is that the quarter confirms continued growth and continued profitability, but does not yet confirm margin durability.</w:t>
            </w:r>
          </w:p>
        </w:tc>
      </w:tr>
    </w:tbl>
    <w:p w:rsidR="005F2FC4" w:rsidRDefault="00000000">
      <w:pPr>
        <w:pStyle w:val="Heading3"/>
      </w:pPr>
      <w:r>
        <w:t xml:space="preserve">Questions carried forward from the income statement</w:t>
      </w:r>
    </w:p>
    <w:p w:rsidR="005F2FC4" w:rsidRDefault="00000000">
      <w:pPr>
        <w:pStyle w:val="ListBullet"/>
        <w:spacing w:after="50"/>
        <w:ind w:left="317" w:hanging="202"/>
        <w:jc w:val="both"/>
      </w:pPr>
      <w:r>
        <w:t xml:space="preserve">Can Pine Labs maintain positive PAT after changes in other income, ESOP costs, acquisition-related items and tax?</w:t>
      </w:r>
    </w:p>
    <w:p w:rsidR="005F2FC4" w:rsidRDefault="00000000">
      <w:pPr>
        <w:pStyle w:val="ListBullet"/>
        <w:spacing w:after="50"/>
        <w:ind w:left="317" w:hanging="202"/>
        <w:jc w:val="both"/>
      </w:pPr>
      <w:r>
        <w:t xml:space="preserve">Can adjusted EBITDA growth translate into recurring free cash flow after capital expenditure, lease payments and settlement balances?</w:t>
      </w:r>
    </w:p>
    <w:p w:rsidR="005F2FC4" w:rsidRDefault="00000000">
      <w:pPr>
        <w:pStyle w:val="ListBullet"/>
        <w:spacing w:after="50"/>
        <w:ind w:left="317" w:hanging="202"/>
        <w:jc w:val="both"/>
      </w:pPr>
      <w:r>
        <w:t xml:space="preserve">Will higher-IAP mix support or dilute contribution margin and cash conversion?</w:t>
      </w:r>
    </w:p>
    <w:p w:rsidR="005F2FC4" w:rsidRDefault="00000000">
      <w:pPr>
        <w:pStyle w:val="ListBullet"/>
        <w:spacing w:after="50"/>
        <w:ind w:left="317" w:hanging="202"/>
        <w:jc w:val="both"/>
      </w:pPr>
      <w:r>
        <w:t xml:space="preserve">Can revenue per merchant, DCP and transaction remain resilient as high-volume, lower-fee payment types expand?</w:t>
      </w:r>
    </w:p>
    <w:p w:rsidR="005F2FC4" w:rsidRDefault="00000000">
      <w:pPr>
        <w:pStyle w:val="Heading2"/>
      </w:pPr>
      <w:bookmarkStart w:id="5114" w:name="_Rpt114"/>
      <w:r>
        <w:t xml:space="preserve">5.8 Balance sheet: selected indicators</w:t>
      </w:r>
      <w:bookmarkEnd w:id="5114"/>
    </w:p>
    <w:p w:rsidR="005F2FC4" w:rsidRDefault="00000000">
      <w:pPr>
        <w:keepNext/>
        <w:spacing w:before="80" w:after="60"/>
      </w:pPr>
      <w:bookmarkStart w:id="5115" w:name="_Rpt115"/>
      <w:r>
        <w:rPr>
          <w:b/>
          <w:sz w:val="20"/>
        </w:rPr>
        <w:t xml:space="preserve">Table 5.8. Selected consolidated balance-sheet items (₹ crore)</w:t>
      </w:r>
      <w:bookmarkEnd w:id="5115"/>
    </w:p>
    <w:tbl>
      <w:tblPr>
        <w:tblW w:w="0" w:type="auto"/>
        <w:jc w:val="center"/>
        <w:tblLayout w:type="fixed"/>
        <w:tblLook w:val="04A0" w:firstRow="1" w:lastRow="0" w:firstColumn="1" w:lastColumn="0" w:noHBand="0" w:noVBand="1"/>
      </w:tblPr>
      <w:tblGrid>
        <w:gridCol w:w="4608"/>
        <w:gridCol w:w="2664"/>
        <w:gridCol w:w="2664"/>
      </w:tblGrid>
      <w:tr w:rsidR="005F2FC4">
        <w:trPr>
          <w:cantSplit/>
          <w:tblHeader/>
          <w:jc w:val="center"/>
        </w:trPr>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Item</w:t>
            </w:r>
          </w:p>
        </w:tc>
        <w:tc>
          <w:tcPr>
            <w:tcW w:w="26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31 Mar 2025</w:t>
            </w:r>
          </w:p>
        </w:tc>
        <w:tc>
          <w:tcPr>
            <w:tcW w:w="26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31 Mar 2026</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assets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10,715.73</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13,296.96</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assets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8,241.14</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10,884.33</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equity</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3,506.14</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5,895.41</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liabilities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6,953.84</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7,184.12</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 and cash equivalents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951.46</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1,393.08</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Other bank balances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5,081.67</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6,832.84</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Prepaid-card liabilities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4,772.63</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5,383.85</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Borrowings, excluding leases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829.49</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282.87</w:t>
            </w:r>
          </w:p>
        </w:tc>
      </w:tr>
    </w:tbl>
    <w:p w:rsidR="005F2FC4" w:rsidRDefault="00000000">
      <w:pPr>
        <w:spacing w:before="40" w:after="140"/>
        <w:jc w:val="both"/>
      </w:pPr>
      <w:r>
        <w:rPr>
          <w:i/>
          <w:sz w:val="20"/>
        </w:rPr>
        <w:t xml:space="preserve">Source / note: FY26 audited consolidated balance sheet and comparative FY25 figures. Cash and other bank balances are shown separately; some bank balances relate to customer / settlement or other restricted purposes. [2]</w:t>
      </w:r>
    </w:p>
    <w:p w:rsidR="005F2FC4" w:rsidRDefault="00000000">
      <w:pPr>
        <w:jc w:val="both"/>
      </w:pPr>
      <w:r>
        <w:t xml:space="preserve">The balance sheet reflects the scale and mechanics of payments processing. A large cash-looking balance should not be assumed to be freely distributable: other bank balances include deposits / earmarked amounts and the group also carries substantial prepaid-card and settlement obligations. FY26 cash equivalents of ₹1,393.08 crore and other bank balances of ₹6,832.84 crore must be read alongside ₹5,383.85 crore of prepaid-card liabilities and related operating balances. [2]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assets rose from ₹10,715.73 crore to ₹13,296.96 crore and total equity from ₹3,506.14 crore to ₹5,895.41 crore, so the balance sheet grew and its equity funding grew faster. The composition is the more important point. Current assets of ₹10,884.33 crore and current liabilities of ₹7,184.12 crore both contain large settlement and prepaid programme balances that move with transaction activity. A reader who treats the resulting current ratio as a measure of distributable liquidity will overstate the company’s financial flexibility; the ratio is read with that caveat in Section 5.9.</w:t>
            </w:r>
          </w:p>
        </w:tc>
      </w:tr>
    </w:tbl>
    <w:p w:rsidR="005F2FC4" w:rsidRDefault="00000000">
      <w:pPr>
        <w:pStyle w:val="Heading2"/>
      </w:pPr>
      <w:bookmarkStart w:id="5116" w:name="_Rpt116"/>
      <w:r>
        <w:t xml:space="preserve">5.9 Funding and liquidity</w:t>
      </w:r>
      <w:bookmarkEnd w:id="5116"/>
    </w:p>
    <w:p w:rsidR="005F2FC4" w:rsidRDefault="00000000">
      <w:pPr>
        <w:jc w:val="both"/>
      </w:pPr>
      <w:r>
        <w:t xml:space="preserve">Borrowings excluding leases fell by approximately ₹546.62 crore, from ₹829.49 crore at FY25 year-end to ₹282.87 crore at FY26 year-end. Borrowings/equity reduced from approximately 0.24× to 0.05×, while equity increased to ₹5,895.41 crore after the listing and related capital movements. This is a stronger reported capital structure, but debt ratios do not capture all settlement, lease, customer-fund or contingent obligations. [2]</w:t>
      </w:r>
    </w:p>
    <w:p w:rsidR="005F2FC4" w:rsidRDefault="00000000">
      <w:pPr>
        <w:jc w:val="both"/>
      </w:pPr>
      <w:r>
        <w:t xml:space="preserve">The current ratio increased from roughly 1.18× in FY25 to 1.52× in FY26. This is not a stand-alone solvency conclusion: current assets include bank balances and operating receivables, while current liabilities include obligations arising from prepaid and transaction activity. A more complete liquidity assessment would map maturity, restriction, counterparty and settlement timing for each balance.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funding improvement is unambiguous and is one of the clearest positives in the report. Borrowings excluding leases fell by about ₹546.62 crore, from ₹829.49 crore to ₹282.87 crore, and the borrowings-to-equity ratio fell from roughly 0.24 times to about 0.05 times as equity rose after listing. Interest and refinancing risk are correspondingly lower. Two qualifications apply: lease liabilities are excluded from the borrowing figure, and the equity increase reflects a capital raise rather than retained earnings, so the lower leverage has not yet been earned through profit.</w:t>
            </w:r>
          </w:p>
        </w:tc>
      </w:tr>
    </w:tbl>
    <w:p w:rsidR="005F2FC4" w:rsidRDefault="00000000">
      <w:pPr>
        <w:pStyle w:val="Heading2"/>
      </w:pPr>
      <w:bookmarkStart w:id="5117" w:name="_Rpt117"/>
      <w:r>
        <w:t xml:space="preserve">5.10 Cash flow and funding movements</w:t>
      </w:r>
      <w:bookmarkEnd w:id="5117"/>
    </w:p>
    <w:p w:rsidR="005F2FC4" w:rsidRDefault="00000000">
      <w:pPr>
        <w:keepNext/>
        <w:spacing w:before="80" w:after="60"/>
      </w:pPr>
      <w:bookmarkStart w:id="5118" w:name="_Rpt118"/>
      <w:r>
        <w:rPr>
          <w:b/>
          <w:sz w:val="20"/>
        </w:rPr>
        <w:t xml:space="preserve">Table 5.9. Operating cash flow trend</w:t>
      </w:r>
      <w:bookmarkEnd w:id="5118"/>
    </w:p>
    <w:tbl>
      <w:tblPr>
        <w:tblW w:w="0" w:type="auto"/>
        <w:jc w:val="center"/>
        <w:tblLayout w:type="fixed"/>
        <w:tblLook w:val="04A0" w:firstRow="1" w:lastRow="0" w:firstColumn="1" w:lastColumn="0" w:noHBand="0" w:noVBand="1"/>
      </w:tblPr>
      <w:tblGrid>
        <w:gridCol w:w="3666"/>
        <w:gridCol w:w="1567"/>
        <w:gridCol w:w="1567"/>
        <w:gridCol w:w="1567"/>
        <w:gridCol w:w="1569"/>
      </w:tblGrid>
      <w:tr w:rsidR="005F2FC4">
        <w:trPr>
          <w:cantSplit/>
          <w:tblHeader/>
          <w:jc w:val="center"/>
        </w:trPr>
        <w:tc>
          <w:tcPr>
            <w:tcW w:w="366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Measure</w:t>
            </w:r>
          </w:p>
        </w:tc>
        <w:tc>
          <w:tcPr>
            <w:tcW w:w="156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FY23</w:t>
            </w:r>
          </w:p>
        </w:tc>
        <w:tc>
          <w:tcPr>
            <w:tcW w:w="156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56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56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6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Net cash from operating activities (₹ crore)</w:t>
            </w:r>
          </w:p>
        </w:tc>
        <w:tc>
          <w:tcPr>
            <w:tcW w:w="156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(152.36)</w:t>
            </w:r>
          </w:p>
        </w:tc>
        <w:tc>
          <w:tcPr>
            <w:tcW w:w="156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(229.01)</w:t>
            </w:r>
          </w:p>
        </w:tc>
        <w:tc>
          <w:tcPr>
            <w:tcW w:w="156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49.72</w:t>
            </w:r>
          </w:p>
        </w:tc>
        <w:tc>
          <w:tcPr>
            <w:tcW w:w="156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395.39</w:t>
            </w:r>
          </w:p>
        </w:tc>
      </w:tr>
    </w:tbl>
    <w:p w:rsidR="005F2FC4" w:rsidRDefault="00000000">
      <w:pPr>
        <w:spacing w:before="40" w:after="140"/>
        <w:jc w:val="both"/>
      </w:pPr>
      <w:r>
        <w:rPr>
          <w:i/>
          <w:sz w:val="20"/>
        </w:rPr>
        <w:t xml:space="preserve">Source / note: FY23–FY25 restated prospectus cash-flow information; FY26 audited cash-flow statement. [1,2]</w:t>
      </w:r>
    </w:p>
    <w:p w:rsidR="005F2FC4" w:rsidRDefault="00000000">
      <w:pPr>
        <w:spacing w:before="60" w:after="20"/>
        <w:jc w:val="center"/>
      </w:pPr>
      <w:r>
        <w:rPr>
          <w:noProof/>
        </w:rPr>
        <w:drawing>
          <wp:inline distT="0" distB="0" distL="0" distR="0">
            <wp:extent cx="5943600" cy="25342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2534261"/>
                    </a:xfrm>
                    <a:prstGeom prst="rect">
                      <a:avLst/>
                    </a:prstGeom>
                  </pic:spPr>
                </pic:pic>
              </a:graphicData>
            </a:graphic>
          </wp:inline>
        </w:drawing>
      </w:r>
    </w:p>
    <w:p w:rsidR="005F2FC4" w:rsidRDefault="00000000">
      <w:pPr>
        <w:keepNext/>
        <w:spacing w:after="20"/>
        <w:jc w:val="center"/>
      </w:pPr>
      <w:bookmarkStart w:id="5119" w:name="_Rpt119"/>
      <w:r>
        <w:rPr>
          <w:b/>
          <w:sz w:val="20"/>
        </w:rPr>
        <w:t xml:space="preserve">Figure 5.2. Operating cash flow has improved but remains period-sensitive</w:t>
      </w:r>
      <w:bookmarkEnd w:id="5119"/>
    </w:p>
    <w:p w:rsidR="005F2FC4" w:rsidRDefault="00000000">
      <w:pPr>
        <w:spacing w:after="140"/>
        <w:jc w:val="center"/>
      </w:pPr>
      <w:r>
        <w:rPr>
          <w:i/>
          <w:sz w:val="20"/>
        </w:rPr>
        <w:t xml:space="preserve">Net operating cash flow in ₹ crore. [1,2]</w:t>
      </w:r>
    </w:p>
    <w:p w:rsidR="005F2FC4" w:rsidRDefault="00000000">
      <w:pPr>
        <w:keepNext/>
        <w:spacing w:before="80" w:after="60"/>
      </w:pPr>
      <w:bookmarkStart w:id="5120" w:name="_Rpt120"/>
      <w:r>
        <w:rPr>
          <w:b/>
          <w:sz w:val="20"/>
        </w:rPr>
        <w:t xml:space="preserve">Table 5.10. FY26 cash-flow statement summary (₹ crore)</w:t>
      </w:r>
      <w:bookmarkEnd w:id="5120"/>
    </w:p>
    <w:tbl>
      <w:tblPr>
        <w:tblW w:w="0" w:type="auto"/>
        <w:jc w:val="center"/>
        <w:tblLayout w:type="fixed"/>
        <w:tblLook w:val="04A0" w:firstRow="1" w:lastRow="0" w:firstColumn="1" w:lastColumn="0" w:noHBand="0" w:noVBand="1"/>
      </w:tblPr>
      <w:tblGrid>
        <w:gridCol w:w="2838"/>
        <w:gridCol w:w="1632"/>
        <w:gridCol w:w="5466"/>
      </w:tblGrid>
      <w:tr w:rsidR="005F2FC4">
        <w:trPr>
          <w:cantSplit/>
          <w:tblHeader/>
          <w:jc w:val="center"/>
        </w:trPr>
        <w:tc>
          <w:tcPr>
            <w:tcW w:w="283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Cash-flow category</w:t>
            </w:r>
          </w:p>
        </w:tc>
        <w:tc>
          <w:tcPr>
            <w:tcW w:w="16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c>
          <w:tcPr>
            <w:tcW w:w="546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it represents / caveat</w:t>
            </w:r>
          </w:p>
        </w:tc>
      </w:tr>
      <w:tr w:rsidR="005F2FC4">
        <w:trPr>
          <w:cantSplit/>
          <w:jc w:val="center"/>
        </w:trPr>
        <w:tc>
          <w:tcPr>
            <w:tcW w:w="283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Operating activities</w:t>
            </w:r>
          </w:p>
        </w:tc>
        <w:tc>
          <w:tcPr>
            <w:tcW w:w="1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+395.39</w:t>
            </w:r>
          </w:p>
        </w:tc>
        <w:tc>
          <w:tcPr>
            <w:tcW w:w="54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from operations after working-capital movements; not equivalent to adjusted EBITDA.</w:t>
            </w:r>
          </w:p>
        </w:tc>
      </w:tr>
      <w:tr w:rsidR="005F2FC4">
        <w:trPr>
          <w:cantSplit/>
          <w:jc w:val="center"/>
        </w:trPr>
        <w:tc>
          <w:tcPr>
            <w:tcW w:w="283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Investing activities</w:t>
            </w:r>
          </w:p>
        </w:tc>
        <w:tc>
          <w:tcPr>
            <w:tcW w:w="16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−1,338.87</w:t>
            </w:r>
          </w:p>
        </w:tc>
        <w:tc>
          <w:tcPr>
            <w:tcW w:w="54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Includes deposit placements / maturities as well as capital expenditure and investments; not all outflow is growth capex.</w:t>
            </w:r>
          </w:p>
        </w:tc>
      </w:tr>
      <w:tr w:rsidR="005F2FC4">
        <w:trPr>
          <w:cantSplit/>
          <w:jc w:val="center"/>
        </w:trPr>
        <w:tc>
          <w:tcPr>
            <w:tcW w:w="283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Financing activities</w:t>
            </w:r>
          </w:p>
        </w:tc>
        <w:tc>
          <w:tcPr>
            <w:tcW w:w="16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+1,972.17</w:t>
            </w:r>
          </w:p>
        </w:tc>
        <w:tc>
          <w:tcPr>
            <w:tcW w:w="54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Includes IPO / equity financing and financing outflows; interpret alongside capital-structure notes.</w:t>
            </w:r>
          </w:p>
        </w:tc>
      </w:tr>
      <w:tr w:rsidR="005F2FC4">
        <w:trPr>
          <w:cantSplit/>
          <w:jc w:val="center"/>
        </w:trPr>
        <w:tc>
          <w:tcPr>
            <w:tcW w:w="283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Net increase in cash and cash equivalents</w:t>
            </w:r>
          </w:p>
        </w:tc>
        <w:tc>
          <w:tcPr>
            <w:tcW w:w="16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+1,028.69</w:t>
            </w:r>
          </w:p>
        </w:tc>
        <w:tc>
          <w:tcPr>
            <w:tcW w:w="54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Cash-flow statement basis; ending cash can differ from balance-sheet cash due to overdrafts / classification.</w:t>
            </w:r>
          </w:p>
        </w:tc>
      </w:tr>
    </w:tbl>
    <w:p w:rsidR="005F2FC4" w:rsidRDefault="00000000">
      <w:pPr>
        <w:spacing w:before="40" w:after="140"/>
        <w:jc w:val="both"/>
      </w:pPr>
      <w:r>
        <w:rPr>
          <w:i/>
          <w:sz w:val="20"/>
        </w:rPr>
        <w:t xml:space="preserve">Source / note: FY26 audited consolidated cash-flow statement. [2]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operating-cash-flow series runs ₹(152.36) crore, ₹(229.01) crore, ₹49.72 crore and ₹395.39 crore across FY23 to FY26 — a reversal of sign and a substantial improvement, but over only two positive years. The FY26 composition must be read carefully: investing outflow of ₹1,338.87 crore is dominated by deposit placement rather than by capital expenditure, and financing inflow of ₹1,972.17 crore reflects the listing. Stripping those out, the operating performance is genuinely better, but the series is too short and too settlement-sensitive to be called established.</w:t>
            </w:r>
          </w:p>
        </w:tc>
      </w:tr>
    </w:tbl>
    <w:p w:rsidR="005F2FC4" w:rsidRDefault="00000000">
      <w:pPr>
        <w:pStyle w:val="Heading2"/>
      </w:pPr>
      <w:bookmarkStart w:id="5121" w:name="_Rpt121"/>
      <w:r>
        <w:t xml:space="preserve">5.11 Working capital: profitability is not the same as cash flow</w:t>
      </w:r>
      <w:bookmarkEnd w:id="5121"/>
    </w:p>
    <w:p w:rsidR="005F2FC4" w:rsidRDefault="00000000">
      <w:pPr>
        <w:jc w:val="both"/>
      </w:pPr>
      <w:r>
        <w:t xml:space="preserve">FY26 investing cash outflow should not be read as ₹1,338.87 crore of plant and equipment investment: deposit placements and maturities are significant. Likewise, CFO can be influenced by changes in prepaid-card liabilities, earmarked bank balances, merchant settlements, receivables and early-settlement arrangements. Company materials report Q1 FY27 CFO of approximately +₹78 crore excluding early settlement and approximately −₹159 crore including it. That gap highlights timing and presentation effects; neither number alone should be treated as a normalized run-rate. [2,5,6]</w:t>
      </w:r>
    </w:p>
    <w:p w:rsidR="005F2FC4" w:rsidRDefault="00000000">
      <w:pPr>
        <w:jc w:val="both"/>
      </w:pPr>
      <w:r>
        <w:t xml:space="preserve">Cash conversion is therefore an important diligence item. Track operating cash flow against reported PAT and adjusted EBITDA, reconcile early settlement and customer balances, separate restricted from unrestricted cash, and observe several quarters rather than annualizing one quarter.</w:t>
      </w:r>
    </w:p>
    <w:p w:rsidR="005F2FC4" w:rsidRDefault="00000000">
      <w:pPr>
        <w:jc w:val="both"/>
      </w:pPr>
      <w:r>
        <w:t xml:space="preserve">Cash-flow interpretation is especially important for payment and prepaid programmes. Pine Labs reported CFO of negative ₹152.36 crore in FY23, negative ₹229.01 crore in FY24, positive ₹49.72 crore in FY25 and positive ₹395.39 crore in FY26. Q1 FY27 CFO was positive ₹78 crore excluding early settlement but negative ₹159 crore including it, based on the company’s reported comparison. Timing and settlement movements can therefore produce large differences.</w:t>
      </w:r>
    </w:p>
    <w:p w:rsidR="005F2FC4" w:rsidRDefault="00000000">
      <w:pPr>
        <w:jc w:val="both"/>
      </w:pPr>
      <w:r>
        <w:t xml:space="preserve">At 31 March 2026, cash equivalents were ₹1,393.08 crore and other bank balances ₹6,832.84 crore. The company also reported prepaid-card liabilities of ₹5,383.85 crore. Other bank balances may include earmarked or restricted categories; prepaid obligations relate to programme balances. A simple “cash less debt” calculation is not enough to determine freely distributable cash or net liquidity.</w:t>
      </w:r>
    </w:p>
    <w:p w:rsidR="005F2FC4" w:rsidRDefault="00000000">
      <w:pPr>
        <w:jc w:val="both"/>
      </w:pPr>
      <w:r>
        <w:t xml:space="preserve">An analyst should reconcile cash-flow movements with trade receivables, settlement receivables and payables, prepaid balances, deposits, acquisitions and capital expenditure. The working-capital result is more informative when broken into recurring operating performance and timing / settlement effects; management-defined “excluding early settlement” metrics should be clearly labelled.</w:t>
      </w:r>
    </w:p>
    <w:p w:rsidR="005F2FC4" w:rsidRDefault="00000000">
      <w:pPr>
        <w:keepNext/>
        <w:spacing w:before="80" w:after="60"/>
      </w:pPr>
      <w:bookmarkStart w:id="5122" w:name="_Rpt122"/>
      <w:r>
        <w:rPr>
          <w:b/>
          <w:sz w:val="20"/>
        </w:rPr>
        <w:t xml:space="preserve">Table 5.11. Selected cash-flow and balance-sheet context (₹ crore)</w:t>
      </w:r>
      <w:bookmarkEnd w:id="5122"/>
    </w:p>
    <w:tbl>
      <w:tblPr>
        <w:tblW w:w="0" w:type="auto"/>
        <w:jc w:val="center"/>
        <w:tblLayout w:type="fixed"/>
        <w:tblLook w:val="04A0" w:firstRow="1" w:lastRow="0" w:firstColumn="1" w:lastColumn="0" w:noHBand="0" w:noVBand="1"/>
      </w:tblPr>
      <w:tblGrid>
        <w:gridCol w:w="2696"/>
        <w:gridCol w:w="3335"/>
        <w:gridCol w:w="3905"/>
      </w:tblGrid>
      <w:tr w:rsidR="005F2FC4">
        <w:trPr>
          <w:cantSplit/>
          <w:tblHeader/>
          <w:jc w:val="center"/>
        </w:trPr>
        <w:tc>
          <w:tcPr>
            <w:tcW w:w="269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Item</w:t>
            </w:r>
          </w:p>
        </w:tc>
        <w:tc>
          <w:tcPr>
            <w:tcW w:w="333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390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Reading note</w:t>
            </w:r>
          </w:p>
        </w:tc>
      </w:tr>
      <w:tr w:rsidR="005F2FC4">
        <w:trPr>
          <w:cantSplit/>
          <w:jc w:val="center"/>
        </w:trPr>
        <w:tc>
          <w:tcPr>
            <w:tcW w:w="26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FY23 / FY24 / FY25 CFO</w:t>
            </w:r>
          </w:p>
        </w:tc>
        <w:tc>
          <w:tcPr>
            <w:tcW w:w="333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−152.36 / −229.01 / +49.72</w:t>
            </w:r>
          </w:p>
        </w:tc>
        <w:tc>
          <w:tcPr>
            <w:tcW w:w="390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flow from operations; annual reported series.</w:t>
            </w:r>
          </w:p>
        </w:tc>
      </w:tr>
      <w:tr w:rsidR="005F2FC4">
        <w:trPr>
          <w:cantSplit/>
          <w:jc w:val="center"/>
        </w:trPr>
        <w:tc>
          <w:tcPr>
            <w:tcW w:w="26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FY26 CFO / CFI / CFF</w:t>
            </w:r>
          </w:p>
        </w:tc>
        <w:tc>
          <w:tcPr>
            <w:tcW w:w="333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+395.39 / −1,338.87 / +1,972.17</w:t>
            </w:r>
          </w:p>
        </w:tc>
        <w:tc>
          <w:tcPr>
            <w:tcW w:w="390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Investing and financing flows also materially affected cash.</w:t>
            </w:r>
          </w:p>
        </w:tc>
      </w:tr>
      <w:tr w:rsidR="005F2FC4">
        <w:trPr>
          <w:cantSplit/>
          <w:jc w:val="center"/>
        </w:trPr>
        <w:tc>
          <w:tcPr>
            <w:tcW w:w="26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 CFO comparison</w:t>
            </w:r>
          </w:p>
        </w:tc>
        <w:tc>
          <w:tcPr>
            <w:tcW w:w="333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+78 ex early settlement; −159 including it</w:t>
            </w:r>
          </w:p>
        </w:tc>
        <w:tc>
          <w:tcPr>
            <w:tcW w:w="390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comparison; not the same presentation basis.</w:t>
            </w:r>
          </w:p>
        </w:tc>
      </w:tr>
      <w:tr w:rsidR="005F2FC4">
        <w:trPr>
          <w:cantSplit/>
          <w:jc w:val="center"/>
        </w:trPr>
        <w:tc>
          <w:tcPr>
            <w:tcW w:w="26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Cash equivalents / other bank balances</w:t>
            </w:r>
          </w:p>
        </w:tc>
        <w:tc>
          <w:tcPr>
            <w:tcW w:w="333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1,393.08 / 6,832.84</w:t>
            </w:r>
          </w:p>
        </w:tc>
        <w:tc>
          <w:tcPr>
            <w:tcW w:w="390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Other bank balances require note-level review.</w:t>
            </w:r>
          </w:p>
        </w:tc>
      </w:tr>
      <w:tr w:rsidR="005F2FC4">
        <w:trPr>
          <w:cantSplit/>
          <w:jc w:val="center"/>
        </w:trPr>
        <w:tc>
          <w:tcPr>
            <w:tcW w:w="26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Prepaid-card liabilities</w:t>
            </w:r>
          </w:p>
        </w:tc>
        <w:tc>
          <w:tcPr>
            <w:tcW w:w="333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5,383.85</w:t>
            </w:r>
          </w:p>
        </w:tc>
        <w:tc>
          <w:tcPr>
            <w:tcW w:w="390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Programme obligations; do not treat as free cash.</w:t>
            </w:r>
          </w:p>
        </w:tc>
      </w:tr>
    </w:tbl>
    <w:p w:rsidR="005F2FC4" w:rsidRDefault="00000000">
      <w:pPr>
        <w:spacing w:before="40" w:after="140"/>
        <w:jc w:val="both"/>
      </w:pPr>
      <w:r>
        <w:rPr>
          <w:i/>
          <w:sz w:val="20"/>
        </w:rPr>
        <w:t xml:space="preserve">Source / method: Pine Labs FY26 audited statements and Q1 FY27 results [2,5,6].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Q1 FY27 figures make the point most sharply: operating cash flow is reported as positive ₹78 crore excluding early settlement and negative ₹159 crore including it. The same quarter is therefore cash-generative or cash-absorbing depending on the treatment of a single working-capital item. With cash equivalents of ₹1,393.08 crore, other bank balances of ₹6,832.84 crore and prepaid-card liabilities of ₹5,383.85 crore at 31 March 2026, no reliable statement about free cash can be made without a restricted-cash bridge that the company does not currently publish. This is the principal unresolved question of the report.</w:t>
            </w:r>
          </w:p>
        </w:tc>
      </w:tr>
    </w:tbl>
    <w:p w:rsidR="005F2FC4" w:rsidRDefault="00000000">
      <w:pPr>
        <w:pStyle w:val="Heading2"/>
      </w:pPr>
      <w:bookmarkStart w:id="5123" w:name="_Rpt123"/>
      <w:r>
        <w:t xml:space="preserve">5.12 Ratio analysis: formula sheet</w:t>
      </w:r>
      <w:bookmarkEnd w:id="5123"/>
    </w:p>
    <w:p w:rsidR="005F2FC4" w:rsidRDefault="00000000">
      <w:pPr>
        <w:jc w:val="both"/>
      </w:pPr>
      <w:r>
        <w:t xml:space="preserve">Before any ratio is presented, the formula used to calculate it is stated. Where a ratio can be computed on more than one basis, the basis chosen is named. All averages are simple averages of opening and closing balance-sheet figures.</w:t>
      </w:r>
    </w:p>
    <w:p w:rsidR="005F2FC4" w:rsidRDefault="00000000">
      <w:pPr>
        <w:keepNext/>
        <w:spacing w:before="80" w:after="60"/>
      </w:pPr>
      <w:bookmarkStart w:id="5124" w:name="_Rpt124"/>
      <w:r>
        <w:rPr>
          <w:b/>
          <w:sz w:val="20"/>
        </w:rPr>
        <w:t xml:space="preserve">Table 5.12. Ratio formula sheet and what each ratio tells the reader</w:t>
      </w:r>
      <w:bookmarkEnd w:id="5124"/>
    </w:p>
    <w:tbl>
      <w:tblPr>
        <w:tblW w:w="0" w:type="auto"/>
        <w:jc w:val="center"/>
        <w:tblLayout w:type="fixed"/>
        <w:tblLook w:val="04A0" w:firstRow="1" w:lastRow="0" w:firstColumn="1" w:lastColumn="0" w:noHBand="0" w:noVBand="1"/>
      </w:tblPr>
      <w:tblGrid>
        <w:gridCol w:w="1900"/>
        <w:gridCol w:w="2900"/>
        <w:gridCol w:w="2500"/>
        <w:gridCol w:w="2636"/>
      </w:tblGrid>
      <w:tr w:rsidR="005F2FC4">
        <w:trPr>
          <w:cantSplit/>
          <w:tblHeader/>
          <w:jc w:val="center"/>
        </w:trPr>
        <w:tc>
          <w:tcPr>
            <w:tcW w:w="19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Ratio</w:t>
            </w:r>
          </w:p>
        </w:tc>
        <w:tc>
          <w:tcPr>
            <w:tcW w:w="29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Formula used in this report</w:t>
            </w:r>
          </w:p>
        </w:tc>
        <w:tc>
          <w:tcPr>
            <w:tcW w:w="2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it is meant to show</w:t>
            </w:r>
          </w:p>
        </w:tc>
        <w:tc>
          <w:tcPr>
            <w:tcW w:w="26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Caveat applied here</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growth</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(Current revenue ÷ prior revenue) − 1</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Top-line momentum</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Restated comparatives before FY26</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CAGR</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(Ending ÷ beginning)^(1/years) − 1</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Smoothed multi-year growth</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Hides the uneven annual path</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Operating / adjusted EBITDA margin</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EBITDA ÷ revenue</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leverage</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excludes other income, adds back ESOP and exceptional items</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contribution ÷ revenue</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quality after direct cost</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an accounting-standard gross margin</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Net profit (PAT) margin</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revenue from operations</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Profit per rupee of revenue</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Very small base in FY26</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ratio</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Current assets ÷ current liabilities</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Short-term liquidity</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Contains settlement and prepaid balances</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Borrowings to equity</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excluding leases ÷ total equity</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Financial leverage</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Excludes lease liabilities</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Return on equity</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total equity</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Return on shareholder capital</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Equity base inflated by recent issue</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Return on assets</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total assets</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Return on the asset base</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Assets include settlement balances</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Asset turnover</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 average total assets</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Asset efficiency</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Depressed by payment-related balances</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Equity multiplier</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Average total assets ÷ average total equity</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Balance-sheet gearing</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Moves with programme liabilities, not only debt</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Cash conversion</w:t>
            </w:r>
          </w:p>
        </w:tc>
        <w:tc>
          <w:tcPr>
            <w:tcW w:w="29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cash flow ÷ PAT</w:t>
            </w:r>
          </w:p>
        </w:tc>
        <w:tc>
          <w:tcPr>
            <w:tcW w:w="2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Quality of reported earnings</w:t>
            </w:r>
          </w:p>
        </w:tc>
        <w:tc>
          <w:tcPr>
            <w:tcW w:w="2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meaningful when PAT is near zero or negative</w:t>
            </w:r>
          </w:p>
        </w:tc>
      </w:tr>
      <w:tr w:rsidR="005F2FC4">
        <w:trPr>
          <w:cantSplit/>
          <w:jc w:val="center"/>
        </w:trPr>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Revenue-to-GTV proxy</w:t>
            </w:r>
          </w:p>
        </w:tc>
        <w:tc>
          <w:tcPr>
            <w:tcW w:w="29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 platform GTV, expressed in basis points</w:t>
            </w:r>
          </w:p>
        </w:tc>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Direction of monetisation</w:t>
            </w:r>
          </w:p>
        </w:tc>
        <w:tc>
          <w:tcPr>
            <w:tcW w:w="26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Diagnostic only; not a contractual take rate</w:t>
            </w:r>
          </w:p>
        </w:tc>
      </w:tr>
    </w:tbl>
    <w:p w:rsidR="005F2FC4" w:rsidRDefault="00000000">
      <w:pPr>
        <w:spacing w:before="40" w:after="140"/>
        <w:jc w:val="both"/>
      </w:pPr>
      <w:r>
        <w:rPr>
          <w:i/>
          <w:sz w:val="20"/>
        </w:rPr>
        <w:t xml:space="preserve">Source / note: Author’s formula sheet. Worked arithmetic for each line is reproduced in Annexure B.</w:t>
      </w:r>
    </w:p>
    <w:p w:rsidR="005F2FC4" w:rsidRDefault="00000000">
      <w:pPr>
        <w:pStyle w:val="Heading2"/>
      </w:pPr>
      <w:bookmarkStart w:id="5125" w:name="_Rpt125"/>
      <w:r>
        <w:t xml:space="preserve">5.13 Ratio analysis: core dashboard</w:t>
      </w:r>
      <w:bookmarkEnd w:id="5125"/>
    </w:p>
    <w:p w:rsidR="005F2FC4" w:rsidRDefault="00000000">
      <w:pPr>
        <w:keepNext/>
        <w:spacing w:before="80" w:after="60"/>
      </w:pPr>
      <w:bookmarkStart w:id="5126" w:name="_Rpt126"/>
      <w:r>
        <w:rPr>
          <w:b/>
          <w:sz w:val="20"/>
        </w:rPr>
        <w:t xml:space="preserve">Table 5.13. Ratio dashboard (selected years)</w:t>
      </w:r>
      <w:bookmarkEnd w:id="5126"/>
    </w:p>
    <w:tbl>
      <w:tblPr>
        <w:tblW w:w="0" w:type="auto"/>
        <w:jc w:val="center"/>
        <w:tblLayout w:type="fixed"/>
        <w:tblLook w:val="04A0" w:firstRow="1" w:lastRow="0" w:firstColumn="1" w:lastColumn="0" w:noHBand="0" w:noVBand="1"/>
      </w:tblPr>
      <w:tblGrid>
        <w:gridCol w:w="2058"/>
        <w:gridCol w:w="2484"/>
        <w:gridCol w:w="1064"/>
        <w:gridCol w:w="1064"/>
        <w:gridCol w:w="3266"/>
      </w:tblGrid>
      <w:tr w:rsidR="005F2FC4">
        <w:trPr>
          <w:cantSplit/>
          <w:tblHeader/>
          <w:jc w:val="center"/>
        </w:trPr>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Ratio</w:t>
            </w:r>
          </w:p>
        </w:tc>
        <w:tc>
          <w:tcPr>
            <w:tcW w:w="248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Formula / basis</w:t>
            </w:r>
          </w:p>
        </w:tc>
        <w:tc>
          <w:tcPr>
            <w:tcW w:w="10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0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c>
          <w:tcPr>
            <w:tcW w:w="326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growth</w:t>
            </w:r>
          </w:p>
        </w:tc>
        <w:tc>
          <w:tcPr>
            <w:tcW w:w="24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Revenueₜ / Revenueₜ₋₁ − 1</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28.5%</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19.2%</w:t>
            </w:r>
          </w:p>
        </w:tc>
        <w:tc>
          <w:tcPr>
            <w:tcW w:w="32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Growth normalised from FY25 peak.</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PAT margin</w:t>
            </w:r>
          </w:p>
        </w:tc>
        <w:tc>
          <w:tcPr>
            <w:tcW w:w="24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revenue</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c>
          <w:tcPr>
            <w:tcW w:w="32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Turned positive in FY26; one year is not a trend.</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 margin</w:t>
            </w:r>
          </w:p>
        </w:tc>
        <w:tc>
          <w:tcPr>
            <w:tcW w:w="24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adjusted EBITDA / revenue</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15.68%</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20.62%</w:t>
            </w:r>
          </w:p>
        </w:tc>
        <w:tc>
          <w:tcPr>
            <w:tcW w:w="32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Improved annually, but fell to about 17.1% in Q1 FY27.</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ratio</w:t>
            </w:r>
          </w:p>
        </w:tc>
        <w:tc>
          <w:tcPr>
            <w:tcW w:w="24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Current assets / current liabilities</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1.18×</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w:t>
            </w:r>
          </w:p>
        </w:tc>
        <w:tc>
          <w:tcPr>
            <w:tcW w:w="32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Improved; settlement and prepaid balances make this broad measure.</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Borrowings / equity</w:t>
            </w:r>
          </w:p>
        </w:tc>
        <w:tc>
          <w:tcPr>
            <w:tcW w:w="24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 leases / total equity</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0.24×</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0.05×</w:t>
            </w:r>
          </w:p>
        </w:tc>
        <w:tc>
          <w:tcPr>
            <w:tcW w:w="32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Lower bank borrowing relative to a larger post-IPO equity base.</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Return on average assets</w:t>
            </w:r>
          </w:p>
        </w:tc>
        <w:tc>
          <w:tcPr>
            <w:tcW w:w="24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total assets</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(1.43%)</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0.94%</w:t>
            </w:r>
          </w:p>
        </w:tc>
        <w:tc>
          <w:tcPr>
            <w:tcW w:w="32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positive but still modest.</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Return on average equity</w:t>
            </w:r>
          </w:p>
        </w:tc>
        <w:tc>
          <w:tcPr>
            <w:tcW w:w="24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equity</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(4.13%)</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2.39%</w:t>
            </w:r>
          </w:p>
        </w:tc>
        <w:tc>
          <w:tcPr>
            <w:tcW w:w="32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Equity base grew; reported return remains low.</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 average assets</w:t>
            </w:r>
          </w:p>
        </w:tc>
        <w:tc>
          <w:tcPr>
            <w:tcW w:w="24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 average assets</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0.22×</w:t>
            </w:r>
          </w:p>
        </w:tc>
        <w:tc>
          <w:tcPr>
            <w:tcW w:w="10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0.23×</w:t>
            </w:r>
          </w:p>
        </w:tc>
        <w:tc>
          <w:tcPr>
            <w:tcW w:w="326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Asset turnover changed little FY25–FY26.</w:t>
            </w:r>
          </w:p>
        </w:tc>
      </w:tr>
      <w:tr w:rsidR="005F2FC4">
        <w:trPr>
          <w:cantSplit/>
          <w:jc w:val="center"/>
        </w:trPr>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CFO / PAT</w:t>
            </w:r>
          </w:p>
        </w:tc>
        <w:tc>
          <w:tcPr>
            <w:tcW w:w="24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 / PAT</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meaningful</w:t>
            </w:r>
          </w:p>
        </w:tc>
        <w:tc>
          <w:tcPr>
            <w:tcW w:w="10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3.51×</w:t>
            </w:r>
          </w:p>
        </w:tc>
        <w:tc>
          <w:tcPr>
            <w:tcW w:w="326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FY25 PAT was negative; FY26 ratio is affected by working-capital timing and is not a stable conversion assumption.</w:t>
            </w:r>
          </w:p>
        </w:tc>
      </w:tr>
    </w:tbl>
    <w:p w:rsidR="005F2FC4" w:rsidRDefault="00000000">
      <w:pPr>
        <w:spacing w:before="40" w:after="140"/>
        <w:jc w:val="both"/>
      </w:pPr>
      <w:r>
        <w:rPr>
          <w:i/>
          <w:sz w:val="20"/>
        </w:rPr>
        <w:t xml:space="preserve">Source / note: Author calculations using company-reported audited / restated statements and KPIs; see Annexure B. FY25–FY26 values rounded. FY25 CFO/PAT is not meaningful because PAT was negative; FY26 CFO/PAT = 395.39/112.51, but the ratio is affected by working-capital timing. [1–3]</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Read as a group, the dashboard describes a company that has fixed its balance sheet before it has fixed its returns. Leverage and liquidity have improved materially; profitability has only just turned positive; and returns on equity and assets remain low in absolute terms. That order of events is normal for a company that has recently raised equity, but it means the current ratios describe a transition rather than a steady state, and should not be annualised or extrapolated.</w:t>
            </w:r>
          </w:p>
        </w:tc>
      </w:tr>
    </w:tbl>
    <w:p w:rsidR="005F2FC4" w:rsidRDefault="00000000">
      <w:pPr>
        <w:pStyle w:val="Heading2"/>
      </w:pPr>
      <w:bookmarkStart w:id="5127" w:name="_Rpt127"/>
      <w:r>
        <w:t xml:space="preserve">5.14 Supporting annual ratio series</w:t>
      </w:r>
      <w:bookmarkEnd w:id="5127"/>
    </w:p>
    <w:p w:rsidR="005F2FC4" w:rsidRDefault="00000000">
      <w:pPr>
        <w:keepNext/>
        <w:spacing w:before="80" w:after="60"/>
      </w:pPr>
      <w:bookmarkStart w:id="5128" w:name="_Rpt128"/>
      <w:r>
        <w:rPr>
          <w:b/>
          <w:sz w:val="20"/>
        </w:rPr>
        <w:t xml:space="preserve">Table 5.14. Profitability, liquidity and leverage series</w:t>
      </w:r>
      <w:bookmarkEnd w:id="5128"/>
    </w:p>
    <w:tbl>
      <w:tblPr>
        <w:tblW w:w="0" w:type="auto"/>
        <w:jc w:val="center"/>
        <w:tblLayout w:type="fixed"/>
        <w:tblLook w:val="04A0" w:firstRow="1" w:lastRow="0" w:firstColumn="1" w:lastColumn="0" w:noHBand="0" w:noVBand="1"/>
      </w:tblPr>
      <w:tblGrid>
        <w:gridCol w:w="3810"/>
        <w:gridCol w:w="2041"/>
        <w:gridCol w:w="2041"/>
        <w:gridCol w:w="2044"/>
      </w:tblGrid>
      <w:tr w:rsidR="005F2FC4">
        <w:trPr>
          <w:cantSplit/>
          <w:tblHeader/>
          <w:jc w:val="center"/>
        </w:trPr>
        <w:tc>
          <w:tcPr>
            <w:tcW w:w="381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Ratio</w:t>
            </w:r>
          </w:p>
        </w:tc>
        <w:tc>
          <w:tcPr>
            <w:tcW w:w="204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204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20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 margin</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w:t>
            </w:r>
          </w:p>
        </w:tc>
        <w:tc>
          <w:tcPr>
            <w:tcW w:w="20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ratio</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1.23×</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1.18×</w:t>
            </w:r>
          </w:p>
        </w:tc>
        <w:tc>
          <w:tcPr>
            <w:tcW w:w="20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Borrowings / equity (ex leases)</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0.15×</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0.24×</w:t>
            </w:r>
          </w:p>
        </w:tc>
        <w:tc>
          <w:tcPr>
            <w:tcW w:w="20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0.05×</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ROA on average assets</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(3.60%)</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(1.43%)</w:t>
            </w:r>
          </w:p>
        </w:tc>
        <w:tc>
          <w:tcPr>
            <w:tcW w:w="20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0.94%</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ROE on average equity</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(9.39%)</w:t>
            </w:r>
          </w:p>
        </w:tc>
        <w:tc>
          <w:tcPr>
            <w:tcW w:w="204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(4.13%)</w:t>
            </w:r>
          </w:p>
        </w:tc>
        <w:tc>
          <w:tcPr>
            <w:tcW w:w="20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2.39%</w:t>
            </w:r>
          </w:p>
        </w:tc>
      </w:tr>
      <w:tr w:rsidR="005F2FC4">
        <w:trPr>
          <w:cantSplit/>
          <w:jc w:val="center"/>
        </w:trPr>
        <w:tc>
          <w:tcPr>
            <w:tcW w:w="381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 average assets</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0.19×</w:t>
            </w:r>
          </w:p>
        </w:tc>
        <w:tc>
          <w:tcPr>
            <w:tcW w:w="204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0.22×</w:t>
            </w:r>
          </w:p>
        </w:tc>
        <w:tc>
          <w:tcPr>
            <w:tcW w:w="20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0.23×</w:t>
            </w:r>
          </w:p>
        </w:tc>
      </w:tr>
    </w:tbl>
    <w:p w:rsidR="005F2FC4" w:rsidRDefault="00000000">
      <w:pPr>
        <w:spacing w:before="40" w:after="140"/>
        <w:jc w:val="both"/>
      </w:pPr>
      <w:r>
        <w:rPr>
          <w:i/>
          <w:sz w:val="20"/>
        </w:rPr>
        <w:t xml:space="preserve">Source / note: Analyst calculations using the restated / audited consolidated information. Average balance-sheet values use opening and closing balances; FY24–FY26 only. [1,2]</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three-year series shows the direction of travel more reliably than any single year. Profitability moves from deeply negative to modestly positive; liquidity improves; leverage falls sharply. No ratio in the table is at a level that would be regarded as strong for a mature company, and that is the correct reading: the company has removed the most acute financial risks from its balance sheet without yet demonstrating a competitive return on the capital employed in it.</w:t>
            </w:r>
          </w:p>
        </w:tc>
      </w:tr>
    </w:tbl>
    <w:p w:rsidR="005F2FC4" w:rsidRDefault="00000000">
      <w:pPr>
        <w:pStyle w:val="Heading2"/>
      </w:pPr>
      <w:bookmarkStart w:id="5129" w:name="_Rpt129"/>
      <w:r>
        <w:t xml:space="preserve">5.15 Ratio interpretation</w:t>
      </w:r>
      <w:bookmarkEnd w:id="5129"/>
    </w:p>
    <w:p w:rsidR="005F2FC4" w:rsidRDefault="00000000">
      <w:pPr>
        <w:pStyle w:val="ListBullet"/>
        <w:spacing w:after="50"/>
        <w:ind w:left="317" w:hanging="202"/>
        <w:jc w:val="both"/>
      </w:pPr>
      <w:r>
        <w:rPr>
          <w:b/>
        </w:rPr>
        <w:t xml:space="preserve">Profitability: PAT margin improved from negative levels to 4.2% in FY26. The low base means modest changes in other income, expenses or tax can produce large percentage changes.</w:t>
      </w:r>
    </w:p>
    <w:p w:rsidR="005F2FC4" w:rsidRDefault="00000000">
      <w:pPr>
        <w:pStyle w:val="ListBullet"/>
        <w:spacing w:after="50"/>
        <w:ind w:left="317" w:hanging="202"/>
        <w:jc w:val="both"/>
      </w:pPr>
      <w:r>
        <w:rPr>
          <w:b/>
        </w:rPr>
        <w:t xml:space="preserve">Liquidity: the current ratio is above 1×, but it is not a cash-availability measure where balances are earmarked or tied to customer programmes.</w:t>
      </w:r>
    </w:p>
    <w:p w:rsidR="005F2FC4" w:rsidRDefault="00000000">
      <w:pPr>
        <w:pStyle w:val="ListBullet"/>
        <w:spacing w:after="50"/>
        <w:ind w:left="317" w:hanging="202"/>
        <w:jc w:val="both"/>
      </w:pPr>
      <w:r>
        <w:rPr>
          <w:b/>
        </w:rPr>
        <w:t xml:space="preserve">Leverage: borrowings/equity fell materially. This improves resilience to interest expense but does not remove counterparty, settlement, lease or operational risk.</w:t>
      </w:r>
    </w:p>
    <w:p w:rsidR="005F2FC4" w:rsidRDefault="00000000">
      <w:pPr>
        <w:pStyle w:val="ListBullet"/>
        <w:spacing w:after="50"/>
        <w:ind w:left="317" w:hanging="202"/>
        <w:jc w:val="both"/>
      </w:pPr>
      <w:r>
        <w:rPr>
          <w:b/>
        </w:rPr>
        <w:t xml:space="preserve">Returns: ROE of about 2.4% in FY26 is low relative to the equity base; the listing and recent profitability make the three-year book-value series structurally non-steady.</w:t>
      </w:r>
    </w:p>
    <w:p w:rsidR="005F2FC4" w:rsidRDefault="00000000">
      <w:pPr>
        <w:pStyle w:val="ListBullet"/>
        <w:spacing w:after="50"/>
        <w:ind w:left="317" w:hanging="202"/>
        <w:jc w:val="both"/>
      </w:pPr>
      <w:r>
        <w:rPr>
          <w:b/>
        </w:rPr>
        <w:t xml:space="preserve">Cash conversion: FY26 CFO/PAT is high at about 3.5×, but the CFO series is volatile and reflects movements in customer and settlement balances. A multi-year normalized figure is more useful than one annual ratio.</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five readings resolve into one judgement. Balance-sheet risk has fallen and is now low. Earnings risk remains high, because the profit base is small enough that a modest change in other income, employee share-based cost, acquisition expense or tax could move the company back towards break-even. Cash risk is unresolved. Any conclusion drawn from this chapter has to be conditional on the second and third of those statements.</w:t>
            </w:r>
          </w:p>
        </w:tc>
      </w:tr>
    </w:tbl>
    <w:p w:rsidR="005F2FC4" w:rsidRDefault="00000000">
      <w:pPr>
        <w:pStyle w:val="Heading2"/>
      </w:pPr>
      <w:bookmarkStart w:id="5130" w:name="_Rpt130"/>
      <w:r>
        <w:t xml:space="preserve">5.16 Ratio caveats</w:t>
      </w:r>
      <w:bookmarkEnd w:id="5130"/>
    </w:p>
    <w:p w:rsidR="005F2FC4" w:rsidRDefault="00000000">
      <w:pPr>
        <w:jc w:val="both"/>
      </w:pPr>
      <w:r>
        <w:t xml:space="preserve">All balance-sheet ratios use reported year-end classifications and do not adjust for restricted deposits, merchant settlement funds, leases, ESOP dilution or contingent obligations. FY23–FY25 are prospectus-restated; the merger and IPO change comparability. The company-defined adjusted EBITDA and contribution margin are presented separately from statutory margins. The valuation ratios in Sections 5.24 to 5.28 use an October 2026 price and mixed-date financial denominators, and are therefore indicative only.</w:t>
      </w:r>
    </w:p>
    <w:p w:rsidR="005F2FC4" w:rsidRDefault="00000000">
      <w:pPr>
        <w:pStyle w:val="ListBullet"/>
        <w:spacing w:after="50"/>
        <w:ind w:left="317" w:hanging="202"/>
        <w:jc w:val="both"/>
      </w:pPr>
      <w:r>
        <w:t xml:space="preserve">Balance-sheet ratios use reported year-end classifications and are not adjusted for restricted, earmarked or customer-related balances.</w:t>
      </w:r>
    </w:p>
    <w:p w:rsidR="005F2FC4" w:rsidRDefault="00000000">
      <w:pPr>
        <w:pStyle w:val="ListBullet"/>
        <w:spacing w:after="50"/>
        <w:ind w:left="317" w:hanging="202"/>
        <w:jc w:val="both"/>
      </w:pPr>
      <w:r>
        <w:t xml:space="preserve">Average-based ratios use simple opening and closing averages, which understate the effect of capital raised part-way through a year.</w:t>
      </w:r>
    </w:p>
    <w:p w:rsidR="005F2FC4" w:rsidRDefault="00000000">
      <w:pPr>
        <w:pStyle w:val="ListBullet"/>
        <w:spacing w:after="50"/>
        <w:ind w:left="317" w:hanging="202"/>
        <w:jc w:val="both"/>
      </w:pPr>
      <w:r>
        <w:t xml:space="preserve">Company-defined measures are presented alongside audited measures but are never substituted for them in the return or valuation work.</w:t>
      </w:r>
    </w:p>
    <w:p w:rsidR="005F2FC4" w:rsidRDefault="00000000">
      <w:pPr>
        <w:pStyle w:val="ListBullet"/>
        <w:spacing w:after="50"/>
        <w:ind w:left="317" w:hanging="202"/>
        <w:jc w:val="both"/>
      </w:pPr>
      <w:r>
        <w:t xml:space="preserve">Ratios calculated on a small profit base are arithmetically unstable and are reported to one decimal place only.</w:t>
      </w:r>
    </w:p>
    <w:p w:rsidR="005F2FC4" w:rsidRDefault="00000000">
      <w:pPr>
        <w:pStyle w:val="ListBullet"/>
        <w:spacing w:after="50"/>
        <w:ind w:left="317" w:hanging="202"/>
        <w:jc w:val="both"/>
      </w:pPr>
      <w:r>
        <w:t xml:space="preserve">No ratio in this chapter is compared with a peer multiple, because the comparability tests in Section 5.23 are not satisfied by the available public data.</w:t>
      </w:r>
    </w:p>
    <w:p w:rsidR="005F2FC4" w:rsidRDefault="00000000">
      <w:pPr>
        <w:pStyle w:val="Heading2"/>
      </w:pPr>
      <w:bookmarkStart w:id="5131" w:name="_Rpt131"/>
      <w:r>
        <w:t xml:space="preserve">5.17 DuPont analysis: method</w:t>
      </w:r>
      <w:bookmarkEnd w:id="5131"/>
    </w:p>
    <w:p w:rsidR="005F2FC4" w:rsidRDefault="00000000">
      <w:pPr>
        <w:jc w:val="both"/>
      </w:pPr>
      <w:r>
        <w:t xml:space="preserve">The three-factor DuPont identity decomposes return on equity (ROE) into net profit margin × revenue / average assets × average assets / average equity. This helps show whether a change in shareholder return is driven by profitability, asset efficiency or financial leverage. It does not correct for merger restatements, equity issuance or cash restrictions; those changes must be interpreted separately. [15]</w:t>
      </w:r>
    </w:p>
    <w:p w:rsidR="005F2FC4" w:rsidRDefault="00000000">
      <w:pPr>
        <w:jc w:val="both"/>
      </w:pPr>
      <w:r>
        <w:t xml:space="preserve">ROE = (PAT / revenue) × (revenue / average total assets) × (average total assets / average total equity). The product is algebraically equal to PAT / average equity when the same consolidated figures and periods are used.</w:t>
      </w:r>
    </w:p>
    <w:p w:rsidR="005F2FC4" w:rsidRDefault="00000000">
      <w:pPr>
        <w:pStyle w:val="Heading2"/>
      </w:pPr>
      <w:bookmarkStart w:id="5132" w:name="_Rpt132"/>
      <w:r>
        <w:t xml:space="preserve">5.18 DuPont analysis: results and interpretation</w:t>
      </w:r>
      <w:bookmarkEnd w:id="5132"/>
    </w:p>
    <w:p w:rsidR="005F2FC4" w:rsidRDefault="00000000">
      <w:pPr>
        <w:keepNext/>
        <w:spacing w:before="80" w:after="60"/>
      </w:pPr>
      <w:bookmarkStart w:id="5133" w:name="_Rpt133"/>
      <w:r>
        <w:rPr>
          <w:b/>
          <w:sz w:val="20"/>
        </w:rPr>
        <w:t xml:space="preserve">Table 5.15. DuPont decomposition</w:t>
      </w:r>
      <w:bookmarkEnd w:id="5133"/>
    </w:p>
    <w:tbl>
      <w:tblPr>
        <w:tblW w:w="0" w:type="auto"/>
        <w:jc w:val="center"/>
        <w:tblLayout w:type="fixed"/>
        <w:tblLook w:val="04A0" w:firstRow="1" w:lastRow="0" w:firstColumn="1" w:lastColumn="0" w:noHBand="0" w:noVBand="1"/>
      </w:tblPr>
      <w:tblGrid>
        <w:gridCol w:w="3672"/>
        <w:gridCol w:w="2088"/>
        <w:gridCol w:w="2088"/>
        <w:gridCol w:w="2088"/>
      </w:tblGrid>
      <w:tr w:rsidR="005F2FC4">
        <w:trPr>
          <w:cantSplit/>
          <w:tblHeader/>
          <w:jc w:val="center"/>
        </w:trPr>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Component</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Net profit margin</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(19.32%)</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(6.40%)</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4.15%</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 average assets</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0.186×</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0.223×</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0.226×</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Average assets / average equity</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2.61×</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2.89×</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2.55×</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ROE from DuPont</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(9.39%)</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(4.13%)</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2.39%</w:t>
            </w:r>
          </w:p>
        </w:tc>
      </w:tr>
    </w:tbl>
    <w:p w:rsidR="005F2FC4" w:rsidRDefault="00000000">
      <w:pPr>
        <w:spacing w:before="40" w:after="140"/>
        <w:jc w:val="both"/>
      </w:pPr>
      <w:r>
        <w:rPr>
          <w:i/>
          <w:sz w:val="20"/>
        </w:rPr>
        <w:t xml:space="preserve">Source / note: Author calculation using reported PAT, revenue and opening / closing consolidated balance-sheet figures. [1,2]</w:t>
      </w:r>
    </w:p>
    <w:p w:rsidR="005F2FC4" w:rsidRDefault="00000000">
      <w:pPr>
        <w:jc w:val="both"/>
      </w:pPr>
      <w:r>
        <w:t xml:space="preserve">Losses drove negative ROE in FY24 and FY25. FY26 moved to a positive ROE of approximately 2.4%, almost entirely because PAT margin turned positive; asset turnover was broadly stable at about 0.23× and the average equity multiplier declined from 2.89× to 2.55×. Lower leverage reduced balance-sheet risk but also means that higher sustainable ROE must be earned through stronger margins and/or asset productivity rather than debt alone.</w:t>
      </w:r>
    </w:p>
    <w:p w:rsidR="005F2FC4" w:rsidRDefault="00000000">
      <w:pPr>
        <w:jc w:val="both"/>
      </w:pPr>
      <w:r>
        <w:t xml:space="preserve">The result is not a mature steady-state return. Equity expanded after the IPO and share conversions, so book value and average equity grew faster than operating history. A single year’s ROE should not be extrapolated into a terminal forecast.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decomposition isolates the cause of the improvement precisely. Asset turnover barely moved, from 0.186 times in FY24 to 0.223 times in FY25 and 0.226 times in FY26, so the company did not become materially more efficient in using its asset base. The equity multiplier fell from 2.89 times to 2.55 times, so leverage actually reduced the return rather than inflating it. Almost the entire movement in return on equity — from negative 9.39 per cent to positive 2.39 per cent — is attributable to net profit margin turning from negative 19.32 per cent to positive 4.15 per cent. This is the highest-quality possible source of a return improvement, because it comes from the income statement rather than from gearing; but at 2.39 per cent the resulting return is still well below any reasonable cost of equity.</w:t>
            </w:r>
          </w:p>
        </w:tc>
      </w:tr>
    </w:tbl>
    <w:p w:rsidR="005F2FC4" w:rsidRDefault="00000000">
      <w:pPr>
        <w:pStyle w:val="Heading2"/>
      </w:pPr>
      <w:bookmarkStart w:id="5134" w:name="_Rpt134"/>
      <w:r>
        <w:t xml:space="preserve">5.19 Operating KPIs: scale and activity indicators</w:t>
      </w:r>
      <w:bookmarkEnd w:id="5134"/>
    </w:p>
    <w:p w:rsidR="005F2FC4" w:rsidRDefault="00000000">
      <w:pPr>
        <w:keepNext/>
        <w:spacing w:before="80" w:after="60"/>
      </w:pPr>
      <w:bookmarkStart w:id="5135" w:name="_Rpt135"/>
      <w:r>
        <w:rPr>
          <w:b/>
          <w:sz w:val="20"/>
        </w:rPr>
        <w:t xml:space="preserve">Table 5.16. Scale and activity indicators</w:t>
      </w:r>
      <w:bookmarkEnd w:id="5135"/>
    </w:p>
    <w:tbl>
      <w:tblPr>
        <w:tblW w:w="0" w:type="auto"/>
        <w:jc w:val="center"/>
        <w:tblLayout w:type="fixed"/>
        <w:tblLook w:val="04A0" w:firstRow="1" w:lastRow="0" w:firstColumn="1" w:lastColumn="0" w:noHBand="0" w:noVBand="1"/>
      </w:tblPr>
      <w:tblGrid>
        <w:gridCol w:w="3529"/>
        <w:gridCol w:w="1601"/>
        <w:gridCol w:w="1601"/>
        <w:gridCol w:w="1601"/>
        <w:gridCol w:w="1604"/>
      </w:tblGrid>
      <w:tr w:rsidR="005F2FC4">
        <w:trPr>
          <w:cantSplit/>
          <w:tblHeader/>
          <w:jc w:val="center"/>
        </w:trPr>
        <w:tc>
          <w:tcPr>
            <w:tcW w:w="352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KPI</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FY23</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6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Platform GTV (₹ lakh crore)</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6.08</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11.42</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Transactions (crore)</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257</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344</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569</w:t>
            </w:r>
          </w:p>
        </w:tc>
        <w:tc>
          <w:tcPr>
            <w:tcW w:w="16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740.37</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Merchants (lakh)</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5.30</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6.44</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9.54</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11.03</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DCPs (lakh)</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11.9</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13.9</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17.8</w:t>
            </w:r>
          </w:p>
        </w:tc>
        <w:tc>
          <w:tcPr>
            <w:tcW w:w="16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20.28</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Prepaid cards issued during year (crore)</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49.52</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52.90</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71.30</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86.55</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International revenue share</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8.5%</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10.9%</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14.9%</w:t>
            </w:r>
          </w:p>
        </w:tc>
        <w:tc>
          <w:tcPr>
            <w:tcW w:w="16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14.9%</w:t>
            </w:r>
          </w:p>
        </w:tc>
      </w:tr>
      <w:tr w:rsidR="005F2FC4">
        <w:trPr>
          <w:cantSplit/>
          <w:jc w:val="center"/>
        </w:trPr>
        <w:tc>
          <w:tcPr>
            <w:tcW w:w="352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 GTV proxy (basis points)</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36.3</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29.1</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19.9</w:t>
            </w:r>
          </w:p>
        </w:tc>
        <w:tc>
          <w:tcPr>
            <w:tcW w:w="16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w:t>
            </w:r>
          </w:p>
        </w:tc>
      </w:tr>
    </w:tbl>
    <w:p w:rsidR="005F2FC4" w:rsidRDefault="00000000">
      <w:pPr>
        <w:spacing w:before="40" w:after="140"/>
        <w:jc w:val="both"/>
      </w:pPr>
      <w:r>
        <w:rPr>
          <w:i/>
          <w:sz w:val="20"/>
        </w:rPr>
        <w:t xml:space="preserve">Source / note: Company data books / prospectus; values rounded. GTV categories can overlap and should not be summed. Revenue/GTV basis-point proxy is the author’s ratio of consolidated revenue to total reported platform GTV, not a contractual take rate. [1,3]</w:t>
      </w:r>
    </w:p>
    <w:p w:rsidR="005F2FC4" w:rsidRDefault="00000000">
      <w:pPr>
        <w:spacing w:before="60" w:after="20"/>
        <w:jc w:val="center"/>
      </w:pPr>
      <w:r>
        <w:rPr>
          <w:noProof/>
        </w:rPr>
        <w:drawing>
          <wp:inline distT="0" distB="0" distL="0" distR="0">
            <wp:extent cx="5943600" cy="24598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459869"/>
                    </a:xfrm>
                    <a:prstGeom prst="rect">
                      <a:avLst/>
                    </a:prstGeom>
                  </pic:spPr>
                </pic:pic>
              </a:graphicData>
            </a:graphic>
          </wp:inline>
        </w:drawing>
      </w:r>
    </w:p>
    <w:p w:rsidR="005F2FC4" w:rsidRDefault="00000000">
      <w:pPr>
        <w:keepNext/>
        <w:spacing w:after="20"/>
        <w:jc w:val="center"/>
      </w:pPr>
      <w:bookmarkStart w:id="5136" w:name="_Rpt136"/>
      <w:r>
        <w:rPr>
          <w:b/>
          <w:sz w:val="20"/>
        </w:rPr>
        <w:t xml:space="preserve">Figure 5.3. Platform GTV increased faster than recognised revenue</w:t>
      </w:r>
      <w:bookmarkEnd w:id="5136"/>
    </w:p>
    <w:p w:rsidR="005F2FC4" w:rsidRDefault="00000000">
      <w:pPr>
        <w:spacing w:after="140"/>
        <w:jc w:val="center"/>
      </w:pPr>
      <w:r>
        <w:rPr>
          <w:i/>
          <w:sz w:val="20"/>
        </w:rPr>
        <w:t xml:space="preserve">GTV in ₹ lakh crore. Company-defined platform GTV; this is not revenue or market share. [1,3]</w:t>
      </w:r>
    </w:p>
    <w:p w:rsidR="005F2FC4" w:rsidRDefault="00000000">
      <w:pPr>
        <w:jc w:val="both"/>
      </w:pPr>
      <w:r>
        <w:t xml:space="preserve">Platform GTV in the KPI book is reported in thousands of crore rupees. Thus 422 thousand crore equals approximately ₹4.22 lakh crore in Q1 FY27. The series shows quarterly expansion in payment activity, but a quarter’s GTV is not a balance-sheet asset or recognised revenue. Its included products and economic meaning follow the company’s definition.</w:t>
      </w:r>
    </w:p>
    <w:p w:rsidR="005F2FC4" w:rsidRDefault="00000000">
      <w:pPr>
        <w:jc w:val="both"/>
      </w:pPr>
      <w:r>
        <w:t xml:space="preserve">Transactions increased from 112 crore in Q1 FY25 to 201 crore in Q1 FY27, while DCPs rose from 15.0 lakh to 21.7 lakh. Merchant counts also expanded, although period-end network counts do not equal active monthly merchants or transactions per merchant. Prepaid-card issuance is a separate operational metric and should not be added to payment GTV.</w:t>
      </w:r>
    </w:p>
    <w:p w:rsidR="005F2FC4" w:rsidRDefault="00000000">
      <w:pPr>
        <w:jc w:val="both"/>
      </w:pPr>
      <w:r>
        <w:t xml:space="preserve">A useful analyst question is whether network growth produces higher engagement and recurring yield. The ratio of transactions to DCPs can be an indicative density proxy, but it is sensitive to the period-end DCP count and to what the company classifies as a transaction. It is not a same-store or cohort-retention measure.</w:t>
      </w:r>
    </w:p>
    <w:p w:rsidR="005F2FC4" w:rsidRDefault="00000000">
      <w:pPr>
        <w:keepNext/>
        <w:spacing w:before="80" w:after="60"/>
      </w:pPr>
      <w:bookmarkStart w:id="5137" w:name="_Rpt137"/>
      <w:r>
        <w:rPr>
          <w:b/>
          <w:sz w:val="20"/>
        </w:rPr>
        <w:t xml:space="preserve">Table 5.17. Quarterly activity indicators</w:t>
      </w:r>
      <w:bookmarkEnd w:id="5137"/>
    </w:p>
    <w:tbl>
      <w:tblPr>
        <w:tblW w:w="0" w:type="auto"/>
        <w:jc w:val="center"/>
        <w:tblLayout w:type="fixed"/>
        <w:tblLook w:val="04A0" w:firstRow="1" w:lastRow="0" w:firstColumn="1" w:lastColumn="0" w:noHBand="0" w:noVBand="1"/>
      </w:tblPr>
      <w:tblGrid>
        <w:gridCol w:w="1561"/>
        <w:gridCol w:w="1703"/>
        <w:gridCol w:w="1845"/>
        <w:gridCol w:w="1419"/>
        <w:gridCol w:w="1631"/>
        <w:gridCol w:w="1777"/>
      </w:tblGrid>
      <w:tr w:rsidR="005F2FC4">
        <w:trPr>
          <w:cantSplit/>
          <w:tblHeader/>
          <w:jc w:val="center"/>
        </w:trPr>
        <w:tc>
          <w:tcPr>
            <w:tcW w:w="156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GTV (₹000 crore)</w:t>
            </w:r>
          </w:p>
        </w:tc>
        <w:tc>
          <w:tcPr>
            <w:tcW w:w="18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Transactions (crore)</w:t>
            </w:r>
          </w:p>
        </w:tc>
        <w:tc>
          <w:tcPr>
            <w:tcW w:w="141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DCPs (lakh)</w:t>
            </w:r>
          </w:p>
        </w:tc>
        <w:tc>
          <w:tcPr>
            <w:tcW w:w="163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Merchants (lakh)</w:t>
            </w:r>
          </w:p>
        </w:tc>
        <w:tc>
          <w:tcPr>
            <w:tcW w:w="177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Cards issued (crore)</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186</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15.0</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7.0</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221</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130</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8.0</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349</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157</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17.0</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9.0</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386</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170</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17.8</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406</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175</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18.4</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9.9</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424</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188</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19.0</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10.4</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451</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10.5</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435</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185</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20.3</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11.0</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422</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201</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21.7</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11.5</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bl>
    <w:p w:rsidR="005F2FC4" w:rsidRDefault="00000000">
      <w:pPr>
        <w:spacing w:before="40" w:after="140"/>
        <w:jc w:val="both"/>
      </w:pPr>
      <w:r>
        <w:rPr>
          <w:i/>
          <w:sz w:val="20"/>
        </w:rPr>
        <w:t xml:space="preserve">Source / method: Pine Labs KPI Data Book, Q1 FY27 [6]; cards issued are a separate issuance count.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operating record is the strongest part of the company’s disclosure. Platform gross transaction value rose from about ₹4.40 lakh crore in FY23 to ₹17.15 lakh crore in FY26, roughly 3.9 times, while revenue rose about 1.7 times over the same period. Transactions rose from 112 crore in Q1 FY25 to 201 crore in Q1 FY27 and the installed base of digital checkout points and merchants expanded alongside. The network is unquestionably growing. The analytical question, addressed in Section 5.21, is what that network earns.</w:t>
            </w:r>
          </w:p>
        </w:tc>
      </w:tr>
    </w:tbl>
    <w:p w:rsidR="005F2FC4" w:rsidRDefault="00000000">
      <w:pPr>
        <w:pStyle w:val="Heading2"/>
      </w:pPr>
      <w:bookmarkStart w:id="5138" w:name="_Rpt138"/>
      <w:r>
        <w:t xml:space="preserve">5.20 Q1 FY27 operating snapshot</w:t>
      </w:r>
      <w:bookmarkEnd w:id="5138"/>
    </w:p>
    <w:p w:rsidR="005F2FC4" w:rsidRDefault="00000000">
      <w:pPr>
        <w:keepNext/>
        <w:spacing w:before="80" w:after="60"/>
      </w:pPr>
      <w:bookmarkStart w:id="5139" w:name="_Rpt139"/>
      <w:r>
        <w:rPr>
          <w:b/>
          <w:sz w:val="20"/>
        </w:rPr>
        <w:t xml:space="preserve">Table 5.18. Q1 FY27 operating metrics</w:t>
      </w:r>
      <w:bookmarkEnd w:id="5139"/>
    </w:p>
    <w:tbl>
      <w:tblPr>
        <w:tblW w:w="0" w:type="auto"/>
        <w:jc w:val="center"/>
        <w:tblLayout w:type="fixed"/>
        <w:tblLook w:val="04A0" w:firstRow="1" w:lastRow="0" w:firstColumn="1" w:lastColumn="0" w:noHBand="0" w:noVBand="1"/>
      </w:tblPr>
      <w:tblGrid>
        <w:gridCol w:w="2376"/>
        <w:gridCol w:w="2880"/>
        <w:gridCol w:w="4680"/>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Metric</w:t>
            </w:r>
          </w:p>
        </w:tc>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Q1 FY27</w:t>
            </w:r>
          </w:p>
        </w:tc>
        <w:tc>
          <w:tcPr>
            <w:tcW w:w="46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Platform GTV</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₹4.22 lakh crore</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Includes DITP ~₹4.04 lakh crore and IAP ~₹0.18 lakh crore per company KPI classification; categories may overlap.</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Transactions</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201 crore</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Approximately 2.01 billion company-reported platform transactions during the quarter.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DCPs</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21.7 lakh</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Live touchpoints at period end; not every point necessarily transacts every month.</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Merchants</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11.5 lakh</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Company-reported merchant network; definition and activity status follow company KPI book.</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International revenue</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 crore; about 16%</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Quarterly company disclosure; international share has increased vs FY23 prospectus data.</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Flow / affordability GTV</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Subset of platform GTV</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not add to total platform GTV; use the company’s classification and footnotes.</w:t>
            </w:r>
          </w:p>
        </w:tc>
      </w:tr>
    </w:tbl>
    <w:p w:rsidR="005F2FC4" w:rsidRDefault="00000000">
      <w:pPr>
        <w:spacing w:before="40" w:after="140"/>
        <w:jc w:val="both"/>
      </w:pPr>
      <w:r>
        <w:rPr>
          <w:i/>
          <w:sz w:val="20"/>
        </w:rPr>
        <w:t xml:space="preserve">Source / note: Q1 FY27 shareholder letter and KPI data book. [5,6]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quarterly snapshot repeats the annual pattern at higher frequency: ₹4.22 lakh crore of platform GTV, 201 crore transactions, 21.7 lakh digital checkout points and 11.5 lakh merchants, against ₹736.92 crore of revenue. Dividing one by the other is instructive only as a direction indicator, for the reasons set out in Section 5.21. The more useful quarterly discipline is to watch whether revenue per merchant and revenue per checkout point hold as the base expands, because a falling figure would indicate that growth is being bought at declining incremental value.</w:t>
            </w:r>
          </w:p>
        </w:tc>
      </w:tr>
    </w:tbl>
    <w:p w:rsidR="005F2FC4" w:rsidRDefault="00000000">
      <w:pPr>
        <w:pStyle w:val="Heading2"/>
      </w:pPr>
      <w:bookmarkStart w:id="5140" w:name="_Rpt140"/>
      <w:r>
        <w:t xml:space="preserve">5.21 Revenue-to-GTV proxy: a diagnostic, not a take rate</w:t>
      </w:r>
      <w:bookmarkEnd w:id="5140"/>
    </w:p>
    <w:p w:rsidR="005F2FC4" w:rsidRDefault="00000000">
      <w:pPr>
        <w:jc w:val="both"/>
      </w:pPr>
      <w:r>
        <w:t xml:space="preserve">Dividing consolidated revenue by platform GTV gives a broad revenue-yield proxy of about 36 basis points in FY23, 29 in FY24, 20 in FY25 and 16 in FY26. The decline does not establish that Pine Labs cut price on a like-for-like transaction: GTV and revenue cover different product mixes, customer contracts, periods and possibly overlapping platform definitions. The ratio is a signal to investigate product mix and monetization, not an actual take rate. [1,3]</w:t>
      </w:r>
    </w:p>
    <w:p w:rsidR="005F2FC4" w:rsidRDefault="00000000">
      <w:pPr>
        <w:jc w:val="both"/>
      </w:pPr>
      <w:r>
        <w:t xml:space="preserve">The operational priorities are therefore to disclose consistent revenue per active DCP / merchant, active-device rates, net revenue and contribution by product, cohort retention, cost to serve, and cash conversion by segment. These would help distinguish beneficial scale from low-yield volume growth.</w:t>
      </w:r>
    </w:p>
    <w:p w:rsidR="005F2FC4" w:rsidRDefault="00000000">
      <w:pPr>
        <w:jc w:val="both"/>
      </w:pPr>
      <w:r>
        <w:t xml:space="preserve">A simple revenue-to-GTV calculation divides company revenue by the reported platform GTV after aligning units. In the FY23–FY26 series, this proxy declines from about 36 basis points to roughly 16 basis points. This does not necessarily mean contractual pricing fell: product mix, subscriptions, prepaid distribution, international revenue and the composition of the GTV denominator all change over time.</w:t>
      </w:r>
    </w:p>
    <w:p w:rsidR="005F2FC4" w:rsidRDefault="00000000">
      <w:pPr>
        <w:jc w:val="both"/>
      </w:pPr>
      <w:r>
        <w:t xml:space="preserve">The proxy is not a take rate because the revenue numerator and GTV denominator do not necessarily cover the same products or economic unit. Some subscription revenue may be recognised irrespective of transaction volume; some issuing or distribution revenue may have distinct bases; reported GTV can exclude or separately show subsets. The ratio is most useful as a prompt to ask why monetisation per unit changes, not as a claim about pricing.</w:t>
      </w:r>
    </w:p>
    <w:p w:rsidR="005F2FC4" w:rsidRDefault="00000000">
      <w:pPr>
        <w:jc w:val="both"/>
      </w:pPr>
      <w:r>
        <w:t xml:space="preserve">The ratios presented earlier in this chapter also need caveats. The FY26 current ratio is about 1.52×, but current assets and liabilities contain settlement and prepaid-programme balances. Borrowings excluding leases are about 0.05× FY26 equity, but lease liabilities are not included. Ratios should be read with notes and definitions, not as stand-alone credit conclusions.</w:t>
      </w:r>
    </w:p>
    <w:p w:rsidR="005F2FC4" w:rsidRDefault="00000000">
      <w:pPr>
        <w:keepNext/>
        <w:spacing w:before="80" w:after="60"/>
      </w:pPr>
      <w:bookmarkStart w:id="5141" w:name="_Rpt141"/>
      <w:r>
        <w:rPr>
          <w:b/>
          <w:sz w:val="20"/>
        </w:rPr>
        <w:t xml:space="preserve">Table 5.19. Revenue to platform GTV proxy</w:t>
      </w:r>
      <w:bookmarkEnd w:id="5141"/>
    </w:p>
    <w:tbl>
      <w:tblPr>
        <w:tblW w:w="0" w:type="auto"/>
        <w:jc w:val="center"/>
        <w:tblLayout w:type="fixed"/>
        <w:tblLook w:val="04A0" w:firstRow="1" w:lastRow="0" w:firstColumn="1" w:lastColumn="0" w:noHBand="0" w:noVBand="1"/>
      </w:tblPr>
      <w:tblGrid>
        <w:gridCol w:w="1774"/>
        <w:gridCol w:w="2342"/>
        <w:gridCol w:w="2342"/>
        <w:gridCol w:w="3478"/>
      </w:tblGrid>
      <w:tr w:rsidR="005F2FC4">
        <w:trPr>
          <w:cantSplit/>
          <w:tblHeader/>
          <w:jc w:val="center"/>
        </w:trPr>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Period</w:t>
            </w:r>
          </w:p>
        </w:tc>
        <w:tc>
          <w:tcPr>
            <w:tcW w:w="234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Revenue ₹cr</w:t>
            </w:r>
          </w:p>
        </w:tc>
        <w:tc>
          <w:tcPr>
            <w:tcW w:w="234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GTV ₹lakh cr</w:t>
            </w:r>
          </w:p>
        </w:tc>
        <w:tc>
          <w:tcPr>
            <w:tcW w:w="347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Proxy, bps</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FY23</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1,597.66</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347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36.3</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FY24</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6.08</w:t>
            </w:r>
          </w:p>
        </w:tc>
        <w:tc>
          <w:tcPr>
            <w:tcW w:w="347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29.1</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FY25</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11.42</w:t>
            </w:r>
          </w:p>
        </w:tc>
        <w:tc>
          <w:tcPr>
            <w:tcW w:w="347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19.9</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FY26</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w:t>
            </w:r>
          </w:p>
        </w:tc>
        <w:tc>
          <w:tcPr>
            <w:tcW w:w="347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w:t>
            </w:r>
          </w:p>
        </w:tc>
      </w:tr>
    </w:tbl>
    <w:p w:rsidR="005F2FC4" w:rsidRDefault="00000000">
      <w:pPr>
        <w:spacing w:before="40" w:after="140"/>
        <w:jc w:val="both"/>
      </w:pPr>
      <w:r>
        <w:rPr>
          <w:i/>
          <w:sz w:val="20"/>
        </w:rPr>
        <w:t xml:space="preserve">Source / method: Restated / audited revenue [1–3] and Pine Labs GTV series [3,6]. Formula: revenue ÷ (GTV in lakh crore × 100,000) × 10,000. Author calculation; not a company take-rate KPI.</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This is the central diagnostic of the report. The proxy falls from about 36.3 basis points in FY23 to 29.1 in FY24, 19.9 in FY25 and 15.8 in FY26 — a decline of more than half in three years. The decline does not prove that contractual pricing fell. Mix is a sufficient explanation on its own: the fastest-growing transaction types are the lowest-yielding, and subscription revenue does not scale with volume at all. But the direction is unambiguous and it is consistent with the contribution-margin decline in Section 5.3 and with the falling average ticket size at system level in Section 3.4. The practical implication is that future revenue growth must come increasingly from services attached to the transaction rather than from the transaction itself.</w:t>
            </w:r>
          </w:p>
        </w:tc>
      </w:tr>
    </w:tbl>
    <w:p w:rsidR="005F2FC4" w:rsidRDefault="00000000">
      <w:pPr>
        <w:pStyle w:val="Heading2"/>
      </w:pPr>
      <w:bookmarkStart w:id="5142" w:name="_Rpt142"/>
      <w:r>
        <w:t xml:space="preserve">5.22 KPI interpretation cautions and monitoring dashboard</w:t>
      </w:r>
      <w:bookmarkEnd w:id="5142"/>
    </w:p>
    <w:p w:rsidR="005F2FC4" w:rsidRDefault="00000000">
      <w:pPr>
        <w:pStyle w:val="ListBullet"/>
        <w:spacing w:after="50"/>
        <w:ind w:left="317" w:hanging="202"/>
        <w:jc w:val="both"/>
      </w:pPr>
      <w:r>
        <w:t xml:space="preserve">GTV is transaction value, not assets managed, deposits, GMV recognized as revenue or credit extended by Pine Labs.</w:t>
      </w:r>
    </w:p>
    <w:p w:rsidR="005F2FC4" w:rsidRDefault="00000000">
      <w:pPr>
        <w:pStyle w:val="ListBullet"/>
        <w:spacing w:after="50"/>
        <w:ind w:left="317" w:hanging="202"/>
        <w:jc w:val="both"/>
      </w:pPr>
      <w:r>
        <w:t xml:space="preserve">DCP counts can exceed merchant counts because a merchant may operate more than one checkout point.</w:t>
      </w:r>
    </w:p>
    <w:p w:rsidR="005F2FC4" w:rsidRDefault="00000000">
      <w:pPr>
        <w:pStyle w:val="ListBullet"/>
        <w:spacing w:after="50"/>
        <w:ind w:left="317" w:hanging="202"/>
        <w:jc w:val="both"/>
      </w:pPr>
      <w:r>
        <w:t xml:space="preserve">Prepaid cards issued are cumulative or period issuance counts as specified by the data book; they are not a measure of active balances or revenue.</w:t>
      </w:r>
    </w:p>
    <w:p w:rsidR="005F2FC4" w:rsidRDefault="00000000">
      <w:pPr>
        <w:pStyle w:val="ListBullet"/>
        <w:spacing w:after="50"/>
        <w:ind w:left="317" w:hanging="202"/>
        <w:jc w:val="both"/>
      </w:pPr>
      <w:r>
        <w:t xml:space="preserve">International revenue share is company-reported and can shift with acquisitions, consolidation and foreign-exchange movement.</w:t>
      </w:r>
    </w:p>
    <w:p w:rsidR="005F2FC4" w:rsidRDefault="00000000">
      <w:pPr>
        <w:pStyle w:val="ListBullet"/>
        <w:spacing w:after="50"/>
        <w:ind w:left="317" w:hanging="202"/>
        <w:jc w:val="both"/>
      </w:pPr>
      <w:r>
        <w:t xml:space="preserve">Flow / affordability volume is a subset within the platform measurement and is not additive to the total.</w:t>
      </w:r>
    </w:p>
    <w:p w:rsidR="005F2FC4" w:rsidRDefault="00000000">
      <w:pPr>
        <w:jc w:val="both"/>
      </w:pPr>
      <w:r>
        <w:t xml:space="preserve">The Pine Labs thesis is not confirmed by one growth number. A balanced dashboard tracks recognised revenue, contribution margin, adjusted EBITDA, PAT, cash conversion, platform GTV, DCP engagement, transactions, international mix and capital allocation. Each KPI answers a different question: revenue measures recognised business; GTV measures platform activity; margin metrics describe different cost layers; cash flow tests collection, settlement and investment timing.</w:t>
      </w:r>
    </w:p>
    <w:p w:rsidR="005F2FC4" w:rsidRDefault="00000000">
      <w:pPr>
        <w:jc w:val="both"/>
      </w:pPr>
      <w:r>
        <w:t xml:space="preserve">A useful monitoring rule is to look for consistency across measures. GTV growth without corresponding revenue yield may indicate a product-mix shift or lower monetisation; revenue growth with weak contribution can indicate a costly mix; positive PAT with weak operating cash flow raises conversion questions. Conversely, margin recovery is more persuasive when it is accompanied by durable customer activity, recurring revenue and better cash conversion.</w:t>
      </w:r>
    </w:p>
    <w:p w:rsidR="005F2FC4" w:rsidRDefault="00000000">
      <w:pPr>
        <w:jc w:val="both"/>
      </w:pPr>
      <w:r>
        <w:t xml:space="preserve">Targets and triggers below are analytical questions, not company guidance. The company’s own definitions and reconciliations should be retained when new results are added to the report.</w:t>
      </w:r>
    </w:p>
    <w:p w:rsidR="005F2FC4" w:rsidRDefault="00000000">
      <w:pPr>
        <w:keepNext/>
        <w:spacing w:before="80" w:after="60"/>
      </w:pPr>
      <w:bookmarkStart w:id="5143" w:name="_Rpt143"/>
      <w:r>
        <w:rPr>
          <w:b/>
          <w:sz w:val="20"/>
        </w:rPr>
        <w:t xml:space="preserve">Table 5.20. Suggested quarterly monitoring dashboard</w:t>
      </w:r>
      <w:bookmarkEnd w:id="5143"/>
    </w:p>
    <w:tbl>
      <w:tblPr>
        <w:tblW w:w="0" w:type="auto"/>
        <w:jc w:val="center"/>
        <w:tblLayout w:type="fixed"/>
        <w:tblLook w:val="04A0" w:firstRow="1" w:lastRow="0" w:firstColumn="1" w:lastColumn="0" w:noHBand="0" w:noVBand="1"/>
      </w:tblPr>
      <w:tblGrid>
        <w:gridCol w:w="2271"/>
        <w:gridCol w:w="3477"/>
        <w:gridCol w:w="4188"/>
      </w:tblGrid>
      <w:tr w:rsidR="005F2FC4">
        <w:trPr>
          <w:cantSplit/>
          <w:tblHeader/>
          <w:jc w:val="center"/>
        </w:trPr>
        <w:tc>
          <w:tcPr>
            <w:tcW w:w="227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Indicator</w:t>
            </w:r>
          </w:p>
        </w:tc>
        <w:tc>
          <w:tcPr>
            <w:tcW w:w="347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it tests</w:t>
            </w:r>
          </w:p>
        </w:tc>
        <w:tc>
          <w:tcPr>
            <w:tcW w:w="41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Follow-up question</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growth</w:t>
            </w:r>
          </w:p>
        </w:tc>
        <w:tc>
          <w:tcPr>
            <w:tcW w:w="34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Recognised business expansion.</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Does growth persist across both platforms and geography?</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 adjusted EBITDA margin</w:t>
            </w:r>
          </w:p>
        </w:tc>
        <w:tc>
          <w:tcPr>
            <w:tcW w:w="34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Direct and operating cost leverage.</w:t>
            </w:r>
          </w:p>
        </w:tc>
        <w:tc>
          <w:tcPr>
            <w:tcW w:w="41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 the change mix-driven, investment-led or structural?</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 and CFO</w:t>
            </w:r>
          </w:p>
        </w:tc>
        <w:tc>
          <w:tcPr>
            <w:tcW w:w="34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Bottom-line profitability and conversion.</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cash receipts and settlement timing support earnings?</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GTV / revenue proxy</w:t>
            </w:r>
          </w:p>
        </w:tc>
        <w:tc>
          <w:tcPr>
            <w:tcW w:w="34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Activity and monetisation.</w:t>
            </w:r>
          </w:p>
        </w:tc>
        <w:tc>
          <w:tcPr>
            <w:tcW w:w="41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denominator and product definitions still comparable?</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DCPs / transactions / merchants</w:t>
            </w:r>
          </w:p>
        </w:tc>
        <w:tc>
          <w:tcPr>
            <w:tcW w:w="34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Network scale and usage.</w:t>
            </w:r>
          </w:p>
        </w:tc>
        <w:tc>
          <w:tcPr>
            <w:tcW w:w="41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more points active and producing repeat activity?</w:t>
            </w:r>
          </w:p>
        </w:tc>
      </w:tr>
      <w:tr w:rsidR="005F2FC4">
        <w:trPr>
          <w:cantSplit/>
          <w:jc w:val="center"/>
        </w:trPr>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International revenue</w:t>
            </w:r>
          </w:p>
        </w:tc>
        <w:tc>
          <w:tcPr>
            <w:tcW w:w="34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Geographic diversification.</w:t>
            </w:r>
          </w:p>
        </w:tc>
        <w:tc>
          <w:tcPr>
            <w:tcW w:w="41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new corridors profitable after servicing costs?</w:t>
            </w:r>
          </w:p>
        </w:tc>
      </w:tr>
    </w:tbl>
    <w:p w:rsidR="005F2FC4" w:rsidRDefault="00000000">
      <w:pPr>
        <w:spacing w:before="40" w:after="140"/>
        <w:jc w:val="both"/>
      </w:pPr>
      <w:r>
        <w:rPr>
          <w:i/>
          <w:sz w:val="20"/>
        </w:rPr>
        <w:t xml:space="preserve">Source / method: Company KPI books [3,6]; dashboard questions are author-designed analytical prompts.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dashboard is designed around consistency rather than around any single target. A quarter in which gross transaction value, revenue, contribution and operating cash flow all move in the same direction is evidence; a quarter in which volume rises while revenue yield and contribution fall is a warning that growth is being purchased. Applying the dashboard to the periods available, FY26 passes the consistency test and Q1 FY27 does not, because volume and revenue rose while both margin measures fell.</w:t>
            </w:r>
          </w:p>
        </w:tc>
      </w:tr>
    </w:tbl>
    <w:p w:rsidR="005F2FC4" w:rsidRDefault="00000000">
      <w:pPr>
        <w:pStyle w:val="Heading2"/>
      </w:pPr>
      <w:bookmarkStart w:id="5144" w:name="_Rpt144"/>
      <w:r>
        <w:t xml:space="preserve">5.23 Peer comparability: why one-line multiples can mislead</w:t>
      </w:r>
      <w:bookmarkEnd w:id="5144"/>
    </w:p>
    <w:p w:rsidR="005F2FC4" w:rsidRDefault="00000000">
      <w:pPr>
        <w:jc w:val="both"/>
      </w:pPr>
      <w:r>
        <w:t xml:space="preserve">A defensible peer set begins with the business being valued, not with familiar company names. A merchant-acquiring platform, a prepaid distribution provider, a consumer payments app, a payment bank and an enterprise expense-management company can all touch digital payments while having different customers, revenue recognition, capital intensity and regulatory roles. Similar words in a company description do not make financial multiples directly comparable.</w:t>
      </w:r>
    </w:p>
    <w:p w:rsidR="005F2FC4" w:rsidRDefault="00000000">
      <w:pPr>
        <w:jc w:val="both"/>
      </w:pPr>
      <w:r>
        <w:t xml:space="preserve">Before comparing peers, align the reporting period, consolidated basis, accounting standards, revenue definition, GTV definition, gross-versus-net presentation, one-off items, ESOP treatment, cash and debt, share count and business mix. If the data are unavailable or not comparable, a qualitative positioning matrix is more honest than a numerically precise but misleading P/E or P/S table.</w:t>
      </w:r>
    </w:p>
    <w:p w:rsidR="005F2FC4" w:rsidRDefault="00000000">
      <w:pPr>
        <w:jc w:val="both"/>
      </w:pPr>
      <w:r>
        <w:t xml:space="preserve">No unsupported peer financial values are introduced in this section. A quantitative peer study should cite each issuer’s audited filing, define the peer-selection rule, calculate multiples on the same date, and explain why each company is included or excluded. That discipline is particularly important for a newly listed company whose earnings and share base are changing.</w:t>
      </w:r>
    </w:p>
    <w:p w:rsidR="005F2FC4" w:rsidRDefault="00000000">
      <w:pPr>
        <w:keepNext/>
        <w:spacing w:before="80" w:after="60"/>
      </w:pPr>
      <w:bookmarkStart w:id="5145" w:name="_Rpt145"/>
      <w:r>
        <w:rPr>
          <w:b/>
          <w:sz w:val="20"/>
        </w:rPr>
        <w:t xml:space="preserve">Table 5.21. Peer-comparison readiness checklist</w:t>
      </w:r>
      <w:bookmarkEnd w:id="5145"/>
    </w:p>
    <w:tbl>
      <w:tblPr>
        <w:tblW w:w="0" w:type="auto"/>
        <w:jc w:val="center"/>
        <w:tblLayout w:type="fixed"/>
        <w:tblLook w:val="04A0" w:firstRow="1" w:lastRow="0" w:firstColumn="1" w:lastColumn="0" w:noHBand="0" w:noVBand="1"/>
      </w:tblPr>
      <w:tblGrid>
        <w:gridCol w:w="1774"/>
        <w:gridCol w:w="4613"/>
        <w:gridCol w:w="3549"/>
      </w:tblGrid>
      <w:tr w:rsidR="005F2FC4">
        <w:trPr>
          <w:cantSplit/>
          <w:tblHeader/>
          <w:jc w:val="center"/>
        </w:trPr>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46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Question before comparing</w:t>
            </w:r>
          </w:p>
        </w:tc>
        <w:tc>
          <w:tcPr>
            <w:tcW w:w="354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Potential distortion</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Business mix</w:t>
            </w:r>
          </w:p>
        </w:tc>
        <w:tc>
          <w:tcPr>
            <w:tcW w:w="4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the companies earn from the same products and customer type?</w:t>
            </w:r>
          </w:p>
        </w:tc>
        <w:tc>
          <w:tcPr>
            <w:tcW w:w="3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Different unit economics.</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basis</w:t>
            </w:r>
          </w:p>
        </w:tc>
        <w:tc>
          <w:tcPr>
            <w:tcW w:w="4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revenue and transaction values defined consistently?</w:t>
            </w:r>
          </w:p>
        </w:tc>
        <w:tc>
          <w:tcPr>
            <w:tcW w:w="3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Misleading P/S or take-rate comparison.</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Profit quality</w:t>
            </w:r>
          </w:p>
        </w:tc>
        <w:tc>
          <w:tcPr>
            <w:tcW w:w="4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ESOPs, exceptional items and acquisitions treated consistently?</w:t>
            </w:r>
          </w:p>
        </w:tc>
        <w:tc>
          <w:tcPr>
            <w:tcW w:w="3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False margin or earnings gap.</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Capital structure</w:t>
            </w:r>
          </w:p>
        </w:tc>
        <w:tc>
          <w:tcPr>
            <w:tcW w:w="4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Are leases, cash restrictions and dilution aligned?</w:t>
            </w:r>
          </w:p>
        </w:tc>
        <w:tc>
          <w:tcPr>
            <w:tcW w:w="3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Incorrect equity / enterprise valuation.</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Period and date</w:t>
            </w:r>
          </w:p>
        </w:tc>
        <w:tc>
          <w:tcPr>
            <w:tcW w:w="4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Do financial periods and share-price dates match?</w:t>
            </w:r>
          </w:p>
        </w:tc>
        <w:tc>
          <w:tcPr>
            <w:tcW w:w="3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Stale or mixed-date multiples.</w:t>
            </w:r>
          </w:p>
        </w:tc>
      </w:tr>
    </w:tbl>
    <w:p w:rsidR="005F2FC4" w:rsidRDefault="00000000">
      <w:pPr>
        <w:spacing w:before="40" w:after="140"/>
        <w:jc w:val="both"/>
      </w:pPr>
      <w:r>
        <w:rPr>
          <w:i/>
          <w:sz w:val="20"/>
        </w:rPr>
        <w:t xml:space="preserve">Source / method: Analyst method; source discipline consistent with company / exchange disclosures cited in this report.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checklist is the reason this report publishes no peer multiple table. The candidate comparables differ in listing status, geography, licensing, revenue definition, gross-versus-net presentation and accounting period; several are private and do not publish the data required. Presenting a peer price-to-earnings column under those conditions would create a false impression of precision. A qualitative positioning table is given instead in Section 5.24, and the gap is recorded as a limitation in Chapter 7.</w:t>
            </w:r>
          </w:p>
        </w:tc>
      </w:tr>
    </w:tbl>
    <w:p w:rsidR="005F2FC4" w:rsidRDefault="00000000">
      <w:pPr>
        <w:pStyle w:val="Heading2"/>
      </w:pPr>
      <w:bookmarkStart w:id="5146" w:name="_Rpt146"/>
      <w:r>
        <w:t xml:space="preserve">5.24 Qualitative peer comparison</w:t>
      </w:r>
      <w:bookmarkEnd w:id="5146"/>
    </w:p>
    <w:p w:rsidR="005F2FC4" w:rsidRDefault="00000000">
      <w:pPr>
        <w:keepNext/>
        <w:spacing w:before="80" w:after="60"/>
      </w:pPr>
      <w:bookmarkStart w:id="5147" w:name="_Rpt147"/>
      <w:r>
        <w:rPr>
          <w:b/>
          <w:sz w:val="20"/>
        </w:rPr>
        <w:t xml:space="preserve">Table 5.22. Qualitative peer set</w:t>
      </w:r>
      <w:bookmarkEnd w:id="5147"/>
    </w:p>
    <w:tbl>
      <w:tblPr>
        <w:tblW w:w="0" w:type="auto"/>
        <w:jc w:val="center"/>
        <w:tblLayout w:type="fixed"/>
        <w:tblLook w:val="04A0" w:firstRow="1" w:lastRow="0" w:firstColumn="1" w:lastColumn="0" w:noHBand="0" w:noVBand="1"/>
      </w:tblPr>
      <w:tblGrid>
        <w:gridCol w:w="1800"/>
        <w:gridCol w:w="2592"/>
        <w:gridCol w:w="3024"/>
        <w:gridCol w:w="2520"/>
      </w:tblGrid>
      <w:tr w:rsidR="005F2FC4">
        <w:trPr>
          <w:cantSplit/>
          <w:tblHeader/>
          <w:jc w:val="center"/>
        </w:trPr>
        <w:tc>
          <w:tcPr>
            <w:tcW w:w="18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Company / group</w:t>
            </w:r>
          </w:p>
        </w:tc>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Main overlap</w:t>
            </w:r>
          </w:p>
        </w:tc>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Potential differentiation / fit</w:t>
            </w:r>
          </w:p>
        </w:tc>
        <w:tc>
          <w:tcPr>
            <w:tcW w:w="25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Comparability note</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Pine Labs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In-store / online acceptance; affordability; prepaid and issuer processing; APIs</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Broad dual platform, merchant and institutional relationships, international operations</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Public company; newly listed; consolidated history is restated and short.</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Paytm / One 97</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Consumer payments, merchant tools and financial-services distribution</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consumer / merchant ecosystem; distinct product and regulatory mix</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 use only as context, not a same-model valuation peer.</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Zaggle</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Corporate prepaid, benefits, spend and expense-management technology</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Closer in prepaid / enterprise programmes</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 but narrower and different revenue mix.</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Razorpay</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Online acceptance, merchant software and business-finance tools</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Online and merchant-SaaS adjacency</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Private; public financial comparability limited.</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Adyen / Worldline</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Global acquiring, processing and cross-border services</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Infrastructure / acquiring benchmark</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Different markets, scale, licensing and accounting; not a local peer multiple set.</w:t>
            </w:r>
          </w:p>
        </w:tc>
      </w:tr>
    </w:tbl>
    <w:p w:rsidR="005F2FC4" w:rsidRDefault="00000000">
      <w:pPr>
        <w:spacing w:before="40" w:after="140"/>
        <w:jc w:val="both"/>
      </w:pPr>
      <w:r>
        <w:rPr>
          <w:i/>
          <w:sz w:val="20"/>
        </w:rPr>
        <w:t xml:space="preserve">Source / note: Qualitative description only; company disclosures and public descriptions. No peer valuation multiples are asserted.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qualitative set places the company between two poles. Consumer-facing platforms share its merchant footprint but monetise a payer relationship it does not have. Global processors share its infrastructure role but operate under different licences, at different scale and in different markets. The closest listed Indian comparison is narrower in product scope. The practical conclusion is that the company is best assessed against its own disclosed trajectory rather than against a peer average, which is the approach taken throughout this chapter.</w:t>
            </w:r>
          </w:p>
        </w:tc>
      </w:tr>
    </w:tbl>
    <w:p w:rsidR="005F2FC4" w:rsidRDefault="00000000">
      <w:pPr>
        <w:pStyle w:val="Heading2"/>
      </w:pPr>
      <w:bookmarkStart w:id="5148" w:name="_Rpt148"/>
      <w:r>
        <w:t xml:space="preserve">5.25 Market snapshot and last-twelve-month valuation calculation</w:t>
      </w:r>
      <w:bookmarkEnd w:id="5148"/>
    </w:p>
    <w:p w:rsidR="005F2FC4" w:rsidRDefault="00000000">
      <w:pPr>
        <w:keepNext/>
        <w:spacing w:before="80" w:after="60"/>
      </w:pPr>
      <w:bookmarkStart w:id="5149" w:name="_Rpt149"/>
      <w:r>
        <w:rPr>
          <w:b/>
          <w:sz w:val="20"/>
        </w:rPr>
        <w:t xml:space="preserve">Table 5.23. Illustrative valuation snapshot as at 1 October 2026</w:t>
      </w:r>
      <w:bookmarkEnd w:id="5149"/>
    </w:p>
    <w:tbl>
      <w:tblPr>
        <w:tblW w:w="0" w:type="auto"/>
        <w:jc w:val="center"/>
        <w:tblLayout w:type="fixed"/>
        <w:tblLook w:val="04A0" w:firstRow="1" w:lastRow="0" w:firstColumn="1" w:lastColumn="0" w:noHBand="0" w:noVBand="1"/>
      </w:tblPr>
      <w:tblGrid>
        <w:gridCol w:w="2880"/>
        <w:gridCol w:w="2448"/>
        <w:gridCol w:w="4608"/>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Item</w:t>
            </w:r>
          </w:p>
        </w:tc>
        <w:tc>
          <w:tcPr>
            <w:tcW w:w="24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Method / date caveat</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BSE close price</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₹167.55</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 Oct 2026 close [11]</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Paid-up shares / capital proxy</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~115.39 crore shares</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₹115.39 crore paid-up equity capital at 30 Jun 2026; ₹1 face value; rounded basic count [5]</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Indicative equity market value</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₹19,334 crore</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 × approximate paid-up shares; not fully diluted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LTM revenue</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₹2,831.60 crore</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 Q1 FY27 − Q1 FY26</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LTM PAT</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₹127.29 crore</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 Q1 FY27 − Q1 FY26</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Indicative P/S</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6.83×</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 market value / LTM revenue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Indicative P/E</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 market value / LTM PAT; positive but early earnings base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Indicative P/B</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3.28×</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 value / FY26 closing equity; mixed-date snapshot</w:t>
            </w:r>
          </w:p>
        </w:tc>
      </w:tr>
    </w:tbl>
    <w:p w:rsidR="005F2FC4" w:rsidRDefault="00000000">
      <w:pPr>
        <w:spacing w:before="40" w:after="140"/>
        <w:jc w:val="both"/>
      </w:pPr>
      <w:r>
        <w:rPr>
          <w:i/>
          <w:sz w:val="20"/>
        </w:rPr>
        <w:t xml:space="preserve">Source / note: Author calculations from BSE price, company interim paid-up capital and results. These are not company-published multiples; approximate share count excludes potential dilution and uses a rounded capital figure. [2,5,11]</w:t>
      </w:r>
    </w:p>
    <w:p w:rsidR="005F2FC4" w:rsidRDefault="00000000">
      <w:pPr>
        <w:jc w:val="both"/>
      </w:pPr>
      <w:r>
        <w:t xml:space="preserve">The LTM calculations are: revenue = ₹2,710.59 crore + ₹736.92 crore − ₹615.91 crore = ₹2,831.60 crore; PAT = ₹112.51 crore + ₹19.57 crore − ₹4.79 crore = ₹127.29 crore. The market-cap proxy is approximately ₹19,334 crore. The 1 October close was about 24.2% below the ₹221 IPO issue price; this is a price comparison, not a total-return calculation and excludes dividends / corporate actions. [2,5,11]</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arithmetic is transparent and the result is demanding. Last-twelve-month revenue of ₹2,831.60 crore and profit of ₹127.29 crore, against an indicative equity value of about ₹19,334 crore derived from the ₹167.55 close and roughly 115.39 crore shares, imply approximately 6.8 times sales and about 152 times earnings. A multiple of that order embeds an expectation of sustained high growth and a substantial future improvement in net margin. It is also arithmetically unstable: because the earnings denominator is small, the price-to-earnings ratio will fall very quickly if profit scales and rise very quickly if it does not.</w:t>
            </w:r>
          </w:p>
        </w:tc>
      </w:tr>
    </w:tbl>
    <w:p w:rsidR="005F2FC4" w:rsidRDefault="00000000">
      <w:pPr>
        <w:pStyle w:val="Heading2"/>
      </w:pPr>
      <w:bookmarkStart w:id="5150" w:name="_Rpt150"/>
      <w:r>
        <w:t xml:space="preserve">5.26 Price-to-book sensitivity: an illustrative expectation test</w:t>
      </w:r>
      <w:bookmarkEnd w:id="5150"/>
    </w:p>
    <w:p w:rsidR="005F2FC4" w:rsidRDefault="00000000">
      <w:pPr>
        <w:jc w:val="both"/>
      </w:pPr>
      <w:r>
        <w:t xml:space="preserve">Because Pine Labs’ current P/E is unusually sensitive to a relatively small positive PAT base, a simplified stable-growth P/B identity can illustrate the return expectations implied by a higher book multiple. Under P/B = (sustainable ROE − g) / (cost of equity − g), assume a 12% cost of equity and 4% long-term growth. Those assumptions are illustrative and are not Pine Labs forecasts. [15]</w:t>
      </w:r>
    </w:p>
    <w:p w:rsidR="005F2FC4" w:rsidRDefault="00000000">
      <w:pPr>
        <w:keepNext/>
        <w:spacing w:before="80" w:after="60"/>
      </w:pPr>
      <w:bookmarkStart w:id="5151" w:name="_Rpt151"/>
      <w:r>
        <w:rPr>
          <w:b/>
          <w:sz w:val="20"/>
        </w:rPr>
        <w:t xml:space="preserve">Table 5.24. Illustrative justified price-to-book sensitivity</w:t>
      </w:r>
      <w:bookmarkEnd w:id="5151"/>
    </w:p>
    <w:tbl>
      <w:tblPr>
        <w:tblW w:w="0" w:type="auto"/>
        <w:jc w:val="center"/>
        <w:tblLayout w:type="fixed"/>
        <w:tblLook w:val="04A0" w:firstRow="1" w:lastRow="0" w:firstColumn="1" w:lastColumn="0" w:noHBand="0" w:noVBand="1"/>
      </w:tblPr>
      <w:tblGrid>
        <w:gridCol w:w="4968"/>
        <w:gridCol w:w="4968"/>
      </w:tblGrid>
      <w:tr w:rsidR="005F2FC4">
        <w:trPr>
          <w:cantSplit/>
          <w:tblHeader/>
          <w:jc w:val="center"/>
        </w:trPr>
        <w:tc>
          <w:tcPr>
            <w:tcW w:w="49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Sustainable ROE assumption</w:t>
            </w:r>
          </w:p>
        </w:tc>
        <w:tc>
          <w:tcPr>
            <w:tcW w:w="49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Illustrative P/B at Ke 12%, g 4%</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12%</w:t>
            </w:r>
          </w:p>
        </w:tc>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16%</w:t>
            </w:r>
          </w:p>
        </w:tc>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20%</w:t>
            </w:r>
          </w:p>
        </w:tc>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24%</w:t>
            </w:r>
          </w:p>
        </w:tc>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30%</w:t>
            </w:r>
          </w:p>
        </w:tc>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3.25×</w:t>
            </w:r>
          </w:p>
        </w:tc>
      </w:tr>
    </w:tbl>
    <w:p w:rsidR="005F2FC4" w:rsidRDefault="00000000">
      <w:pPr>
        <w:spacing w:before="40" w:after="140"/>
        <w:jc w:val="both"/>
      </w:pPr>
      <w:r>
        <w:rPr>
          <w:i/>
          <w:sz w:val="20"/>
        </w:rPr>
        <w:t xml:space="preserve">Source / note: Author calculation using the stable-growth relation. The market snapshot P/B of about 3.28× is close to the illustrative 30% ROE case, versus reported FY26 ROE of about 2.4%. This is not a price target or proof that 30% ROE will occur.</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sensitivity converts the market price into an implied expectation, which is a more useful exercise than asserting whether the share is cheap or dear. On a 12 per cent cost of equity and 4 per cent growth, a price-to-book of about 3.28 times corresponds to a sustainable return on equity of roughly 30 per cent. Reported FY26 return on equity was about 2.4 per cent. The gap between the two is the single clearest statement of what the market is paying for, and it is a gap that only sustained margin expansion on a growing revenue base can close.</w:t>
            </w:r>
          </w:p>
        </w:tc>
      </w:tr>
    </w:tbl>
    <w:p w:rsidR="005F2FC4" w:rsidRDefault="00000000">
      <w:pPr>
        <w:pStyle w:val="Heading2"/>
      </w:pPr>
      <w:bookmarkStart w:id="5152" w:name="_Rpt152"/>
      <w:r>
        <w:t xml:space="preserve">5.27 Revenue-growth and price-to-sales scenarios</w:t>
      </w:r>
      <w:bookmarkEnd w:id="5152"/>
    </w:p>
    <w:p w:rsidR="005F2FC4" w:rsidRDefault="00000000">
      <w:pPr>
        <w:jc w:val="both"/>
      </w:pPr>
      <w:r>
        <w:t xml:space="preserve">The dated 1 October 2026 snapshot in Section 5.25 uses approximately ₹2,831.60 crore of LTM revenue and an approximate 115.39 crore basic-share count. The table below varies next-period revenue growth and equity price-to-sales multiples to show how much the implied market capitalisation can move. It is a sensitivity exercise, not a management forecast, a target price or an investment recommendation.</w:t>
      </w:r>
    </w:p>
    <w:p w:rsidR="005F2FC4" w:rsidRDefault="00000000">
      <w:pPr>
        <w:jc w:val="both"/>
      </w:pPr>
      <w:r>
        <w:t xml:space="preserve">The model intentionally omits changes in share count, net cash, future capital raises, tax, profitability, free cash flow and valuation-date price. A P/S multiple alone does not account for margins or the quality of cash conversion. The same revenue could justify very different equity values depending on sustainable profitability, dilution, customer retention, capital needs and risk.</w:t>
      </w:r>
    </w:p>
    <w:p w:rsidR="005F2FC4" w:rsidRDefault="00000000">
      <w:pPr>
        <w:jc w:val="both"/>
      </w:pPr>
      <w:r>
        <w:t xml:space="preserve">At the dated price, the simple P/S proxy calculated in Section 5.25 is about 6.83×. The 4×, 6× and 8× cases therefore bracket rather than validate that multiple. Readers should substitute their own evidence-based assumptions and compare the output with a full cash-flow or peer analysis before forming a view.</w:t>
      </w:r>
    </w:p>
    <w:p w:rsidR="005F2FC4" w:rsidRDefault="00000000">
      <w:pPr>
        <w:keepNext/>
        <w:spacing w:before="80" w:after="60"/>
      </w:pPr>
      <w:bookmarkStart w:id="5153" w:name="_Rpt153"/>
      <w:r>
        <w:rPr>
          <w:b/>
          <w:sz w:val="20"/>
        </w:rPr>
        <w:t xml:space="preserve">Table 5.25. Illustrative equity value and per-share sensitivity</w:t>
      </w:r>
      <w:bookmarkEnd w:id="5153"/>
    </w:p>
    <w:tbl>
      <w:tblPr>
        <w:tblW w:w="0" w:type="auto"/>
        <w:jc w:val="center"/>
        <w:tblLayout w:type="fixed"/>
        <w:tblLook w:val="04A0" w:firstRow="1" w:lastRow="0" w:firstColumn="1" w:lastColumn="0" w:noHBand="0" w:noVBand="1"/>
      </w:tblPr>
      <w:tblGrid>
        <w:gridCol w:w="1419"/>
        <w:gridCol w:w="1774"/>
        <w:gridCol w:w="2271"/>
        <w:gridCol w:w="2271"/>
        <w:gridCol w:w="2201"/>
      </w:tblGrid>
      <w:tr w:rsidR="005F2FC4">
        <w:trPr>
          <w:cantSplit/>
          <w:tblHeader/>
          <w:jc w:val="center"/>
        </w:trPr>
        <w:tc>
          <w:tcPr>
            <w:tcW w:w="141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Revenue growth</w:t>
            </w:r>
          </w:p>
        </w:tc>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Illustrative next revenue ₹cr</w:t>
            </w:r>
          </w:p>
        </w:tc>
        <w:tc>
          <w:tcPr>
            <w:tcW w:w="227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4× P/S: equity cap / ₹ per share</w:t>
            </w:r>
          </w:p>
        </w:tc>
        <w:tc>
          <w:tcPr>
            <w:tcW w:w="227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6× P/S: equity cap / ₹ per share</w:t>
            </w:r>
          </w:p>
        </w:tc>
        <w:tc>
          <w:tcPr>
            <w:tcW w:w="22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8× P/S: equity cap / ₹ per share</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15%</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3,256</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₹13,025 / ₹113</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₹19,538 / ₹169</w:t>
            </w:r>
          </w:p>
        </w:tc>
        <w:tc>
          <w:tcPr>
            <w:tcW w:w="22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₹26,051 / ₹226</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w:t>
            </w:r>
          </w:p>
        </w:tc>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3,398</w:t>
            </w:r>
          </w:p>
        </w:tc>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₹13,592 / ₹118</w:t>
            </w:r>
          </w:p>
        </w:tc>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₹20,388 / ₹177</w:t>
            </w:r>
          </w:p>
        </w:tc>
        <w:tc>
          <w:tcPr>
            <w:tcW w:w="22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₹27,183 / ₹236</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25%</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3,540</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₹14,158 / ₹123</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₹21,237 / ₹184</w:t>
            </w:r>
          </w:p>
        </w:tc>
        <w:tc>
          <w:tcPr>
            <w:tcW w:w="22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₹28,316 / ₹245</w:t>
            </w:r>
          </w:p>
        </w:tc>
      </w:tr>
    </w:tbl>
    <w:p w:rsidR="005F2FC4" w:rsidRDefault="00000000">
      <w:pPr>
        <w:spacing w:before="40" w:after="140"/>
        <w:jc w:val="both"/>
      </w:pPr>
      <w:r>
        <w:rPr>
          <w:i/>
          <w:sz w:val="20"/>
        </w:rPr>
        <w:t xml:space="preserve">Source / method: Author scenario arithmetic using LTM revenue and approximate paid-up shares stated in Section 5.25 [5,11]. No forecast or target is implied.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scenario grid is deliberately crude, and its value lies in that crudeness: it shows that the multiple assumption moves the answer far more than the growth assumption does. Moving revenue growth from 15 per cent to 25 per cent changes implied equity value by roughly a fifth; moving the price-to-sales multiple from four times to eight times doubles it. Any valuation conclusion for this company is therefore principally a statement about the multiple the market is willing to pay, not about the forecast itself.</w:t>
            </w:r>
          </w:p>
        </w:tc>
      </w:tr>
    </w:tbl>
    <w:p w:rsidR="005F2FC4" w:rsidRDefault="00000000">
      <w:pPr>
        <w:pStyle w:val="Heading2"/>
      </w:pPr>
      <w:bookmarkStart w:id="5154" w:name="_Rpt154"/>
      <w:r>
        <w:t xml:space="preserve">5.28 Valuation interpretation and limits</w:t>
      </w:r>
      <w:bookmarkEnd w:id="5154"/>
    </w:p>
    <w:p w:rsidR="005F2FC4" w:rsidRDefault="00000000">
      <w:pPr>
        <w:pStyle w:val="ListBullet"/>
        <w:spacing w:after="50"/>
        <w:ind w:left="317" w:hanging="202"/>
        <w:jc w:val="both"/>
      </w:pPr>
      <w:r>
        <w:t xml:space="preserve">The LTM P/E of roughly 152× is high; it reflects both market expectations and the small recent earnings denominator. It can fall quickly if profit scales, or rise sharply if profit disappoints.</w:t>
      </w:r>
    </w:p>
    <w:p w:rsidR="005F2FC4" w:rsidRDefault="00000000">
      <w:pPr>
        <w:pStyle w:val="ListBullet"/>
        <w:spacing w:after="50"/>
        <w:ind w:left="317" w:hanging="202"/>
        <w:jc w:val="both"/>
      </w:pPr>
      <w:r>
        <w:t xml:space="preserve">A P/S of roughly 6.8× requires meaningful future revenue growth and/or improved contribution and net margins to support equity value. It should not be compared without adjusting for business mix and cash obligations.</w:t>
      </w:r>
    </w:p>
    <w:p w:rsidR="005F2FC4" w:rsidRDefault="00000000">
      <w:pPr>
        <w:pStyle w:val="ListBullet"/>
        <w:spacing w:after="50"/>
        <w:ind w:left="317" w:hanging="202"/>
        <w:jc w:val="both"/>
      </w:pPr>
      <w:r>
        <w:t xml:space="preserve">P/B uses FY26 closing equity while price is dated October 2026. Post-year-end share issues, ESOPs, acquisitions and results may alter both book value and share count.</w:t>
      </w:r>
    </w:p>
    <w:p w:rsidR="005F2FC4" w:rsidRDefault="00000000">
      <w:pPr>
        <w:pStyle w:val="ListBullet"/>
        <w:spacing w:after="50"/>
        <w:ind w:left="317" w:hanging="202"/>
        <w:jc w:val="both"/>
      </w:pPr>
      <w:r>
        <w:t xml:space="preserve">Other bank balances include settlement / customer-related amounts, so a reliable enterprise-value calculation would require a careful unrestricted-cash and debt bridge; this report does not publish an EV/EBITDA multiple.</w:t>
      </w:r>
    </w:p>
    <w:p w:rsidR="005F2FC4" w:rsidRDefault="00000000">
      <w:pPr>
        <w:pStyle w:val="ListBullet"/>
        <w:spacing w:after="50"/>
        <w:ind w:left="317" w:hanging="202"/>
        <w:jc w:val="both"/>
      </w:pPr>
      <w:r>
        <w:t xml:space="preserve">No discounted-cash-flow target is calculated because public cash-flow history is settlement-sensitive, earnings are early-cycle, and a forecast would require unsupported assumptions.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Four limits bound every valuation statement in this report. The price date is 1 October 2026 and the financial denominators are drawn from periods ending on different dates. The share count is approximate and excludes potential dilution. No enterprise-value multiple is published because settlement and customer-related balances prevent a reliable net-debt bridge. And no discounted-cash-flow valuation is attempted, because a forecast built on a two-year positive cash-flow history would be an assumption presented as an analysis.</w:t>
            </w:r>
          </w:p>
        </w:tc>
      </w:tr>
    </w:tbl>
    <w:p w:rsidR="005F2FC4" w:rsidRDefault="00000000">
      <w:pPr>
        <w:pStyle w:val="Heading2"/>
      </w:pPr>
      <w:bookmarkStart w:id="5155" w:name="_Rpt155"/>
      <w:r>
        <w:t xml:space="preserve">5.29 Listed-market snapshot and price context</w:t>
      </w:r>
      <w:bookmarkEnd w:id="5155"/>
    </w:p>
    <w:p w:rsidR="005F2FC4" w:rsidRDefault="00000000">
      <w:pPr>
        <w:spacing w:before="60" w:after="20"/>
        <w:jc w:val="center"/>
      </w:pPr>
      <w:r>
        <w:rPr>
          <w:noProof/>
        </w:rPr>
        <w:drawing>
          <wp:inline distT="0" distB="0" distL="0" distR="0">
            <wp:extent cx="5943600" cy="18825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1882534"/>
                    </a:xfrm>
                    <a:prstGeom prst="rect">
                      <a:avLst/>
                    </a:prstGeom>
                  </pic:spPr>
                </pic:pic>
              </a:graphicData>
            </a:graphic>
          </wp:inline>
        </w:drawing>
      </w:r>
    </w:p>
    <w:p w:rsidR="005F2FC4" w:rsidRDefault="00000000">
      <w:pPr>
        <w:keepNext/>
        <w:spacing w:after="20"/>
        <w:jc w:val="center"/>
      </w:pPr>
      <w:bookmarkStart w:id="5156" w:name="_Rpt156"/>
      <w:r>
        <w:rPr>
          <w:b/>
          <w:sz w:val="20"/>
        </w:rPr>
        <w:t xml:space="preserve">Figure 5.4. BSE price range and IPO issue-price reference</w:t>
      </w:r>
      <w:bookmarkEnd w:id="5156"/>
    </w:p>
    <w:p w:rsidR="005F2FC4" w:rsidRDefault="00000000">
      <w:pPr>
        <w:spacing w:after="140"/>
        <w:jc w:val="center"/>
      </w:pPr>
      <w:r>
        <w:rPr>
          <w:i/>
          <w:sz w:val="20"/>
        </w:rPr>
        <w:t xml:space="preserve">BSE quote page: close ₹167.55 and 52-week range ₹134.75–₹283.70 on 1 October 2026; IPO issue price ₹221 from the prospectus. [1,11]</w:t>
      </w:r>
    </w:p>
    <w:p w:rsidR="005F2FC4" w:rsidRDefault="00000000">
      <w:pPr>
        <w:keepNext/>
        <w:spacing w:before="80" w:after="60"/>
      </w:pPr>
      <w:bookmarkStart w:id="5157" w:name="_Rpt157"/>
      <w:r>
        <w:rPr>
          <w:b/>
          <w:sz w:val="20"/>
        </w:rPr>
        <w:t xml:space="preserve">Table 5.26. Listed-market reference points</w:t>
      </w:r>
      <w:bookmarkEnd w:id="5157"/>
    </w:p>
    <w:tbl>
      <w:tblPr>
        <w:tblW w:w="0" w:type="auto"/>
        <w:jc w:val="center"/>
        <w:tblLayout w:type="fixed"/>
        <w:tblLook w:val="04A0" w:firstRow="1" w:lastRow="0" w:firstColumn="1" w:lastColumn="0" w:noHBand="0" w:noVBand="1"/>
      </w:tblPr>
      <w:tblGrid>
        <w:gridCol w:w="3240"/>
        <w:gridCol w:w="2016"/>
        <w:gridCol w:w="4680"/>
      </w:tblGrid>
      <w:tr w:rsidR="005F2FC4">
        <w:trPr>
          <w:cantSplit/>
          <w:tblHeader/>
          <w:jc w:val="center"/>
        </w:trPr>
        <w:tc>
          <w:tcPr>
            <w:tcW w:w="32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Reference</w:t>
            </w:r>
          </w:p>
        </w:tc>
        <w:tc>
          <w:tcPr>
            <w:tcW w:w="20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46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Comment</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BSE closing price, 1 Oct 2026</w:t>
            </w:r>
          </w:p>
        </w:tc>
        <w:tc>
          <w:tcPr>
            <w:tcW w:w="20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₹167.55</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Official BSE quote page; time-stamped close.</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BSE 52-week low / high</w:t>
            </w:r>
          </w:p>
        </w:tc>
        <w:tc>
          <w:tcPr>
            <w:tcW w:w="20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₹134.75 / ₹283.70</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As displayed by BSE on the snapshot date; period is rolling and date-dependent.</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IPO issue price</w:t>
            </w:r>
          </w:p>
        </w:tc>
        <w:tc>
          <w:tcPr>
            <w:tcW w:w="20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₹221</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Offer price in the prospectus; comparison does not include dividends.</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Price versus issue price</w:t>
            </w:r>
          </w:p>
        </w:tc>
        <w:tc>
          <w:tcPr>
            <w:tcW w:w="20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−24.2%</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Calculated from closing price / issue price − 1; not total shareholder return.</w:t>
            </w:r>
          </w:p>
        </w:tc>
      </w:tr>
    </w:tbl>
    <w:p w:rsidR="005F2FC4" w:rsidRDefault="00000000">
      <w:pPr>
        <w:spacing w:before="40" w:after="140"/>
        <w:jc w:val="both"/>
      </w:pPr>
      <w:r>
        <w:rPr>
          <w:i/>
          <w:sz w:val="20"/>
        </w:rPr>
        <w:t xml:space="preserve">Source / note: Author calculation from the BSE quote page and Pine Labs prospectus. [1,11]</w:t>
      </w:r>
    </w:p>
    <w:p w:rsidR="005F2FC4" w:rsidRDefault="00000000">
      <w:pPr>
        <w:jc w:val="both"/>
      </w:pPr>
      <w:r>
        <w:t xml:space="preserve">The BSE quote page recorded a close of ₹167.55 on 1 October 2026 and a 52-week range of ₹134.75 to ₹283.70. Relative to that range, the close was about 41% below the high and 24% above the low. These are arithmetic comparisons with a dated range, not measures of intrinsic value, expected return or investor suitability.</w:t>
      </w:r>
    </w:p>
    <w:p w:rsidR="005F2FC4" w:rsidRDefault="00000000">
      <w:pPr>
        <w:jc w:val="both"/>
      </w:pPr>
      <w:r>
        <w:t xml:space="preserve">Using approximately 115.39 crore basic shares gives a market-cap proxy of roughly ₹19,334 crore. Dividing by the report’s LTM revenue yields about 6.83× P/S; dividing by LTM PAT yields about 152× P/E. These figures are approximate and mixed-date by construction, with a rounded share count and a short period of positive earnings. They are not company-published valuation multiples.</w:t>
      </w:r>
    </w:p>
    <w:p w:rsidR="005F2FC4" w:rsidRDefault="00000000">
      <w:pPr>
        <w:jc w:val="both"/>
      </w:pPr>
      <w:r>
        <w:t xml:space="preserve">The range and multiples can change quickly. Before any later submission, refresh the official exchange price, fully diluted share count, latest financial period, corporate actions and free-float data. A high/low band is not a substitute for a valuation model, and a market price is not a recommendation.</w:t>
      </w:r>
    </w:p>
    <w:p w:rsidR="005F2FC4" w:rsidRDefault="00000000">
      <w:pPr>
        <w:keepNext/>
        <w:spacing w:before="80" w:after="60"/>
      </w:pPr>
      <w:bookmarkStart w:id="5158" w:name="_Rpt158"/>
      <w:r>
        <w:rPr>
          <w:b/>
          <w:sz w:val="20"/>
        </w:rPr>
        <w:t xml:space="preserve">Table 5.27. Dated price and valuation observations</w:t>
      </w:r>
      <w:bookmarkEnd w:id="5158"/>
    </w:p>
    <w:tbl>
      <w:tblPr>
        <w:tblW w:w="0" w:type="auto"/>
        <w:jc w:val="center"/>
        <w:tblLayout w:type="fixed"/>
        <w:tblLook w:val="04A0" w:firstRow="1" w:lastRow="0" w:firstColumn="1" w:lastColumn="0" w:noHBand="0" w:noVBand="1"/>
      </w:tblPr>
      <w:tblGrid>
        <w:gridCol w:w="2554"/>
        <w:gridCol w:w="2413"/>
        <w:gridCol w:w="4969"/>
      </w:tblGrid>
      <w:tr w:rsidR="005F2FC4">
        <w:trPr>
          <w:cantSplit/>
          <w:tblHeader/>
          <w:jc w:val="center"/>
        </w:trPr>
        <w:tc>
          <w:tcPr>
            <w:tcW w:w="255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Observation</w:t>
            </w:r>
          </w:p>
        </w:tc>
        <w:tc>
          <w:tcPr>
            <w:tcW w:w="24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496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Calculation / limitation</w:t>
            </w:r>
          </w:p>
        </w:tc>
      </w:tr>
      <w:tr w:rsidR="005F2FC4">
        <w:trPr>
          <w:cantSplit/>
          <w:jc w:val="center"/>
        </w:trPr>
        <w:tc>
          <w:tcPr>
            <w:tcW w:w="255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BSE close</w:t>
            </w:r>
          </w:p>
        </w:tc>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₹167.55</w:t>
            </w:r>
          </w:p>
        </w:tc>
        <w:tc>
          <w:tcPr>
            <w:tcW w:w="496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 Oct 2026; official dated snapshot.</w:t>
            </w:r>
          </w:p>
        </w:tc>
      </w:tr>
      <w:tr w:rsidR="005F2FC4">
        <w:trPr>
          <w:cantSplit/>
          <w:jc w:val="center"/>
        </w:trPr>
        <w:tc>
          <w:tcPr>
            <w:tcW w:w="255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52-week range</w:t>
            </w:r>
          </w:p>
        </w:tc>
        <w:tc>
          <w:tcPr>
            <w:tcW w:w="24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₹134.75–₹283.70</w:t>
            </w:r>
          </w:p>
        </w:tc>
        <w:tc>
          <w:tcPr>
            <w:tcW w:w="496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Exchange range; not a forecast interval.</w:t>
            </w:r>
          </w:p>
        </w:tc>
      </w:tr>
      <w:tr w:rsidR="005F2FC4">
        <w:trPr>
          <w:cantSplit/>
          <w:jc w:val="center"/>
        </w:trPr>
        <w:tc>
          <w:tcPr>
            <w:tcW w:w="255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Distance from high / above low</w:t>
            </w:r>
          </w:p>
        </w:tc>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 / +24%</w:t>
            </w:r>
          </w:p>
        </w:tc>
        <w:tc>
          <w:tcPr>
            <w:tcW w:w="496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Simple price-to-range arithmetic.</w:t>
            </w:r>
          </w:p>
        </w:tc>
      </w:tr>
      <w:tr w:rsidR="005F2FC4">
        <w:trPr>
          <w:cantSplit/>
          <w:jc w:val="center"/>
        </w:trPr>
        <w:tc>
          <w:tcPr>
            <w:tcW w:w="255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Approximate market capitalisation</w:t>
            </w:r>
          </w:p>
        </w:tc>
        <w:tc>
          <w:tcPr>
            <w:tcW w:w="24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~₹19,334 crore</w:t>
            </w:r>
          </w:p>
        </w:tc>
        <w:tc>
          <w:tcPr>
            <w:tcW w:w="496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 × ~115.39 crore basic shares.</w:t>
            </w:r>
          </w:p>
        </w:tc>
      </w:tr>
      <w:tr w:rsidR="005F2FC4">
        <w:trPr>
          <w:cantSplit/>
          <w:jc w:val="center"/>
        </w:trPr>
        <w:tc>
          <w:tcPr>
            <w:tcW w:w="255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Indicative LTM P/S / P/E</w:t>
            </w:r>
          </w:p>
        </w:tc>
        <w:tc>
          <w:tcPr>
            <w:tcW w:w="24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~6.83× / ~152×</w:t>
            </w:r>
          </w:p>
        </w:tc>
        <w:tc>
          <w:tcPr>
            <w:tcW w:w="496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Approximate, mixed-date; not published ratios.</w:t>
            </w:r>
          </w:p>
        </w:tc>
      </w:tr>
    </w:tbl>
    <w:p w:rsidR="005F2FC4" w:rsidRDefault="00000000">
      <w:pPr>
        <w:spacing w:before="40" w:after="140"/>
        <w:jc w:val="both"/>
      </w:pPr>
      <w:r>
        <w:rPr>
          <w:i/>
          <w:sz w:val="20"/>
        </w:rPr>
        <w:t xml:space="preserve">Source / method: BSE quote [11]; company statements [5]; author calculations. Refresh before submission.</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dated observations record three facts and no forecast. The close of ₹167.55 on 1 October 2026 sits roughly 24.2 per cent below the ₹221 issue price. The 52-week range of ₹134.75 to ₹283.70 is wide, which indicates that the market has not settled on a valuation for a company with a short listed history. And the same price supports the multiples calculated in Section 5.25. Nothing in these observations constitutes a view on future returns; the price is used only as the denominator-date anchor for the valuation work.</w:t>
            </w:r>
          </w:p>
        </w:tc>
      </w:tr>
    </w:tbl>
    <w:p w:rsidR="005F2FC4" w:rsidRDefault="00000000">
      <w:pPr>
        <w:pStyle w:val="Heading2"/>
      </w:pPr>
      <w:bookmarkStart w:id="5159" w:name="_Rpt159"/>
      <w:r>
        <w:t xml:space="preserve">5.30 Scope of technical analysis</w:t>
      </w:r>
      <w:bookmarkEnd w:id="5159"/>
    </w:p>
    <w:p w:rsidR="005F2FC4" w:rsidRDefault="00000000">
      <w:pPr>
        <w:jc w:val="both"/>
      </w:pPr>
      <w:r>
        <w:t xml:space="preserve">The chart is a price-range snapshot, not a time-series chart. RSI, MACD, moving averages, support / resistance, beta and volatility were not computed because a validated adjusted daily-price series was not assembled for this report. Intraday quotes from third-party sites differed from the BSE close; the BSE official close is used consistently. A technical signal would require an explicitly sourced, corporate-action-adjusted daily series and an identified time horizon.</w:t>
      </w:r>
    </w:p>
    <w:p w:rsidR="005F2FC4" w:rsidRDefault="00000000">
      <w:pPr>
        <w:jc w:val="both"/>
      </w:pPr>
      <w:r>
        <w:t xml:space="preserve">For an academic report, the market chapter should be refreshed before final submission if the evaluation requires a live-price date, and the valuation calculations should be updated using the same market date and fully diluted share count.</w:t>
      </w:r>
    </w:p>
    <w:p w:rsidR="005F2FC4" w:rsidRDefault="00000000">
      <w:pPr>
        <w:keepNext/>
        <w:spacing w:before="80" w:after="60"/>
      </w:pPr>
      <w:bookmarkStart w:id="5160" w:name="_Rpt160"/>
      <w:r>
        <w:rPr>
          <w:b/>
          <w:sz w:val="20"/>
        </w:rPr>
        <w:t xml:space="preserve">Table 5.28. Technical indicators: status in this study</w:t>
      </w:r>
      <w:bookmarkEnd w:id="5160"/>
    </w:p>
    <w:tbl>
      <w:tblPr>
        <w:tblW w:w="0" w:type="auto"/>
        <w:jc w:val="center"/>
        <w:tblLayout w:type="fixed"/>
        <w:tblLook w:val="04A0" w:firstRow="1" w:lastRow="0" w:firstColumn="1" w:lastColumn="0" w:noHBand="0" w:noVBand="1"/>
      </w:tblPr>
      <w:tblGrid>
        <w:gridCol w:w="2600"/>
        <w:gridCol w:w="2300"/>
        <w:gridCol w:w="5036"/>
      </w:tblGrid>
      <w:tr w:rsidR="005F2FC4">
        <w:trPr>
          <w:cantSplit/>
          <w:tblHeader/>
          <w:jc w:val="center"/>
        </w:trPr>
        <w:tc>
          <w:tcPr>
            <w:tcW w:w="2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Indicator</w:t>
            </w:r>
          </w:p>
        </w:tc>
        <w:tc>
          <w:tcPr>
            <w:tcW w:w="23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Status in this report</w:t>
            </w:r>
          </w:p>
        </w:tc>
        <w:tc>
          <w:tcPr>
            <w:tcW w:w="50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Reason</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Price versus 50-day moving average</w:t>
            </w:r>
          </w:p>
        </w:tc>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computed</w:t>
            </w:r>
          </w:p>
        </w:tc>
        <w:tc>
          <w:tcPr>
            <w:tcW w:w="50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 validated adjusted daily price series was assembled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Price versus 200-day moving average</w:t>
            </w:r>
          </w:p>
        </w:tc>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computed</w:t>
            </w:r>
          </w:p>
        </w:tc>
        <w:tc>
          <w:tcPr>
            <w:tcW w:w="50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Listed history is shorter than the window required for a stable reading</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Relative strength index</w:t>
            </w:r>
          </w:p>
        </w:tc>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computed</w:t>
            </w:r>
          </w:p>
        </w:tc>
        <w:tc>
          <w:tcPr>
            <w:tcW w:w="50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Requires a continuous daily close series</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Moving-average convergence divergence</w:t>
            </w:r>
          </w:p>
        </w:tc>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computed</w:t>
            </w:r>
          </w:p>
        </w:tc>
        <w:tc>
          <w:tcPr>
            <w:tcW w:w="50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Requires a continuous daily close series</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Support and resistance</w:t>
            </w:r>
          </w:p>
        </w:tc>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asserted</w:t>
            </w:r>
          </w:p>
        </w:tc>
        <w:tc>
          <w:tcPr>
            <w:tcW w:w="50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Would be a judgement on an incomplete series</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52-week range</w:t>
            </w:r>
          </w:p>
        </w:tc>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Reported</w:t>
            </w:r>
          </w:p>
        </w:tc>
        <w:tc>
          <w:tcPr>
            <w:tcW w:w="50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₹134.75 to ₹283.70 as displayed by the exchange on 1 October 2026</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Closing price</w:t>
            </w:r>
          </w:p>
        </w:tc>
        <w:tc>
          <w:tcPr>
            <w:tcW w:w="23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Reported</w:t>
            </w:r>
          </w:p>
        </w:tc>
        <w:tc>
          <w:tcPr>
            <w:tcW w:w="50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₹167.55 on 1 October 2026, from the official exchange quote page</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Price versus issue price</w:t>
            </w:r>
          </w:p>
        </w:tc>
        <w:tc>
          <w:tcPr>
            <w:tcW w:w="23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Calculated</w:t>
            </w:r>
          </w:p>
        </w:tc>
        <w:tc>
          <w:tcPr>
            <w:tcW w:w="50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−24.2 per cent against the ₹221 offer price</w:t>
            </w:r>
          </w:p>
        </w:tc>
      </w:tr>
    </w:tbl>
    <w:p w:rsidR="005F2FC4" w:rsidRDefault="00000000">
      <w:pPr>
        <w:spacing w:before="40" w:after="140"/>
        <w:jc w:val="both"/>
      </w:pPr>
      <w:r>
        <w:rPr>
          <w:i/>
          <w:sz w:val="20"/>
        </w:rPr>
        <w:t xml:space="preserve">Source / note: Author’s statement of technical scope. Indicators are recorded as not computed rather than estimated, so that the reader is not given a number without a series behind it.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Declining to compute an indicator is itself a finding. A technical study of a security with roughly a year of listed history and no verified adjusted price series would produce numbers without information. The honest position is to report the two observations the exchange actually publishes — the close and the 52-week range — to date them, and to state that the remaining indicators require a data set this study did not assemble.</w:t>
            </w:r>
          </w:p>
        </w:tc>
      </w:tr>
    </w:tbl>
    <w:p w:rsidR="005F2FC4" w:rsidRDefault="00000000">
      <w:pPr>
        <w:pStyle w:val="Heading2"/>
      </w:pPr>
      <w:bookmarkStart w:id="5161" w:name="_Rpt161"/>
      <w:r>
        <w:t xml:space="preserve">5.31 Risk analysis: risk register</w:t>
      </w:r>
      <w:bookmarkEnd w:id="5161"/>
    </w:p>
    <w:p w:rsidR="005F2FC4" w:rsidRDefault="00000000">
      <w:pPr>
        <w:keepNext/>
        <w:spacing w:before="80" w:after="60"/>
      </w:pPr>
      <w:bookmarkStart w:id="5162" w:name="_Rpt162"/>
      <w:r>
        <w:rPr>
          <w:b/>
          <w:sz w:val="20"/>
        </w:rPr>
        <w:t xml:space="preserve">Table 5.29. Risk register (qualitative likelihood and impact ratings)</w:t>
      </w:r>
      <w:bookmarkEnd w:id="5162"/>
    </w:p>
    <w:tbl>
      <w:tblPr>
        <w:tblW w:w="0" w:type="auto"/>
        <w:jc w:val="center"/>
        <w:tblLayout w:type="fixed"/>
        <w:tblLook w:val="04A0" w:firstRow="1" w:lastRow="0" w:firstColumn="1" w:lastColumn="0" w:noHBand="0" w:noVBand="1"/>
      </w:tblPr>
      <w:tblGrid>
        <w:gridCol w:w="1944"/>
        <w:gridCol w:w="1123"/>
        <w:gridCol w:w="1080"/>
        <w:gridCol w:w="3240"/>
        <w:gridCol w:w="2549"/>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Risk</w:t>
            </w:r>
          </w:p>
        </w:tc>
        <w:tc>
          <w:tcPr>
            <w:tcW w:w="112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Likelihood</w:t>
            </w:r>
          </w:p>
        </w:tc>
        <w:tc>
          <w:tcPr>
            <w:tcW w:w="10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Impact</w:t>
            </w:r>
          </w:p>
        </w:tc>
        <w:tc>
          <w:tcPr>
            <w:tcW w:w="32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Exposure</w:t>
            </w:r>
          </w:p>
        </w:tc>
        <w:tc>
          <w:tcPr>
            <w:tcW w:w="254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Monitoring / mitigation</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Payment regulation / licence perimeter</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Rules on aggregators, stored value, cross-border payments, outsourcing and customer-fund handling may change; obligations depend on entity / product.</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Map permissions and obligations by entity; monitor RBI notices and audit findings.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Cybersecurity, fraud and service continuity</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platform outage, data incident or fraud spike can affect customers, settlement and reputation.</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Track uptime, incident rates, recovery tests, fraud loss and independent security assurance.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Price / fee compression and monetization</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Large transaction volumes may have low yield; UPI and competing providers can pressure pricing.</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Track revenue/GTV by product, active DCPs, contribution and renewal economics.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Customer and partner concentration</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Top 10 customers were 30.95% of FY25 revenue; major banks, networks and merchants influence volume.</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Update latest concentration, churn, renewal pipeline and counterparty exposure.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 conversion / settlement timing</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Operating cash flow is volatile; prepaid, settlement and early-settlement balances affect reported CFO.</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Reconcile restricted cash, early settlements, days receivable, prepaid liabilities and normalized CFO.</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Acquisition integration / goodwill</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Multiple acquisitions and new products create integration and impairment risk.</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Track product migration, customer retention, synergies, integration spend and acquired cash flows.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International execution / FX</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Local licences, currency, settlement and partner requirements can increase complexity.</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 geography-level revenue, contribution, working capital, FX and regulatory status.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Share dilution / incentives</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ESOPs and equity conversions affect fully diluted share count and per-share value.</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Use fully diluted shares and reconcile compensation expense / grants.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Valuation / expectations</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high P/E and P/S leave limited tolerance for growth, margin or cash-flow disappointment.</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Stress-test operating scenarios; distinguish business quality from entry valuation.</w:t>
            </w:r>
          </w:p>
        </w:tc>
      </w:tr>
    </w:tbl>
    <w:p w:rsidR="005F2FC4" w:rsidRDefault="00000000">
      <w:pPr>
        <w:spacing w:before="40" w:after="140"/>
        <w:jc w:val="both"/>
      </w:pPr>
      <w:r>
        <w:rPr>
          <w:i/>
          <w:sz w:val="20"/>
        </w:rPr>
        <w:t xml:space="preserve">Source / note: Likelihood and impact ratings are the author’s qualitative assessment, not company ratings or a quantitative probability model. Customer concentration refers to FY25 prospectus disclosure. [1,2,5,11]</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Two risks dominate the register because they are rated high on both axes and because they are the two most capable of changing the investment thesis. The first is fee compression and monetisation yield: the revenue-to-GTV proxy in Section 5.21 has already halved, and a continuation would undermine the revenue growth on which the valuation in Section 5.25 depends. The second is cash conversion and settlement timing: the Q1 FY27 figures swing from positive to negative on the treatment of a single item, so the quality of earnings cannot yet be verified. The regulatory and cyber risks are rated high-impact but medium-likelihood, and are managed rather than removed.</w:t>
            </w:r>
          </w:p>
        </w:tc>
      </w:tr>
    </w:tbl>
    <w:p w:rsidR="005F2FC4" w:rsidRDefault="00000000">
      <w:pPr>
        <w:pStyle w:val="Heading2"/>
      </w:pPr>
      <w:bookmarkStart w:id="5163" w:name="_Rpt163"/>
      <w:r>
        <w:t xml:space="preserve">5.32 Early-warning dashboard</w:t>
      </w:r>
      <w:bookmarkEnd w:id="5163"/>
    </w:p>
    <w:p w:rsidR="005F2FC4" w:rsidRDefault="00000000">
      <w:pPr>
        <w:keepNext/>
        <w:spacing w:before="80" w:after="60"/>
      </w:pPr>
      <w:bookmarkStart w:id="5164" w:name="_Rpt164"/>
      <w:r>
        <w:rPr>
          <w:b/>
          <w:sz w:val="20"/>
        </w:rPr>
        <w:t xml:space="preserve">Table 5.30. Indicators to track each quarter</w:t>
      </w:r>
      <w:bookmarkEnd w:id="5164"/>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Risk area</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Useful leading indicator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Monetization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Revenue/GTV by product and geography; active DCP rate; recurring service revenue; net revenue per active merchant.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Margin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Contribution margin by segment; adjusted EBITDA reconciliation; reported PAT and share-based payment expense.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CFO-to-PAT over rolling 12 months; customer / settlement balances; unrestricted cash; early settlement amounts.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Concentration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Top 10 / top 1 revenue, top bank and network dependencies, churn / renewal and payment-method mix.</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Resilience</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Payment uptime, confirmed cyber events, fraud loss, dispute/refund rates, settlement delay and recovery test results.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Capital allocation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Acquisition cash outlay vs acquired contribution, impairment, capex, ESOP dilution and return on invested capital.</w:t>
            </w:r>
          </w:p>
        </w:tc>
      </w:tr>
    </w:tbl>
    <w:p w:rsidR="005F2FC4" w:rsidRDefault="00000000">
      <w:pPr>
        <w:spacing w:before="40" w:after="140"/>
        <w:jc w:val="both"/>
      </w:pPr>
      <w:r>
        <w:rPr>
          <w:i/>
          <w:sz w:val="20"/>
        </w:rPr>
        <w:t xml:space="preserve">Source / note: Author’s suggested monitoring schedule. Public disclosure may not provide all indicators.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early-warning list converts the register into something a reader can actually monitor. Each indicator is published or derivable from published data, each is available quarterly, and each maps to a specific risk. The discipline is to decide in advance what movement would count as disconfirming evidence, rather than to re-interpret each quarter’s result to fit a view already held.</w:t>
            </w:r>
          </w:p>
        </w:tc>
      </w:tr>
    </w:tbl>
    <w:p w:rsidR="005F2FC4" w:rsidRDefault="00000000">
      <w:pPr>
        <w:pStyle w:val="Heading2"/>
      </w:pPr>
      <w:bookmarkStart w:id="5165" w:name="_Rpt165"/>
      <w:r>
        <w:t xml:space="preserve">5.33 ESG and responsible fintech</w:t>
      </w:r>
      <w:bookmarkEnd w:id="5165"/>
    </w:p>
    <w:p w:rsidR="005F2FC4" w:rsidRDefault="00000000">
      <w:pPr>
        <w:pStyle w:val="Heading3"/>
      </w:pPr>
      <w:r>
        <w:t xml:space="preserve">Environmental considerations</w:t>
      </w:r>
    </w:p>
    <w:p w:rsidR="005F2FC4" w:rsidRDefault="00000000">
      <w:pPr>
        <w:jc w:val="both"/>
      </w:pPr>
      <w:r>
        <w:t xml:space="preserve">A payments-technology company has a physical footprint through POS terminals, accessories, device logistics and end-of-life electronic equipment, alongside cloud / data-centre and office energy use. Pine Labs’ large DCP base makes device durability, repair, reuse and compliant e-waste handling relevant. The disclosures reviewed for this project do not provide a complete, independently assured emissions inventory or a verified device take-back rate; no ESG performance score is assigned.</w:t>
      </w:r>
    </w:p>
    <w:p w:rsidR="005F2FC4" w:rsidRDefault="00000000">
      <w:pPr>
        <w:pStyle w:val="Heading3"/>
      </w:pPr>
      <w:r>
        <w:t xml:space="preserve">Social considerations</w:t>
      </w:r>
    </w:p>
    <w:p w:rsidR="005F2FC4" w:rsidRDefault="00000000">
      <w:pPr>
        <w:pStyle w:val="ListBullet"/>
        <w:spacing w:after="50"/>
        <w:ind w:left="317" w:hanging="202"/>
        <w:jc w:val="both"/>
      </w:pPr>
      <w:r>
        <w:t xml:space="preserve">Digital acceptance can help smaller merchants participate in formal commerce, but merchant fees, settlement predictability and accessible support influence whether benefits are shared.</w:t>
      </w:r>
    </w:p>
    <w:p w:rsidR="005F2FC4" w:rsidRDefault="00000000">
      <w:pPr>
        <w:pStyle w:val="ListBullet"/>
        <w:spacing w:after="50"/>
        <w:ind w:left="317" w:hanging="202"/>
        <w:jc w:val="both"/>
      </w:pPr>
      <w:r>
        <w:t xml:space="preserve">Affordability and credit-linked products require transparent consent, clear lender identity, fair communication, complaint resolution and responsible treatment of declined or delinquent customers.</w:t>
      </w:r>
    </w:p>
    <w:p w:rsidR="005F2FC4" w:rsidRDefault="00000000">
      <w:pPr>
        <w:pStyle w:val="ListBullet"/>
        <w:spacing w:after="50"/>
        <w:ind w:left="317" w:hanging="202"/>
        <w:jc w:val="both"/>
      </w:pPr>
      <w:r>
        <w:t xml:space="preserve">Payment security, fraud prevention, accessibility and language support affect end users as much as merchants.</w:t>
      </w:r>
    </w:p>
    <w:p w:rsidR="005F2FC4" w:rsidRDefault="00000000">
      <w:pPr>
        <w:pStyle w:val="ListBullet"/>
        <w:spacing w:after="50"/>
        <w:ind w:left="317" w:hanging="202"/>
        <w:jc w:val="both"/>
      </w:pPr>
      <w:r>
        <w:t xml:space="preserve">Workforce considerations include field-team safety, diversity, skill development and fair treatment across direct employees and contractors.</w:t>
      </w:r>
    </w:p>
    <w:p w:rsidR="005F2FC4" w:rsidRDefault="00000000">
      <w:pPr>
        <w:pStyle w:val="Heading3"/>
      </w:pPr>
      <w:r>
        <w:t xml:space="preserve">Governance and trust</w:t>
      </w:r>
    </w:p>
    <w:p w:rsidR="005F2FC4" w:rsidRDefault="00000000">
      <w:pPr>
        <w:jc w:val="both"/>
      </w:pPr>
      <w:r>
        <w:t xml:space="preserve">Payments are trust-intensive. Strong governance requires clear accountability for customer money, data access, algorithmic or AI decisions, outsourcing, cyber incidents, settlement delays, dispute handling and cross-border processing. The absence of an identifiable promoter at the IPO and a complex acquisition history heighten the importance of board oversight, independent challenge, audit quality and transparent non-GAAP reporting. [1,2]</w:t>
      </w:r>
    </w:p>
    <w:p w:rsidR="005F2FC4" w:rsidRDefault="00000000">
      <w:pPr>
        <w:pStyle w:val="Heading3"/>
      </w:pPr>
      <w:r>
        <w:t xml:space="preserve">Suggested ESG disclosures</w:t>
      </w:r>
    </w:p>
    <w:p w:rsidR="005F2FC4" w:rsidRDefault="00000000">
      <w:pPr>
        <w:keepNext/>
        <w:spacing w:before="80" w:after="60"/>
      </w:pPr>
      <w:bookmarkStart w:id="5166" w:name="_Rpt166"/>
      <w:r>
        <w:rPr>
          <w:b/>
          <w:sz w:val="20"/>
        </w:rPr>
        <w:t xml:space="preserve">Table 5.31. Potential metrics for future disclosure</w:t>
      </w:r>
      <w:bookmarkEnd w:id="5166"/>
    </w:p>
    <w:tbl>
      <w:tblPr>
        <w:tblW w:w="0" w:type="auto"/>
        <w:jc w:val="center"/>
        <w:tblLayout w:type="fixed"/>
        <w:tblLook w:val="04A0" w:firstRow="1" w:lastRow="0" w:firstColumn="1" w:lastColumn="0" w:noHBand="0" w:noVBand="1"/>
      </w:tblPr>
      <w:tblGrid>
        <w:gridCol w:w="2232"/>
        <w:gridCol w:w="7704"/>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77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Suggested measurable indicator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Environment</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Scope 1–3 emissions; energy per transaction; terminal repair / refurbishment rate; e-waste collection and certified recycling.</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Merchant inclusion</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Small / micro-merchant share, rural / tier distribution, activation and survival rates, settlement timeliness.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Consumer protection</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Complaints per million transactions, resolution time, fraud loss / chargeback rates, credit-product consent and lender clarity.</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People</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Workforce composition, safety incidents, training, contractor coverage and employee turnover.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Governance / cyber</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Material incidents, uptime, recovery tests, risk committee oversight, privacy complaints and third-party assurance.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Capital allocation</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Acquisition-level integration and return metrics; ESOP dilution; board evaluation and related-party transparency.</w:t>
            </w:r>
          </w:p>
        </w:tc>
      </w:tr>
    </w:tbl>
    <w:p w:rsidR="005F2FC4" w:rsidRDefault="00000000">
      <w:pPr>
        <w:spacing w:before="40" w:after="140"/>
        <w:jc w:val="both"/>
      </w:pPr>
      <w:r>
        <w:rPr>
          <w:i/>
          <w:sz w:val="20"/>
        </w:rPr>
        <w:t xml:space="preserve">Source / note: Recommendations by the author; not claims that these metrics are currently reported.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ESG is treated here as a financial-risk lens rather than as a reporting obligation. The environmental exposure is concrete: a very large installed base of payment terminals creates a device-lifecycle and electronic-waste obligation that will eventually carry cost. The social exposure sits in affordability and credit-linked products, where conduct failures attract regulatory attention that raises the cost of an entire product line. The governance exposure follows from the absence of an identifiable promoter, which places the full weight of accountability on the board and on disclosure quality. None of these is currently quantified in company reporting, which is why the suggested metrics table is framed as a disclosure recommendation.</w:t>
            </w:r>
          </w:p>
        </w:tc>
      </w:tr>
    </w:tbl>
    <w:p w:rsidR="005F2FC4" w:rsidRDefault="00000000">
      <w:pPr>
        <w:pStyle w:val="Heading2"/>
      </w:pPr>
      <w:bookmarkStart w:id="5167" w:name="_Rpt167"/>
      <w:r>
        <w:t xml:space="preserve">5.34 Separating facts, inferences, assumptions and judgments</w:t>
      </w:r>
      <w:bookmarkEnd w:id="5167"/>
    </w:p>
    <w:p w:rsidR="005F2FC4" w:rsidRDefault="00000000">
      <w:pPr>
        <w:jc w:val="both"/>
      </w:pPr>
      <w:r>
        <w:t xml:space="preserve">A transparent report labels different kinds of statements. A fact is directly disclosed or calculated from a cited source. An inference explains what the evidence may mean. An assumption is an input used in a scenario. A judgment is the author’s conclusion after weighing evidence and uncertainty. Mixing these categories can make a speculative statement sound like a reported fact.</w:t>
      </w:r>
    </w:p>
    <w:p w:rsidR="005F2FC4" w:rsidRDefault="00000000">
      <w:pPr>
        <w:jc w:val="both"/>
      </w:pPr>
      <w:r>
        <w:t xml:space="preserve">For Pine Labs, FY26 audited revenue of ₹2,710.59 crore and the reported FY26 platform GTV of ₹17.15 lakh crore are facts from the cited sources. The conclusion that revenue grew more slowly than platform GTV is a calculation and an inference; it does not prove falling contractual pricing. A 20% growth or 6× P/S case in the supplement is an assumption; it is not company guidance. The “watch / valuation-sensitive” view is an author judgment, not an employer recommendation.</w:t>
      </w:r>
    </w:p>
    <w:p w:rsidR="005F2FC4" w:rsidRDefault="00000000">
      <w:pPr>
        <w:jc w:val="both"/>
      </w:pPr>
      <w:r>
        <w:t xml:space="preserve">The thesis should be revisited when new filings arrive. Evidence that would strengthen it includes durable revenue growth, stable or improving margins and repeatable cash conversion. Evidence that would weaken it includes falling monetisation, sustained cost inflation, poor cash conversion, adverse product regulation or material customer / counterparty concentration.</w:t>
      </w:r>
    </w:p>
    <w:p w:rsidR="005F2FC4" w:rsidRDefault="00000000">
      <w:pPr>
        <w:keepNext/>
        <w:spacing w:before="80" w:after="60"/>
      </w:pPr>
      <w:bookmarkStart w:id="5168" w:name="_Rpt168"/>
      <w:r>
        <w:rPr>
          <w:b/>
          <w:sz w:val="20"/>
        </w:rPr>
        <w:t xml:space="preserve">Table 5.32. Example evidence labels used in this report</w:t>
      </w:r>
      <w:bookmarkEnd w:id="5168"/>
    </w:p>
    <w:tbl>
      <w:tblPr>
        <w:tblW w:w="0" w:type="auto"/>
        <w:jc w:val="center"/>
        <w:tblLayout w:type="fixed"/>
        <w:tblLook w:val="04A0" w:firstRow="1" w:lastRow="0" w:firstColumn="1" w:lastColumn="0" w:noHBand="0" w:noVBand="1"/>
      </w:tblPr>
      <w:tblGrid>
        <w:gridCol w:w="3193"/>
        <w:gridCol w:w="1916"/>
        <w:gridCol w:w="4827"/>
      </w:tblGrid>
      <w:tr w:rsidR="005F2FC4">
        <w:trPr>
          <w:cantSplit/>
          <w:tblHeader/>
          <w:jc w:val="center"/>
        </w:trPr>
        <w:tc>
          <w:tcPr>
            <w:tcW w:w="319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Statement</w:t>
            </w:r>
          </w:p>
        </w:tc>
        <w:tc>
          <w:tcPr>
            <w:tcW w:w="19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Category</w:t>
            </w:r>
          </w:p>
        </w:tc>
        <w:tc>
          <w:tcPr>
            <w:tcW w:w="482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How to present it</w:t>
            </w:r>
          </w:p>
        </w:tc>
      </w:tr>
      <w:tr w:rsidR="005F2FC4">
        <w:trPr>
          <w:cantSplit/>
          <w:jc w:val="center"/>
        </w:trPr>
        <w:tc>
          <w:tcPr>
            <w:tcW w:w="31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FY26 revenue ₹2,710.59 crore</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Reported fact</w:t>
            </w:r>
          </w:p>
        </w:tc>
        <w:tc>
          <w:tcPr>
            <w:tcW w:w="482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Cite the audited consolidated statement.</w:t>
            </w:r>
          </w:p>
        </w:tc>
      </w:tr>
      <w:tr w:rsidR="005F2FC4">
        <w:trPr>
          <w:cantSplit/>
          <w:jc w:val="center"/>
        </w:trPr>
        <w:tc>
          <w:tcPr>
            <w:tcW w:w="319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CAGR about 19.3%</w:t>
            </w:r>
          </w:p>
        </w:tc>
        <w:tc>
          <w:tcPr>
            <w:tcW w:w="19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Author calculation</w:t>
            </w:r>
          </w:p>
        </w:tc>
        <w:tc>
          <w:tcPr>
            <w:tcW w:w="482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Show period and formula.</w:t>
            </w:r>
          </w:p>
        </w:tc>
      </w:tr>
      <w:tr w:rsidR="005F2FC4">
        <w:trPr>
          <w:cantSplit/>
          <w:jc w:val="center"/>
        </w:trPr>
        <w:tc>
          <w:tcPr>
            <w:tcW w:w="31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yield may be changing</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Inference</w:t>
            </w:r>
          </w:p>
        </w:tc>
        <w:tc>
          <w:tcPr>
            <w:tcW w:w="482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Explain alternative mix / definition causes.</w:t>
            </w:r>
          </w:p>
        </w:tc>
      </w:tr>
      <w:tr w:rsidR="005F2FC4">
        <w:trPr>
          <w:cantSplit/>
          <w:jc w:val="center"/>
        </w:trPr>
        <w:tc>
          <w:tcPr>
            <w:tcW w:w="319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 growth and 6× P/S case</w:t>
            </w:r>
          </w:p>
        </w:tc>
        <w:tc>
          <w:tcPr>
            <w:tcW w:w="19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Scenario assumption</w:t>
            </w:r>
          </w:p>
        </w:tc>
        <w:tc>
          <w:tcPr>
            <w:tcW w:w="482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Label as illustrative, not a forecast.</w:t>
            </w:r>
          </w:p>
        </w:tc>
      </w:tr>
      <w:tr w:rsidR="005F2FC4">
        <w:trPr>
          <w:cantSplit/>
          <w:jc w:val="center"/>
        </w:trPr>
        <w:tc>
          <w:tcPr>
            <w:tcW w:w="319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“Watch / valuation-sensitive”</w:t>
            </w:r>
          </w:p>
        </w:tc>
        <w:tc>
          <w:tcPr>
            <w:tcW w:w="19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Author judgment</w:t>
            </w:r>
          </w:p>
        </w:tc>
        <w:tc>
          <w:tcPr>
            <w:tcW w:w="482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State date, horizon and no-recommendation status.</w:t>
            </w:r>
          </w:p>
        </w:tc>
      </w:tr>
    </w:tbl>
    <w:p w:rsidR="005F2FC4" w:rsidRDefault="00000000">
      <w:pPr>
        <w:spacing w:before="40" w:after="140"/>
        <w:jc w:val="both"/>
      </w:pPr>
      <w:r>
        <w:rPr>
          <w:i/>
          <w:sz w:val="20"/>
        </w:rPr>
        <w:t xml:space="preserve">Source / method: Pine Labs public disclosures [1–6,11]; scenario calculations and interpretation by author.</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This classification is what allows a reader to audit the report. Audited revenue of ₹2,710.59 crore for FY26 is a fact. The statement that mix explains part of the contribution-margin decline is an inference. A 12 per cent cost of equity is an assumption. The statement that the valuation is demanding relative to current returns is a judgement. Mixing the four categories is the most common failure in company research, and keeping them separate is the main reason this report reaches a conditional rather than a categorical conclusion.</w:t>
            </w:r>
          </w:p>
        </w:tc>
      </w:tr>
    </w:tbl>
    <w:p w:rsidR="005F2FC4" w:rsidRDefault="00000000">
      <w:pPr>
        <w:pStyle w:val="Heading2"/>
      </w:pPr>
      <w:bookmarkStart w:id="5169" w:name="_Rpt169"/>
      <w:r>
        <w:t xml:space="preserve">5.35 Common-size reading of the FY26 income statement</w:t>
      </w:r>
      <w:bookmarkEnd w:id="5169"/>
    </w:p>
    <w:p w:rsidR="005F2FC4" w:rsidRDefault="00000000">
      <w:pPr>
        <w:jc w:val="both"/>
      </w:pPr>
      <w:r>
        <w:t xml:space="preserve">A common-size statement restates every line as a percentage of total income, so that the structure of the business can be compared across periods and against peers without the distortion of absolute size. The table below restates the FY26 statement of profit and loss on that basis using the totals disclosed in Section 5.2: total income of ₹2,847.15 crore, total expenses of ₹2,706.37 crore, profit before tax of ₹137.28 crore after share of loss of associates and joint ventures, tax expense of ₹24.77 crore and profit after tax of ₹112.51 crore.</w:t>
      </w:r>
    </w:p>
    <w:p w:rsidR="005F2FC4" w:rsidRDefault="00000000">
      <w:pPr>
        <w:keepNext/>
        <w:spacing w:before="80" w:after="60"/>
      </w:pPr>
      <w:bookmarkStart w:id="5170" w:name="_Rpt170"/>
      <w:r>
        <w:rPr>
          <w:b/>
          <w:sz w:val="20"/>
        </w:rPr>
        <w:t xml:space="preserve">Table 5.33. Common-size statement of profit and loss, FY26</w:t>
      </w:r>
      <w:bookmarkEnd w:id="5170"/>
    </w:p>
    <w:tbl>
      <w:tblPr>
        <w:tblW w:w="0" w:type="auto"/>
        <w:jc w:val="center"/>
        <w:tblLayout w:type="fixed"/>
        <w:tblLook w:val="04A0" w:firstRow="1" w:lastRow="0" w:firstColumn="1" w:lastColumn="0" w:noHBand="0" w:noVBand="1"/>
      </w:tblPr>
      <w:tblGrid>
        <w:gridCol w:w="4736"/>
        <w:gridCol w:w="2600"/>
        <w:gridCol w:w="2600"/>
      </w:tblGrid>
      <w:tr w:rsidR="005F2FC4">
        <w:trPr>
          <w:cantSplit/>
          <w:tblHeader/>
          <w:jc w:val="center"/>
        </w:trPr>
        <w:tc>
          <w:tcPr>
            <w:tcW w:w="47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Line item</w:t>
            </w:r>
          </w:p>
        </w:tc>
        <w:tc>
          <w:tcPr>
            <w:tcW w:w="2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 crore</w:t>
            </w:r>
          </w:p>
        </w:tc>
        <w:tc>
          <w:tcPr>
            <w:tcW w:w="2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Per cent of total income</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95.20</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Other income</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136.56</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4.80</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income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2,847.15</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100.00</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Total expenses</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2,706.37</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95.06</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Profit before tax and share of associates</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140.78</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4.94</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Profit before tax (after share of associates)</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137.28</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4.82</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Tax expense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24.77</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0.87</w:t>
            </w:r>
          </w:p>
        </w:tc>
      </w:tr>
      <w:tr w:rsidR="005F2FC4">
        <w:trPr>
          <w:cantSplit/>
          <w:jc w:val="center"/>
        </w:trPr>
        <w:tc>
          <w:tcPr>
            <w:tcW w:w="4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Profit after tax</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112.51</w:t>
            </w:r>
          </w:p>
        </w:tc>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w:t>
            </w:r>
          </w:p>
        </w:tc>
      </w:tr>
    </w:tbl>
    <w:p w:rsidR="005F2FC4" w:rsidRDefault="00000000">
      <w:pPr>
        <w:spacing w:before="40" w:after="140"/>
        <w:jc w:val="both"/>
      </w:pPr>
      <w:r>
        <w:rPr>
          <w:i/>
          <w:sz w:val="20"/>
        </w:rPr>
        <w:t xml:space="preserve">Source / note: Author’s calculation from the FY26 consolidated statement of profit and loss presented in Section 5.2. Percentages are computed on total income and are rounded to two decimal places, so components may not sum exactly.</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Three features of the structure are worth recording. First, other income contributes 4.80 per cent of total income, which is larger than the 3.95 per cent net margin; the company would not have reported a profit for the year on operating revenue alone at the FY26 expense base. Second, total expenses absorb 95.06 per cent of total income, so the pre-tax cushion is 4.94 per cent and a cost movement of five percentage points would eliminate it. Third, the effective tax charge of ₹24.77 crore on pre-tax profit of ₹137.28 crore is about 18.0 per cent, below the headline corporate rate, which is consistent with a company still carrying unabsorbed losses from earlier years. Each of these three features argues for treating the FY26 result as a first profitable year rather than as a normalised earnings base.</w:t>
            </w:r>
          </w:p>
        </w:tc>
      </w:tr>
    </w:tbl>
    <w:p w:rsidR="005F2FC4" w:rsidRDefault="00000000">
      <w:pPr>
        <w:pStyle w:val="Heading2"/>
      </w:pPr>
      <w:bookmarkStart w:id="5171" w:name="_Rpt171"/>
      <w:r>
        <w:t xml:space="preserve">5.36 Trend index analysis with FY23 as the base year</w:t>
      </w:r>
      <w:bookmarkEnd w:id="5171"/>
    </w:p>
    <w:p w:rsidR="005F2FC4" w:rsidRDefault="00000000">
      <w:pPr>
        <w:jc w:val="both"/>
      </w:pPr>
      <w:r>
        <w:t xml:space="preserve">Trend index analysis rebases each series to 100 in the first year of the window, so that series measured in different units can be compared on a single scale. The two series that matter most for this report are revenue from operations and gross transaction value, because the relationship between them is the central diagnostic established in Section 5.21.</w:t>
      </w:r>
    </w:p>
    <w:p w:rsidR="005F2FC4" w:rsidRDefault="00000000">
      <w:pPr>
        <w:keepNext/>
        <w:spacing w:before="80" w:after="60"/>
      </w:pPr>
      <w:bookmarkStart w:id="5172" w:name="_Rpt172"/>
      <w:r>
        <w:rPr>
          <w:b/>
          <w:sz w:val="20"/>
        </w:rPr>
        <w:t xml:space="preserve">Table 5.34. Trend indices for revenue and gross transaction value, FY23 = 100</w:t>
      </w:r>
      <w:bookmarkEnd w:id="5172"/>
    </w:p>
    <w:tbl>
      <w:tblPr>
        <w:tblW w:w="0" w:type="auto"/>
        <w:jc w:val="center"/>
        <w:tblLayout w:type="fixed"/>
        <w:tblLook w:val="04A0" w:firstRow="1" w:lastRow="0" w:firstColumn="1" w:lastColumn="0" w:noHBand="0" w:noVBand="1"/>
      </w:tblPr>
      <w:tblGrid>
        <w:gridCol w:w="3936"/>
        <w:gridCol w:w="1500"/>
        <w:gridCol w:w="1500"/>
        <w:gridCol w:w="1500"/>
        <w:gridCol w:w="1500"/>
      </w:tblGrid>
      <w:tr w:rsidR="005F2FC4">
        <w:trPr>
          <w:cantSplit/>
          <w:tblHeader/>
          <w:jc w:val="center"/>
        </w:trPr>
        <w:tc>
          <w:tcPr>
            <w:tcW w:w="3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Series</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FY23</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5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 (₹ crore)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1,597.66</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r>
      <w:tr w:rsidR="005F2FC4">
        <w:trPr>
          <w:cantSplit/>
          <w:jc w:val="center"/>
        </w:trPr>
        <w:tc>
          <w:tcPr>
            <w:tcW w:w="3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index (FY23 = 100)</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100.0</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110.8</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142.3</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169.6</w:t>
            </w:r>
          </w:p>
        </w:tc>
      </w:tr>
      <w:tr w:rsidR="005F2FC4">
        <w:trPr>
          <w:cantSplit/>
          <w:jc w:val="center"/>
        </w:trPr>
        <w:tc>
          <w:tcPr>
            <w:tcW w:w="3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Gross transaction value (₹ lakh crore)</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6.08</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11.42</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w:t>
            </w:r>
          </w:p>
        </w:tc>
      </w:tr>
      <w:tr w:rsidR="005F2FC4">
        <w:trPr>
          <w:cantSplit/>
          <w:jc w:val="center"/>
        </w:trPr>
        <w:tc>
          <w:tcPr>
            <w:tcW w:w="3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GTV index (FY23 = 100)</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100.0</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138.2</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259.5</w:t>
            </w:r>
          </w:p>
        </w:tc>
        <w:tc>
          <w:tcPr>
            <w:tcW w:w="1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389.8</w:t>
            </w:r>
          </w:p>
        </w:tc>
      </w:tr>
      <w:tr w:rsidR="005F2FC4">
        <w:trPr>
          <w:cantSplit/>
          <w:jc w:val="center"/>
        </w:trPr>
        <w:tc>
          <w:tcPr>
            <w:tcW w:w="3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index as a share of GTV index</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1.00</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0.80</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0.55</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0.44</w:t>
            </w:r>
          </w:p>
        </w:tc>
      </w:tr>
    </w:tbl>
    <w:p w:rsidR="005F2FC4" w:rsidRDefault="00000000">
      <w:pPr>
        <w:spacing w:before="40" w:after="140"/>
        <w:jc w:val="both"/>
      </w:pPr>
      <w:r>
        <w:rPr>
          <w:i/>
          <w:sz w:val="20"/>
        </w:rPr>
        <w:t xml:space="preserve">Source / note: Author’s calculation from the annual revenue and gross transaction value figures presented in Sections 5.2 and 5.20. Indices are rounded to one decimal place.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indices make the divergence unambiguous. Over three years gross transaction value multiplied by about 3.9 times while revenue multiplied by about 1.7 times, so the ratio of the two indices falls from 1.00 to 0.44. In plain terms, by FY26 each additional rupee of value routed through the platform was associated with less than half the revenue it would have produced at FY23 rates. The trend is monotonic across all three years, which rules out a single-year explanation such as one large merchant win or an accounting reclassification, and points instead to a sustained shift in mix, in pricing, or in both. Section 5.21 sets out why the available disclosure does not allow those two explanations to be separated, and Section 6.6 proposes the disclosure that would.</w:t>
            </w:r>
          </w:p>
        </w:tc>
      </w:tr>
    </w:tbl>
    <w:p w:rsidR="005F2FC4" w:rsidRDefault="00000000">
      <w:pPr>
        <w:pStyle w:val="Heading2"/>
      </w:pPr>
      <w:bookmarkStart w:id="5173" w:name="_Rpt173"/>
      <w:r>
        <w:t xml:space="preserve">5.37 Summary of the analysis</w:t>
      </w:r>
      <w:bookmarkEnd w:id="5173"/>
    </w:p>
    <w:p w:rsidR="005F2FC4" w:rsidRDefault="00000000">
      <w:pPr>
        <w:keepNext/>
        <w:spacing w:before="80" w:after="60"/>
      </w:pPr>
      <w:bookmarkStart w:id="5174" w:name="_Rpt174"/>
      <w:r>
        <w:rPr>
          <w:b/>
          <w:sz w:val="20"/>
        </w:rPr>
        <w:t xml:space="preserve">Table 5.35. Summary of analytical findings</w:t>
      </w:r>
      <w:bookmarkEnd w:id="5174"/>
    </w:p>
    <w:tbl>
      <w:tblPr>
        <w:tblW w:w="0" w:type="auto"/>
        <w:jc w:val="center"/>
        <w:tblLayout w:type="fixed"/>
        <w:tblLook w:val="04A0" w:firstRow="1" w:lastRow="0" w:firstColumn="1" w:lastColumn="0" w:noHBand="0" w:noVBand="1"/>
      </w:tblPr>
      <w:tblGrid>
        <w:gridCol w:w="2200"/>
        <w:gridCol w:w="5200"/>
        <w:gridCol w:w="2536"/>
      </w:tblGrid>
      <w:tr w:rsidR="005F2FC4">
        <w:trPr>
          <w:cantSplit/>
          <w:tblHeader/>
          <w:jc w:val="center"/>
        </w:trPr>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Analytical block</w:t>
            </w:r>
          </w:p>
        </w:tc>
        <w:tc>
          <w:tcPr>
            <w:tcW w:w="5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Principal finding</w:t>
            </w:r>
          </w:p>
        </w:tc>
        <w:tc>
          <w:tcPr>
            <w:tcW w:w="25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Confidence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and growth</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FY23–FY26 CAGR about 19.3%; FY26 growth 19.2%; Q1 FY27 growth 19.65%</w:t>
            </w:r>
          </w:p>
        </w:tc>
        <w:tc>
          <w:tcPr>
            <w:tcW w:w="2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 — audited and reported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Profitability</w:t>
            </w:r>
          </w:p>
        </w:tc>
        <w:tc>
          <w:tcPr>
            <w:tcW w:w="5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First positive PAT year in FY26 at ₹112.51 crore; Q1 FY27 PAT ₹19.57 crore</w:t>
            </w:r>
          </w:p>
        </w:tc>
        <w:tc>
          <w:tcPr>
            <w:tcW w:w="2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 — audited and limited-reviewed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Margin quality</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Adjusted EBITDA margin up to 20.62% in FY26, but contribution margin down to 75.3% and 72.3% in Q1 FY27</w:t>
            </w:r>
          </w:p>
        </w:tc>
        <w:tc>
          <w:tcPr>
            <w:tcW w:w="2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 — company-defined measures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Funding</w:t>
            </w:r>
          </w:p>
        </w:tc>
        <w:tc>
          <w:tcPr>
            <w:tcW w:w="5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excluding leases down to ₹282.87 crore; borrowings/equity about 0.05×</w:t>
            </w:r>
          </w:p>
        </w:tc>
        <w:tc>
          <w:tcPr>
            <w:tcW w:w="2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 — audited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 conversion</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 positive in FY25 and FY26 but reverses sign in Q1 FY27 on settlement treatment</w:t>
            </w:r>
          </w:p>
        </w:tc>
        <w:tc>
          <w:tcPr>
            <w:tcW w:w="2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Low — unresolved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Returns</w:t>
            </w:r>
          </w:p>
        </w:tc>
        <w:tc>
          <w:tcPr>
            <w:tcW w:w="5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ROE about 2.39%, driven almost entirely by margin, not leverage or turnover</w:t>
            </w:r>
          </w:p>
        </w:tc>
        <w:tc>
          <w:tcPr>
            <w:tcW w:w="2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High — author calculation from audited data</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Monetisation</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Revenue-to-GTV proxy falls from about 36.3 bps to 15.8 bps across FY23–FY26</w:t>
            </w:r>
          </w:p>
        </w:tc>
        <w:tc>
          <w:tcPr>
            <w:tcW w:w="2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 — diagnostic ratio, definitions differ</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Valuation</w:t>
            </w:r>
          </w:p>
        </w:tc>
        <w:tc>
          <w:tcPr>
            <w:tcW w:w="5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About 6.8× LTM sales and 152× LTM PAT at the 1 October 2026 close</w:t>
            </w:r>
          </w:p>
        </w:tc>
        <w:tc>
          <w:tcPr>
            <w:tcW w:w="2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Medium — dated, approximate share count</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Risk</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Fee compression and cash conversion are the two thesis-changing risks</w:t>
            </w:r>
          </w:p>
        </w:tc>
        <w:tc>
          <w:tcPr>
            <w:tcW w:w="2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Qualitative judgement</w:t>
            </w:r>
          </w:p>
        </w:tc>
      </w:tr>
    </w:tbl>
    <w:p w:rsidR="005F2FC4" w:rsidRDefault="00000000">
      <w:pPr>
        <w:spacing w:before="40" w:after="140"/>
        <w:jc w:val="both"/>
      </w:pPr>
      <w:r>
        <w:rPr>
          <w:i/>
          <w:sz w:val="20"/>
        </w:rPr>
        <w:t xml:space="preserve">Source / note: Author’s synthesis of Chapter 5. Confidence refers to the strength of the underlying evidence, not to the attractiveness of the finding.</w:t>
      </w:r>
    </w:p>
    <w:p w:rsidR="005F2FC4" w:rsidRDefault="00000000">
      <w:pPr>
        <w:pageBreakBefore/>
        <w:keepNext/>
        <w:spacing w:before="120" w:after="160" w:line="240" w:lineRule="auto"/>
        <w:jc w:val="center"/>
      </w:pPr>
      <w:bookmarkStart w:id="5175" w:name="_Rpt175"/>
      <w:r>
        <w:rPr>
          <w:b/>
          <w:bCs/>
          <w:sz w:val="28"/>
          <w:szCs w:val="28"/>
        </w:rPr>
        <w:t xml:space="preserve">CHAPTER 6</w:t>
      </w:r>
      <w:bookmarkEnd w:id="5175"/>
    </w:p>
    <w:p w:rsidR="005F2FC4" w:rsidRDefault="00000000">
      <w:pPr>
        <w:pStyle w:val="Heading1"/>
      </w:pPr>
      <w:r>
        <w:t xml:space="preserve">Findings, Suggestions and Conclusion</w:t>
      </w:r>
    </w:p>
    <w:p w:rsidR="005F2FC4" w:rsidRDefault="00000000">
      <w:pPr>
        <w:spacing w:after="160"/>
      </w:pPr>
      <w:r>
        <w:rPr>
          <w:i/>
          <w:sz w:val="20"/>
        </w:rPr>
        <w:t xml:space="preserve">Evidence-led synthesis, investment thesis, researcher’s view and practical recommendations</w:t>
      </w:r>
    </w:p>
    <w:p w:rsidR="005F2FC4" w:rsidRDefault="00000000">
      <w:pPr>
        <w:pStyle w:val="Heading2"/>
      </w:pPr>
      <w:bookmarkStart w:id="5176" w:name="_Rpt176"/>
      <w:r>
        <w:t xml:space="preserve">6.1 Key findings at a glance</w:t>
      </w:r>
      <w:bookmarkEnd w:id="5176"/>
    </w:p>
    <w:p w:rsidR="005F2FC4" w:rsidRDefault="00000000">
      <w:pPr>
        <w:keepNext/>
        <w:spacing w:before="80" w:after="60"/>
      </w:pPr>
      <w:bookmarkStart w:id="5177" w:name="_Rpt177"/>
      <w:r>
        <w:rPr>
          <w:b/>
          <w:sz w:val="20"/>
        </w:rPr>
        <w:t xml:space="preserve">Table 6.1. Key findings at a glance</w:t>
      </w:r>
      <w:bookmarkEnd w:id="5177"/>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Theme</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Finding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Scale and growth</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FY23–FY26 revenue CAGR is approximately 19.3%; platform GTV CAGR is approximately 57.4% over the same period. GTV and revenue growth are not directly interchangeable.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Profitability inflection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is the first positive PAT year in the cited FY23–FY26 series (FY23–FY25 prospectus-restated; FY26 audited): ₹112.51 crore. Q1 FY27 remained profitable at ₹19.57 crore.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Operating leverage</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adjusted EBITDA margin rose from 8.94% in FY24 to 20.62% in FY26, then was about 17.1% in Q1 FY27; trend is promising but not linear.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Business mix</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DITP accounted for roughly 67.8% of FY26 revenue and IAP 32.2%; IAP grew faster in FY26 and Q1 FY27, supporting diversification.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Funding</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excluding leases fell to ₹282.87 crore at FY26 year-end from ₹829.49 crore in FY25; the IPO increased paid-up equity and financial flexibility.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Cash conversion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 was positive in FY25 and FY26 after outflows in FY23 and FY24. Interim Q1 FY27 settlement effects show that working capital remains volatile.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Valuation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At ₹167.55 on 1 October 2026, indicative multiples are about 6.83× LTM sales and 152× LTM PAT; sustained growth, higher returns and margin durability appear embedded in the price.</w:t>
            </w:r>
          </w:p>
        </w:tc>
      </w:tr>
    </w:tbl>
    <w:p w:rsidR="005F2FC4" w:rsidRDefault="00000000">
      <w:pPr>
        <w:spacing w:before="40" w:after="140"/>
        <w:jc w:val="both"/>
      </w:pPr>
      <w:r>
        <w:rPr>
          <w:i/>
          <w:sz w:val="20"/>
        </w:rPr>
        <w:t xml:space="preserve">Source / note: Author synthesis of company and market disclosures. All valuation figures are calculations, not company-published multiples.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glance table is the one-page answer to the research question. It states the four movements that define the FY23–FY26 window — growth, the profitability inflection, deleveraging and the monetisation decline — together with the single unresolved item, cash conversion. Sections 6.2 and 6.3 set out the evidence behind each line, and Section 6.4 converts the same five statements into a position.</w:t>
            </w:r>
          </w:p>
        </w:tc>
      </w:tr>
    </w:tbl>
    <w:p w:rsidR="005F2FC4" w:rsidRDefault="00000000">
      <w:pPr>
        <w:pStyle w:val="Heading2"/>
      </w:pPr>
      <w:bookmarkStart w:id="5178" w:name="_Rpt178"/>
      <w:r>
        <w:t xml:space="preserve">6.2 Major findings</w:t>
      </w:r>
      <w:bookmarkEnd w:id="5178"/>
    </w:p>
    <w:p w:rsidR="005F2FC4" w:rsidRDefault="00000000">
      <w:pPr>
        <w:pStyle w:val="ListBullet"/>
        <w:spacing w:after="50"/>
        <w:ind w:left="317" w:hanging="202"/>
        <w:jc w:val="both"/>
      </w:pPr>
      <w:r>
        <w:rPr>
          <w:b/>
        </w:rPr>
        <w:t xml:space="preserve">A scalable platform: Pine Labs combines merchant acceptance, affordability, issuer / prepaid processing and fintech infrastructure. The strategy is to cross-sell multiple services into merchant, brand, bank and fintech relationships.</w:t>
      </w:r>
    </w:p>
    <w:p w:rsidR="005F2FC4" w:rsidRDefault="00000000">
      <w:pPr>
        <w:pStyle w:val="ListBullet"/>
        <w:spacing w:after="50"/>
        <w:ind w:left="317" w:hanging="202"/>
        <w:jc w:val="both"/>
      </w:pPr>
      <w:r>
        <w:rPr>
          <w:b/>
        </w:rPr>
        <w:t xml:space="preserve">Strong activity growth: FY23–FY26 GTV rose from about ₹4.40 lakh crore to ₹17.15 lakh crore, while revenue grew at a 19.3% CAGR. GTV expands faster than recognized revenue, underscoring different product yields and definitions.</w:t>
      </w:r>
    </w:p>
    <w:p w:rsidR="005F2FC4" w:rsidRDefault="00000000">
      <w:pPr>
        <w:pStyle w:val="ListBullet"/>
        <w:spacing w:after="50"/>
        <w:ind w:left="317" w:hanging="202"/>
        <w:jc w:val="both"/>
      </w:pPr>
      <w:r>
        <w:rPr>
          <w:b/>
        </w:rPr>
        <w:t xml:space="preserve">Profitability inflection: FY26 was the first positive PAT year in the cited FY23–FY25 prospectus-restated plus audited FY26 series; Q1 FY27 remained profitable. Adjusted EBITDA strengthened, but contribution and adjusted EBITDA margins were lower year on year in Q1 FY27.</w:t>
      </w:r>
    </w:p>
    <w:p w:rsidR="005F2FC4" w:rsidRDefault="00000000">
      <w:pPr>
        <w:pStyle w:val="ListBullet"/>
        <w:spacing w:after="50"/>
        <w:ind w:left="317" w:hanging="202"/>
        <w:jc w:val="both"/>
      </w:pPr>
      <w:r>
        <w:rPr>
          <w:b/>
        </w:rPr>
        <w:t xml:space="preserve">Balance-sheet de-risking: Borrowings excluding leases declined and reported equity increased after listing. However, settlement and prepaid-card balances are important; not every bank balance is freely available.</w:t>
      </w:r>
    </w:p>
    <w:p w:rsidR="005F2FC4" w:rsidRDefault="00000000">
      <w:pPr>
        <w:pStyle w:val="ListBullet"/>
        <w:spacing w:after="50"/>
        <w:ind w:left="317" w:hanging="202"/>
        <w:jc w:val="both"/>
      </w:pPr>
      <w:r>
        <w:rPr>
          <w:b/>
        </w:rPr>
        <w:t xml:space="preserve">Cash conversion is not yet settled: FY25 and FY26 operating cash flow turned positive after prior outflows, while Q1 FY27 differs materially depending on early-settlement treatment.</w:t>
      </w:r>
    </w:p>
    <w:p w:rsidR="005F2FC4" w:rsidRDefault="00000000">
      <w:pPr>
        <w:pStyle w:val="ListBullet"/>
        <w:spacing w:after="50"/>
        <w:ind w:left="317" w:hanging="202"/>
        <w:jc w:val="both"/>
      </w:pPr>
      <w:r>
        <w:rPr>
          <w:b/>
        </w:rPr>
        <w:t xml:space="preserve">Diversification is progressing: IAP grew faster than DITP in FY26 and Q1 FY27, and international revenue became a larger share. Mix and regulatory complexity increase alongside diversification.</w:t>
      </w:r>
    </w:p>
    <w:p w:rsidR="005F2FC4" w:rsidRDefault="00000000">
      <w:pPr>
        <w:pStyle w:val="ListBullet"/>
        <w:spacing w:after="50"/>
        <w:ind w:left="317" w:hanging="202"/>
        <w:jc w:val="both"/>
      </w:pPr>
      <w:r>
        <w:rPr>
          <w:b/>
        </w:rPr>
        <w:t xml:space="preserve">Valuation is demanding: A market-cap proxy near ₹19,334 crore, with approximately 6.8× LTM sales and 152× LTM PAT, relies on future growth, sustained margins and improving returns.</w:t>
      </w:r>
    </w:p>
    <w:p w:rsidR="005F2FC4" w:rsidRDefault="00000000">
      <w:pPr>
        <w:pStyle w:val="Heading2"/>
      </w:pPr>
      <w:bookmarkStart w:id="5179" w:name="_Rpt179"/>
      <w:r>
        <w:t xml:space="preserve">6.3 Findings mapped to the research propositions</w:t>
      </w:r>
      <w:bookmarkEnd w:id="5179"/>
    </w:p>
    <w:p w:rsidR="005F2FC4" w:rsidRDefault="00000000">
      <w:pPr>
        <w:keepNext/>
        <w:spacing w:before="80" w:after="60"/>
      </w:pPr>
      <w:bookmarkStart w:id="5180" w:name="_Rpt180"/>
      <w:r>
        <w:rPr>
          <w:b/>
          <w:sz w:val="20"/>
        </w:rPr>
        <w:t xml:space="preserve">Table 6.2. Propositions tested and outcomes</w:t>
      </w:r>
      <w:bookmarkEnd w:id="5180"/>
    </w:p>
    <w:tbl>
      <w:tblPr>
        <w:tblW w:w="0" w:type="auto"/>
        <w:jc w:val="center"/>
        <w:tblLayout w:type="fixed"/>
        <w:tblLook w:val="04A0" w:firstRow="1" w:lastRow="0" w:firstColumn="1" w:lastColumn="0" w:noHBand="0" w:noVBand="1"/>
      </w:tblPr>
      <w:tblGrid>
        <w:gridCol w:w="3400"/>
        <w:gridCol w:w="4600"/>
        <w:gridCol w:w="1936"/>
      </w:tblGrid>
      <w:tr w:rsidR="005F2FC4">
        <w:trPr>
          <w:cantSplit/>
          <w:tblHeader/>
          <w:jc w:val="center"/>
        </w:trPr>
        <w:tc>
          <w:tcPr>
            <w:tcW w:w="34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Proposition from Section 1.5</w:t>
            </w:r>
          </w:p>
        </w:tc>
        <w:tc>
          <w:tcPr>
            <w:tcW w:w="4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Evidence</w:t>
            </w:r>
          </w:p>
        </w:tc>
        <w:tc>
          <w:tcPr>
            <w:tcW w:w="1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Outcome</w:t>
            </w:r>
          </w:p>
        </w:tc>
      </w:tr>
      <w:tr w:rsidR="005F2FC4">
        <w:trPr>
          <w:cantSplit/>
          <w:jc w:val="cent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platform monetises through contracted fees rather than a share of value routed</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Prospectus and segment disclosures; revenue stream mapping in Section 4.7</w:t>
            </w:r>
          </w:p>
        </w:tc>
        <w:tc>
          <w:tcPr>
            <w:tcW w:w="1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Supported</w:t>
            </w:r>
          </w:p>
        </w:tc>
      </w:tr>
      <w:tr w:rsidR="005F2FC4">
        <w:trPr>
          <w:cantSplit/>
          <w:jc w:val="center"/>
        </w:trPr>
        <w:tc>
          <w:tcPr>
            <w:tcW w:w="3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GTV growth translates one-for-one into revenue</w:t>
            </w:r>
          </w:p>
        </w:tc>
        <w:tc>
          <w:tcPr>
            <w:tcW w:w="4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GTV up about 3.9× and revenue about 1.7× over FY23–FY26; proxy falls from 36.3 to 15.8 bps</w:t>
            </w:r>
          </w:p>
        </w:tc>
        <w:tc>
          <w:tcPr>
            <w:tcW w:w="1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supported</w:t>
            </w:r>
          </w:p>
        </w:tc>
      </w:tr>
      <w:tr w:rsidR="005F2FC4">
        <w:trPr>
          <w:cantSplit/>
          <w:jc w:val="cent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profitability inflection is durable</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PAT ₹112.51 crore and Q1 FY27 PAT ₹19.57 crore, but both margin measures lower year on year in Q1 FY27</w:t>
            </w:r>
          </w:p>
        </w:tc>
        <w:tc>
          <w:tcPr>
            <w:tcW w:w="1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Partially supported</w:t>
            </w:r>
          </w:p>
        </w:tc>
      </w:tr>
      <w:tr w:rsidR="005F2FC4">
        <w:trPr>
          <w:cantSplit/>
          <w:jc w:val="center"/>
        </w:trPr>
        <w:tc>
          <w:tcPr>
            <w:tcW w:w="3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The capital structure has improved</w:t>
            </w:r>
          </w:p>
        </w:tc>
        <w:tc>
          <w:tcPr>
            <w:tcW w:w="4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excluding leases down ₹546.62 crore; borrowings/equity 0.24× to 0.05×</w:t>
            </w:r>
          </w:p>
        </w:tc>
        <w:tc>
          <w:tcPr>
            <w:tcW w:w="1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Supported</w:t>
            </w:r>
          </w:p>
        </w:tc>
      </w:tr>
      <w:tr w:rsidR="005F2FC4">
        <w:trPr>
          <w:cantSplit/>
          <w:jc w:val="cent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Operating cash conversion has become predictable</w:t>
            </w:r>
          </w:p>
        </w:tc>
        <w:tc>
          <w:tcPr>
            <w:tcW w:w="4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CFO reverses sign across the window and is treatment-dependent in Q1 FY27</w:t>
            </w:r>
          </w:p>
        </w:tc>
        <w:tc>
          <w:tcPr>
            <w:tcW w:w="1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established</w:t>
            </w:r>
          </w:p>
        </w:tc>
      </w:tr>
    </w:tbl>
    <w:p w:rsidR="005F2FC4" w:rsidRDefault="00000000">
      <w:pPr>
        <w:spacing w:before="40" w:after="140"/>
        <w:jc w:val="both"/>
      </w:pPr>
      <w:r>
        <w:rPr>
          <w:i/>
          <w:sz w:val="20"/>
        </w:rPr>
        <w:t xml:space="preserve">Source / note: Author’s assessment. Two of five propositions are supported outright, one partially, one refuted and one unresolved.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 mixed result is the honest result. The company has demonstrably strengthened its balance sheet and has reached profitability, so two propositions are supported. It has demonstrably not converted volume growth into proportionate revenue, so one is refuted. The durability of profit and the predictability of cash both require more periods of evidence than currently exist. A report that recorded five confirmations from four years of partly restated data would not be credible.</w:t>
            </w:r>
          </w:p>
        </w:tc>
      </w:tr>
    </w:tbl>
    <w:p w:rsidR="005F2FC4" w:rsidRDefault="00000000">
      <w:pPr>
        <w:pStyle w:val="Heading2"/>
      </w:pPr>
      <w:bookmarkStart w:id="5181" w:name="_Rpt181"/>
      <w:r>
        <w:t xml:space="preserve">6.4 Investment thesis and final recommendation</w:t>
      </w:r>
      <w:bookmarkEnd w:id="5181"/>
    </w:p>
    <w:p w:rsidR="005F2FC4" w:rsidRDefault="00000000">
      <w:pPr>
        <w:keepNext/>
        <w:spacing w:before="80" w:after="60"/>
      </w:pPr>
      <w:bookmarkStart w:id="5182" w:name="_Rpt182"/>
      <w:r>
        <w:rPr>
          <w:b/>
          <w:sz w:val="20"/>
        </w:rPr>
        <w:t xml:space="preserve">Table 6.3. Investment thesis worksheet</w:t>
      </w:r>
      <w:bookmarkEnd w:id="5182"/>
    </w:p>
    <w:tbl>
      <w:tblPr>
        <w:tblW w:w="0" w:type="auto"/>
        <w:jc w:val="center"/>
        <w:tblLayout w:type="fixed"/>
        <w:tblLook w:val="04A0" w:firstRow="1" w:lastRow="0" w:firstColumn="1" w:lastColumn="0" w:noHBand="0" w:noVBand="1"/>
      </w:tblPr>
      <w:tblGrid>
        <w:gridCol w:w="3000"/>
        <w:gridCol w:w="6936"/>
      </w:tblGrid>
      <w:tr w:rsidR="005F2FC4">
        <w:trPr>
          <w:cantSplit/>
          <w:tblHeader/>
          <w:jc w:val="center"/>
        </w:trPr>
        <w:tc>
          <w:tcPr>
            <w:tcW w:w="30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Question</w:t>
            </w:r>
          </w:p>
        </w:tc>
        <w:tc>
          <w:tcPr>
            <w:tcW w:w="6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Assessment based on the evidence in this report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is the strongest reason to own the business?</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large and still-expanding merchant, checkout and institutional footprint, now operating at positive reported profit with materially lower borrowings and a diversifying revenue mix.</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What is the biggest reason not to own it?</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Monetisation yield on platform activity has fallen by more than half in three years while the market price embeds an expectation of roughly 30 per cent sustainable return on equity against a reported 2.4 per cent.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could drive earnings higher?</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Faster growth in the issuing and acquiring platform, higher attachment of recurring value-added services, operating leverage on the existing cost base, and successful integration of acquired capabilities.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What could cause earnings to disappoint?</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Continued contribution-margin decline, fee compression on the fastest-growing payment types, higher share-based and acquisition-related costs, regulatory change, or a cyber or availability incident.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Is the valuation attractive?</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on current evidence. About 6.8 times last-twelve-month sales and 152 times last-twelve-month profit require sustained growth and a substantial future margin improvement that the disclosed record does not yet evidence.</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What would change the view favourably?</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Two or three consecutive quarters of stable or rising contribution margin, a published restricted-cash and settlement bridge, and disclosed segment profitability.</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What would change the view unfavourably?</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further fall in revenue per merchant or per checkout point, a return to negative operating cash flow on a like-for-like basis, or a material regulatory or security event.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What is the single most important number to watch?</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Contribution margin as a percentage of revenue, reported quarterly.</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Overall research view</w:t>
            </w:r>
          </w:p>
        </w:tc>
        <w:tc>
          <w:tcPr>
            <w:tcW w:w="6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Constructive on the business and the balance sheet; cautious on margin durability, cash conversion and valuation. Not a recommendation to buy, sell or hold.</w:t>
            </w:r>
          </w:p>
        </w:tc>
      </w:tr>
    </w:tbl>
    <w:p w:rsidR="005F2FC4" w:rsidRDefault="00000000">
      <w:pPr>
        <w:spacing w:before="40" w:after="140"/>
        <w:jc w:val="both"/>
      </w:pPr>
      <w:r>
        <w:rPr>
          <w:i/>
          <w:sz w:val="20"/>
        </w:rPr>
        <w:t xml:space="preserve">Source / note: Author’s worksheet. This is an academic research view prepared for a summer internship report. It is not investment advice, a target price or a recommendation.</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thesis is deliberately two-sided. The operational and balance-sheet case is genuinely strong and has improved in every period examined. The valuation case is weak at the price observed, because the implied expectation is roughly twelve times the return the company currently earns. A reader who believes margin will expand materially will reach a favourable conclusion; a reader who weights the contribution-margin trend more heavily will not. The purpose of this report is to make both positions visible from the same evidence, not to conceal one of them.</w:t>
            </w:r>
          </w:p>
        </w:tc>
      </w:tr>
    </w:tbl>
    <w:p w:rsidR="005F2FC4" w:rsidRDefault="00000000">
      <w:pPr>
        <w:pStyle w:val="Heading2"/>
      </w:pPr>
      <w:bookmarkStart w:id="5183" w:name="_Rpt183"/>
      <w:r>
        <w:t xml:space="preserve">6.5 Researcher’s view</w:t>
      </w:r>
      <w:bookmarkEnd w:id="5183"/>
    </w:p>
    <w:p w:rsidR="005F2FC4" w:rsidRDefault="00000000">
      <w:pPr>
        <w:keepNext/>
        <w:spacing w:before="80" w:after="60"/>
      </w:pPr>
      <w:bookmarkStart w:id="5184" w:name="_Rpt184"/>
      <w:r>
        <w:rPr>
          <w:b/>
          <w:sz w:val="20"/>
        </w:rPr>
        <w:t xml:space="preserve">Table 6.4. Research view dashboard</w:t>
      </w:r>
      <w:bookmarkEnd w:id="5184"/>
    </w:p>
    <w:tbl>
      <w:tblPr>
        <w:tblW w:w="0" w:type="auto"/>
        <w:jc w:val="center"/>
        <w:tblLayout w:type="fixed"/>
        <w:tblLook w:val="04A0" w:firstRow="1" w:lastRow="0" w:firstColumn="1" w:lastColumn="0" w:noHBand="0" w:noVBand="1"/>
      </w:tblPr>
      <w:tblGrid>
        <w:gridCol w:w="2088"/>
        <w:gridCol w:w="2376"/>
        <w:gridCol w:w="547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Dimension</w:t>
            </w:r>
          </w:p>
        </w:tc>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Assessment</w:t>
            </w:r>
          </w:p>
        </w:tc>
        <w:tc>
          <w:tcPr>
            <w:tcW w:w="54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Reason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Business positioning</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Constructive</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Broad merchant / issuer stack with several routes to cross-sell and international opportunity.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Growth</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Positive, monitor quality</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and GTV scaled over FY23–FY26; Q1 FY27 revenue growth remained near 20%.</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Profitability</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Improving, not yet mature</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PAT positive and adjusted EBITDA stronger; Q1 FY27 margins were lower year on year.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Balance sheet</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Improved</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Borrowings/equity reduced after IPO; settlement obligations and other bank balances require careful reading.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Cash conversion</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Unsettled</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Annual CFO improved, but historic volatility and Q1 early-settlement effects remain material.</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Valuation</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Demanding</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Indicative P/E ~152× and P/S ~6.8× at 1 Oct 2026; value depends on sustained growth and materially higher returns.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Overall academic view</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Watch / valuation-sensitive</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Strong structural opportunity, but require evidence of repeatable profit, cash conversion and improving unit economics before assuming the current growth trajectory is durable.</w:t>
            </w:r>
          </w:p>
        </w:tc>
      </w:tr>
    </w:tbl>
    <w:p w:rsidR="005F2FC4" w:rsidRDefault="00000000">
      <w:pPr>
        <w:spacing w:before="40" w:after="140"/>
        <w:jc w:val="both"/>
      </w:pPr>
      <w:r>
        <w:rPr>
          <w:i/>
          <w:sz w:val="20"/>
        </w:rPr>
        <w:t xml:space="preserve">Source / note: Author’s analytical opinion, not financial advice, a target price or a recommendation to buy or sell. Data and price date stated throughout.</w:t>
      </w:r>
    </w:p>
    <w:p w:rsidR="005F2FC4" w:rsidRDefault="00000000">
      <w:pPr>
        <w:jc w:val="both"/>
      </w:pPr>
      <w:r>
        <w:t xml:space="preserve">This view is intentionally conditional. It should be revisited after additional audited years and several interim periods demonstrate how revenue, contribution, PAT, operating cash flow and fully diluted share count evolve together.</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dashboard is conditional by construction. Each dimension carries both an assessment and the reason behind it, so that a reader who disagrees with a reason can discard the assessment that rests on it. The view should be revisited after the next two audited years and after the company publishes segment profitability and a settlement-adjusted cash statement, because those two disclosures would resolve the largest remaining uncertainties in this report.</w:t>
            </w:r>
          </w:p>
        </w:tc>
      </w:tr>
    </w:tbl>
    <w:p w:rsidR="005F2FC4" w:rsidRDefault="00000000">
      <w:pPr>
        <w:pStyle w:val="Heading2"/>
      </w:pPr>
      <w:bookmarkStart w:id="5185" w:name="_Rpt185"/>
      <w:r>
        <w:t xml:space="preserve">6.6 Suggestions for Pine Labs Limited</w:t>
      </w:r>
      <w:bookmarkEnd w:id="5185"/>
    </w:p>
    <w:p w:rsidR="005F2FC4" w:rsidRDefault="00000000">
      <w:pPr>
        <w:pStyle w:val="ListNumber"/>
        <w:spacing w:after="50"/>
        <w:jc w:val="both"/>
      </w:pPr>
      <w:r>
        <w:t xml:space="preserve">Publish a consistent product-level bridge from GTV to recognized revenue and contribution, including active DCPs, monetization yield and direct cost per product.</w:t>
      </w:r>
    </w:p>
    <w:p w:rsidR="005F2FC4" w:rsidRDefault="00000000">
      <w:pPr>
        <w:pStyle w:val="ListNumber"/>
        <w:spacing w:after="50"/>
        <w:jc w:val="both"/>
      </w:pPr>
      <w:r>
        <w:t xml:space="preserve">Provide a quarterly cash-conversion reconciliation that distinguishes customer / settlement balances, restricted deposits and early-settlement effects from unrestricted operating cash.</w:t>
      </w:r>
    </w:p>
    <w:p w:rsidR="005F2FC4" w:rsidRDefault="00000000">
      <w:pPr>
        <w:pStyle w:val="ListNumber"/>
        <w:spacing w:after="50"/>
        <w:jc w:val="both"/>
      </w:pPr>
      <w:r>
        <w:t xml:space="preserve">Protect quality of growth: disclose recurring versus transactional revenue, customer concentration and retention as the platform adds products and geographies.</w:t>
      </w:r>
    </w:p>
    <w:p w:rsidR="005F2FC4" w:rsidRDefault="00000000">
      <w:pPr>
        <w:pStyle w:val="ListNumber"/>
        <w:spacing w:after="50"/>
        <w:jc w:val="both"/>
      </w:pPr>
      <w:r>
        <w:t xml:space="preserve">Use a disciplined acquisition scorecard for Agya, Shopflo and other acquired capabilities—purchase consideration, integration cost, cross-sell, retention and post-deal cash contribution.</w:t>
      </w:r>
    </w:p>
    <w:p w:rsidR="005F2FC4" w:rsidRDefault="00000000">
      <w:pPr>
        <w:pStyle w:val="ListNumber"/>
        <w:spacing w:after="50"/>
        <w:jc w:val="both"/>
      </w:pPr>
      <w:r>
        <w:t xml:space="preserve">Continue to strengthen cyber, resilience, fraud, consumer-protection and third-party governance as agentic and credit-linked payments evolve.</w:t>
      </w:r>
    </w:p>
    <w:p w:rsidR="005F2FC4" w:rsidRDefault="00000000">
      <w:pPr>
        <w:pStyle w:val="ListNumber"/>
        <w:spacing w:after="50"/>
        <w:jc w:val="both"/>
      </w:pPr>
      <w:r>
        <w:t xml:space="preserve">Expand environmental reporting for terminal lifecycle, repair and e-waste; consider transparent inclusion and service-quality metrics for smaller merchants.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six recommendations share one purpose: to let an external reader verify the quality of growth rather than only its quantity. The first two would resolve the two unresolved findings of this report — the monetisation trend and cash conversion — at no commercial cost, because both are reconciliations of information the company already holds. The remaining four address disclosure of concentration, acquisition outcomes, operational resilience and environmental obligation, each of which is currently assessed by inference rather than from data.</w:t>
            </w:r>
          </w:p>
        </w:tc>
      </w:tr>
    </w:tbl>
    <w:p w:rsidR="005F2FC4" w:rsidRDefault="00000000">
      <w:pPr>
        <w:pStyle w:val="Heading2"/>
      </w:pPr>
      <w:bookmarkStart w:id="5186" w:name="_Rpt186"/>
      <w:r>
        <w:t xml:space="preserve">6.7 Suggestions for investors and future student researchers</w:t>
      </w:r>
      <w:bookmarkEnd w:id="5186"/>
    </w:p>
    <w:p w:rsidR="005F2FC4" w:rsidRDefault="00000000">
      <w:pPr>
        <w:pStyle w:val="ListNumber"/>
        <w:spacing w:after="50"/>
        <w:jc w:val="both"/>
      </w:pPr>
      <w:r>
        <w:t xml:space="preserve">Update price, shares outstanding, cash and balance-sheet data on the same date before calculating valuation multiples; use fully diluted shares for per-share work.</w:t>
      </w:r>
    </w:p>
    <w:p w:rsidR="005F2FC4" w:rsidRDefault="00000000">
      <w:pPr>
        <w:pStyle w:val="ListNumber"/>
        <w:spacing w:after="50"/>
        <w:jc w:val="both"/>
      </w:pPr>
      <w:r>
        <w:t xml:space="preserve">Read the underlying audited report, auditor’s report and notes—not only shareholder letters or adjusted EBITDA charts.</w:t>
      </w:r>
    </w:p>
    <w:p w:rsidR="005F2FC4" w:rsidRDefault="00000000">
      <w:pPr>
        <w:pStyle w:val="ListNumber"/>
        <w:spacing w:after="50"/>
        <w:jc w:val="both"/>
      </w:pPr>
      <w:r>
        <w:t xml:space="preserve">Compare peers only after aligning geography, regulation, segment mix, accounting and period; for private companies, mark information as unavailable rather than infer it.</w:t>
      </w:r>
    </w:p>
    <w:p w:rsidR="005F2FC4" w:rsidRDefault="00000000">
      <w:pPr>
        <w:pStyle w:val="ListNumber"/>
        <w:spacing w:after="50"/>
        <w:jc w:val="both"/>
      </w:pPr>
      <w:r>
        <w:t xml:space="preserve">For future project editions, add primary interviews only with permission, accurate notes and appropriate consent.</w:t>
      </w:r>
    </w:p>
    <w:p w:rsidR="005F2FC4" w:rsidRDefault="00000000">
      <w:pPr>
        <w:pStyle w:val="ListNumber"/>
        <w:spacing w:after="50"/>
        <w:jc w:val="both"/>
      </w:pPr>
      <w:r>
        <w:t xml:space="preserve">Revisit customer concentration, revenue yield, segment margins and cash conversion after several additional quarters to test durability.</w:t>
      </w:r>
    </w:p>
    <w:p w:rsidR="005F2FC4" w:rsidRDefault="00000000">
      <w:pPr>
        <w:jc w:val="both"/>
      </w:pPr>
      <w:r>
        <w:t xml:space="preserve">A seventh suggestion applies specifically to student work. Choose a company that publishes a key-performance-indicator data book, because the gap between company-defined measures and audited figures is where the genuine analysis lies. A report that simply restates audited totals demonstrates transcription; a report that reconciles the two demonstrates analysis.</w:t>
      </w:r>
    </w:p>
    <w:p w:rsidR="005F2FC4" w:rsidRDefault="00000000">
      <w:pPr>
        <w:pStyle w:val="Heading2"/>
      </w:pPr>
      <w:bookmarkStart w:id="5187" w:name="_Rpt187"/>
      <w:r>
        <w:t xml:space="preserve">6.8 Learning outcomes of the project</w:t>
      </w:r>
      <w:bookmarkEnd w:id="5187"/>
    </w:p>
    <w:p w:rsidR="005F2FC4" w:rsidRDefault="00000000">
      <w:pPr>
        <w:pStyle w:val="ListBullet"/>
        <w:spacing w:after="50"/>
        <w:ind w:left="317" w:hanging="202"/>
        <w:jc w:val="both"/>
      </w:pPr>
      <w:r>
        <w:t xml:space="preserve">The ability to separate audited figures, company-defined measures, author calculations and personal judgement, and to label each explicitly in a written report.</w:t>
      </w:r>
    </w:p>
    <w:p w:rsidR="005F2FC4" w:rsidRDefault="00000000">
      <w:pPr>
        <w:pStyle w:val="ListBullet"/>
        <w:spacing w:after="50"/>
        <w:ind w:left="317" w:hanging="202"/>
        <w:jc w:val="both"/>
      </w:pPr>
      <w:r>
        <w:t xml:space="preserve">Practical command of growth, margin, liquidity, leverage, return and DuPont arithmetic applied to a real consolidated statement rather than to a textbook example.</w:t>
      </w:r>
    </w:p>
    <w:p w:rsidR="005F2FC4" w:rsidRDefault="00000000">
      <w:pPr>
        <w:pStyle w:val="ListBullet"/>
        <w:spacing w:after="50"/>
        <w:ind w:left="317" w:hanging="202"/>
        <w:jc w:val="both"/>
      </w:pPr>
      <w:r>
        <w:t xml:space="preserve">An understanding of why an activity measure such as gross transaction value or traded volume must never be presented as turnover, in either a payments business or a broking business.</w:t>
      </w:r>
    </w:p>
    <w:p w:rsidR="005F2FC4" w:rsidRDefault="00000000">
      <w:pPr>
        <w:pStyle w:val="ListBullet"/>
        <w:spacing w:after="50"/>
        <w:ind w:left="317" w:hanging="202"/>
        <w:jc w:val="both"/>
      </w:pPr>
      <w:r>
        <w:t xml:space="preserve">Experience of building a dated relative valuation and of stating the assumptions, the price date and the share count on which it depends.</w:t>
      </w:r>
    </w:p>
    <w:p w:rsidR="005F2FC4" w:rsidRDefault="00000000">
      <w:pPr>
        <w:pStyle w:val="ListBullet"/>
        <w:spacing w:after="50"/>
        <w:ind w:left="317" w:hanging="202"/>
        <w:jc w:val="both"/>
      </w:pPr>
      <w:r>
        <w:t xml:space="preserve">The discipline of reporting an unresolved question as unresolved, which was the outcome for cash conversion in this study.</w:t>
      </w:r>
    </w:p>
    <w:p w:rsidR="005F2FC4" w:rsidRDefault="00000000">
      <w:pPr>
        <w:pStyle w:val="ListBullet"/>
        <w:spacing w:after="50"/>
        <w:ind w:left="317" w:hanging="202"/>
        <w:jc w:val="both"/>
      </w:pPr>
      <w:r>
        <w:t xml:space="preserve">Direct market experience from the dealing desk — order entry, confirmation, status reporting and settlement — that informed the market-infrastructure discussion in Chapter 2.</w:t>
      </w:r>
    </w:p>
    <w:p w:rsidR="005F2FC4" w:rsidRDefault="00000000">
      <w:pPr>
        <w:pStyle w:val="Heading2"/>
      </w:pPr>
      <w:bookmarkStart w:id="5188" w:name="_Rpt188"/>
      <w:r>
        <w:t xml:space="preserve">6.9 Conclusion</w:t>
      </w:r>
      <w:bookmarkEnd w:id="5188"/>
    </w:p>
    <w:p w:rsidR="005F2FC4" w:rsidRDefault="00000000">
      <w:pPr>
        <w:jc w:val="both"/>
      </w:pPr>
      <w:r>
        <w:t xml:space="preserve">Pine Labs has built a broad merchant and institutional technology platform in a rapidly digitising payment ecosystem. Its FY26 audited results mark an important transition from a multi-year loss record to positive PAT, with continued growth and profitability in Q1 FY27. Strong transaction scale and broader product reach are clear advantages, but neither is sufficient by itself: the lasting value proposition depends on repeatable margins, disciplined cash conversion, secure operations, transparent risk allocation and returns on capital.</w:t>
      </w:r>
    </w:p>
    <w:p w:rsidR="005F2FC4" w:rsidRDefault="00000000">
      <w:pPr>
        <w:jc w:val="both"/>
      </w:pPr>
      <w:r>
        <w:t xml:space="preserve">The available evidence supports a constructive view of Pine Labs’ strategic position, balanced by material risks. The most important analytical tension is the gap between very rapid platform-activity growth and slower revenue growth / declining revenue-to-GTV proxy, alongside a high market valuation relative to recently reported earnings. The next test is not simply further growth in GTV; it is converting that growth into recurring, profitable and cash-generative revenue.</w:t>
      </w:r>
    </w:p>
    <w:p w:rsidR="005F2FC4" w:rsidRDefault="00000000">
      <w:pPr>
        <w:jc w:val="both"/>
      </w:pPr>
      <w:r>
        <w:t xml:space="preserve">The study therefore ends with a conditional conclusion rather than a categorical one, and that conclusion is the appropriate output of the evidence available. Pine Labs Limited has built a genuinely large platform, has repaired its balance sheet, and has crossed into reported profitability. It has not yet demonstrated that the profitability is durable, that cash conversion is predictable, or that monetisation yield can be stabilised. At the price observed on 1 October 2026 the market is paying for the resolution of all three questions in the company’s favour. The purpose of the next several quarters of disclosure, from a research point of view, is to establish whether that confidence is warranted.</w:t>
      </w:r>
    </w:p>
    <w:p w:rsidR="005F2FC4" w:rsidRDefault="00000000">
      <w:pPr>
        <w:pageBreakBefore/>
        <w:keepNext/>
        <w:spacing w:before="120" w:after="160" w:line="240" w:lineRule="auto"/>
        <w:jc w:val="center"/>
      </w:pPr>
      <w:bookmarkStart w:id="5189" w:name="_Rpt189"/>
      <w:r>
        <w:rPr>
          <w:b/>
          <w:bCs/>
          <w:sz w:val="28"/>
          <w:szCs w:val="28"/>
        </w:rPr>
        <w:t xml:space="preserve">CHAPTER 7</w:t>
      </w:r>
      <w:bookmarkEnd w:id="5189"/>
    </w:p>
    <w:p w:rsidR="005F2FC4" w:rsidRDefault="00000000">
      <w:pPr>
        <w:pStyle w:val="Heading1"/>
      </w:pPr>
      <w:r>
        <w:t xml:space="preserve">Limitations of the Study</w:t>
      </w:r>
    </w:p>
    <w:p w:rsidR="005F2FC4" w:rsidRDefault="00000000">
      <w:pPr>
        <w:spacing w:after="160"/>
      </w:pPr>
      <w:r>
        <w:rPr>
          <w:i/>
          <w:sz w:val="20"/>
        </w:rPr>
        <w:t xml:space="preserve">Data, period, method, scope and interpretation constraints on the conclusions reached</w:t>
      </w:r>
    </w:p>
    <w:p w:rsidR="005F2FC4" w:rsidRDefault="00000000">
      <w:pPr>
        <w:pStyle w:val="Heading2"/>
      </w:pPr>
      <w:bookmarkStart w:id="5190" w:name="_Rpt190"/>
      <w:r>
        <w:t xml:space="preserve">7.1 Limitations arising from the data</w:t>
      </w:r>
      <w:bookmarkEnd w:id="5190"/>
    </w:p>
    <w:p w:rsidR="005F2FC4" w:rsidRDefault="00000000">
      <w:pPr>
        <w:pStyle w:val="ListBullet"/>
        <w:spacing w:after="50"/>
        <w:ind w:left="317" w:hanging="202"/>
        <w:jc w:val="both"/>
      </w:pPr>
      <w:r>
        <w:t xml:space="preserve">Pine Labs became publicly listed in 2025, so the public track record is short. Older group information is prospectus-restated following the Singapore merger and is not identical to previously reported legal-entity accounts.</w:t>
      </w:r>
    </w:p>
    <w:p w:rsidR="005F2FC4" w:rsidRDefault="00000000">
      <w:pPr>
        <w:pStyle w:val="ListBullet"/>
        <w:spacing w:after="50"/>
        <w:ind w:left="317" w:hanging="202"/>
        <w:jc w:val="both"/>
      </w:pPr>
      <w:r>
        <w:t xml:space="preserve">Company-defined contribution margin, adjusted EBITDA and platform KPIs are useful but not substitutes for audited revenue, PAT, cash flow or statutory segment results. Their definitions may be revised.</w:t>
      </w:r>
    </w:p>
    <w:p w:rsidR="005F2FC4" w:rsidRDefault="00000000">
      <w:pPr>
        <w:pStyle w:val="ListBullet"/>
        <w:spacing w:after="50"/>
        <w:ind w:left="317" w:hanging="202"/>
        <w:jc w:val="both"/>
      </w:pPr>
      <w:r>
        <w:t xml:space="preserve">GTV includes transaction activity routed or serviced across platform categories; overlapping categories must not be added. GTV is not revenue or a measure of funds available to shareholders.</w:t>
      </w:r>
    </w:p>
    <w:p w:rsidR="005F2FC4" w:rsidRDefault="00000000">
      <w:pPr>
        <w:pStyle w:val="ListBullet"/>
        <w:spacing w:after="50"/>
        <w:ind w:left="317" w:hanging="202"/>
        <w:jc w:val="both"/>
      </w:pPr>
      <w:r>
        <w:t xml:space="preserve">Working-capital and settlement balances make reported CFO and cash balances sensitive to timing, earmarking and early-settlement activity. Other bank balances are not treated as unrestricted cash.</w:t>
      </w:r>
    </w:p>
    <w:p w:rsidR="005F2FC4" w:rsidRDefault="00000000">
      <w:pPr>
        <w:pStyle w:val="ListBullet"/>
        <w:spacing w:after="50"/>
        <w:ind w:left="317" w:hanging="202"/>
        <w:jc w:val="both"/>
      </w:pPr>
      <w:r>
        <w:t xml:space="preserve">Q1 FY27 is a single unaudited / limited-reviewed quarter. It is not annualized as a forecast. Company revenue-growth guidance is forward-looking, not a result.</w:t>
      </w:r>
    </w:p>
    <w:p w:rsidR="005F2FC4" w:rsidRDefault="00000000">
      <w:pPr>
        <w:pStyle w:val="ListBullet"/>
        <w:spacing w:after="50"/>
        <w:ind w:left="317" w:hanging="202"/>
        <w:jc w:val="both"/>
      </w:pPr>
      <w:r>
        <w:t xml:space="preserve">No interviews, internal data, customer-level unit economics, complete daily price history or formal ESG assurance were supplied. Only the opening portion of the Q1 FY27 call transcript was reviewed; Q1 results and operating interpretations here rely on the shareholder letter, press release and KPI book. The market snapshot is not investment advice.</w:t>
      </w:r>
    </w:p>
    <w:p w:rsidR="005F2FC4" w:rsidRDefault="00000000">
      <w:pPr>
        <w:pStyle w:val="Heading2"/>
      </w:pPr>
      <w:bookmarkStart w:id="5191" w:name="_Rpt191"/>
      <w:r>
        <w:t xml:space="preserve">7.2 Limitations arising from the period of study</w:t>
      </w:r>
      <w:bookmarkEnd w:id="5191"/>
    </w:p>
    <w:p w:rsidR="005F2FC4" w:rsidRDefault="00000000">
      <w:pPr>
        <w:pStyle w:val="ListBullet"/>
        <w:spacing w:after="50"/>
        <w:ind w:left="317" w:hanging="202"/>
        <w:jc w:val="both"/>
      </w:pPr>
      <w:r>
        <w:rPr>
          <w:b/>
        </w:rPr>
        <w:t xml:space="preserve">The company listed in 2025, so only one fully audited year exists as a listed issuer. FY23 to FY25 comparatives are prospectus-restated following a corporate reorganisation and are not identical to previously reported legal-entity accounts.</w:t>
      </w:r>
    </w:p>
    <w:p w:rsidR="005F2FC4" w:rsidRDefault="00000000">
      <w:pPr>
        <w:pStyle w:val="ListBullet"/>
        <w:spacing w:after="50"/>
        <w:ind w:left="317" w:hanging="202"/>
        <w:jc w:val="both"/>
      </w:pPr>
      <w:r>
        <w:rPr>
          <w:b/>
        </w:rPr>
        <w:t xml:space="preserve">The interim update covers a single quarter, Q1 FY27. One quarter cannot establish a trend and is not annualised anywhere in this report.</w:t>
      </w:r>
    </w:p>
    <w:p w:rsidR="005F2FC4" w:rsidRDefault="00000000">
      <w:pPr>
        <w:pStyle w:val="ListBullet"/>
        <w:spacing w:after="50"/>
        <w:ind w:left="317" w:hanging="202"/>
        <w:jc w:val="both"/>
      </w:pPr>
      <w:r>
        <w:rPr>
          <w:b/>
        </w:rPr>
        <w:t xml:space="preserve">The analysis cut-off is 3 October 2026 and the market observation is dated 1 October 2026. Any event after those dates is outside the study.</w:t>
      </w:r>
    </w:p>
    <w:p w:rsidR="005F2FC4" w:rsidRDefault="00000000">
      <w:pPr>
        <w:pStyle w:val="ListBullet"/>
        <w:spacing w:after="50"/>
        <w:ind w:left="317" w:hanging="202"/>
        <w:jc w:val="both"/>
      </w:pPr>
      <w:r>
        <w:rPr>
          <w:b/>
        </w:rPr>
        <w:t xml:space="preserve">Acquisitions completed during or after FY26 change the composition of the consolidated group between comparative periods.</w:t>
      </w:r>
    </w:p>
    <w:p w:rsidR="005F2FC4" w:rsidRDefault="00000000">
      <w:pPr>
        <w:pStyle w:val="Heading2"/>
      </w:pPr>
      <w:bookmarkStart w:id="5192" w:name="_Rpt192"/>
      <w:r>
        <w:t xml:space="preserve">7.3 Limitations arising from the method</w:t>
      </w:r>
      <w:bookmarkEnd w:id="5192"/>
    </w:p>
    <w:p w:rsidR="005F2FC4" w:rsidRDefault="00000000">
      <w:pPr>
        <w:pStyle w:val="ListBullet"/>
        <w:spacing w:after="50"/>
        <w:ind w:left="317" w:hanging="202"/>
        <w:jc w:val="both"/>
      </w:pPr>
      <w:r>
        <w:rPr>
          <w:b/>
        </w:rPr>
        <w:t xml:space="preserve">No primary data was collected. There were no interviews with management, merchants, banks or competitors, and no survey evidence.</w:t>
      </w:r>
    </w:p>
    <w:p w:rsidR="005F2FC4" w:rsidRDefault="00000000">
      <w:pPr>
        <w:pStyle w:val="ListBullet"/>
        <w:spacing w:after="50"/>
        <w:ind w:left="317" w:hanging="202"/>
        <w:jc w:val="both"/>
      </w:pPr>
      <w:r>
        <w:rPr>
          <w:b/>
        </w:rPr>
        <w:t xml:space="preserve">Segment profitability is not disclosed by the company, so the margin consequence of the mix shift identified in Sections 4.6 and 5.6 can be inferred but not measured.</w:t>
      </w:r>
    </w:p>
    <w:p w:rsidR="005F2FC4" w:rsidRDefault="00000000">
      <w:pPr>
        <w:pStyle w:val="ListBullet"/>
        <w:spacing w:after="50"/>
        <w:ind w:left="317" w:hanging="202"/>
        <w:jc w:val="both"/>
      </w:pPr>
      <w:r>
        <w:rPr>
          <w:b/>
        </w:rPr>
        <w:t xml:space="preserve">No discounted-cash-flow valuation is attempted. A forecast built on a two-year positive cash-flow history would be an assumption presented as an analysis.</w:t>
      </w:r>
    </w:p>
    <w:p w:rsidR="005F2FC4" w:rsidRDefault="00000000">
      <w:pPr>
        <w:pStyle w:val="ListBullet"/>
        <w:spacing w:after="50"/>
        <w:ind w:left="317" w:hanging="202"/>
        <w:jc w:val="both"/>
      </w:pPr>
      <w:r>
        <w:rPr>
          <w:b/>
        </w:rPr>
        <w:t xml:space="preserve">No quantitative peer multiple table is published, because the comparability conditions set out in Section 5.23 are not met by the available public data.</w:t>
      </w:r>
    </w:p>
    <w:p w:rsidR="005F2FC4" w:rsidRDefault="00000000">
      <w:pPr>
        <w:pStyle w:val="ListBullet"/>
        <w:spacing w:after="50"/>
        <w:ind w:left="317" w:hanging="202"/>
        <w:jc w:val="both"/>
      </w:pPr>
      <w:r>
        <w:rPr>
          <w:b/>
        </w:rPr>
        <w:t xml:space="preserve">Technical indicators were not computed because a validated adjusted daily price series was not assembled; the position is stated explicitly in Section 5.30.</w:t>
      </w:r>
    </w:p>
    <w:p w:rsidR="005F2FC4" w:rsidRDefault="00000000">
      <w:pPr>
        <w:pStyle w:val="ListBullet"/>
        <w:spacing w:after="50"/>
        <w:ind w:left="317" w:hanging="202"/>
        <w:jc w:val="both"/>
      </w:pPr>
      <w:r>
        <w:rPr>
          <w:b/>
        </w:rPr>
        <w:t xml:space="preserve">Ratios calculated on a small profit base are arithmetically unstable, and ratios using average balance-sheet figures understate the effect of capital raised during a year.</w:t>
      </w:r>
    </w:p>
    <w:p w:rsidR="005F2FC4" w:rsidRDefault="00000000">
      <w:pPr>
        <w:pStyle w:val="Heading2"/>
      </w:pPr>
      <w:bookmarkStart w:id="5193" w:name="_Rpt193"/>
      <w:r>
        <w:t xml:space="preserve">7.4 Limitations arising from the scope</w:t>
      </w:r>
      <w:bookmarkEnd w:id="5193"/>
    </w:p>
    <w:p w:rsidR="005F2FC4" w:rsidRDefault="00000000">
      <w:pPr>
        <w:pStyle w:val="ListBullet"/>
        <w:spacing w:after="50"/>
        <w:ind w:left="317" w:hanging="202"/>
        <w:jc w:val="both"/>
      </w:pPr>
      <w:r>
        <w:rPr>
          <w:b/>
        </w:rPr>
        <w:t xml:space="preserve">The study covers the consolidated group only. Individual subsidiaries, joint arrangements and overseas entities are not analysed separately.</w:t>
      </w:r>
    </w:p>
    <w:p w:rsidR="005F2FC4" w:rsidRDefault="00000000">
      <w:pPr>
        <w:pStyle w:val="ListBullet"/>
        <w:spacing w:after="50"/>
        <w:ind w:left="317" w:hanging="202"/>
        <w:jc w:val="both"/>
      </w:pPr>
      <w:r>
        <w:rPr>
          <w:b/>
        </w:rPr>
        <w:t xml:space="preserve">The financial performance of the internship host, Rosy Blue Securities Pvt. Ltd., is not analysed. The firm is described from its public service profile only, and no client, account or confidential information is disclosed.</w:t>
      </w:r>
    </w:p>
    <w:p w:rsidR="005F2FC4" w:rsidRDefault="00000000">
      <w:pPr>
        <w:pStyle w:val="ListBullet"/>
        <w:spacing w:after="50"/>
        <w:ind w:left="317" w:hanging="202"/>
        <w:jc w:val="both"/>
      </w:pPr>
      <w:r>
        <w:rPr>
          <w:b/>
        </w:rPr>
        <w:t xml:space="preserve">Taxation, transfer pricing, detailed accounting-policy analysis and legal interpretation of licence status are outside the scope of the report.</w:t>
      </w:r>
    </w:p>
    <w:p w:rsidR="005F2FC4" w:rsidRDefault="00000000">
      <w:pPr>
        <w:pStyle w:val="ListBullet"/>
        <w:spacing w:after="50"/>
        <w:ind w:left="317" w:hanging="202"/>
        <w:jc w:val="both"/>
      </w:pPr>
      <w:r>
        <w:rPr>
          <w:b/>
        </w:rPr>
        <w:t xml:space="preserve">The report does not provide an ESG score or any form of assurance; the ESG discussion in Section 5.33 is a risk lens, not an audited assessment.</w:t>
      </w:r>
    </w:p>
    <w:p w:rsidR="005F2FC4" w:rsidRDefault="00000000">
      <w:pPr>
        <w:pStyle w:val="Heading2"/>
      </w:pPr>
      <w:bookmarkStart w:id="5194" w:name="_Rpt194"/>
      <w:r>
        <w:t xml:space="preserve">7.5 Limitations arising from interpretation</w:t>
      </w:r>
      <w:bookmarkEnd w:id="5194"/>
    </w:p>
    <w:p w:rsidR="005F2FC4" w:rsidRDefault="00000000">
      <w:pPr>
        <w:pStyle w:val="ListBullet"/>
        <w:spacing w:after="50"/>
        <w:ind w:left="317" w:hanging="202"/>
        <w:jc w:val="both"/>
      </w:pPr>
      <w:r>
        <w:rPr>
          <w:b/>
        </w:rPr>
        <w:t xml:space="preserve">Qualitative ratings in the PESTLE, Five Forces, SWOT and risk-register tables are the author’s judgements. Another analyst could reasonably rate the same evidence differently.</w:t>
      </w:r>
    </w:p>
    <w:p w:rsidR="005F2FC4" w:rsidRDefault="00000000">
      <w:pPr>
        <w:pStyle w:val="ListBullet"/>
        <w:spacing w:after="50"/>
        <w:ind w:left="317" w:hanging="202"/>
        <w:jc w:val="both"/>
      </w:pPr>
      <w:r>
        <w:rPr>
          <w:b/>
        </w:rPr>
        <w:t xml:space="preserve">The revenue-to-GTV proxy is a diagnostic constructed by the author. It is not a company key performance indicator and it is not a contractual take rate.</w:t>
      </w:r>
    </w:p>
    <w:p w:rsidR="005F2FC4" w:rsidRDefault="00000000">
      <w:pPr>
        <w:pStyle w:val="ListBullet"/>
        <w:spacing w:after="50"/>
        <w:ind w:left="317" w:hanging="202"/>
        <w:jc w:val="both"/>
      </w:pPr>
      <w:r>
        <w:rPr>
          <w:b/>
        </w:rPr>
        <w:t xml:space="preserve">The price-to-book sensitivity uses an assumed 12 per cent cost of equity and 4 per cent growth. Both are assumptions, and the output is an illustration rather than a valuation.</w:t>
      </w:r>
    </w:p>
    <w:p w:rsidR="005F2FC4" w:rsidRDefault="00000000">
      <w:pPr>
        <w:pStyle w:val="ListBullet"/>
        <w:spacing w:after="50"/>
        <w:ind w:left="317" w:hanging="202"/>
        <w:jc w:val="both"/>
      </w:pPr>
      <w:r>
        <w:rPr>
          <w:b/>
        </w:rPr>
        <w:t xml:space="preserve">Conclusions drawn in Chapter 6 are conditional on the evidence available to 3 October 2026 and should be revisited as further audited periods are published.</w:t>
      </w:r>
    </w:p>
    <w:p w:rsidR="005F2FC4" w:rsidRDefault="00000000">
      <w:pPr>
        <w:pStyle w:val="Heading2"/>
      </w:pPr>
      <w:bookmarkStart w:id="5195" w:name="_Rpt195"/>
      <w:r>
        <w:t xml:space="preserve">7.6 Effect of the limitations on the conclusions</w:t>
      </w:r>
      <w:bookmarkEnd w:id="5195"/>
    </w:p>
    <w:p w:rsidR="005F2FC4" w:rsidRDefault="00000000">
      <w:pPr>
        <w:keepNext/>
        <w:spacing w:before="80" w:after="60"/>
      </w:pPr>
      <w:bookmarkStart w:id="5196" w:name="_Rpt196"/>
      <w:r>
        <w:rPr>
          <w:b/>
          <w:sz w:val="20"/>
        </w:rPr>
        <w:t xml:space="preserve">Table 7.1. How each limitation constrains a specific conclusion</w:t>
      </w:r>
      <w:bookmarkEnd w:id="5196"/>
    </w:p>
    <w:tbl>
      <w:tblPr>
        <w:tblW w:w="0" w:type="auto"/>
        <w:jc w:val="center"/>
        <w:tblLayout w:type="fixed"/>
        <w:tblLook w:val="04A0" w:firstRow="1" w:lastRow="0" w:firstColumn="1" w:lastColumn="0" w:noHBand="0" w:noVBand="1"/>
      </w:tblPr>
      <w:tblGrid>
        <w:gridCol w:w="2600"/>
        <w:gridCol w:w="4000"/>
        <w:gridCol w:w="3336"/>
      </w:tblGrid>
      <w:tr w:rsidR="005F2FC4">
        <w:trPr>
          <w:cantSplit/>
          <w:tblHeader/>
          <w:jc w:val="center"/>
        </w:trPr>
        <w:tc>
          <w:tcPr>
            <w:tcW w:w="2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Limitation</w:t>
            </w:r>
          </w:p>
        </w:tc>
        <w:tc>
          <w:tcPr>
            <w:tcW w:w="40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Conclusion it constrains</w:t>
            </w:r>
          </w:p>
        </w:tc>
        <w:tc>
          <w:tcPr>
            <w:tcW w:w="33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Effect</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Short listed record</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Durability of the profitability inflection</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Reported as partially supported rather than supported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No segment profitability</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Margin consequence of the DITP/IAP mix shift</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Inferred, not measured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Settlement-sensitive cash flow</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Quality of earnings and cash conversion</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Recorded as not established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No comparable peer data</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Relative valuation</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 peer multiple table published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No daily price series</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Technical analysis</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Indicators recorded as not computed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Secondary data only</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Unit economics at merchant level</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Not attempted; listed as a direction for future research</w:t>
            </w:r>
          </w:p>
        </w:tc>
      </w:tr>
    </w:tbl>
    <w:p w:rsidR="005F2FC4" w:rsidRDefault="00000000">
      <w:pPr>
        <w:spacing w:before="40" w:after="140"/>
        <w:jc w:val="both"/>
      </w:pPr>
      <w:r>
        <w:rPr>
          <w:i/>
          <w:sz w:val="20"/>
        </w:rPr>
        <w:t xml:space="preserve">Source / note: Author’s assessment. Every limitation in this chapter is linked to the specific conclusion it affects, so that no finding is presented more strongly than its evidence allows.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Read as a whole, the limitations constrain the precision of the conclusions without overturning their direction. The movements this report identifies — revenue growth, the first profitable year, the fall in borrowings and the decline in the revenue-to-GTV proxy — all rest on audited or limited-reviewed figures and would survive any reasonable change of method. What the limitations prevent is the next step: attributing those movements confidently to their causes, and pricing them. That is why the report ends with a conditional position rather than a target price.</w:t>
            </w:r>
          </w:p>
        </w:tc>
      </w:tr>
    </w:tbl>
    <w:p w:rsidR="005F2FC4" w:rsidRDefault="00000000">
      <w:pPr>
        <w:pStyle w:val="Heading2"/>
      </w:pPr>
      <w:bookmarkStart w:id="5197" w:name="_Rpt197"/>
      <w:r>
        <w:t xml:space="preserve">7.7 Directions for future research</w:t>
      </w:r>
      <w:bookmarkEnd w:id="5197"/>
    </w:p>
    <w:p w:rsidR="005F2FC4" w:rsidRDefault="00000000">
      <w:pPr>
        <w:jc w:val="both"/>
      </w:pPr>
      <w:r>
        <w:t xml:space="preserve">The limitations above are not only constraints on this study; each of them also identifies work that a later researcher with better data, more time or direct access could carry out. The following directions are stated specifically enough to be actionable as dissertation or project topics.</w:t>
      </w:r>
    </w:p>
    <w:p w:rsidR="005F2FC4" w:rsidRDefault="00000000">
      <w:pPr>
        <w:keepNext/>
        <w:spacing w:before="80" w:after="60"/>
      </w:pPr>
      <w:bookmarkStart w:id="5198" w:name="_Rpt198"/>
      <w:r>
        <w:rPr>
          <w:b/>
          <w:sz w:val="20"/>
        </w:rPr>
        <w:t xml:space="preserve">Table 7.2. Directions for future research arising from this study</w:t>
      </w:r>
      <w:bookmarkEnd w:id="5198"/>
    </w:p>
    <w:tbl>
      <w:tblPr>
        <w:tblW w:w="0" w:type="auto"/>
        <w:jc w:val="center"/>
        <w:tblLayout w:type="fixed"/>
        <w:tblLook w:val="04A0" w:firstRow="1" w:lastRow="0" w:firstColumn="1" w:lastColumn="0" w:noHBand="0" w:noVBand="1"/>
      </w:tblPr>
      <w:tblGrid>
        <w:gridCol w:w="2600"/>
        <w:gridCol w:w="4000"/>
        <w:gridCol w:w="3336"/>
      </w:tblGrid>
      <w:tr w:rsidR="005F2FC4">
        <w:trPr>
          <w:cantSplit/>
          <w:tblHeader/>
          <w:jc w:val="center"/>
        </w:trPr>
        <w:tc>
          <w:tcPr>
            <w:tcW w:w="2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Direction</w:t>
            </w:r>
          </w:p>
        </w:tc>
        <w:tc>
          <w:tcPr>
            <w:tcW w:w="40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What it would require</w:t>
            </w:r>
          </w:p>
        </w:tc>
        <w:tc>
          <w:tcPr>
            <w:tcW w:w="33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Question it would answer</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Segment profitability analysis</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Segment-level cost allocation, either disclosed by the company or reconstructed from later filings</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Whether the shift towards issuing and acceptance improves or dilutes group margin</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Settlement-adjusted cash-flow study</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consistent series of operating cash flow stated before and after settlement movements</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Whether cash conversion is structurally positive once float timing is neutralised</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Merchant-level unit economics</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Primary survey or interview access to merchants across size bands</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cost to serve and retention per merchant, and the payback on a deployed checkout point</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Fee-realisation decomposition</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Transaction-mix data by product and by merchant category</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How much of the fall in the revenue-to-GTV proxy is mix and how much is price</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Post-listing price behaviour study</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full daily price and volume series covering at least one year after listing</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Whether the technical picture deferred in Section 5.30 supports or contradicts the fundamental reading</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Peer-set construction</w:t>
            </w:r>
          </w:p>
        </w:tc>
        <w:tc>
          <w:tcPr>
            <w:tcW w:w="4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Standardised definitions of GTV, take rate and contribution margin across listed payment companies</w:t>
            </w:r>
          </w:p>
        </w:tc>
        <w:tc>
          <w:tcPr>
            <w:tcW w:w="33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Whether the valuation is demanding relative to genuinely comparable firms</w:t>
            </w:r>
          </w:p>
        </w:tc>
      </w:tr>
      <w:tr w:rsidR="005F2FC4">
        <w:trPr>
          <w:cantSplit/>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Regulatory-impact study</w:t>
            </w:r>
          </w:p>
        </w:tc>
        <w:tc>
          <w:tcPr>
            <w:tcW w:w="40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 timeline of regulatory changes affecting acquiring, issuing and card-data storage</w:t>
            </w:r>
          </w:p>
        </w:tc>
        <w:tc>
          <w:tcPr>
            <w:tcW w:w="33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How specific rule changes have affected platform economics in practice</w:t>
            </w:r>
          </w:p>
        </w:tc>
      </w:tr>
    </w:tbl>
    <w:p w:rsidR="005F2FC4" w:rsidRDefault="00000000">
      <w:pPr>
        <w:spacing w:before="40" w:after="140"/>
        <w:jc w:val="both"/>
      </w:pPr>
      <w:r>
        <w:rPr>
          <w:i/>
          <w:sz w:val="20"/>
        </w:rPr>
        <w:t xml:space="preserve">Source / note: Author’s compilation. Each direction is drawn from a limitation recorded in Sections 7.1 to 7.5 and is framed so that the required data source is explicit.</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Two of these directions would materially change the conclusions of this report if they were completed. A settlement-adjusted cash-flow study would resolve the single largest open question in Chapter 5, and a fee-realisation decomposition would determine whether the monetisation decline is a deliberate consequence of mix or an involuntary consequence of pricing pressure. The remaining five would improve precision rather than change direction.</w:t>
            </w:r>
          </w:p>
        </w:tc>
      </w:tr>
    </w:tbl>
    <w:p w:rsidR="005F2FC4" w:rsidRDefault="00000000">
      <w:pPr>
        <w:pStyle w:val="Heading1"/>
        <w:pageBreakBefore/>
      </w:pPr>
      <w:bookmarkStart w:id="5199" w:name="_Rpt199"/>
      <w:r>
        <w:t xml:space="preserve">References and Bibliography</w:t>
      </w:r>
      <w:bookmarkEnd w:id="5199"/>
    </w:p>
    <w:p w:rsidR="005F2FC4" w:rsidRDefault="00000000">
      <w:pPr>
        <w:spacing w:after="160"/>
      </w:pPr>
      <w:r>
        <w:rPr>
          <w:i/>
          <w:sz w:val="20"/>
        </w:rPr>
        <w:t xml:space="preserve">Primary company documents, regulatory and exchange sources, frameworks and websites</w:t>
      </w:r>
    </w:p>
    <w:p w:rsidR="005F2FC4" w:rsidRDefault="00000000">
      <w:pPr>
        <w:jc w:val="both"/>
      </w:pPr>
      <w:r>
        <w:rPr>
          <w:i/>
        </w:rPr>
        <w:t xml:space="preserve">Primary company and official industry sources are prioritised. The Pine Labs GitHub repository below is the user-supplied source location for company documents; where current Q1 FY27 documents were hosted on the investor-relations site, that official link is listed separately. Accessed / analysis cut-off: 3 October 2026.</w:t>
      </w:r>
    </w:p>
    <w:p w:rsidR="005F2FC4" w:rsidRDefault="00000000">
      <w:pPr>
        <w:pStyle w:val="Heading3"/>
      </w:pPr>
      <w:r>
        <w:t xml:space="preserve">A. Primary company documents</w:t>
      </w:r>
    </w:p>
    <w:p w:rsidR="005F2FC4" w:rsidRDefault="00000000">
      <w:pPr>
        <w:keepNext/>
        <w:spacing w:before="80" w:after="60"/>
      </w:pPr>
      <w:r>
        <w:rPr>
          <w:b/>
          <w:sz w:val="20"/>
        </w:rPr>
        <w:t xml:space="preserve">[1] Pine Labs Limited. Prospectus (11 November 2025).</w:t>
      </w:r>
    </w:p>
    <w:p w:rsidR="005F2FC4" w:rsidRDefault="00000000">
      <w:pPr>
        <w:jc w:val="both"/>
      </w:pPr>
      <w:r>
        <w:t xml:space="preserve">Company history, business model, risk factors, customer concentration and restated consolidated FY23–FY25 information. Relevant internal pages include approximately 60–77, 252–263, 281–295 and 337–344. File in student-supplied repository: Pine-Labs-Limited-Prospectus.pdf.</w:t>
      </w:r>
    </w:p>
    <w:p w:rsidR="005F2FC4" w:rsidRDefault="00000000">
      <w:pPr>
        <w:jc w:val="both"/>
      </w:pPr>
      <w:r>
        <w:t xml:space="preserve">Open source</w:t>
      </w:r>
    </w:p>
    <w:p w:rsidR="005F2FC4" w:rsidRDefault="00000000">
      <w:pPr>
        <w:keepNext/>
        <w:spacing w:before="80" w:after="60"/>
      </w:pPr>
      <w:r>
        <w:rPr>
          <w:b/>
          <w:sz w:val="20"/>
        </w:rPr>
        <w:t xml:space="preserve">[2] Pine Labs Limited. Shareholder Letter and Audited Consolidated Results, Q4 / FY26 (25 May 2026).</w:t>
      </w:r>
    </w:p>
    <w:p w:rsidR="005F2FC4" w:rsidRDefault="00000000">
      <w:pPr>
        <w:jc w:val="both"/>
      </w:pPr>
      <w:r>
        <w:t xml:space="preserve">FY26 audited statements, balance sheet, cash flow, acquisitions, capital and management commentary. File in supplied repository: Pine_Labs_Ltd_Shareholder_Letter_and_Results_Q4_FY26_with_financials.pdf.</w:t>
      </w:r>
    </w:p>
    <w:p w:rsidR="005F2FC4" w:rsidRDefault="00000000">
      <w:pPr>
        <w:jc w:val="both"/>
      </w:pPr>
      <w:r>
        <w:t xml:space="preserve">Open source</w:t>
      </w:r>
    </w:p>
    <w:p w:rsidR="005F2FC4" w:rsidRDefault="00000000">
      <w:pPr>
        <w:keepNext/>
        <w:spacing w:before="80" w:after="60"/>
      </w:pPr>
      <w:r>
        <w:rPr>
          <w:b/>
          <w:sz w:val="20"/>
        </w:rPr>
        <w:t xml:space="preserve">[3] Pine Labs Limited. KPI Data Book, Q4 FY26.</w:t>
      </w:r>
    </w:p>
    <w:p w:rsidR="005F2FC4" w:rsidRDefault="00000000">
      <w:pPr>
        <w:jc w:val="both"/>
      </w:pPr>
      <w:r>
        <w:t xml:space="preserve">Company-defined GTV, merchant, DCP, transaction, segment and adjusted operating measures. File in supplied repository: PineLabs-KPI-Data-Book-Q4-FY26.xlsx.</w:t>
      </w:r>
    </w:p>
    <w:p w:rsidR="005F2FC4" w:rsidRDefault="00000000">
      <w:pPr>
        <w:jc w:val="both"/>
      </w:pPr>
      <w:r>
        <w:t xml:space="preserve">Open source</w:t>
      </w:r>
    </w:p>
    <w:p w:rsidR="005F2FC4" w:rsidRDefault="00000000">
      <w:pPr>
        <w:keepNext/>
        <w:spacing w:before="80" w:after="60"/>
      </w:pPr>
      <w:r>
        <w:rPr>
          <w:b/>
          <w:sz w:val="20"/>
        </w:rPr>
        <w:t xml:space="preserve">[4] Pine Labs Limited. Q4 FY26 Earnings Call Transcript (May 2026).</w:t>
      </w:r>
    </w:p>
    <w:p w:rsidR="005F2FC4" w:rsidRDefault="00000000">
      <w:pPr>
        <w:jc w:val="both"/>
      </w:pPr>
      <w:r>
        <w:t xml:space="preserve">Management discussion of FY26 performance, strategy and guidance. File in supplied repository: PineLabsLimited_Earnings_Call_Transcript_Q4_FY26.pdf.</w:t>
      </w:r>
    </w:p>
    <w:p w:rsidR="005F2FC4" w:rsidRDefault="00000000">
      <w:pPr>
        <w:jc w:val="both"/>
      </w:pPr>
      <w:r>
        <w:t xml:space="preserve">Open source</w:t>
      </w:r>
    </w:p>
    <w:p w:rsidR="005F2FC4" w:rsidRDefault="00000000">
      <w:pPr>
        <w:keepNext/>
        <w:spacing w:before="80" w:after="60"/>
      </w:pPr>
      <w:r>
        <w:rPr>
          <w:b/>
          <w:sz w:val="20"/>
        </w:rPr>
        <w:t xml:space="preserve">[5] Pine Labs Limited. Q1 FY27 Shareholder Letter and Results (quarter ended 30 June 2026; published July 2026).</w:t>
      </w:r>
    </w:p>
    <w:p w:rsidR="005F2FC4" w:rsidRDefault="00000000">
      <w:pPr>
        <w:jc w:val="both"/>
      </w:pPr>
      <w:r>
        <w:rPr>
          <w:sz w:val="20"/>
          <w:szCs w:val="20"/>
        </w:rPr>
        <w:t xml:space="preserve">Interim results, platform update, business and management commentary.</w:t>
      </w:r>
    </w:p>
    <w:p w:rsidR="005F2FC4" w:rsidRDefault="00000000">
      <w:pPr>
        <w:jc w:val="both"/>
      </w:pPr>
      <w:r>
        <w:t xml:space="preserve">Open source</w:t>
      </w:r>
    </w:p>
    <w:p w:rsidR="005F2FC4" w:rsidRDefault="00000000">
      <w:pPr>
        <w:keepNext/>
        <w:spacing w:before="80" w:after="60"/>
      </w:pPr>
      <w:r>
        <w:rPr>
          <w:b/>
          <w:sz w:val="20"/>
        </w:rPr>
        <w:t xml:space="preserve">[6] Pine Labs Limited. KPI Data Book, Q1 FY27.</w:t>
      </w:r>
    </w:p>
    <w:p w:rsidR="005F2FC4" w:rsidRDefault="00000000">
      <w:pPr>
        <w:jc w:val="both"/>
      </w:pPr>
      <w:r>
        <w:rPr>
          <w:sz w:val="20"/>
          <w:szCs w:val="20"/>
        </w:rPr>
        <w:t xml:space="preserve">Interim company-defined operating KPIs, segment metrics and cash-flow reconciliation.</w:t>
      </w:r>
    </w:p>
    <w:p w:rsidR="005F2FC4" w:rsidRDefault="00000000">
      <w:pPr>
        <w:jc w:val="both"/>
      </w:pPr>
      <w:r>
        <w:t xml:space="preserve">Open source</w:t>
      </w:r>
    </w:p>
    <w:p w:rsidR="005F2FC4" w:rsidRDefault="00000000">
      <w:pPr>
        <w:keepNext/>
        <w:spacing w:before="80" w:after="60"/>
      </w:pPr>
      <w:r>
        <w:rPr>
          <w:b/>
          <w:sz w:val="20"/>
        </w:rPr>
        <w:t xml:space="preserve">[7] Pine Labs Limited. Q1 FY27 Earnings Call Transcript (July 2026).</w:t>
      </w:r>
    </w:p>
    <w:p w:rsidR="005F2FC4" w:rsidRDefault="00000000">
      <w:pPr>
        <w:jc w:val="both"/>
      </w:pPr>
      <w:r>
        <w:rPr>
          <w:sz w:val="20"/>
          <w:szCs w:val="20"/>
        </w:rPr>
        <w:t xml:space="preserve">Opening portion of the transcript was reviewed; no unreviewed transcript content is relied on for this report.</w:t>
      </w:r>
    </w:p>
    <w:p w:rsidR="005F2FC4" w:rsidRDefault="00000000">
      <w:pPr>
        <w:jc w:val="both"/>
      </w:pPr>
      <w:r>
        <w:t xml:space="preserve">Open source</w:t>
      </w:r>
    </w:p>
    <w:p w:rsidR="005F2FC4" w:rsidRDefault="00000000">
      <w:pPr>
        <w:keepNext/>
        <w:spacing w:before="80" w:after="60"/>
      </w:pPr>
      <w:r>
        <w:rPr>
          <w:b/>
          <w:sz w:val="20"/>
        </w:rPr>
        <w:t xml:space="preserve">[8] Pine Labs Limited. Q1 FY27 Press Release (July 2026).</w:t>
      </w:r>
    </w:p>
    <w:p w:rsidR="005F2FC4" w:rsidRDefault="00000000">
      <w:pPr>
        <w:jc w:val="both"/>
      </w:pPr>
      <w:r>
        <w:rPr>
          <w:sz w:val="20"/>
          <w:szCs w:val="20"/>
        </w:rPr>
        <w:t xml:space="preserve">Company announcement of interim results and selected product / business updates.</w:t>
      </w:r>
    </w:p>
    <w:p w:rsidR="005F2FC4" w:rsidRDefault="00000000">
      <w:pPr>
        <w:jc w:val="both"/>
      </w:pPr>
      <w:r>
        <w:t xml:space="preserve">Open source</w:t>
      </w:r>
    </w:p>
    <w:p w:rsidR="005F2FC4" w:rsidRDefault="00000000">
      <w:pPr>
        <w:pStyle w:val="Heading3"/>
      </w:pPr>
      <w:r>
        <w:t xml:space="preserve">B. Regulatory, exchange and industry sources</w:t>
      </w:r>
    </w:p>
    <w:p w:rsidR="005F2FC4" w:rsidRDefault="00000000">
      <w:pPr>
        <w:keepNext/>
        <w:spacing w:before="80" w:after="60"/>
      </w:pPr>
      <w:r>
        <w:rPr>
          <w:b/>
          <w:sz w:val="20"/>
        </w:rPr>
        <w:t xml:space="preserve">[9] Reserve Bank of India. Payment Systems Report, December 2025 (published 18 May 2026).</w:t>
      </w:r>
    </w:p>
    <w:p w:rsidR="005F2FC4" w:rsidRDefault="00000000">
      <w:pPr>
        <w:jc w:val="both"/>
      </w:pPr>
      <w:r>
        <w:rPr>
          <w:sz w:val="20"/>
          <w:szCs w:val="20"/>
        </w:rPr>
        <w:t xml:space="preserve">System-wide payments context and industry statistics.</w:t>
      </w:r>
    </w:p>
    <w:p w:rsidR="005F2FC4" w:rsidRDefault="00000000">
      <w:pPr>
        <w:jc w:val="both"/>
      </w:pPr>
      <w:r>
        <w:t xml:space="preserve">Open source</w:t>
      </w:r>
    </w:p>
    <w:p w:rsidR="005F2FC4" w:rsidRDefault="00000000">
      <w:pPr>
        <w:keepNext/>
        <w:spacing w:before="80" w:after="60"/>
      </w:pPr>
      <w:r>
        <w:rPr>
          <w:b/>
          <w:sz w:val="20"/>
        </w:rPr>
        <w:t xml:space="preserve">[10] National Payments Corporation of India. UPI Product Statistics.</w:t>
      </w:r>
    </w:p>
    <w:p w:rsidR="005F2FC4" w:rsidRDefault="00000000">
      <w:pPr>
        <w:jc w:val="both"/>
      </w:pPr>
      <w:r>
        <w:rPr>
          <w:sz w:val="20"/>
          <w:szCs w:val="20"/>
        </w:rPr>
        <w:t xml:space="preserve">Monthly UPI transaction volume and value series; August 2026 observation cited as industry context.</w:t>
      </w:r>
    </w:p>
    <w:p w:rsidR="005F2FC4" w:rsidRDefault="00000000">
      <w:pPr>
        <w:jc w:val="both"/>
      </w:pPr>
      <w:r>
        <w:t xml:space="preserve">Open source</w:t>
      </w:r>
    </w:p>
    <w:p w:rsidR="005F2FC4" w:rsidRDefault="00000000">
      <w:pPr>
        <w:keepNext/>
        <w:spacing w:before="80" w:after="60"/>
      </w:pPr>
      <w:r>
        <w:rPr>
          <w:b/>
          <w:sz w:val="20"/>
        </w:rPr>
        <w:t xml:space="preserve">[11] BSE Limited. Pine Labs Limited (BSE scrip 544606), quote page.</w:t>
      </w:r>
    </w:p>
    <w:p w:rsidR="005F2FC4" w:rsidRDefault="00000000">
      <w:pPr>
        <w:jc w:val="both"/>
      </w:pPr>
      <w:r>
        <w:rPr>
          <w:sz w:val="20"/>
          <w:szCs w:val="20"/>
        </w:rPr>
        <w:t xml:space="preserve">Official price snapshot and BSE displayed 52-week range used for 1 October 2026 market analysis.</w:t>
      </w:r>
    </w:p>
    <w:p w:rsidR="005F2FC4" w:rsidRDefault="00000000">
      <w:pPr>
        <w:jc w:val="both"/>
      </w:pPr>
      <w:r>
        <w:t xml:space="preserve">Open source</w:t>
      </w:r>
    </w:p>
    <w:p w:rsidR="005F2FC4" w:rsidRDefault="00000000">
      <w:pPr>
        <w:pStyle w:val="Heading3"/>
      </w:pPr>
      <w:r>
        <w:t xml:space="preserve">C. Company investor-relations and document repositories</w:t>
      </w:r>
    </w:p>
    <w:p w:rsidR="005F2FC4" w:rsidRDefault="00000000">
      <w:pPr>
        <w:keepNext/>
        <w:spacing w:before="80" w:after="60"/>
      </w:pPr>
      <w:r>
        <w:rPr>
          <w:b/>
          <w:sz w:val="20"/>
        </w:rPr>
        <w:t xml:space="preserve">[12] Pine Labs Limited. Investor Relations — Financial Results.</w:t>
      </w:r>
    </w:p>
    <w:p w:rsidR="005F2FC4" w:rsidRDefault="00000000">
      <w:pPr>
        <w:jc w:val="both"/>
      </w:pPr>
      <w:r>
        <w:rPr>
          <w:sz w:val="20"/>
          <w:szCs w:val="20"/>
        </w:rPr>
        <w:t xml:space="preserve">Official results index for company documents.</w:t>
      </w:r>
    </w:p>
    <w:p w:rsidR="005F2FC4" w:rsidRDefault="00000000">
      <w:pPr>
        <w:jc w:val="both"/>
      </w:pPr>
      <w:r>
        <w:t xml:space="preserve">Open source</w:t>
      </w:r>
    </w:p>
    <w:p w:rsidR="005F2FC4" w:rsidRDefault="00000000">
      <w:pPr>
        <w:keepNext/>
        <w:spacing w:before="80" w:after="60"/>
      </w:pPr>
      <w:r>
        <w:rPr>
          <w:b/>
          <w:sz w:val="20"/>
        </w:rPr>
        <w:t xml:space="preserve">[13] GitHub. nscrypto1968/Pine-Labs repository.</w:t>
      </w:r>
    </w:p>
    <w:p w:rsidR="005F2FC4" w:rsidRDefault="00000000">
      <w:pPr>
        <w:jc w:val="both"/>
      </w:pPr>
      <w:r>
        <w:t xml:space="preserve">Student-supplied repository used to locate the source documents listed above; snapshot reviewed at commit a92962d9013a09c3ef162976fed986b8eb28e7b5.</w:t>
      </w:r>
    </w:p>
    <w:p w:rsidR="005F2FC4" w:rsidRDefault="00000000">
      <w:pPr>
        <w:jc w:val="both"/>
      </w:pPr>
      <w:r>
        <w:t xml:space="preserve">Open source</w:t>
      </w:r>
    </w:p>
    <w:p w:rsidR="005F2FC4" w:rsidRDefault="00000000">
      <w:pPr>
        <w:pStyle w:val="Heading3"/>
      </w:pPr>
      <w:r>
        <w:t xml:space="preserve">D. Books, frameworks and academic references</w:t>
      </w:r>
    </w:p>
    <w:p w:rsidR="005F2FC4" w:rsidRDefault="00000000">
      <w:pPr>
        <w:keepNext/>
        <w:spacing w:before="80" w:after="60"/>
      </w:pPr>
      <w:r>
        <w:rPr>
          <w:b/>
          <w:sz w:val="20"/>
        </w:rPr>
        <w:t xml:space="preserve">[14] Porter, M. E. (1979). “How Competitive Forces Shape Strategy.” Harvard Business Review, 57(2), 137–145.</w:t>
      </w:r>
    </w:p>
    <w:p w:rsidR="005F2FC4" w:rsidRDefault="00000000">
      <w:pPr>
        <w:jc w:val="both"/>
      </w:pPr>
      <w:r>
        <w:rPr>
          <w:sz w:val="20"/>
          <w:szCs w:val="20"/>
        </w:rPr>
        <w:t xml:space="preserve">Framework source for the qualitative Five Forces assessment.</w:t>
      </w:r>
    </w:p>
    <w:p w:rsidR="005F2FC4" w:rsidRDefault="00000000">
      <w:pPr>
        <w:jc w:val="both"/>
      </w:pPr>
      <w:r>
        <w:t xml:space="preserve">Open source</w:t>
      </w:r>
    </w:p>
    <w:p w:rsidR="005F2FC4" w:rsidRDefault="00000000">
      <w:pPr>
        <w:keepNext/>
        <w:spacing w:before="80" w:after="60"/>
      </w:pPr>
      <w:r>
        <w:rPr>
          <w:b/>
          <w:sz w:val="20"/>
        </w:rPr>
        <w:t xml:space="preserve">[15] Damodaran, A. Investment Valuation: Tools and Techniques for Determining the Value of Any Asset, 3rd ed. Wiley.</w:t>
      </w:r>
    </w:p>
    <w:p w:rsidR="005F2FC4" w:rsidRDefault="00000000">
      <w:pPr>
        <w:jc w:val="both"/>
      </w:pPr>
      <w:r>
        <w:t xml:space="preserve">Reference for return decomposition / equity valuation concepts; the report’s simplified P/B sensitivity is an illustrative calculation, not a forecast.</w:t>
      </w:r>
    </w:p>
    <w:p w:rsidR="005F2FC4" w:rsidRDefault="00000000">
      <w:pPr>
        <w:jc w:val="both"/>
      </w:pPr>
      <w:r>
        <w:t xml:space="preserve">Open source</w:t>
      </w:r>
    </w:p>
    <w:p w:rsidR="005F2FC4" w:rsidRDefault="00000000">
      <w:pPr>
        <w:pStyle w:val="Heading3"/>
      </w:pPr>
      <w:r>
        <w:t xml:space="preserve">E. Organisational and market-infrastructure sources</w:t>
      </w:r>
    </w:p>
    <w:p w:rsidR="005F2FC4" w:rsidRDefault="00000000">
      <w:pPr>
        <w:pStyle w:val="ListBullet"/>
        <w:spacing w:after="50"/>
        <w:ind w:left="317" w:hanging="202"/>
        <w:jc w:val="both"/>
      </w:pPr>
      <w:r>
        <w:t xml:space="preserve">[16] Rosy Blue Securities Pvt. Ltd. Public service profile and website disclosures. Used for the organisational background in Chapter 2. Open source.</w:t>
      </w:r>
    </w:p>
    <w:p w:rsidR="005F2FC4" w:rsidRDefault="00000000">
      <w:pPr>
        <w:pStyle w:val="ListBullet"/>
        <w:spacing w:after="50"/>
        <w:ind w:left="317" w:hanging="202"/>
        <w:jc w:val="both"/>
      </w:pPr>
      <w:r>
        <w:t xml:space="preserve">[17] Securities and Exchange Board of India. Stock broker regulations and intermediary framework. Used for the regulatory-perimeter discussion in Section 3.12. Open source.</w:t>
      </w:r>
    </w:p>
    <w:p w:rsidR="005F2FC4" w:rsidRDefault="00000000">
      <w:pPr>
        <w:pStyle w:val="ListBullet"/>
        <w:spacing w:after="50"/>
        <w:ind w:left="317" w:hanging="202"/>
        <w:jc w:val="both"/>
      </w:pPr>
      <w:r>
        <w:t xml:space="preserve">[18] Securities and Exchange Board of India. Research analyst framework. Used for the activity-to-rule mapping in Section 3.12. Open source.</w:t>
      </w:r>
    </w:p>
    <w:p w:rsidR="005F2FC4" w:rsidRDefault="00000000">
      <w:pPr>
        <w:pStyle w:val="ListBullet"/>
        <w:spacing w:after="50"/>
        <w:ind w:left="317" w:hanging="202"/>
        <w:jc w:val="both"/>
      </w:pPr>
      <w:r>
        <w:t xml:space="preserve">[19] Securities and Exchange Board of India. Investor education and investor-protection materials. Used in Sections 2.8 and 3.13. Open source.</w:t>
      </w:r>
    </w:p>
    <w:p w:rsidR="005F2FC4" w:rsidRDefault="00000000">
      <w:pPr>
        <w:pStyle w:val="ListBullet"/>
        <w:spacing w:after="50"/>
        <w:ind w:left="317" w:hanging="202"/>
        <w:jc w:val="both"/>
      </w:pPr>
      <w:r>
        <w:t xml:space="preserve">[20] National Stock Exchange of India Limited. Market segment and trading-system pages. Used for the cash and F&amp;O descriptions in Section 2.5. Open source.</w:t>
      </w:r>
    </w:p>
    <w:p w:rsidR="005F2FC4" w:rsidRDefault="00000000">
      <w:pPr>
        <w:pStyle w:val="ListBullet"/>
        <w:spacing w:after="50"/>
        <w:ind w:left="317" w:hanging="202"/>
        <w:jc w:val="both"/>
      </w:pPr>
      <w:r>
        <w:t xml:space="preserve">[21] National Stock Exchange of India Limited. Clearing and settlement information. Used for the market-infrastructure table in Section 2.8. Open source.</w:t>
      </w:r>
    </w:p>
    <w:p w:rsidR="005F2FC4" w:rsidRDefault="00000000">
      <w:pPr>
        <w:pStyle w:val="ListBullet"/>
        <w:spacing w:after="50"/>
        <w:ind w:left="317" w:hanging="202"/>
        <w:jc w:val="both"/>
      </w:pPr>
      <w:r>
        <w:t xml:space="preserve">[22] National Securities Depository Limited and Central Depository Services (India) Limited. Depository and depository-participant descriptions. Used in Section 2.8. Open source.</w:t>
      </w:r>
    </w:p>
    <w:p w:rsidR="005F2FC4" w:rsidRDefault="00000000">
      <w:pPr>
        <w:pStyle w:val="Heading3"/>
      </w:pPr>
      <w:r>
        <w:t xml:space="preserve">F. Websites consulted</w:t>
      </w:r>
    </w:p>
    <w:p w:rsidR="005F2FC4" w:rsidRDefault="00000000">
      <w:pPr>
        <w:pStyle w:val="ListBullet"/>
        <w:spacing w:after="50"/>
        <w:ind w:left="317" w:hanging="202"/>
        <w:jc w:val="both"/>
      </w:pPr>
      <w:r>
        <w:t xml:space="preserve">www.pinelabs.com — company and investor-relations pages.</w:t>
      </w:r>
    </w:p>
    <w:p w:rsidR="005F2FC4" w:rsidRDefault="00000000">
      <w:pPr>
        <w:pStyle w:val="ListBullet"/>
        <w:spacing w:after="50"/>
        <w:ind w:left="317" w:hanging="202"/>
        <w:jc w:val="both"/>
      </w:pPr>
      <w:r>
        <w:t xml:space="preserve">www.bseindia.com — official quote page for the market snapshot.</w:t>
      </w:r>
    </w:p>
    <w:p w:rsidR="005F2FC4" w:rsidRDefault="00000000">
      <w:pPr>
        <w:pStyle w:val="ListBullet"/>
        <w:spacing w:after="50"/>
        <w:ind w:left="317" w:hanging="202"/>
        <w:jc w:val="both"/>
      </w:pPr>
      <w:r>
        <w:t xml:space="preserve">www.nseindia.com — market segment, clearing and settlement information.</w:t>
      </w:r>
    </w:p>
    <w:p w:rsidR="005F2FC4" w:rsidRDefault="00000000">
      <w:pPr>
        <w:pStyle w:val="ListBullet"/>
        <w:spacing w:after="50"/>
        <w:ind w:left="317" w:hanging="202"/>
        <w:jc w:val="both"/>
      </w:pPr>
      <w:r>
        <w:t xml:space="preserve">www.rbi.org.in — Payment Systems Report and related publications.</w:t>
      </w:r>
    </w:p>
    <w:p w:rsidR="005F2FC4" w:rsidRDefault="00000000">
      <w:pPr>
        <w:pStyle w:val="ListBullet"/>
        <w:spacing w:after="50"/>
        <w:ind w:left="317" w:hanging="202"/>
        <w:jc w:val="both"/>
      </w:pPr>
      <w:r>
        <w:t xml:space="preserve">www.npci.org.in — Unified Payments Interface product statistics.</w:t>
      </w:r>
    </w:p>
    <w:p w:rsidR="005F2FC4" w:rsidRDefault="00000000">
      <w:pPr>
        <w:pStyle w:val="ListBullet"/>
        <w:spacing w:after="50"/>
        <w:ind w:left="317" w:hanging="202"/>
        <w:jc w:val="both"/>
      </w:pPr>
      <w:r>
        <w:t xml:space="preserve">www.sebi.gov.in — intermediary framework and investor-education material.</w:t>
      </w:r>
    </w:p>
    <w:p w:rsidR="005F2FC4" w:rsidRDefault="00000000">
      <w:pPr>
        <w:pageBreakBefore/>
        <w:keepNext/>
        <w:spacing w:before="120" w:after="160" w:line="240" w:lineRule="auto"/>
        <w:jc w:val="center"/>
      </w:pPr>
      <w:bookmarkStart w:id="5200" w:name="_Rpt200"/>
      <w:r>
        <w:rPr>
          <w:b/>
          <w:bCs/>
          <w:sz w:val="28"/>
          <w:szCs w:val="28"/>
        </w:rPr>
        <w:t xml:space="preserve">ANNEXURE A</w:t>
      </w:r>
      <w:bookmarkEnd w:id="5200"/>
    </w:p>
    <w:p w:rsidR="005F2FC4" w:rsidRDefault="00000000">
      <w:pPr>
        <w:pStyle w:val="Heading1"/>
      </w:pPr>
      <w:r>
        <w:t xml:space="preserve">Compact Data Sheet</w:t>
      </w:r>
    </w:p>
    <w:p w:rsidR="005F2FC4" w:rsidRDefault="00000000">
      <w:pPr>
        <w:jc w:val="both"/>
      </w:pPr>
      <w:r>
        <w:rPr>
          <w:i/>
        </w:rPr>
        <w:t xml:space="preserve">Amounts are in ₹ crore unless specified. This is a transcription / calculation aid, not a replacement for the source statements. Rounding and reported comparative conventions apply.</w:t>
      </w:r>
    </w:p>
    <w:p w:rsidR="005F2FC4" w:rsidRDefault="00000000">
      <w:pPr>
        <w:keepNext/>
        <w:spacing w:before="80" w:after="60"/>
      </w:pPr>
      <w:bookmarkStart w:id="5201" w:name="_Rpt201"/>
      <w:r>
        <w:rPr>
          <w:b/>
          <w:sz w:val="20"/>
        </w:rPr>
        <w:t xml:space="preserve">Table A.1. Core financial series (₹ crore unless stated)</w:t>
      </w:r>
      <w:bookmarkEnd w:id="5201"/>
    </w:p>
    <w:tbl>
      <w:tblPr>
        <w:tblW w:w="0" w:type="auto"/>
        <w:jc w:val="center"/>
        <w:tblLayout w:type="fixed"/>
        <w:tblLook w:val="04A0" w:firstRow="1" w:lastRow="0" w:firstColumn="1" w:lastColumn="0" w:noHBand="0" w:noVBand="1"/>
      </w:tblPr>
      <w:tblGrid>
        <w:gridCol w:w="3533"/>
        <w:gridCol w:w="1600"/>
        <w:gridCol w:w="1600"/>
        <w:gridCol w:w="1600"/>
        <w:gridCol w:w="1603"/>
      </w:tblGrid>
      <w:tr w:rsidR="005F2FC4">
        <w:trPr>
          <w:cantSplit/>
          <w:tblHeader/>
          <w:jc w:val="center"/>
        </w:trPr>
        <w:tc>
          <w:tcPr>
            <w:tcW w:w="353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Measure</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FY23</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FY24</w:t>
            </w:r>
          </w:p>
        </w:tc>
        <w:tc>
          <w:tcPr>
            <w:tcW w:w="16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FY25</w:t>
            </w:r>
          </w:p>
        </w:tc>
        <w:tc>
          <w:tcPr>
            <w:tcW w:w="16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from operations</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1,597.66</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(265.15)</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(341.90)</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(145.49)</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112.51</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CFO</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(152.36)</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(229.01)</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49.72</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395.39</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 (company-defined)</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158.19</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356.60</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558.87</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 margin</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8.94%</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15.68%</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20.62%</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Platform GTV (₹ lakh crore)</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6.08</w:t>
            </w:r>
          </w:p>
        </w:tc>
        <w:tc>
          <w:tcPr>
            <w:tcW w:w="16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11.42</w:t>
            </w:r>
          </w:p>
        </w:tc>
        <w:tc>
          <w:tcPr>
            <w:tcW w:w="16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w:t>
            </w:r>
          </w:p>
        </w:tc>
      </w:tr>
      <w:tr w:rsidR="005F2FC4">
        <w:trPr>
          <w:cantSplit/>
          <w:jc w:val="center"/>
        </w:trPr>
        <w:tc>
          <w:tcPr>
            <w:tcW w:w="353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Transactions (crore)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257</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344</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569</w:t>
            </w:r>
          </w:p>
        </w:tc>
        <w:tc>
          <w:tcPr>
            <w:tcW w:w="16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740.37</w:t>
            </w:r>
          </w:p>
        </w:tc>
      </w:tr>
    </w:tbl>
    <w:p w:rsidR="005F2FC4" w:rsidRDefault="00000000">
      <w:pPr>
        <w:spacing w:before="40" w:after="140"/>
        <w:jc w:val="both"/>
      </w:pPr>
      <w:r>
        <w:rPr>
          <w:i/>
          <w:sz w:val="20"/>
        </w:rPr>
        <w:t xml:space="preserve">Source / note: Sources [1–3]; figures rounded.</w:t>
      </w:r>
    </w:p>
    <w:p w:rsidR="005F2FC4" w:rsidRDefault="00000000">
      <w:pPr>
        <w:keepNext/>
        <w:spacing w:before="80" w:after="60"/>
      </w:pPr>
      <w:bookmarkStart w:id="5202" w:name="_Rpt202"/>
      <w:r>
        <w:rPr>
          <w:b/>
          <w:sz w:val="20"/>
        </w:rPr>
        <w:t xml:space="preserve">Table A.2. FY26 balance-sheet and cash-flow snapshot (₹ crore)</w:t>
      </w:r>
      <w:bookmarkEnd w:id="5202"/>
    </w:p>
    <w:tbl>
      <w:tblPr>
        <w:tblW w:w="0" w:type="auto"/>
        <w:jc w:val="center"/>
        <w:tblLayout w:type="fixed"/>
        <w:tblLook w:val="04A0" w:firstRow="1" w:lastRow="0" w:firstColumn="1" w:lastColumn="0" w:noHBand="0" w:noVBand="1"/>
      </w:tblPr>
      <w:tblGrid>
        <w:gridCol w:w="2880"/>
        <w:gridCol w:w="2592"/>
        <w:gridCol w:w="4464"/>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Item</w:t>
            </w:r>
          </w:p>
        </w:tc>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FY26 value</w:t>
            </w:r>
          </w:p>
        </w:tc>
        <w:tc>
          <w:tcPr>
            <w:tcW w:w="44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 note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Total assets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13,296.96</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Audited consolidated.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Total equity</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5,895.41</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Post-listing equity base.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Borrowings ex leases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282.87</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Excludes lease liabilities.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Cash equivalents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1,393.08</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Separate from other bank balances.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Other bank balances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6,832.84</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Includes restricted / earmarked categories.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Prepaid-card liabilities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5,383.85</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Customer-programme obligations.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CFO / CFI / CFF</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+395.39 / −1,338.87 / +1,972.17</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Cash-flow statement categories.</w:t>
            </w:r>
          </w:p>
        </w:tc>
      </w:tr>
    </w:tbl>
    <w:p w:rsidR="005F2FC4" w:rsidRDefault="00000000">
      <w:pPr>
        <w:spacing w:before="40" w:after="140"/>
        <w:jc w:val="both"/>
      </w:pPr>
      <w:r>
        <w:rPr>
          <w:i/>
          <w:sz w:val="20"/>
        </w:rPr>
        <w:t xml:space="preserve">Source / note: FY26 audited results [2].</w:t>
      </w:r>
    </w:p>
    <w:p w:rsidR="005F2FC4" w:rsidRDefault="00000000">
      <w:pPr>
        <w:keepNext/>
        <w:spacing w:before="80" w:after="60"/>
      </w:pPr>
      <w:bookmarkStart w:id="5203" w:name="_Rpt203"/>
      <w:r>
        <w:rPr>
          <w:b/>
          <w:sz w:val="20"/>
        </w:rPr>
        <w:t xml:space="preserve">Table A.3. Q1 FY27 interim snapshot</w:t>
      </w:r>
      <w:bookmarkEnd w:id="5203"/>
    </w:p>
    <w:tbl>
      <w:tblPr>
        <w:tblW w:w="0" w:type="auto"/>
        <w:jc w:val="center"/>
        <w:tblLayout w:type="fixed"/>
        <w:tblLook w:val="04A0" w:firstRow="1" w:lastRow="0" w:firstColumn="1" w:lastColumn="0" w:noHBand="0" w:noVBand="1"/>
      </w:tblPr>
      <w:tblGrid>
        <w:gridCol w:w="2880"/>
        <w:gridCol w:w="3312"/>
        <w:gridCol w:w="3744"/>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Metric</w:t>
            </w:r>
          </w:p>
        </w:tc>
        <w:tc>
          <w:tcPr>
            <w:tcW w:w="331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37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Status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₹736.92 crore</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Unaudited / limited-reviewed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₹19.57 crore</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Unaudited / limited-reviewed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DITP / IAP revenue</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₹499.12 / ₹237.80 crore</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segment disclosures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₹532.62 crore / 72.3%</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KPI</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~₹126 crore / 17.1%</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KPI</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GTV / transactions</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₹4.22 lakh crore / 201 crore</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operating metrics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DCPs / merchants</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21.7 lakh / 11.5 lakh</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 operating metrics</w:t>
            </w:r>
          </w:p>
        </w:tc>
      </w:tr>
    </w:tbl>
    <w:p w:rsidR="005F2FC4" w:rsidRDefault="00000000">
      <w:pPr>
        <w:spacing w:before="40" w:after="140"/>
        <w:jc w:val="both"/>
      </w:pPr>
      <w:r>
        <w:rPr>
          <w:i/>
          <w:sz w:val="20"/>
        </w:rPr>
        <w:t xml:space="preserve">Source / note: Q1 FY27 results and data book [5,6].</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This annexure is the single place from which every calculation in Chapter 5 can be reproduced. A reader who wishes to verify any ratio, index or growth rate in this report should begin here rather than with the narrative: all three tables are sourced from audited or limited-reviewed statements, and no figure appears elsewhere in the report that cannot be traced back to one of them, to the quarterly data book in Annexure E, or to a clearly labelled author calculation built on them.</w:t>
            </w:r>
          </w:p>
        </w:tc>
      </w:tr>
    </w:tbl>
    <w:p w:rsidR="005F2FC4" w:rsidRDefault="00000000">
      <w:pPr>
        <w:pageBreakBefore/>
        <w:keepNext/>
        <w:spacing w:before="120" w:after="160" w:line="240" w:lineRule="auto"/>
        <w:jc w:val="center"/>
      </w:pPr>
      <w:bookmarkStart w:id="5204" w:name="_Rpt204"/>
      <w:r>
        <w:rPr>
          <w:b/>
          <w:bCs/>
          <w:sz w:val="28"/>
          <w:szCs w:val="28"/>
        </w:rPr>
        <w:t xml:space="preserve">ANNEXURE B</w:t>
      </w:r>
      <w:bookmarkEnd w:id="5204"/>
    </w:p>
    <w:p w:rsidR="005F2FC4" w:rsidRDefault="00000000">
      <w:pPr>
        <w:pStyle w:val="Heading1"/>
      </w:pPr>
      <w:r>
        <w:t xml:space="preserve">Formulas and Worked Calculations</w:t>
      </w:r>
    </w:p>
    <w:p w:rsidR="005F2FC4" w:rsidRDefault="00000000">
      <w:pPr>
        <w:keepNext/>
        <w:spacing w:before="80" w:after="60"/>
      </w:pPr>
      <w:bookmarkStart w:id="5205" w:name="_Rpt205"/>
      <w:r>
        <w:rPr>
          <w:b/>
          <w:sz w:val="20"/>
        </w:rPr>
        <w:t xml:space="preserve">Table B.1. Formula reference with worked illustrations</w:t>
      </w:r>
      <w:bookmarkEnd w:id="5205"/>
    </w:p>
    <w:tbl>
      <w:tblPr>
        <w:tblW w:w="0" w:type="auto"/>
        <w:jc w:val="center"/>
        <w:tblLayout w:type="fixed"/>
        <w:tblLook w:val="04A0" w:firstRow="1" w:lastRow="0" w:firstColumn="1" w:lastColumn="0" w:noHBand="0" w:noVBand="1"/>
      </w:tblPr>
      <w:tblGrid>
        <w:gridCol w:w="2232"/>
        <w:gridCol w:w="3168"/>
        <w:gridCol w:w="4536"/>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Measure</w:t>
            </w:r>
          </w:p>
        </w:tc>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Formula</w:t>
            </w:r>
          </w:p>
        </w:tc>
        <w:tc>
          <w:tcPr>
            <w:tcW w:w="45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Worked illustration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Revenue growth</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(Current-period revenue ÷ prior-period revenue) − 1</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2,710.59 ÷ 2,274.27 − 1 ≈ 19.2%.</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CAGR</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(Ending value ÷ beginning value)^(1 / years) − 1</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FY23–FY26: (2,710.59 ÷ 1,597.66)^(1/3) − 1 ≈ 19.3%.</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 margin</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revenue from operations</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112.51 ÷ 2,710.59 ≈ 4.15%.</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Current ratio</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Current assets ÷ current liabilities</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10,884.33 ÷ 7,184.12 ≈ 1.52×.</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Borrowings / equity</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Borrowings excluding leases ÷ total equity</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282.87 ÷ 5,895.41 ≈ 0.05×.</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ROA</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total assets</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112.51 ÷ [(10,715.73 + 13,296.96) / 2] ≈ 0.94%.</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ROE</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PAT ÷ average total equity</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112.51 ÷ [(3,506.14 + 5,895.41) / 2] ≈ 2.39%.</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Revenue / GTV proxy</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Revenue (₹ crore) ÷ [GTV (₹ lakh crore) × 100,000] × 10,000</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2,710.59 ÷ (17.15 × 100,000) × 10,000 ≈ 15.8 bps. Not a contractual take rate.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TTM revenue</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 Q1 FY27 − Q1 FY26</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 + 736.92 − 615.91 = ₹2,831.60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TTM PAT</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FY26 + Q1 FY27 − Q1 FY26</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112.51 + 19.57 − 4.79 = ₹127.29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Market-cap proxy</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BSE price × approximate paid-up shares</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₹167.55 × 115.39 crore ≈ ₹19,333.6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Indicative P/E</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Market-cap proxy ÷ TTM PAT</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19,333.6 ÷ 127.29 ≈ 152×; not company-published.</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Indicative P/S</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Market-cap proxy ÷ TTM revenue</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19,333.6 ÷ 2,831.60 ≈ 6.83×; not company-published.</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Indicative P/B</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Market-cap proxy ÷ FY26 closing equity</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19,332.9 ÷ 5,895.41 ≈ 3.28×; mixed-date comparison.</w:t>
            </w:r>
          </w:p>
        </w:tc>
      </w:tr>
    </w:tbl>
    <w:p w:rsidR="005F2FC4" w:rsidRDefault="00000000">
      <w:pPr>
        <w:spacing w:before="40" w:after="140"/>
        <w:jc w:val="both"/>
      </w:pPr>
      <w:r>
        <w:rPr>
          <w:i/>
          <w:sz w:val="20"/>
        </w:rPr>
        <w:t xml:space="preserve">Source / note: Calculations are author-derived from reported figures [1–6,11]; values rounded. Use a consistent price date and fully diluted share count for updated analysis.</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Every ratio quoted in Chapter 5 is defined here and illustrated on the FY26 figures, so that a reader can confirm both the formula and the inputs used. Where a ratio can be computed on more than one basis — for example leverage on total liabilities or on borrowings alone, or returns on opening, closing or average balances — the basis adopted in this report is stated explicitly, because disclosing the basis matters more than the choice between equally defensible conventions.</w:t>
            </w:r>
          </w:p>
        </w:tc>
      </w:tr>
    </w:tbl>
    <w:p w:rsidR="005F2FC4" w:rsidRDefault="00000000">
      <w:pPr>
        <w:pageBreakBefore/>
        <w:keepNext/>
        <w:spacing w:before="120" w:after="160" w:line="240" w:lineRule="auto"/>
        <w:jc w:val="center"/>
      </w:pPr>
      <w:bookmarkStart w:id="5206" w:name="_Rpt206"/>
      <w:r>
        <w:rPr>
          <w:b/>
          <w:bCs/>
          <w:sz w:val="28"/>
          <w:szCs w:val="28"/>
        </w:rPr>
        <w:t xml:space="preserve">ANNEXURE C</w:t>
      </w:r>
      <w:bookmarkEnd w:id="5206"/>
    </w:p>
    <w:p w:rsidR="005F2FC4" w:rsidRDefault="00000000">
      <w:pPr>
        <w:pStyle w:val="Heading1"/>
      </w:pPr>
      <w:r>
        <w:t xml:space="preserve">Glossary of Terms</w:t>
      </w:r>
    </w:p>
    <w:p w:rsidR="005F2FC4" w:rsidRDefault="00000000">
      <w:pPr>
        <w:keepNext/>
        <w:spacing w:before="80" w:after="60"/>
      </w:pPr>
      <w:bookmarkStart w:id="5207" w:name="_Rpt207"/>
      <w:r>
        <w:rPr>
          <w:b/>
          <w:sz w:val="20"/>
        </w:rPr>
        <w:t xml:space="preserve">Table C.1. Key terms used in this report</w:t>
      </w:r>
      <w:bookmarkEnd w:id="5207"/>
    </w:p>
    <w:tbl>
      <w:tblPr>
        <w:tblW w:w="0" w:type="auto"/>
        <w:jc w:val="center"/>
        <w:tblLayout w:type="fixed"/>
        <w:tblLook w:val="04A0" w:firstRow="1" w:lastRow="0" w:firstColumn="1" w:lastColumn="0" w:noHBand="0" w:noVBand="1"/>
      </w:tblPr>
      <w:tblGrid>
        <w:gridCol w:w="2592"/>
        <w:gridCol w:w="7344"/>
      </w:tblGrid>
      <w:tr w:rsidR="005F2FC4">
        <w:trPr>
          <w:cantSplit/>
          <w:tblHeader/>
          <w:jc w:val="center"/>
        </w:trPr>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Term</w:t>
            </w:r>
          </w:p>
        </w:tc>
        <w:tc>
          <w:tcPr>
            <w:tcW w:w="73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Definition</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Acquirer</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Entity that enables merchants to accept a payment instrument and receives / settles transaction proceeds under applicable arrangements.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Affordability</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Merchant or lender-linked offer such as instalments or other payment options; underwriting and lending may be performed by a regulated partner.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CFO / CFI / CFF</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flow from operating / investing / financing activities.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Contribution margin</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Company-defined measure after specified direct costs; definition should be read in the relevant KPI book.</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checkout point; company operating KPI.</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DITP</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Infrastructure and Transaction Platform.</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GTV</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Gross transaction value processed / routed / serviced under the company’s definition; not revenue.</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IAP</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Issuing and Acquiring Platform.</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Profit after tax.</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Prepaid-card liability</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Obligation related to stored-value / prepaid programmes; not equivalent to unrestricted corporate debt or free cash.</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Restated financials</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Historical consolidated statements retrospectively presented / adjusted in the prospectus for comparability, including the Singapore merger.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UPI</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Unified Payments Interface, operated through NPCI member banks and participating applications.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Adjusted EBITDA</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Management-defined non-GAAP measure; check the period-specific reconciliation and adjustments.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TTM / LTM</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Trailing twelve months; in this report FY26 plus Q1 FY27 less Q1 FY26.</w:t>
            </w:r>
          </w:p>
        </w:tc>
      </w:tr>
    </w:tbl>
    <w:p w:rsidR="005F2FC4" w:rsidRDefault="00000000">
      <w:pPr>
        <w:spacing w:before="40" w:after="140"/>
        <w:jc w:val="both"/>
      </w:pPr>
      <w:r>
        <w:rPr>
          <w:i/>
          <w:sz w:val="20"/>
        </w:rPr>
        <w:t xml:space="preserve">Source / note: Definitions are tailored for this report; legal / accounting definitions in regulations and financial statements take precedence.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glossary is deliberately restricted to terms whose meaning affects a number in this report. Several of them — gross transaction value, take rate, contribution margin, adjusted EBITDA and digital checkout point — are company-defined or industry-defined rather than prescribed by accounting standards, which is precisely why they are listed. A reader comparing this report with another study of the same company should check these definitions first, because definitional differences, not analytical ones, are the most common source of apparently conflicting conclusions.</w:t>
            </w:r>
          </w:p>
        </w:tc>
      </w:tr>
    </w:tbl>
    <w:p w:rsidR="005F2FC4" w:rsidRDefault="00000000">
      <w:pPr>
        <w:pageBreakBefore/>
        <w:keepNext/>
        <w:spacing w:before="120" w:after="160" w:line="240" w:lineRule="auto"/>
        <w:jc w:val="center"/>
      </w:pPr>
      <w:bookmarkStart w:id="5208" w:name="_Rpt208"/>
      <w:r>
        <w:rPr>
          <w:b/>
          <w:bCs/>
          <w:sz w:val="28"/>
          <w:szCs w:val="28"/>
        </w:rPr>
        <w:t xml:space="preserve">ANNEXURE D</w:t>
      </w:r>
      <w:bookmarkEnd w:id="5208"/>
    </w:p>
    <w:p w:rsidR="005F2FC4" w:rsidRDefault="00000000">
      <w:pPr>
        <w:pStyle w:val="Heading1"/>
      </w:pPr>
      <w:r>
        <w:t xml:space="preserve">List of Abbreviations</w:t>
      </w:r>
    </w:p>
    <w:p w:rsidR="005F2FC4" w:rsidRDefault="00000000">
      <w:pPr>
        <w:keepNext/>
        <w:spacing w:before="80" w:after="60"/>
      </w:pPr>
      <w:bookmarkStart w:id="5209" w:name="_Rpt209"/>
      <w:r>
        <w:rPr>
          <w:b/>
          <w:sz w:val="20"/>
        </w:rPr>
        <w:t xml:space="preserve">Table D.1. Abbreviations used in this report</w:t>
      </w:r>
      <w:bookmarkEnd w:id="5209"/>
    </w:p>
    <w:tbl>
      <w:tblPr>
        <w:tblW w:w="0" w:type="auto"/>
        <w:jc w:val="center"/>
        <w:tblLayout w:type="fixed"/>
        <w:tblLook w:val="04A0" w:firstRow="1" w:lastRow="0" w:firstColumn="1" w:lastColumn="0" w:noHBand="0" w:noVBand="1"/>
      </w:tblPr>
      <w:tblGrid>
        <w:gridCol w:w="2200"/>
        <w:gridCol w:w="7736"/>
      </w:tblGrid>
      <w:tr w:rsidR="005F2FC4">
        <w:trPr>
          <w:cantSplit/>
          <w:tblHeader/>
          <w:jc w:val="center"/>
        </w:trPr>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Abbreviation</w:t>
            </w:r>
          </w:p>
        </w:tc>
        <w:tc>
          <w:tcPr>
            <w:tcW w:w="77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Expansion</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API</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Application programming interface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BSE</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BSE Limited (formerly Bombay Stock Exchange)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CAGR</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Compound annual growth rate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CCPS</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Compulsorily convertible preference shares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CFO / CFI / CFF</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Cash flow from operating / investing / financing activities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CTCL</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Computer-to-computer link</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DCP</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checkout point</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DITP</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Digital Infrastructure and Transaction Platform</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EBITDA</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Earnings before interest, tax, depreciation and amortisation</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EIC</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Economy–Industry–Company framework</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ESG</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Environmental, social and governance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ESOP</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Employee stock option plan</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F&amp;O</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Futures and options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Financial year ended 31 March</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GTV</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Gross transaction value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IAP</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Issuing and Acquiring Platform</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IPO</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Initial public offering</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KPI</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Key performance indicator</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LTM</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Last twelve months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MMS</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Master of Management Studies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NEAT</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National Exchange for Automated Trading</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NPCI</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National Payments Corporation of India</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NSE</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National Stock Exchange of India Limited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P/B</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Price-to-book ratio</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P/E</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Price-to-earnings ratio</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P/S</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Price-to-sales ratio</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PAT</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Profit after tax</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PBT</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Profit before tax</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POS</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Point of sale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RBI</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Reserve Bank of India</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ROA</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Return on assets</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ROCE</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Return on capital employed</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ROE</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Return on equity</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SEBI</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Securities and Exchange Board of India</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SME</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Small and medium-sized enterprise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UPI</w:t>
            </w:r>
          </w:p>
        </w:tc>
        <w:tc>
          <w:tcPr>
            <w:tcW w:w="7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Unified Payments Interface</w:t>
            </w:r>
          </w:p>
        </w:tc>
      </w:tr>
      <w:tr w:rsidR="005F2FC4">
        <w:trPr>
          <w:cantSplit/>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YoY</w:t>
            </w:r>
          </w:p>
        </w:tc>
        <w:tc>
          <w:tcPr>
            <w:tcW w:w="7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Year on year</w:t>
            </w:r>
          </w:p>
        </w:tc>
      </w:tr>
    </w:tbl>
    <w:p w:rsidR="005F2FC4" w:rsidRDefault="00000000">
      <w:pPr>
        <w:spacing w:before="40" w:after="140"/>
        <w:jc w:val="both"/>
      </w:pPr>
      <w:r>
        <w:rPr>
          <w:i/>
          <w:sz w:val="20"/>
        </w:rPr>
        <w:t xml:space="preserve">Source / note: Abbreviations are expanded at first use in the text; this table is a consolidated reference.</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Two pairs of abbreviations in this list are routinely confused and are worth separating here. DITP and IAP are the company’s two reporting platforms and are not interchangeable: the first covers digital infrastructure and transactions, the second covers issuing and acquiring, and the shift in mix between them is a finding of this report. GTV and revenue are likewise distinct: the first is value routed through the platform and the second is what the company earns for routing it, and the widening gap between the two is the central diagnostic of Chapter 5.</w:t>
            </w:r>
          </w:p>
        </w:tc>
      </w:tr>
    </w:tbl>
    <w:p w:rsidR="005F2FC4" w:rsidRDefault="00000000">
      <w:pPr>
        <w:pageBreakBefore/>
        <w:keepNext/>
        <w:spacing w:before="120" w:after="160" w:line="240" w:lineRule="auto"/>
        <w:jc w:val="center"/>
      </w:pPr>
      <w:bookmarkStart w:id="5210" w:name="_Rpt210"/>
      <w:r>
        <w:rPr>
          <w:b/>
          <w:bCs/>
          <w:sz w:val="28"/>
          <w:szCs w:val="28"/>
        </w:rPr>
        <w:t xml:space="preserve">ANNEXURE E</w:t>
      </w:r>
      <w:bookmarkEnd w:id="5210"/>
    </w:p>
    <w:p w:rsidR="005F2FC4" w:rsidRDefault="00000000">
      <w:pPr>
        <w:pStyle w:val="Heading1"/>
      </w:pPr>
      <w:r>
        <w:t xml:space="preserve">Quarterly Data Book and Supporting Exhibits</w:t>
      </w:r>
    </w:p>
    <w:p w:rsidR="005F2FC4" w:rsidRDefault="00000000">
      <w:pPr>
        <w:jc w:val="both"/>
      </w:pPr>
      <w:r>
        <w:t xml:space="preserve">This annexure consolidates the quarterly series and supporting exhibits referenced in Chapter 5. All figures are as published by the company in its key-performance-indicator data books and results, rounded as presented in those documents. Annual figures and financial-statement totals take precedence where a rounded quarterly figure differs.</w:t>
      </w:r>
    </w:p>
    <w:p w:rsidR="005F2FC4" w:rsidRDefault="00000000">
      <w:pPr>
        <w:pStyle w:val="Heading3"/>
      </w:pPr>
      <w:r>
        <w:t xml:space="preserve">E.1 Quarterly revenue by platform</w:t>
      </w:r>
    </w:p>
    <w:p w:rsidR="005F2FC4" w:rsidRDefault="00000000">
      <w:pPr>
        <w:keepNext/>
        <w:spacing w:before="80" w:after="60"/>
      </w:pPr>
      <w:bookmarkStart w:id="5211" w:name="_Rpt211"/>
      <w:r>
        <w:rPr>
          <w:b/>
          <w:sz w:val="20"/>
        </w:rPr>
        <w:t xml:space="preserve">Table E.1. Quarterly revenue by platform (₹ crore, rounded)</w:t>
      </w:r>
      <w:bookmarkEnd w:id="5211"/>
    </w:p>
    <w:tbl>
      <w:tblPr>
        <w:tblW w:w="0" w:type="auto"/>
        <w:jc w:val="center"/>
        <w:tblLayout w:type="fixed"/>
        <w:tblLook w:val="04A0" w:firstRow="1" w:lastRow="0" w:firstColumn="1" w:lastColumn="0" w:noHBand="0" w:noVBand="1"/>
      </w:tblPr>
      <w:tblGrid>
        <w:gridCol w:w="1703"/>
        <w:gridCol w:w="2058"/>
        <w:gridCol w:w="2058"/>
        <w:gridCol w:w="2058"/>
        <w:gridCol w:w="2059"/>
      </w:tblGrid>
      <w:tr w:rsidR="005F2FC4">
        <w:trPr>
          <w:cantSplit/>
          <w:tblHeader/>
          <w:jc w:val="center"/>
        </w:trPr>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Revenue</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DITP</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IAP</w:t>
            </w:r>
          </w:p>
        </w:tc>
        <w:tc>
          <w:tcPr>
            <w:tcW w:w="205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Outside India</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522</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373</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149</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552</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393</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602</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175</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599</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410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188</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616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434</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182</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650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210</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744</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248</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701</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466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234</w:t>
            </w:r>
          </w:p>
        </w:tc>
        <w:tc>
          <w:tcPr>
            <w:tcW w:w="205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737</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499</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238</w:t>
            </w:r>
          </w:p>
        </w:tc>
        <w:tc>
          <w:tcPr>
            <w:tcW w:w="205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w:t>
            </w:r>
          </w:p>
        </w:tc>
      </w:tr>
    </w:tbl>
    <w:p w:rsidR="005F2FC4" w:rsidRDefault="00000000">
      <w:pPr>
        <w:spacing w:before="40" w:after="140"/>
        <w:jc w:val="both"/>
      </w:pPr>
      <w:r>
        <w:rPr>
          <w:i/>
          <w:sz w:val="20"/>
        </w:rPr>
        <w:t xml:space="preserve">Source / note: Pine Labs KPI Data Book, Q1 FY27 [6]. Reproduced from Section 5.4 for reference.</w:t>
      </w:r>
    </w:p>
    <w:p w:rsidR="005F2FC4" w:rsidRDefault="00000000">
      <w:pPr>
        <w:pStyle w:val="Heading3"/>
      </w:pPr>
      <w:r>
        <w:t xml:space="preserve">E.2 Quarterly margin and profit indicators</w:t>
      </w:r>
    </w:p>
    <w:p w:rsidR="005F2FC4" w:rsidRDefault="00000000">
      <w:pPr>
        <w:keepNext/>
        <w:spacing w:before="80" w:after="60"/>
      </w:pPr>
      <w:bookmarkStart w:id="5212" w:name="_Rpt212"/>
      <w:r>
        <w:rPr>
          <w:b/>
          <w:sz w:val="20"/>
        </w:rPr>
        <w:t xml:space="preserve">Table E.2. Quarterly margin and profit indicators</w:t>
      </w:r>
      <w:bookmarkEnd w:id="5212"/>
    </w:p>
    <w:tbl>
      <w:tblPr>
        <w:tblW w:w="0" w:type="auto"/>
        <w:jc w:val="center"/>
        <w:tblLayout w:type="fixed"/>
        <w:tblLook w:val="04A0" w:firstRow="1" w:lastRow="0" w:firstColumn="1" w:lastColumn="0" w:noHBand="0" w:noVBand="1"/>
      </w:tblPr>
      <w:tblGrid>
        <w:gridCol w:w="1703"/>
        <w:gridCol w:w="2200"/>
        <w:gridCol w:w="1986"/>
        <w:gridCol w:w="2058"/>
        <w:gridCol w:w="1989"/>
      </w:tblGrid>
      <w:tr w:rsidR="005F2FC4">
        <w:trPr>
          <w:cantSplit/>
          <w:tblHeader/>
          <w:jc w:val="center"/>
        </w:trPr>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Contribution margin %</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Adjusted EBITDA ₹cr</w:t>
            </w:r>
          </w:p>
        </w:tc>
        <w:tc>
          <w:tcPr>
            <w:tcW w:w="205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Adj. EBITDA margin</w:t>
            </w:r>
          </w:p>
        </w:tc>
        <w:tc>
          <w:tcPr>
            <w:tcW w:w="198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PAT ₹cr, rounded</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79%</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90</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75</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77%</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108</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-57</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84</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78%</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121</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77%</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122</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74%</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73%</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146</w:t>
            </w:r>
          </w:p>
        </w:tc>
        <w:tc>
          <w:tcPr>
            <w:tcW w:w="205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w:t>
            </w:r>
          </w:p>
        </w:tc>
        <w:tc>
          <w:tcPr>
            <w:tcW w:w="198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59</w:t>
            </w:r>
          </w:p>
        </w:tc>
      </w:tr>
      <w:tr w:rsidR="005F2FC4">
        <w:trPr>
          <w:cantSplit/>
          <w:jc w:val="center"/>
        </w:trPr>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72%</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126</w:t>
            </w:r>
          </w:p>
        </w:tc>
        <w:tc>
          <w:tcPr>
            <w:tcW w:w="205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w:t>
            </w:r>
          </w:p>
        </w:tc>
        <w:tc>
          <w:tcPr>
            <w:tcW w:w="198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bl>
    <w:p w:rsidR="005F2FC4" w:rsidRDefault="00000000">
      <w:pPr>
        <w:spacing w:before="40" w:after="140"/>
        <w:jc w:val="both"/>
      </w:pPr>
      <w:r>
        <w:rPr>
          <w:i/>
          <w:sz w:val="20"/>
        </w:rPr>
        <w:t xml:space="preserve">Source / note: Pine Labs KPI Data Book and management profit-and-loss, Q1 FY27 [6]. Reproduced from Section 5.5.</w:t>
      </w:r>
    </w:p>
    <w:p w:rsidR="005F2FC4" w:rsidRDefault="00000000">
      <w:pPr>
        <w:pStyle w:val="Heading3"/>
      </w:pPr>
      <w:r>
        <w:t xml:space="preserve">E.3 Quarterly activity indicators</w:t>
      </w:r>
    </w:p>
    <w:p w:rsidR="005F2FC4" w:rsidRDefault="00000000">
      <w:pPr>
        <w:keepNext/>
        <w:spacing w:before="80" w:after="60"/>
      </w:pPr>
      <w:bookmarkStart w:id="5213" w:name="_Rpt213"/>
      <w:r>
        <w:rPr>
          <w:b/>
          <w:sz w:val="20"/>
        </w:rPr>
        <w:t xml:space="preserve">Table E.3. Quarterly activity indicators</w:t>
      </w:r>
      <w:bookmarkEnd w:id="5213"/>
    </w:p>
    <w:tbl>
      <w:tblPr>
        <w:tblW w:w="0" w:type="auto"/>
        <w:jc w:val="center"/>
        <w:tblLayout w:type="fixed"/>
        <w:tblLook w:val="04A0" w:firstRow="1" w:lastRow="0" w:firstColumn="1" w:lastColumn="0" w:noHBand="0" w:noVBand="1"/>
      </w:tblPr>
      <w:tblGrid>
        <w:gridCol w:w="1561"/>
        <w:gridCol w:w="1703"/>
        <w:gridCol w:w="1845"/>
        <w:gridCol w:w="1419"/>
        <w:gridCol w:w="1631"/>
        <w:gridCol w:w="1777"/>
      </w:tblGrid>
      <w:tr w:rsidR="005F2FC4">
        <w:trPr>
          <w:cantSplit/>
          <w:tblHeader/>
          <w:jc w:val="center"/>
        </w:trPr>
        <w:tc>
          <w:tcPr>
            <w:tcW w:w="156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Quarter</w:t>
            </w:r>
          </w:p>
        </w:tc>
        <w:tc>
          <w:tcPr>
            <w:tcW w:w="170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GTV (₹000 crore)</w:t>
            </w:r>
          </w:p>
        </w:tc>
        <w:tc>
          <w:tcPr>
            <w:tcW w:w="18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Transactions (crore)</w:t>
            </w:r>
          </w:p>
        </w:tc>
        <w:tc>
          <w:tcPr>
            <w:tcW w:w="141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DCPs (lakh)</w:t>
            </w:r>
          </w:p>
        </w:tc>
        <w:tc>
          <w:tcPr>
            <w:tcW w:w="163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Merchants (lakh)</w:t>
            </w:r>
          </w:p>
        </w:tc>
        <w:tc>
          <w:tcPr>
            <w:tcW w:w="1777"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Cards issued (crore)</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FY25</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186</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112</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15.0</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7.0</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FY25</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221</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130</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8.0</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FY25</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349</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157</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17.0</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9.0</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FY25</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386</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170</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17.8</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9.5</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FY26</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406</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175</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18.4</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9.9</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23</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Q2 FY26</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424</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188</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19.0</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10.4</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Q3 FY26</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451</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19.3</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10.5</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Q4 FY26</w:t>
            </w:r>
          </w:p>
        </w:tc>
        <w:tc>
          <w:tcPr>
            <w:tcW w:w="170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435</w:t>
            </w:r>
          </w:p>
        </w:tc>
        <w:tc>
          <w:tcPr>
            <w:tcW w:w="18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185</w:t>
            </w:r>
          </w:p>
        </w:tc>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20.3</w:t>
            </w:r>
          </w:p>
        </w:tc>
        <w:tc>
          <w:tcPr>
            <w:tcW w:w="163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11.0</w:t>
            </w:r>
          </w:p>
        </w:tc>
        <w:tc>
          <w:tcPr>
            <w:tcW w:w="1777"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18</w:t>
            </w:r>
          </w:p>
        </w:tc>
      </w:tr>
      <w:tr w:rsidR="005F2FC4">
        <w:trPr>
          <w:cantSplit/>
          <w:jc w:val="center"/>
        </w:trPr>
        <w:tc>
          <w:tcPr>
            <w:tcW w:w="156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Q1 FY27</w:t>
            </w:r>
          </w:p>
        </w:tc>
        <w:tc>
          <w:tcPr>
            <w:tcW w:w="170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422</w:t>
            </w:r>
          </w:p>
        </w:tc>
        <w:tc>
          <w:tcPr>
            <w:tcW w:w="18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201</w:t>
            </w:r>
          </w:p>
        </w:tc>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21.7</w:t>
            </w:r>
          </w:p>
        </w:tc>
        <w:tc>
          <w:tcPr>
            <w:tcW w:w="163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11.5</w:t>
            </w:r>
          </w:p>
        </w:tc>
        <w:tc>
          <w:tcPr>
            <w:tcW w:w="1777"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w:t>
            </w:r>
          </w:p>
        </w:tc>
      </w:tr>
    </w:tbl>
    <w:p w:rsidR="005F2FC4" w:rsidRDefault="00000000">
      <w:pPr>
        <w:spacing w:before="40" w:after="140"/>
        <w:jc w:val="both"/>
      </w:pPr>
      <w:r>
        <w:rPr>
          <w:i/>
          <w:sz w:val="20"/>
        </w:rPr>
        <w:t xml:space="preserve">Source / note: Pine Labs KPI Data Book, Q1 FY27 [6]. Reproduced from Section 5.19.</w:t>
      </w:r>
    </w:p>
    <w:p w:rsidR="005F2FC4" w:rsidRDefault="00000000">
      <w:pPr>
        <w:pStyle w:val="Heading3"/>
      </w:pPr>
      <w:r>
        <w:t xml:space="preserve">E.4 Public payment-system indicators</w:t>
      </w:r>
    </w:p>
    <w:p w:rsidR="005F2FC4" w:rsidRDefault="00000000">
      <w:pPr>
        <w:keepNext/>
        <w:spacing w:before="80" w:after="60"/>
      </w:pPr>
      <w:bookmarkStart w:id="5214" w:name="_Rpt214"/>
      <w:r>
        <w:rPr>
          <w:b/>
          <w:sz w:val="20"/>
        </w:rPr>
        <w:t xml:space="preserve">Table E.4. Public payment-system indicators</w:t>
      </w:r>
      <w:bookmarkEnd w:id="5214"/>
    </w:p>
    <w:tbl>
      <w:tblPr>
        <w:tblW w:w="0" w:type="auto"/>
        <w:jc w:val="center"/>
        <w:tblLayout w:type="fixed"/>
        <w:tblLook w:val="04A0" w:firstRow="1" w:lastRow="0" w:firstColumn="1" w:lastColumn="0" w:noHBand="0" w:noVBand="1"/>
      </w:tblPr>
      <w:tblGrid>
        <w:gridCol w:w="2555"/>
        <w:gridCol w:w="1986"/>
        <w:gridCol w:w="2200"/>
        <w:gridCol w:w="3195"/>
      </w:tblGrid>
      <w:tr w:rsidR="005F2FC4">
        <w:trPr>
          <w:cantSplit/>
          <w:tblHeader/>
          <w:jc w:val="center"/>
        </w:trPr>
        <w:tc>
          <w:tcPr>
            <w:tcW w:w="255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Series / period</w:t>
            </w:r>
          </w:p>
        </w:tc>
        <w:tc>
          <w:tcPr>
            <w:tcW w:w="198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Transactions</w:t>
            </w:r>
          </w:p>
        </w:tc>
        <w:tc>
          <w:tcPr>
            <w:tcW w:w="22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Value</w:t>
            </w:r>
          </w:p>
        </w:tc>
        <w:tc>
          <w:tcPr>
            <w:tcW w:w="319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Interpretation</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RBI digital payments, H2 2025</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14,242 crore</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₹1,608 lakh crore</w:t>
            </w:r>
          </w:p>
        </w:tc>
        <w:tc>
          <w:tcPr>
            <w:tcW w:w="31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All reported digital-payment systems in the RBI series.</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NPCI UPI, Aug 2026</w:t>
            </w:r>
          </w:p>
        </w:tc>
        <w:tc>
          <w:tcPr>
            <w:tcW w:w="198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24,508.96 million</w:t>
            </w:r>
          </w:p>
        </w:tc>
        <w:tc>
          <w:tcPr>
            <w:tcW w:w="22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₹29,82,355.95 crore</w:t>
            </w:r>
          </w:p>
        </w:tc>
        <w:tc>
          <w:tcPr>
            <w:tcW w:w="319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Monthly UPI series; one payment rail.</w:t>
            </w:r>
          </w:p>
        </w:tc>
      </w:tr>
      <w:tr w:rsidR="005F2FC4">
        <w:trPr>
          <w:cantSplit/>
          <w:jc w:val="center"/>
        </w:trPr>
        <w:tc>
          <w:tcPr>
            <w:tcW w:w="255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Average value / transaction</w:t>
            </w:r>
          </w:p>
        </w:tc>
        <w:tc>
          <w:tcPr>
            <w:tcW w:w="198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Derived: ~₹11,290</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Derived: ~₹1,217</w:t>
            </w:r>
          </w:p>
        </w:tc>
        <w:tc>
          <w:tcPr>
            <w:tcW w:w="319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Simple aggregate arithmetic; not a consumer ticket-size forecast.</w:t>
            </w:r>
          </w:p>
        </w:tc>
      </w:tr>
    </w:tbl>
    <w:p w:rsidR="005F2FC4" w:rsidRDefault="00000000">
      <w:pPr>
        <w:spacing w:before="40" w:after="140"/>
        <w:jc w:val="both"/>
      </w:pPr>
      <w:r>
        <w:rPr>
          <w:i/>
          <w:sz w:val="20"/>
        </w:rPr>
        <w:t xml:space="preserve">Source / note: RBI Payment Systems Report, December 2025 [9]; NPCI UPI Product Statistics [10]. Reproduced from Section 3.4.</w:t>
      </w:r>
    </w:p>
    <w:p w:rsidR="005F2FC4" w:rsidRDefault="00000000">
      <w:pPr>
        <w:pStyle w:val="Heading3"/>
      </w:pPr>
      <w:r>
        <w:t xml:space="preserve">E.5 Revenue to platform GTV proxy</w:t>
      </w:r>
    </w:p>
    <w:p w:rsidR="005F2FC4" w:rsidRDefault="00000000">
      <w:pPr>
        <w:keepNext/>
        <w:spacing w:before="80" w:after="60"/>
      </w:pPr>
      <w:bookmarkStart w:id="5215" w:name="_Rpt215"/>
      <w:r>
        <w:rPr>
          <w:b/>
          <w:sz w:val="20"/>
        </w:rPr>
        <w:t xml:space="preserve">Table E.5. Revenue to platform GTV proxy</w:t>
      </w:r>
      <w:bookmarkEnd w:id="5215"/>
    </w:p>
    <w:tbl>
      <w:tblPr>
        <w:tblW w:w="0" w:type="auto"/>
        <w:jc w:val="center"/>
        <w:tblLayout w:type="fixed"/>
        <w:tblLook w:val="04A0" w:firstRow="1" w:lastRow="0" w:firstColumn="1" w:lastColumn="0" w:noHBand="0" w:noVBand="1"/>
      </w:tblPr>
      <w:tblGrid>
        <w:gridCol w:w="1774"/>
        <w:gridCol w:w="2342"/>
        <w:gridCol w:w="2342"/>
        <w:gridCol w:w="3478"/>
      </w:tblGrid>
      <w:tr w:rsidR="005F2FC4">
        <w:trPr>
          <w:cantSplit/>
          <w:tblHeader/>
          <w:jc w:val="center"/>
        </w:trPr>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Period</w:t>
            </w:r>
          </w:p>
        </w:tc>
        <w:tc>
          <w:tcPr>
            <w:tcW w:w="234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Revenue ₹cr</w:t>
            </w:r>
          </w:p>
        </w:tc>
        <w:tc>
          <w:tcPr>
            <w:tcW w:w="234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GTV ₹lakh cr</w:t>
            </w:r>
          </w:p>
        </w:tc>
        <w:tc>
          <w:tcPr>
            <w:tcW w:w="347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Proxy, bps</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FY23</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1,597.66</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4.40</w:t>
            </w:r>
          </w:p>
        </w:tc>
        <w:tc>
          <w:tcPr>
            <w:tcW w:w="347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36.3</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FY24</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1,769.55</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6.08</w:t>
            </w:r>
          </w:p>
        </w:tc>
        <w:tc>
          <w:tcPr>
            <w:tcW w:w="347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29.1</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FY25</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2,274.27</w:t>
            </w:r>
          </w:p>
        </w:tc>
        <w:tc>
          <w:tcPr>
            <w:tcW w:w="234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11.42</w:t>
            </w:r>
          </w:p>
        </w:tc>
        <w:tc>
          <w:tcPr>
            <w:tcW w:w="347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19.9</w:t>
            </w:r>
          </w:p>
        </w:tc>
      </w:tr>
      <w:tr w:rsidR="005F2FC4">
        <w:trPr>
          <w:cantSplit/>
          <w:jc w:val="center"/>
        </w:trPr>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FY26</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2,710.59</w:t>
            </w:r>
          </w:p>
        </w:tc>
        <w:tc>
          <w:tcPr>
            <w:tcW w:w="234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17.15</w:t>
            </w:r>
          </w:p>
        </w:tc>
        <w:tc>
          <w:tcPr>
            <w:tcW w:w="347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15.8</w:t>
            </w:r>
          </w:p>
        </w:tc>
      </w:tr>
    </w:tbl>
    <w:p w:rsidR="005F2FC4" w:rsidRDefault="00000000">
      <w:pPr>
        <w:spacing w:before="40" w:after="140"/>
        <w:jc w:val="both"/>
      </w:pPr>
      <w:r>
        <w:rPr>
          <w:i/>
          <w:sz w:val="20"/>
        </w:rPr>
        <w:t xml:space="preserve">Source / note: Author calculation from restated and audited revenue [1–3] and the company GTV series [3,6]. Reproduced from Section 5.21.</w:t>
      </w:r>
    </w:p>
    <w:p w:rsidR="005F2FC4" w:rsidRDefault="00000000">
      <w:pPr>
        <w:pStyle w:val="Heading3"/>
      </w:pPr>
      <w:r>
        <w:t xml:space="preserve">E.6 Valuation sensitivity</w:t>
      </w:r>
    </w:p>
    <w:p w:rsidR="005F2FC4" w:rsidRDefault="00000000">
      <w:pPr>
        <w:keepNext/>
        <w:spacing w:before="80" w:after="60"/>
      </w:pPr>
      <w:bookmarkStart w:id="5216" w:name="_Rpt216"/>
      <w:r>
        <w:rPr>
          <w:b/>
          <w:sz w:val="20"/>
        </w:rPr>
        <w:t xml:space="preserve">Table E.6. Illustrative equity value and per-share sensitivity</w:t>
      </w:r>
      <w:bookmarkEnd w:id="5216"/>
    </w:p>
    <w:tbl>
      <w:tblPr>
        <w:tblW w:w="0" w:type="auto"/>
        <w:jc w:val="center"/>
        <w:tblLayout w:type="fixed"/>
        <w:tblLook w:val="04A0" w:firstRow="1" w:lastRow="0" w:firstColumn="1" w:lastColumn="0" w:noHBand="0" w:noVBand="1"/>
      </w:tblPr>
      <w:tblGrid>
        <w:gridCol w:w="1419"/>
        <w:gridCol w:w="1774"/>
        <w:gridCol w:w="2271"/>
        <w:gridCol w:w="2271"/>
        <w:gridCol w:w="2201"/>
      </w:tblGrid>
      <w:tr w:rsidR="005F2FC4">
        <w:trPr>
          <w:cantSplit/>
          <w:tblHeader/>
          <w:jc w:val="center"/>
        </w:trPr>
        <w:tc>
          <w:tcPr>
            <w:tcW w:w="141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Revenue growth</w:t>
            </w:r>
          </w:p>
        </w:tc>
        <w:tc>
          <w:tcPr>
            <w:tcW w:w="177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Illustrative next revenue ₹cr</w:t>
            </w:r>
          </w:p>
        </w:tc>
        <w:tc>
          <w:tcPr>
            <w:tcW w:w="227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4× P/S: equity cap / ₹ per share</w:t>
            </w:r>
          </w:p>
        </w:tc>
        <w:tc>
          <w:tcPr>
            <w:tcW w:w="227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6× P/S: equity cap / ₹ per share</w:t>
            </w:r>
          </w:p>
        </w:tc>
        <w:tc>
          <w:tcPr>
            <w:tcW w:w="22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 xml:space="preserve">8× P/S: equity cap / ₹ per share</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15%</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3,256</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₹13,025 / ₹113</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₹19,538 / ₹169</w:t>
            </w:r>
          </w:p>
        </w:tc>
        <w:tc>
          <w:tcPr>
            <w:tcW w:w="22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₹26,051 / ₹226</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 xml:space="preserve">20%</w:t>
            </w:r>
          </w:p>
        </w:tc>
        <w:tc>
          <w:tcPr>
            <w:tcW w:w="177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3,398</w:t>
            </w:r>
          </w:p>
        </w:tc>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₹13,592 / ₹118</w:t>
            </w:r>
          </w:p>
        </w:tc>
        <w:tc>
          <w:tcPr>
            <w:tcW w:w="227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₹20,388 / ₹177</w:t>
            </w:r>
          </w:p>
        </w:tc>
        <w:tc>
          <w:tcPr>
            <w:tcW w:w="22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₹27,183 / ₹236</w:t>
            </w:r>
          </w:p>
        </w:tc>
      </w:tr>
      <w:tr w:rsidR="005F2FC4">
        <w:trPr>
          <w:cantSplit/>
          <w:jc w:val="center"/>
        </w:trPr>
        <w:tc>
          <w:tcPr>
            <w:tcW w:w="141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25%</w:t>
            </w:r>
          </w:p>
        </w:tc>
        <w:tc>
          <w:tcPr>
            <w:tcW w:w="177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3,540</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₹14,158 / ₹123</w:t>
            </w:r>
          </w:p>
        </w:tc>
        <w:tc>
          <w:tcPr>
            <w:tcW w:w="227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₹21,237 / ₹184</w:t>
            </w:r>
          </w:p>
        </w:tc>
        <w:tc>
          <w:tcPr>
            <w:tcW w:w="22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 xml:space="preserve">₹28,316 / ₹245</w:t>
            </w:r>
          </w:p>
        </w:tc>
      </w:tr>
    </w:tbl>
    <w:p w:rsidR="005F2FC4" w:rsidRDefault="00000000">
      <w:pPr>
        <w:spacing w:before="40" w:after="140"/>
        <w:jc w:val="both"/>
      </w:pPr>
      <w:r>
        <w:rPr>
          <w:i/>
          <w:sz w:val="20"/>
        </w:rPr>
        <w:t xml:space="preserve">Source / note: Author scenario arithmetic. Reproduced from Section 5.27. No forecast or target is implied.</w:t>
      </w:r>
    </w:p>
    <w:tbl>
      <w:tblPr>
        <w:tblW w:w="0" w:type="auto"/>
        <w:jc w:val="center"/>
        <w:tblLayout w:type="fixed"/>
        <w:tblLook w:val="04A0" w:firstRow="1" w:lastRow="0" w:firstColumn="1" w:lastColumn="0" w:noHBand="0" w:noVBand="1"/>
      </w:tblPr>
      <w:tblGrid>
        <w:gridCol w:w="9936"/>
      </w:tblGrid>
      <w:tr w:rsidR="005F2FC4">
        <w:trPr>
          <w:cantSplit/>
          <w:tblHeader/>
          <w:jc w:val="center"/>
        </w:trPr>
        <w:tc>
          <w:tcPr>
            <w:tcW w:w="99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pPr>
            <w:r>
              <w:rPr>
                <w:b/>
                <w:sz w:val="20"/>
              </w:rPr>
              <w:t xml:space="preserve">Interpretation</w:t>
            </w:r>
          </w:p>
        </w:tc>
      </w:tr>
      <w:tr w:rsidR="005F2FC4">
        <w:trPr>
          <w:cantSplit/>
          <w:jc w:val="center"/>
        </w:trPr>
        <w:tc>
          <w:tcPr>
            <w:tcW w:w="99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 xml:space="preserve">The exhibits are reproduced here so that the quarterly evidence can be read as a continuous series rather than in the fragments in which it appears in Chapter 5. Read together, E.1 to E.3 show growth in every quarter of the window alongside a falling contribution margin, E.5 shows the monetisation proxy declining across all four years, and E.6 shows how sensitive the implied value is to assumptions that this study does not attempt to resolve. Nothing in this annexure is new information; its purpose is verification.</w:t>
            </w:r>
          </w:p>
        </w:tc>
      </w:tr>
    </w:tbl>
    <w:p w:rsidR="005F2FC4" w:rsidRDefault="00000000">
      <w:pPr>
        <w:pageBreakBefore/>
        <w:keepNext/>
        <w:spacing w:before="120" w:after="160" w:line="240" w:lineRule="auto"/>
        <w:jc w:val="center"/>
      </w:pPr>
      <w:bookmarkStart w:id="5217" w:name="_Rpt217"/>
      <w:r>
        <w:rPr>
          <w:b/>
          <w:bCs/>
          <w:sz w:val="28"/>
          <w:szCs w:val="28"/>
        </w:rPr>
        <w:t xml:space="preserve">ANNEXURE F</w:t>
      </w:r>
      <w:bookmarkEnd w:id="5217"/>
    </w:p>
    <w:p w:rsidR="005F2FC4" w:rsidRDefault="00000000">
      <w:pPr>
        <w:pStyle w:val="Heading1"/>
      </w:pPr>
      <w:r>
        <w:t xml:space="preserve">Final Submission Checklist</w:t>
      </w:r>
    </w:p>
    <w:p w:rsidR="005F2FC4" w:rsidRDefault="00000000">
      <w:pPr>
        <w:jc w:val="both"/>
      </w:pPr>
      <w:r>
        <w:t xml:space="preserve">Before submitting to the institute, verify the following. Items requiring official records are intentionally not completed by this research draft.</w:t>
      </w:r>
    </w:p>
    <w:p w:rsidR="005F2FC4" w:rsidRDefault="00000000">
      <w:pPr>
        <w:pStyle w:val="ListBullet"/>
        <w:spacing w:after="50"/>
        <w:ind w:left="317" w:hanging="202"/>
        <w:jc w:val="both"/>
      </w:pPr>
      <w:r>
        <w:t xml:space="preserve">☐ Insert the official institute / university name, faculty guide, academic session and required front-matter wording.</w:t>
      </w:r>
    </w:p>
    <w:p w:rsidR="005F2FC4" w:rsidRDefault="00000000">
      <w:pPr>
        <w:pStyle w:val="ListBullet"/>
        <w:spacing w:after="50"/>
        <w:ind w:left="317" w:hanging="202"/>
        <w:jc w:val="both"/>
      </w:pPr>
      <w:r>
        <w:t xml:space="preserve">☐ Confirm that the report combines the Pine Labs company-research case with my internship at Rosy Blue Securities Pvt. Ltd. (Chapter 2) and keeps the two organisations clearly distinguished.</w:t>
      </w:r>
    </w:p>
    <w:p w:rsidR="005F2FC4" w:rsidRDefault="00000000">
      <w:pPr>
        <w:pStyle w:val="ListBullet"/>
        <w:spacing w:after="50"/>
        <w:ind w:left="317" w:hanging="202"/>
        <w:jc w:val="both"/>
      </w:pPr>
      <w:r>
        <w:t xml:space="preserve">☐ Insert the scanned, signed internship certificate from Rosy Blue Securities Pvt. Ltd. at the front of the report.</w:t>
      </w:r>
    </w:p>
    <w:p w:rsidR="005F2FC4" w:rsidRDefault="00000000">
      <w:pPr>
        <w:pStyle w:val="ListBullet"/>
        <w:spacing w:after="50"/>
        <w:ind w:left="317" w:hanging="202"/>
        <w:jc w:val="both"/>
      </w:pPr>
      <w:r>
        <w:t xml:space="preserve">☐ Check that the name, roll number and programme are correct: Nikhil Udaypratap Singh; M16158; SYMMS.</w:t>
      </w:r>
    </w:p>
    <w:p w:rsidR="005F2FC4" w:rsidRDefault="00000000">
      <w:pPr>
        <w:pStyle w:val="ListBullet"/>
        <w:spacing w:after="50"/>
        <w:ind w:left="317" w:hanging="202"/>
        <w:jc w:val="both"/>
      </w:pPr>
      <w:r>
        <w:t xml:space="preserve">☐ Refresh the latest market price and all valuation calculations if the submission date is later than 3 October 2026.</w:t>
      </w:r>
    </w:p>
    <w:p w:rsidR="005F2FC4" w:rsidRDefault="00000000">
      <w:pPr>
        <w:pStyle w:val="ListBullet"/>
        <w:spacing w:after="50"/>
        <w:ind w:left="317" w:hanging="202"/>
        <w:jc w:val="both"/>
      </w:pPr>
      <w:r>
        <w:t xml:space="preserve">☐ Confirm the exact share count and fully diluted basis from the latest official filing before using per-share multiples or market capitalization in a live recommendation.</w:t>
      </w:r>
    </w:p>
    <w:p w:rsidR="005F2FC4" w:rsidRDefault="00000000">
      <w:pPr>
        <w:pStyle w:val="ListBullet"/>
        <w:spacing w:after="50"/>
        <w:ind w:left="317" w:hanging="202"/>
        <w:jc w:val="both"/>
      </w:pPr>
      <w:r>
        <w:t xml:space="preserve">☐ Read the underlying FY26 audit report and the Q1 FY27 interim review report; confirm any qualifications, notes and subsequent events.</w:t>
      </w:r>
    </w:p>
    <w:p w:rsidR="005F2FC4" w:rsidRDefault="00000000">
      <w:pPr>
        <w:pStyle w:val="ListBullet"/>
        <w:spacing w:after="50"/>
        <w:ind w:left="317" w:hanging="202"/>
        <w:jc w:val="both"/>
      </w:pPr>
      <w:r>
        <w:t xml:space="preserve">☐ Update company-defined KPI definitions and all source links; verify each table against the original statement and workbook.</w:t>
      </w:r>
    </w:p>
    <w:p w:rsidR="005F2FC4" w:rsidRDefault="00000000">
      <w:pPr>
        <w:pStyle w:val="ListBullet"/>
        <w:spacing w:after="50"/>
        <w:ind w:left="317" w:hanging="202"/>
        <w:jc w:val="both"/>
      </w:pPr>
      <w:r>
        <w:t xml:space="preserve">☐ Run the institute’s plagiarism / citation process and add any mandatory cover sheet, declaration or formatting requirement.</w:t>
      </w:r>
    </w:p>
    <w:p w:rsidR="005F2FC4" w:rsidRDefault="00000000">
      <w:pPr>
        <w:pStyle w:val="ListBullet"/>
        <w:spacing w:after="50"/>
        <w:ind w:left="317" w:hanging="202"/>
        <w:jc w:val="both"/>
      </w:pPr>
      <w:r>
        <w:t xml:space="preserve">☐ Have the faculty guide review the report’s analysis, source conventions and use of the word “internship”.</w:t>
      </w:r>
    </w:p>
    <w:p w:rsidR="005F2FC4" w:rsidRDefault="00000000">
      <w:pPr>
        <w:pStyle w:val="ListBullet"/>
        <w:spacing w:after="50"/>
        <w:ind w:left="317" w:hanging="202"/>
        <w:jc w:val="both"/>
      </w:pPr>
      <w:r>
        <w:t xml:space="preserve">☐ Confirm that the report is organised in seven chapters followed by references and Annexures A to F, and that the index page numbers match the final paginated document.</w:t>
      </w:r>
    </w:p>
    <w:p w:rsidR="005F2FC4" w:rsidRDefault="00000000">
      <w:pPr>
        <w:pStyle w:val="ListBullet"/>
        <w:spacing w:after="50"/>
        <w:ind w:left="317" w:hanging="202"/>
        <w:jc w:val="both"/>
      </w:pPr>
      <w:r>
        <w:t xml:space="preserve">☐ Check that every table and figure carries a caption, a source note and an interpretation, as required by the research-report template.</w:t>
      </w:r>
    </w:p>
    <w:p w:rsidR="005F2FC4" w:rsidRDefault="00000000">
      <w:pPr>
        <w:pStyle w:val="ListBullet"/>
        <w:spacing w:after="50"/>
        <w:ind w:left="317" w:hanging="202"/>
        <w:jc w:val="both"/>
      </w:pPr>
      <w:r>
        <w:t xml:space="preserve">☐ Verify that all cross-references to chapters, sections, tables and annexures resolve correctly after any further editing.</w:t>
      </w:r>
    </w:p>
    <w:p w:rsidR="005F2FC4" w:rsidRDefault="00000000">
      <w:pPr>
        <w:pStyle w:val="ListBullet"/>
        <w:spacing w:after="50"/>
        <w:ind w:left="317" w:hanging="202"/>
        <w:jc w:val="both"/>
      </w:pPr>
      <w:r>
        <w:t xml:space="preserve">☐ Before printing or converting to PDF, select the whole document (Ctrl+A) and press F9 to update fields, so that the page numbers in the index, the list of tables and the list of figures are recalculated against the final pagination.</w:t>
      </w:r>
    </w:p>
    <w:sectPr w:rsidR="005F2FC4">
      <w:footerReference w:type="default" r:id="rId33"/>
      <w:pgSz w:w="11909" w:h="16834"/>
      <w:pgMar w:top="1250" w:right="907" w:bottom="1300" w:left="907" w:header="475" w:footer="900" w:gutter="0"/>
      <w:pgBorders w:offsetFrom="page">
        <w:top w:val="thickThinSmallGap" w:sz="18" w:space="24" w:color="000000"/>
        <w:left w:val="thickThinSmallGap" w:sz="18" w:space="24" w:color="000000"/>
        <w:bottom w:val="thinThickSmallGap" w:sz="18" w:space="24" w:color="000000"/>
        <w:right w:val="thinThickSmallGap"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519" w:rsidRDefault="00DA3519">
      <w:pPr>
        <w:spacing w:after="0" w:line="240" w:lineRule="auto"/>
      </w:pPr>
      <w:r>
        <w:separator/>
      </w:r>
    </w:p>
  </w:endnote>
  <w:endnote w:type="continuationSeparator" w:id="0">
    <w:p w:rsidR="00DA3519" w:rsidRDefault="00DA3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FC4" w:rsidRDefault="00000000">
    <w:pPr>
      <w:pStyle w:val="Footer"/>
      <w:ind w:left="-187"/>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FC4" w:rsidRDefault="00000000">
    <w:pPr>
      <w:pStyle w:val="Footer"/>
      <w:ind w:left="-187"/>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519" w:rsidRDefault="00DA3519">
      <w:pPr>
        <w:spacing w:after="0" w:line="240" w:lineRule="auto"/>
      </w:pPr>
      <w:r>
        <w:separator/>
      </w:r>
    </w:p>
  </w:footnote>
  <w:footnote w:type="continuationSeparator" w:id="0">
    <w:p w:rsidR="00DA3519" w:rsidRDefault="00DA3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rPr>
    </w:lvl>
  </w:abstractNum>
  <w:num w:numId="1" w16cid:durableId="994067310">
    <w:abstractNumId w:val="8"/>
  </w:num>
  <w:num w:numId="2" w16cid:durableId="1161429857">
    <w:abstractNumId w:val="6"/>
  </w:num>
  <w:num w:numId="3" w16cid:durableId="1682396156">
    <w:abstractNumId w:val="5"/>
  </w:num>
  <w:num w:numId="4" w16cid:durableId="512187185">
    <w:abstractNumId w:val="4"/>
  </w:num>
  <w:num w:numId="5" w16cid:durableId="1305936730">
    <w:abstractNumId w:val="7"/>
  </w:num>
  <w:num w:numId="6" w16cid:durableId="220480293">
    <w:abstractNumId w:val="3"/>
  </w:num>
  <w:num w:numId="7" w16cid:durableId="1582788328">
    <w:abstractNumId w:val="2"/>
  </w:num>
  <w:num w:numId="8" w16cid:durableId="1152058540">
    <w:abstractNumId w:val="1"/>
  </w:num>
  <w:num w:numId="9" w16cid:durableId="114415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B80"/>
    <w:rsid w:val="005F2FC4"/>
    <w:rsid w:val="009E313C"/>
    <w:rsid w:val="00AA1D8D"/>
    <w:rsid w:val="00B47730"/>
    <w:rsid w:val="00C04DC8"/>
    <w:rsid w:val="00CB0664"/>
    <w:rsid w:val="00DA3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1ABAB"/>
  <w14:defaultImageDpi w14:val="300"/>
  <w15:docId w15:val="{4B944E84-135A-8546-B545-53CA0680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sz w:val="24"/>
      <w:szCs w:val="24"/>
    </w:rPr>
  </w:style>
  <w:style w:type="paragraph" w:styleId="Heading1">
    <w:name w:val="heading 1"/>
    <w:basedOn w:val="Normal"/>
    <w:next w:val="Normal"/>
    <w:link w:val="Heading1Char"/>
    <w:uiPriority w:val="9"/>
    <w:qFormat/>
    <w:rsid w:val="00FC693F"/>
    <w:pPr>
      <w:keepNext/>
      <w:keepLines/>
      <w:spacing w:before="240" w:after="200"/>
      <w:jc w:val="center"/>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ap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i/>
      <w:iCs/>
      <w:spacing w:val="15"/>
      <w:sz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nscrypto1968/Pine-Labs/blob/a92962d9013a09c3ef162976fed986b8eb28e7b5/Pine-Labs-Limited-Prospectus.pdf" TargetMode="External"/><Relationship Id="rId26" Type="http://schemas.openxmlformats.org/officeDocument/2006/relationships/hyperlink" Target="https://www.rbi.org.in/Scripts/PublicationsView.aspx?id=23813" TargetMode="External"/><Relationship Id="rId3" Type="http://schemas.openxmlformats.org/officeDocument/2006/relationships/styles" Target="styles.xml"/><Relationship Id="rId21" Type="http://schemas.openxmlformats.org/officeDocument/2006/relationships/hyperlink" Target="https://github.com/nscrypto1968/Pine-Labs/blob/a92962d9013a09c3ef162976fed986b8eb28e7b5/PineLabsLimited_Earnings_Call_Transcript_Q4_FY26.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dn.pinelabs.com/india/investors/pdf/legal-documents/PineLabsLtd_Q1FY27_PressRelease.pdf"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nscrypto1968/Pine-Labs/blob/a92962d9013a09c3ef162976fed986b8eb28e7b5/PineLabs-KPI-Data-Book-Q4-FY26.xlsx" TargetMode="External"/><Relationship Id="rId29" Type="http://schemas.openxmlformats.org/officeDocument/2006/relationships/hyperlink" Target="https://www.pinelabs.com/investor-relations/financial-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cdn.pinelabs.com/india/investors/pdf/legal-documents/PineLabsLimitedQ1FY27Transcript.pdf" TargetMode="External"/><Relationship Id="rId32" Type="http://schemas.openxmlformats.org/officeDocument/2006/relationships/hyperlink" Target="https://pages.stern.nyu.edu/~adamoda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dn.pinelabs.com/india/investors/pdf/legal-documents/PineLabs-KPI-Data-Book-Q1-FY27.xlsx" TargetMode="External"/><Relationship Id="rId28" Type="http://schemas.openxmlformats.org/officeDocument/2006/relationships/hyperlink" Target="https://www.bseindia.com/stock-share-price/pine-labs-ltd/pinelabs/544606/" TargetMode="External"/><Relationship Id="rId10" Type="http://schemas.openxmlformats.org/officeDocument/2006/relationships/image" Target="media/image3.png"/><Relationship Id="rId19" Type="http://schemas.openxmlformats.org/officeDocument/2006/relationships/hyperlink" Target="https://github.com/nscrypto1968/Pine-Labs/blob/a92962d9013a09c3ef162976fed986b8eb28e7b5/Pine_Labs_Ltd_Shareholder_Letter_and_Results_Q4_FY26_with_financials.pdf" TargetMode="External"/><Relationship Id="rId31" Type="http://schemas.openxmlformats.org/officeDocument/2006/relationships/hyperlink" Target="https://hbr.org/1979/03/how-competitive-forces-shape-strateg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dn.pinelabs.com/india/investors/pdf/legal-documents/PineLabsLtd_ShareholderLetter%26Results_Q1FY27.pdf" TargetMode="External"/><Relationship Id="rId27" Type="http://schemas.openxmlformats.org/officeDocument/2006/relationships/hyperlink" Target="https://www.npci.org.in/product/upi/product-statistics" TargetMode="External"/><Relationship Id="rId30" Type="http://schemas.openxmlformats.org/officeDocument/2006/relationships/hyperlink" Target="https://github.com/nscrypto1968/Pine-Lab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96</Pages>
  <Words>32847</Words>
  <Characters>197082</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 Labs Summer Internship Project Report – Nikhil Udaypratap Singh</dc:title>
  <dc:subject>Pine Labs fintech analysis with self-reported Rosy Blue Securities internship context</dc:subject>
  <dc:creator>Nikhil Udaypratap Singh</dc:creator>
  <cp:keywords>Pine Labs, Rosy Blue Securities, SYMMS, M16158, fintech, internship, dealer, analyst</cp:keywords>
  <dc:description>Secondary-data research draft. Administrative and internship-specific particulars require authentic completion.</dc:description>
  <cp:lastModifiedBy>Nikhil SIngh</cp:lastModifiedBy>
  <cp:revision>3</cp:revision>
  <dcterms:created xsi:type="dcterms:W3CDTF">2013-12-23T23:15:00Z</dcterms:created>
  <dcterms:modified xsi:type="dcterms:W3CDTF">2026-10-04T10:46:00Z</dcterms:modified>
  <cp:category/>
</cp:coreProperties>
</file>