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27.svg" ContentType="image/svg+xml"/>
  <Override PartName="/word/media/rId25.svg" ContentType="image/svg+xml"/>
  <Override PartName="/word/media/rId32.svg" ContentType="image/svg+xml"/>
  <Override PartName="/word/media/rId37.svg" ContentType="image/svg+xml"/>
  <Override PartName="/word/media/rId39.svg" ContentType="image/svg+xml"/>
  <Override PartName="/word/media/rId34.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r>
        <w:t xml:space="preserve"> </w:t>
      </w:r>
      <w:r>
        <w:t xml:space="preserve">2.0:</w:t>
      </w:r>
      <w:r>
        <w:t xml:space="preserve"> </w:t>
      </w:r>
      <w:r>
        <w:t xml:space="preserve">A</w:t>
      </w:r>
      <w:r>
        <w:t xml:space="preserve"> </w:t>
      </w:r>
      <w:r>
        <w:t xml:space="preserve">customizable</w:t>
      </w:r>
      <w:r>
        <w:t xml:space="preserve"> </w:t>
      </w:r>
      <w:r>
        <w:t xml:space="preserve">computational</w:t>
      </w:r>
      <w:r>
        <w:t xml:space="preserve"> </w:t>
      </w:r>
      <w:r>
        <w:t xml:space="preserve">pipeline</w:t>
      </w:r>
      <w:r>
        <w:t xml:space="preserve"> </w:t>
      </w:r>
      <w:r>
        <w:t xml:space="preserve">for</w:t>
      </w:r>
      <w:r>
        <w:t xml:space="preserve"> </w:t>
      </w:r>
      <w:r>
        <w:t xml:space="preserve">evolutionary</w:t>
      </w:r>
      <w:r>
        <w:t xml:space="preserve"> </w:t>
      </w:r>
      <w:r>
        <w:t xml:space="preserve">reconstructions</w:t>
      </w:r>
      <w:r>
        <w:t xml:space="preserve"> </w:t>
      </w:r>
      <w:r>
        <w:t xml:space="preserve">during</w:t>
      </w:r>
      <w:r>
        <w:t xml:space="preserve"> </w:t>
      </w:r>
      <w:r>
        <w:t xml:space="preserve">genome</w:t>
      </w:r>
      <w:r>
        <w:t xml:space="preserve"> </w:t>
      </w:r>
      <w:r>
        <w:t xml:space="preserve">mining</w:t>
      </w:r>
    </w:p>
    <w:p>
      <w:pPr>
        <w:pStyle w:val="Author"/>
      </w:pPr>
      <w:r>
        <w:t xml:space="preserve">Selem-Mojica</w:t>
      </w:r>
      <w:r>
        <w:t xml:space="preserve"> </w:t>
      </w:r>
      <w:r>
        <w:t xml:space="preserve">Nelly,</w:t>
      </w:r>
      <w:r>
        <w:t xml:space="preserve"> </w:t>
      </w:r>
      <w:r>
        <w:t xml:space="preserve">Martínez-Guerrero</w:t>
      </w:r>
      <w:r>
        <w:t xml:space="preserve"> </w:t>
      </w:r>
      <w:r>
        <w:t xml:space="preserve">Christian</w:t>
      </w:r>
      <w:r>
        <w:t xml:space="preserve"> </w:t>
      </w:r>
      <w:r>
        <w:t xml:space="preserve">,</w:t>
      </w:r>
      <w:r>
        <w:t xml:space="preserve"> </w:t>
      </w:r>
      <w:r>
        <w:t xml:space="preserve">...,</w:t>
      </w:r>
      <w:r>
        <w:t xml:space="preserve"> </w:t>
      </w:r>
      <w:r>
        <w:t xml:space="preserve">and</w:t>
      </w:r>
      <w:r>
        <w:t xml:space="preserve"> </w:t>
      </w:r>
      <w:r>
        <w:t xml:space="preserve">Barona-Gómez</w:t>
      </w:r>
      <w:r>
        <w:t xml:space="preserve"> </w:t>
      </w:r>
      <w:r>
        <w:t xml:space="preserve">Francisco</w:t>
      </w:r>
    </w:p>
    <w:p>
      <w:pPr>
        <w:pStyle w:val="Date"/>
      </w:pPr>
      <w:r>
        <w:t xml:space="preserve">March,</w:t>
      </w:r>
      <w:r>
        <w:t xml:space="preserve"> </w:t>
      </w:r>
      <w:r>
        <w:t xml:space="preserve">2018</w:t>
      </w:r>
    </w:p>
    <w:p>
      <w:pPr>
        <w:pStyle w:val="Heading2"/>
      </w:pPr>
      <w:bookmarkStart w:id="21" w:name="abstract"/>
      <w:bookmarkEnd w:id="21"/>
      <w:r>
        <w:t xml:space="preserve">Abstract</w:t>
      </w:r>
    </w:p>
    <w:p>
      <w:pPr>
        <w:pStyle w:val="Heading2"/>
      </w:pPr>
      <w:bookmarkStart w:id="22" w:name="introduction"/>
      <w:bookmarkEnd w:id="22"/>
      <w:r>
        <w:t xml:space="preserve">Introduction</w:t>
      </w:r>
    </w:p>
    <w:p>
      <w:pPr>
        <w:pStyle w:val="Heading2"/>
      </w:pPr>
      <w:bookmarkStart w:id="23" w:name="results-and-discussion"/>
      <w:bookmarkEnd w:id="23"/>
      <w:r>
        <w:t xml:space="preserve">Results and Discussion</w:t>
      </w:r>
    </w:p>
    <w:p>
      <w:pPr>
        <w:pStyle w:val="Heading3"/>
      </w:pPr>
      <w:bookmarkStart w:id="24" w:name="section-1-evomining-2.0-updated-model-and-pipeline"/>
      <w:bookmarkEnd w:id="24"/>
      <w:r>
        <w:t xml:space="preserve">Section 1 EvoMining 2.0 Updated model and pipeline</w:t>
      </w:r>
    </w:p>
    <w:p>
      <w:pPr>
        <w:pStyle w:val="FirstParagraph"/>
      </w:pPr>
      <w:r>
        <w:t xml:space="preserve">EvoMining is a visual genome mining tool that following evolutionary principles has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6">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r>
        <w:br w:type="textWrapping"/>
      </w:r>
      <w:r>
        <w:t xml:space="preserve">EvoMining algorithm was used before with 230 Actinobacteria 106 central families, nvertheless</w:t>
      </w:r>
      <w:r>
        <w:br w:type="textWrapping"/>
      </w:r>
      <w:r>
        <w:t xml:space="preserve">Genomic DB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center"/>
            </w:pPr>
            <w:r>
              <w:t xml:space="preserve">EvoMining 1</w:t>
            </w:r>
          </w:p>
        </w:tc>
        <w:tc>
          <w:tcPr>
            <w:tcBorders>
              <w:bottom w:val="single"/>
            </w:tcBorders>
            <w:vAlign w:val="bottom"/>
          </w:tcPr>
          <w:p>
            <w:pPr>
              <w:pStyle w:val="Compact"/>
              <w:jc w:val="left"/>
            </w:pPr>
            <w:r>
              <w:t xml:space="preserve">EvoMining 2</w:t>
            </w:r>
          </w:p>
        </w:tc>
        <w:tc>
          <w:tcPr>
            <w:tcBorders>
              <w:bottom w:val="single"/>
            </w:tcBorders>
            <w:vAlign w:val="bottom"/>
          </w:tcPr>
          <w:p>
            <w:pPr>
              <w:pStyle w:val="Compact"/>
              <w:jc w:val="center"/>
            </w:pPr>
            <w:r>
              <w:t xml:space="preserve">Novel insights</w:t>
            </w:r>
          </w:p>
        </w:tc>
      </w:tr>
      <w:tr>
        <w:tc>
          <w:p>
            <w:pPr>
              <w:pStyle w:val="Compact"/>
              <w:jc w:val="left"/>
            </w:pPr>
            <w:r>
              <w:t xml:space="preserve">Code</w:t>
            </w:r>
          </w:p>
        </w:tc>
        <w:tc>
          <w:p>
            <w:pStyle w:val="Compact"/>
          </w:p>
        </w:tc>
        <w:tc>
          <w:p>
            <w:pStyle w:val="Compact"/>
          </w:p>
        </w:tc>
        <w:tc>
          <w:p>
            <w:pStyle w:val="Compact"/>
          </w:p>
        </w:tc>
      </w:tr>
      <w:tr>
        <w:tc>
          <w:p>
            <w:pStyle w:val="Compact"/>
          </w:p>
        </w:tc>
        <w:tc>
          <w:p>
            <w:pPr>
              <w:pStyle w:val="Compact"/>
              <w:jc w:val="center"/>
            </w:pPr>
            <w:r>
              <w:t xml:space="preserve">Consulting web site</w:t>
            </w:r>
          </w:p>
        </w:tc>
        <w:tc>
          <w:p>
            <w:pPr>
              <w:pStyle w:val="Compact"/>
              <w:jc w:val="left"/>
            </w:pPr>
            <w:r>
              <w:t xml:space="preserve">Standalone docker tool</w:t>
            </w:r>
          </w:p>
        </w:tc>
        <w:tc>
          <w:p>
            <w:pStyle w:val="Compact"/>
          </w:p>
        </w:tc>
      </w:tr>
      <w:tr>
        <w:tc>
          <w:p>
            <w:pPr>
              <w:pStyle w:val="Compact"/>
              <w:jc w:val="left"/>
            </w:pPr>
            <w:r>
              <w:t xml:space="preserve">Databases</w:t>
            </w:r>
          </w:p>
        </w:tc>
        <w:tc>
          <w:p>
            <w:pStyle w:val="Compact"/>
          </w:p>
        </w:tc>
        <w:tc>
          <w:p>
            <w:pStyle w:val="Compact"/>
          </w:p>
        </w:tc>
        <w:tc>
          <w:p>
            <w:pStyle w:val="Compact"/>
          </w:p>
        </w:tc>
      </w:tr>
      <w:tr>
        <w:tc>
          <w:p>
            <w:pStyle w:val="Compact"/>
          </w:p>
        </w:tc>
        <w:tc>
          <w:p>
            <w:pPr>
              <w:pStyle w:val="Compact"/>
              <w:jc w:val="center"/>
            </w:pPr>
            <w:r>
              <w:t xml:space="preserve">Fixed</w:t>
            </w:r>
          </w:p>
        </w:tc>
        <w:tc>
          <w:p>
            <w:pPr>
              <w:pStyle w:val="Compact"/>
              <w:jc w:val="left"/>
            </w:pPr>
            <w:r>
              <w:t xml:space="preserve">Customizable</w:t>
            </w:r>
          </w:p>
        </w:tc>
        <w:tc>
          <w:p>
            <w:pStyle w:val="Compact"/>
          </w:p>
        </w:tc>
      </w:tr>
      <w:tr>
        <w:tc>
          <w:p>
            <w:pPr>
              <w:pStyle w:val="Compact"/>
              <w:jc w:val="left"/>
            </w:pPr>
            <w:r>
              <w:t xml:space="preserve">Genomic-DB</w:t>
            </w:r>
          </w:p>
        </w:tc>
        <w:tc>
          <w:p>
            <w:pStyle w:val="Compact"/>
          </w:p>
        </w:tc>
        <w:tc>
          <w:p>
            <w:pStyle w:val="Compact"/>
          </w:p>
        </w:tc>
        <w:tc>
          <w:p>
            <w:pStyle w:val="Compact"/>
          </w:p>
        </w:tc>
      </w:tr>
      <w:tr>
        <w:tc>
          <w:p>
            <w:pStyle w:val="Compact"/>
          </w:p>
        </w:tc>
        <w:tc>
          <w:p>
            <w:pPr>
              <w:pStyle w:val="Compact"/>
              <w:jc w:val="center"/>
            </w:pPr>
            <w:r>
              <w:t xml:space="preserve">Actinobacteria 230 genomes</w:t>
            </w:r>
          </w:p>
        </w:tc>
        <w:tc>
          <w:p>
            <w:pPr>
              <w:pStyle w:val="Compact"/>
              <w:jc w:val="left"/>
            </w:pPr>
            <w:r>
              <w:t xml:space="preserve">Actinobacteria 1245 genomes</w:t>
            </w:r>
          </w:p>
        </w:tc>
        <w:tc>
          <w:p>
            <w:pPr>
              <w:pStyle w:val="Compact"/>
              <w:jc w:val="center"/>
            </w:pPr>
            <w:r>
              <w:t xml:space="preserve">EvoMining predictions are lineage dependnet</w:t>
            </w:r>
          </w:p>
        </w:tc>
      </w:tr>
      <w:tr>
        <w:tc>
          <w:p>
            <w:pStyle w:val="Compact"/>
          </w:p>
        </w:tc>
        <w:tc>
          <w:p>
            <w:pStyle w:val="Compact"/>
          </w:p>
        </w:tc>
        <w:tc>
          <w:p>
            <w:pPr>
              <w:pStyle w:val="Compact"/>
              <w:jc w:val="left"/>
            </w:pPr>
            <w:r>
              <w:t xml:space="preserve">Cyanobacteria 416 genomes</w:t>
            </w:r>
          </w:p>
        </w:tc>
        <w:tc>
          <w:p>
            <w:pStyle w:val="Compact"/>
          </w:p>
        </w:tc>
      </w:tr>
      <w:tr>
        <w:tc>
          <w:p>
            <w:pStyle w:val="Compact"/>
          </w:p>
        </w:tc>
        <w:tc>
          <w:p>
            <w:pStyle w:val="Compact"/>
          </w:p>
        </w:tc>
        <w:tc>
          <w:p>
            <w:pPr>
              <w:pStyle w:val="Compact"/>
              <w:jc w:val="left"/>
            </w:pPr>
            <w:r>
              <w:t xml:space="preserve">Archaea 876 genomes</w:t>
            </w:r>
          </w:p>
        </w:tc>
        <w:tc>
          <w:p>
            <w:pStyle w:val="Compact"/>
          </w:p>
        </w:tc>
      </w:tr>
      <w:tr>
        <w:tc>
          <w:p>
            <w:pPr>
              <w:pStyle w:val="Compact"/>
              <w:jc w:val="left"/>
            </w:pPr>
            <w:r>
              <w:t xml:space="preserve">Central-DB</w:t>
            </w:r>
          </w:p>
        </w:tc>
        <w:tc>
          <w:p>
            <w:pStyle w:val="Compact"/>
          </w:p>
        </w:tc>
        <w:tc>
          <w:p>
            <w:pStyle w:val="Compact"/>
          </w:p>
        </w:tc>
        <w:tc>
          <w:p>
            <w:pStyle w:val="Compact"/>
          </w:p>
        </w:tc>
      </w:tr>
      <w:tr>
        <w:tc>
          <w:p>
            <w:pStyle w:val="Compact"/>
          </w:p>
        </w:tc>
        <w:tc>
          <w:p>
            <w:pPr>
              <w:pStyle w:val="Compact"/>
              <w:jc w:val="center"/>
            </w:pPr>
            <w:r>
              <w:t xml:space="preserve">Actinobacteria 106 families</w:t>
            </w:r>
          </w:p>
        </w:tc>
        <w:tc>
          <w:p>
            <w:pPr>
              <w:pStyle w:val="Compact"/>
              <w:jc w:val="left"/>
            </w:pPr>
            <w:r>
              <w:t xml:space="preserve">Actinobacteria 106 families</w:t>
            </w:r>
          </w:p>
        </w:tc>
        <w:tc>
          <w:p>
            <w:pStyle w:val="Compact"/>
          </w:p>
        </w:tc>
      </w:tr>
      <w:tr>
        <w:tc>
          <w:p>
            <w:pStyle w:val="Compact"/>
          </w:p>
        </w:tc>
        <w:tc>
          <w:p>
            <w:pStyle w:val="Compact"/>
          </w:p>
        </w:tc>
        <w:tc>
          <w:p>
            <w:pPr>
              <w:pStyle w:val="Compact"/>
              <w:jc w:val="left"/>
            </w:pPr>
            <w:r>
              <w:t xml:space="preserve">Cyanobacteria 81 families</w:t>
            </w:r>
          </w:p>
        </w:tc>
        <w:tc>
          <w:p>
            <w:pStyle w:val="Compact"/>
          </w:p>
        </w:tc>
      </w:tr>
      <w:tr>
        <w:tc>
          <w:p>
            <w:pStyle w:val="Compact"/>
          </w:p>
        </w:tc>
        <w:tc>
          <w:p>
            <w:pStyle w:val="Compact"/>
          </w:p>
        </w:tc>
        <w:tc>
          <w:p>
            <w:pPr>
              <w:pStyle w:val="Compact"/>
              <w:jc w:val="left"/>
            </w:pPr>
            <w:r>
              <w:t xml:space="preserve">Archaea 80 families</w:t>
            </w:r>
          </w:p>
        </w:tc>
        <w:tc>
          <w:p>
            <w:pStyle w:val="Compact"/>
          </w:p>
        </w:tc>
      </w:tr>
      <w:tr>
        <w:tc>
          <w:p>
            <w:pStyle w:val="Compact"/>
          </w:p>
        </w:tc>
        <w:tc>
          <w:p>
            <w:pStyle w:val="Compact"/>
          </w:p>
        </w:tc>
        <w:tc>
          <w:p>
            <w:pPr>
              <w:pStyle w:val="Compact"/>
              <w:jc w:val="left"/>
            </w:pPr>
            <w:r>
              <w:t xml:space="preserve">RetroEvoMining XX num</w:t>
            </w:r>
          </w:p>
        </w:tc>
        <w:tc>
          <w:p>
            <w:pStyle w:val="Compact"/>
          </w:p>
        </w:tc>
      </w:tr>
      <w:tr>
        <w:tc>
          <w:p>
            <w:pPr>
              <w:pStyle w:val="Compact"/>
              <w:jc w:val="left"/>
            </w:pPr>
            <w:r>
              <w:t xml:space="preserve">Natural-DB</w:t>
            </w:r>
          </w:p>
        </w:tc>
        <w:tc>
          <w:p>
            <w:pStyle w:val="Compact"/>
          </w:p>
        </w:tc>
        <w:tc>
          <w:p>
            <w:pStyle w:val="Compact"/>
          </w:p>
        </w:tc>
        <w:tc>
          <w:p>
            <w:pStyle w:val="Compact"/>
          </w:p>
        </w:tc>
      </w:tr>
      <w:tr>
        <w:tc>
          <w:p>
            <w:pStyle w:val="Compact"/>
          </w:p>
        </w:tc>
        <w:tc>
          <w:p>
            <w:pPr>
              <w:pStyle w:val="Compact"/>
              <w:jc w:val="center"/>
            </w:pPr>
            <w:r>
              <w:t xml:space="preserve">Manual curation</w:t>
            </w:r>
          </w:p>
        </w:tc>
        <w:tc>
          <w:p>
            <w:pPr>
              <w:pStyle w:val="Compact"/>
              <w:jc w:val="left"/>
            </w:pPr>
            <w:r>
              <w:t xml:space="preserve">MiBIG</w:t>
            </w:r>
          </w:p>
        </w:tc>
        <w:tc>
          <w:p>
            <w:pStyle w:val="Compact"/>
          </w:p>
        </w:tc>
      </w:tr>
    </w:tbl>
    <w:p>
      <w:r>
        <w:pict>
          <v:rect style="width:0;height:1.5pt" o:hralign="center" o:hrstd="t" o:hr="t"/>
        </w:pict>
      </w:r>
    </w:p>
    <w:p>
      <w:pPr>
        <w:pStyle w:val="FirstParagraph"/>
      </w:pPr>
      <w:r>
        <w:br w:type="textWrapping"/>
      </w:r>
      <w:r>
        <w:t xml:space="preserve">### From</w:t>
      </w:r>
    </w:p>
    <w:p>
      <w:pPr>
        <w:pStyle w:val="BodyText"/>
      </w:pPr>
      <w:r>
        <w:t xml:space="preserve">235 Enzymes from BGC clusters were tested</w:t>
      </w:r>
      <w:r>
        <w:t xml:space="preserve"> </w:t>
      </w:r>
      <w:r>
        <w:t xml:space="preserve">55 reduced</w:t>
      </w:r>
      <w:r>
        <w:br w:type="textWrapping"/>
      </w:r>
      <w:r>
        <w:t xml:space="preserve">56 intermediate</w:t>
      </w:r>
      <w:r>
        <w:br w:type="textWrapping"/>
      </w:r>
      <w:r>
        <w:t xml:space="preserve">124 Super</w:t>
      </w:r>
      <w:r>
        <w:br w:type="textWrapping"/>
      </w:r>
      <w:r>
        <w:t xml:space="preserve">tableExp</w:t>
      </w:r>
      <m:oMath>
        <m:r>
          <m:t>E</m:t>
        </m:r>
        <m:r>
          <m:t>x</m:t>
        </m:r>
        <m:r>
          <m:t>p</m:t>
        </m:r>
        <m:r>
          <m:t>N</m:t>
        </m:r>
        <m:r>
          <m:t>u</m:t>
        </m:r>
        <m:r>
          <m:t>m</m:t>
        </m:r>
        <m:r>
          <m:t>=</m:t>
        </m:r>
        <m:r>
          <m:t>1</m:t>
        </m:r>
        <m:r>
          <m:t>−</m:t>
        </m:r>
        <m:r>
          <m:t>t</m:t>
        </m:r>
        <m:r>
          <m:t>a</m:t>
        </m:r>
        <m:r>
          <m:t>b</m:t>
        </m:r>
        <m:r>
          <m:t>l</m:t>
        </m:r>
        <m:r>
          <m:t>e</m:t>
        </m:r>
        <m:r>
          <m:t>E</m:t>
        </m:r>
        <m:r>
          <m:t>x</m:t>
        </m:r>
        <m:r>
          <m:t>p</m:t>
        </m:r>
      </m:oMath>
      <w:r>
        <w:t xml:space="preserve">OneCopy/tableExp$CopiesEvo</w:t>
      </w:r>
    </w:p>
    <w:p>
      <w:pPr>
        <w:pStyle w:val="BodyText"/>
      </w:pPr>
      <w:r>
        <w:drawing>
          <wp:inline>
            <wp:extent cx="3810000" cy="2540000"/>
            <wp:effectExtent b="0" l="0" r="0" t="0"/>
            <wp:docPr descr="TauD" id="1" name="Picture"/>
            <a:graphic>
              <a:graphicData uri="http://schemas.openxmlformats.org/drawingml/2006/picture">
                <pic:pic>
                  <pic:nvPicPr>
                    <pic:cNvPr descr="Figuras/EvoBackward2.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t xml:space="preserve">3.2(Backward Evening)</w:t>
      </w:r>
      <w:r>
        <w:br w:type="textWrapping"/>
      </w:r>
      <w:r>
        <w:t xml:space="preserve">Coelicolor clusters</w:t>
      </w:r>
    </w:p>
    <w:p>
      <w:pPr>
        <w:pStyle w:val="BodyText"/>
      </w:pPr>
      <m:oMath>
        <m:r>
          <m:t>E</m:t>
        </m:r>
        <m:r>
          <m:t>x</m:t>
        </m:r>
        <m:r>
          <m:t>N</m:t>
        </m:r>
        <m:r>
          <m:t>u</m:t>
        </m:r>
        <m:r>
          <m:t>m</m:t>
        </m:r>
        <m:r>
          <m:t>=</m:t>
        </m:r>
        <m:r>
          <m:t>1</m:t>
        </m:r>
        <m:r>
          <m:t>−</m:t>
        </m:r>
        <m:f>
          <m:fPr>
            <m:type m:val="bar"/>
          </m:fPr>
          <m:num>
            <m:r>
              <m:t>O</m:t>
            </m:r>
            <m:r>
              <m:t>r</m:t>
            </m:r>
            <m:r>
              <m:t>g</m:t>
            </m:r>
            <m:r>
              <m:t>a</m:t>
            </m:r>
            <m:r>
              <m:t>n</m:t>
            </m:r>
            <m:r>
              <m:t>i</m:t>
            </m:r>
            <m:r>
              <m:t>s</m:t>
            </m:r>
            <m:r>
              <m:t>m</m:t>
            </m:r>
            <m:r>
              <m:t>s</m:t>
            </m:r>
            <m:r>
              <m:t> </m:t>
            </m:r>
            <m:r>
              <m:t>w</m:t>
            </m:r>
            <m:r>
              <m:t>i</m:t>
            </m:r>
            <m:r>
              <m:t>t</m:t>
            </m:r>
            <m:r>
              <m:t>h</m:t>
            </m:r>
            <m:r>
              <m:t> </m:t>
            </m:r>
            <m:r>
              <m:t>a</m:t>
            </m:r>
            <m:r>
              <m:t>t</m:t>
            </m:r>
            <m:r>
              <m:t> </m:t>
            </m:r>
            <m:r>
              <m:t>l</m:t>
            </m:r>
            <m:r>
              <m:t>e</m:t>
            </m:r>
            <m:r>
              <m:t>a</m:t>
            </m:r>
            <m:r>
              <m:t>s</m:t>
            </m:r>
            <m:r>
              <m:t>t</m:t>
            </m:r>
            <m:r>
              <m:t> </m:t>
            </m:r>
            <m:r>
              <m:t>o</m:t>
            </m:r>
            <m:r>
              <m:t>n</m:t>
            </m:r>
            <m:r>
              <m:t>e</m:t>
            </m:r>
            <m:r>
              <m:t> </m:t>
            </m:r>
            <m:r>
              <m:t>c</m:t>
            </m:r>
            <m:r>
              <m:t>o</m:t>
            </m:r>
            <m:r>
              <m:t>p</m:t>
            </m:r>
            <m:r>
              <m:t>i</m:t>
            </m:r>
            <m:r>
              <m:t>e</m:t>
            </m:r>
          </m:num>
          <m:den>
            <m:r>
              <m:t>T</m:t>
            </m:r>
            <m:r>
              <m:t>o</m:t>
            </m:r>
            <m:r>
              <m:t>t</m:t>
            </m:r>
            <m:r>
              <m:t>a</m:t>
            </m:r>
            <m:r>
              <m:t>l</m:t>
            </m:r>
            <m:r>
              <m:t>c</m:t>
            </m:r>
            <m:r>
              <m:t>o</m:t>
            </m:r>
            <m:r>
              <m:t>p</m:t>
            </m:r>
            <m:r>
              <m:t>i</m:t>
            </m:r>
            <m:r>
              <m:t>e</m:t>
            </m:r>
            <m:r>
              <m:t>s</m:t>
            </m:r>
            <m:r>
              <m:t>o</m:t>
            </m:r>
            <m:r>
              <m:t>n</m:t>
            </m:r>
            <m:r>
              <m:t>g</m:t>
            </m:r>
            <m:r>
              <m:t>e</m:t>
            </m:r>
            <m:r>
              <m:t>n</m:t>
            </m:r>
            <m:r>
              <m:t>o</m:t>
            </m:r>
            <m:r>
              <m:t>m</m:t>
            </m:r>
            <m:r>
              <m:t>i</m:t>
            </m:r>
            <m:r>
              <m:t>c</m:t>
            </m:r>
            <m:r>
              <m:t>D</m:t>
            </m:r>
            <m:r>
              <m:t>B</m:t>
            </m:r>
          </m:den>
        </m:f>
      </m:oMath>
    </w:p>
    <w:p>
      <w:pPr>
        <w:pStyle w:val="BodyText"/>
      </w:pPr>
      <w:r>
        <w:t xml:space="preserve">Esto se hará solo sobre Streptomyces de los 1246</w:t>
      </w:r>
    </w:p>
    <w:p>
      <w:pPr>
        <w:pStyle w:val="BodyText"/>
      </w:pPr>
      <w:r>
        <w:t xml:space="preserve">HERE TABLE WITH CLUSTERS</w:t>
      </w:r>
    </w:p>
    <w:p>
      <w:pPr>
        <w:pStyle w:val="TableCaption"/>
      </w:pPr>
      <w:r>
        <w:t xml:space="preserve">Coelicolor</w:t>
      </w:r>
    </w:p>
    <w:tbl>
      <w:tblPr>
        <w:tblStyle w:val="TableNormal"/>
        <w:tblW w:type="pct" w:w="0.0"/>
        <w:tblLook w:firstRow="1"/>
        <w:tblCaption w:val="Coelicolor"/>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Full...partial</w:t>
            </w:r>
          </w:p>
        </w:tc>
        <w:tc>
          <w:tcPr>
            <w:tcBorders>
              <w:bottom w:val="single"/>
            </w:tcBorders>
            <w:vAlign w:val="bottom"/>
          </w:tcPr>
          <w:p>
            <w:pPr>
              <w:pStyle w:val="Compact"/>
              <w:jc w:val="left"/>
            </w:pPr>
            <w:r>
              <w:t xml:space="preserve">Main.product</w:t>
            </w:r>
          </w:p>
        </w:tc>
        <w:tc>
          <w:tcPr>
            <w:tcBorders>
              <w:bottom w:val="single"/>
            </w:tcBorders>
            <w:vAlign w:val="bottom"/>
          </w:tcPr>
          <w:p>
            <w:pPr>
              <w:pStyle w:val="Compact"/>
              <w:jc w:val="left"/>
            </w:pPr>
            <w:r>
              <w:t xml:space="preserve">Biosynthetic.class</w:t>
            </w:r>
          </w:p>
        </w:tc>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X..Backward.EvoMining.Hits</w:t>
            </w:r>
          </w:p>
        </w:tc>
        <w:tc>
          <w:tcPr>
            <w:tcBorders>
              <w:bottom w:val="single"/>
            </w:tcBorders>
            <w:vAlign w:val="bottom"/>
          </w:tcPr>
          <w:p>
            <w:pPr>
              <w:pStyle w:val="Compact"/>
              <w:jc w:val="left"/>
            </w:pPr>
            <w:r>
              <w:t xml:space="preserve">Open.closed</w:t>
            </w:r>
          </w:p>
        </w:tc>
      </w:tr>
      <w:tr>
        <w:tc>
          <w:p>
            <w:pPr>
              <w:pStyle w:val="Compact"/>
              <w:jc w:val="left"/>
            </w:pPr>
            <w:r>
              <w:t xml:space="preserve">BGC0000038</w:t>
            </w:r>
          </w:p>
        </w:tc>
        <w:tc>
          <w:p>
            <w:pPr>
              <w:pStyle w:val="Compact"/>
              <w:jc w:val="left"/>
            </w:pPr>
            <w:r>
              <w:t xml:space="preserve">Full</w:t>
            </w:r>
          </w:p>
        </w:tc>
        <w:tc>
          <w:p>
            <w:pPr>
              <w:pStyle w:val="Compact"/>
              <w:jc w:val="left"/>
            </w:pPr>
            <w:r>
              <w:t xml:space="preserve">coelimycin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BGC0000194</w:t>
            </w:r>
          </w:p>
        </w:tc>
        <w:tc>
          <w:p>
            <w:pPr>
              <w:pStyle w:val="Compact"/>
              <w:jc w:val="left"/>
            </w:pPr>
            <w:r>
              <w:t xml:space="preserve">Full</w:t>
            </w:r>
          </w:p>
        </w:tc>
        <w:tc>
          <w:p>
            <w:pPr>
              <w:pStyle w:val="Compact"/>
              <w:jc w:val="left"/>
            </w:pPr>
            <w:r>
              <w:t xml:space="preserve">actinorhodin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GC0000315</w:t>
            </w:r>
          </w:p>
        </w:tc>
        <w:tc>
          <w:p>
            <w:pPr>
              <w:pStyle w:val="Compact"/>
              <w:jc w:val="left"/>
            </w:pPr>
            <w:r>
              <w:t xml:space="preserve">Full</w:t>
            </w:r>
          </w:p>
        </w:tc>
        <w:tc>
          <w:p>
            <w:pPr>
              <w:pStyle w:val="Compact"/>
              <w:jc w:val="left"/>
            </w:pPr>
            <w:r>
              <w:t xml:space="preserve">calcium-dependent antibiotic</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BGC0000551</w:t>
            </w:r>
          </w:p>
        </w:tc>
        <w:tc>
          <w:p>
            <w:pPr>
              <w:pStyle w:val="Compact"/>
              <w:jc w:val="left"/>
            </w:pPr>
            <w:r>
              <w:t xml:space="preserve">Full</w:t>
            </w:r>
          </w:p>
        </w:tc>
        <w:tc>
          <w:p>
            <w:pPr>
              <w:pStyle w:val="Compact"/>
              <w:jc w:val="left"/>
            </w:pPr>
            <w:r>
              <w:t xml:space="preserve">sapB</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BGC0000595</w:t>
            </w:r>
          </w:p>
        </w:tc>
        <w:tc>
          <w:p>
            <w:pPr>
              <w:pStyle w:val="Compact"/>
              <w:jc w:val="left"/>
            </w:pPr>
            <w:r>
              <w:t xml:space="preserve">Full</w:t>
            </w:r>
          </w:p>
        </w:tc>
        <w:tc>
          <w:p>
            <w:pPr>
              <w:pStyle w:val="Compact"/>
              <w:jc w:val="left"/>
            </w:pPr>
            <w:r>
              <w:t xml:space="preserve">SCO-2138</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BGC0000849</w:t>
            </w:r>
          </w:p>
        </w:tc>
        <w:tc>
          <w:p>
            <w:pPr>
              <w:pStyle w:val="Compact"/>
              <w:jc w:val="left"/>
            </w:pPr>
            <w:r>
              <w:t xml:space="preserve">Full</w:t>
            </w:r>
          </w:p>
        </w:tc>
        <w:tc>
          <w:p>
            <w:pPr>
              <w:pStyle w:val="Compact"/>
              <w:jc w:val="left"/>
            </w:pPr>
            <w:r>
              <w:t xml:space="preserve">gamma-butyrolactone</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BGC0000940</w:t>
            </w:r>
          </w:p>
        </w:tc>
        <w:tc>
          <w:p>
            <w:pPr>
              <w:pStyle w:val="Compact"/>
              <w:jc w:val="left"/>
            </w:pPr>
            <w:r>
              <w:t xml:space="preserve">Full</w:t>
            </w:r>
          </w:p>
        </w:tc>
        <w:tc>
          <w:p>
            <w:pPr>
              <w:pStyle w:val="Compact"/>
              <w:jc w:val="left"/>
            </w:pPr>
            <w:r>
              <w:t xml:space="preserve">desferrioxamine B</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BGC0000324</w:t>
            </w:r>
          </w:p>
        </w:tc>
        <w:tc>
          <w:p>
            <w:pPr>
              <w:pStyle w:val="Compact"/>
              <w:jc w:val="left"/>
            </w:pPr>
            <w:r>
              <w:t xml:space="preserve">Partial</w:t>
            </w:r>
          </w:p>
        </w:tc>
        <w:tc>
          <w:p>
            <w:pPr>
              <w:pStyle w:val="Compact"/>
              <w:jc w:val="left"/>
            </w:pPr>
            <w:r>
              <w:t xml:space="preserve">coelibactin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BGC0000325</w:t>
            </w:r>
          </w:p>
        </w:tc>
        <w:tc>
          <w:p>
            <w:pPr>
              <w:pStyle w:val="Compact"/>
              <w:jc w:val="left"/>
            </w:pPr>
            <w:r>
              <w:t xml:space="preserve">Partial</w:t>
            </w:r>
          </w:p>
        </w:tc>
        <w:tc>
          <w:p>
            <w:pPr>
              <w:pStyle w:val="Compact"/>
              <w:jc w:val="left"/>
            </w:pPr>
            <w:r>
              <w:t xml:space="preserve">coelichelin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BGC0000660</w:t>
            </w:r>
          </w:p>
        </w:tc>
        <w:tc>
          <w:p>
            <w:pPr>
              <w:pStyle w:val="Compact"/>
              <w:jc w:val="left"/>
            </w:pPr>
            <w:r>
              <w:t xml:space="preserve">Partial</w:t>
            </w:r>
          </w:p>
        </w:tc>
        <w:tc>
          <w:p>
            <w:pPr>
              <w:pStyle w:val="Compact"/>
              <w:jc w:val="left"/>
            </w:pPr>
            <w:r>
              <w:t xml:space="preserve">albaflavenone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BGC0000663</w:t>
            </w:r>
          </w:p>
        </w:tc>
        <w:tc>
          <w:p>
            <w:pPr>
              <w:pStyle w:val="Compact"/>
              <w:jc w:val="left"/>
            </w:pPr>
            <w:r>
              <w:t xml:space="preserve">Partial</w:t>
            </w:r>
          </w:p>
        </w:tc>
        <w:tc>
          <w:p>
            <w:pPr>
              <w:pStyle w:val="Compact"/>
              <w:jc w:val="left"/>
            </w:pPr>
            <w:r>
              <w:t xml:space="preserve">hopene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BGC0000910</w:t>
            </w:r>
          </w:p>
        </w:tc>
        <w:tc>
          <w:p>
            <w:pPr>
              <w:pStyle w:val="Compact"/>
              <w:jc w:val="left"/>
            </w:pPr>
            <w:r>
              <w:t xml:space="preserve">Partial</w:t>
            </w:r>
          </w:p>
        </w:tc>
        <w:tc>
          <w:p>
            <w:pPr>
              <w:pStyle w:val="Compact"/>
              <w:jc w:val="left"/>
            </w:pPr>
            <w:r>
              <w:t xml:space="preserve">melanin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BGC0000914</w:t>
            </w:r>
          </w:p>
        </w:tc>
        <w:tc>
          <w:p>
            <w:pPr>
              <w:pStyle w:val="Compact"/>
              <w:jc w:val="left"/>
            </w:pPr>
            <w:r>
              <w:t xml:space="preserve">Partial</w:t>
            </w:r>
          </w:p>
        </w:tc>
        <w:tc>
          <w:p>
            <w:pPr>
              <w:pStyle w:val="Compact"/>
              <w:jc w:val="left"/>
            </w:pPr>
            <w:r>
              <w:t xml:space="preserve">methylenomycin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BGC0001063</w:t>
            </w:r>
          </w:p>
        </w:tc>
        <w:tc>
          <w:p>
            <w:pPr>
              <w:pStyle w:val="Compact"/>
              <w:jc w:val="left"/>
            </w:pPr>
            <w:r>
              <w:t xml:space="preserve">Partial</w:t>
            </w:r>
          </w:p>
        </w:tc>
        <w:tc>
          <w:p>
            <w:pPr>
              <w:pStyle w:val="Compact"/>
              <w:jc w:val="left"/>
            </w:pPr>
            <w:r>
              <w:t xml:space="preserve">undecylprodigiosin</w:t>
            </w:r>
          </w:p>
        </w:tc>
        <w:tc>
          <w:p>
            <w:pPr>
              <w:pStyle w:val="Compact"/>
              <w:jc w:val="left"/>
            </w:pPr>
            <w:r>
              <w:t xml:space="preserve">NRP / 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BGC0001181</w:t>
            </w:r>
          </w:p>
        </w:tc>
        <w:tc>
          <w:p>
            <w:pPr>
              <w:pStyle w:val="Compact"/>
              <w:jc w:val="left"/>
            </w:pPr>
            <w:r>
              <w:t xml:space="preserve">Partial</w:t>
            </w:r>
          </w:p>
        </w:tc>
        <w:tc>
          <w:p>
            <w:pPr>
              <w:pStyle w:val="Compact"/>
              <w:jc w:val="left"/>
            </w:pPr>
            <w:r>
              <w:t xml:space="preserve">geosmin</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bl>
    <w:p>
      <w:pPr>
        <w:pStyle w:val="SourceCode"/>
      </w:pPr>
      <w:r>
        <w:rPr>
          <w:rStyle w:val="VerbatimChar"/>
        </w:rPr>
        <w:t xml:space="preserve">## Warning: Removed 1 rows containing missing values (geom_point).</w:t>
      </w:r>
      <w:r>
        <w:br w:type="textWrapping"/>
      </w:r>
      <w:r>
        <w:rPr>
          <w:rStyle w:val="VerbatimChar"/>
        </w:rPr>
        <w:t xml:space="preserve"/>
      </w:r>
      <w:r>
        <w:br w:type="textWrapping"/>
      </w:r>
      <w:r>
        <w:rPr>
          <w:rStyle w:val="VerbatimChar"/>
        </w:rPr>
        <w:t xml:space="preserve">## Warning: Removed 1 rows containing missing values (geom_point).</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EvoMining_files/figure-docx/ExpNumber-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`position` is deprecated</w:t>
      </w:r>
    </w:p>
    <w:p>
      <w:pPr>
        <w:pStyle w:val="SourceCode"/>
      </w:pPr>
      <w:r>
        <w:rPr>
          <w:rStyle w:val="VerbatimChar"/>
        </w:rPr>
        <w:t xml:space="preserve">## Warning: `position` is deprecated</w:t>
      </w:r>
    </w:p>
    <w:p>
      <w:pPr>
        <w:pStyle w:val="FirstParagraph"/>
      </w:pPr>
      <w:r>
        <w:t xml:space="preserve">Presence Absence</w:t>
      </w:r>
      <w:r>
        <w:t xml:space="preserve"> </w:t>
      </w:r>
      <w:r>
        <w:t xml:space="preserve">EvoMining was run over enzymes with expansion number between .1 and .6</w:t>
      </w:r>
      <w:r>
        <w:t xml:space="preserve"> </w:t>
      </w:r>
      <w:r>
        <w:t xml:space="preserve">Figuras/GenomicDBS.svg</w:t>
      </w:r>
    </w:p>
    <w:p>
      <w:pPr>
        <w:pStyle w:val="Heading3"/>
      </w:pPr>
      <w:bookmarkStart w:id="30" w:name="section-2-update-and-insights-from-genomic-databases"/>
      <w:bookmarkEnd w:id="30"/>
      <w:r>
        <w:t xml:space="preserve">Section 2 Update and insights from genomic databases</w:t>
      </w:r>
    </w:p>
    <w:p>
      <w:pPr>
        <w:pStyle w:val="FirstParagraph"/>
      </w:pPr>
      <w:r>
        <w:t xml:space="preserve">El reclutamiento de una enzima en una ruta de metabolismo secundario</w:t>
      </w:r>
      <w:r>
        <w:t xml:space="preserve"> </w:t>
      </w:r>
      <w:r>
        <w:t xml:space="preserve">The expansioness of a family depends on the clade.</w:t>
      </w:r>
      <w:r>
        <w:br w:type="textWrapping"/>
      </w:r>
      <w:r>
        <w:t xml:space="preserve">Expansions are correlated with genome side, at different velocities, not linearly, Archaea Bacteria are smaller in size until now, Cyanobacteria correlation is weaker.</w:t>
      </w:r>
    </w:p>
    <w:p>
      <w:pPr>
        <w:pStyle w:val="Heading4"/>
      </w:pPr>
      <w:bookmarkStart w:id="31" w:name="a-lineage-specific"/>
      <w:bookmarkEnd w:id="31"/>
      <w:r>
        <w:t xml:space="preserve">2a Lineage specific</w:t>
      </w:r>
    </w:p>
    <w:p>
      <w:pPr>
        <w:pStyle w:val="FirstParagraph"/>
      </w:pPr>
      <w:r>
        <w:drawing>
          <wp:inline>
            <wp:extent cx="3810000" cy="2540000"/>
            <wp:effectExtent b="0" l="0" r="0" t="0"/>
            <wp:docPr descr="GenomicDatabases" id="1" name="Picture"/>
            <a:graphic>
              <a:graphicData uri="http://schemas.openxmlformats.org/drawingml/2006/picture">
                <pic:pic>
                  <pic:nvPicPr>
                    <pic:cNvPr descr="Figuras/GenomicDBS.sv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p>
    <w:p>
      <w:pPr>
        <w:pStyle w:val="SourceCode"/>
      </w:pPr>
      <w:r>
        <w:rPr>
          <w:rStyle w:val="VerbatimChar"/>
        </w:rPr>
        <w:t xml:space="preserve">## Warning: Removed 1 rows containing missing values (geom_point).</w:t>
      </w:r>
    </w:p>
    <w:p>
      <w:pPr>
        <w:pStyle w:val="SourceCode"/>
      </w:pPr>
      <w:r>
        <w:rPr>
          <w:rStyle w:val="VerbatimChar"/>
        </w:rPr>
        <w:t xml:space="preserve">## Warning in ExpTresHold$RastId &lt;- "Treshold": Realizando coercion de LHD a</w:t>
      </w:r>
      <w:r>
        <w:br w:type="textWrapping"/>
      </w:r>
      <w:r>
        <w:rPr>
          <w:rStyle w:val="VerbatimChar"/>
        </w:rPr>
        <w:t xml:space="preserve">## una lista</w:t>
      </w:r>
    </w:p>
    <w:p>
      <w:pPr>
        <w:pStyle w:val="Heading4"/>
      </w:pPr>
      <w:bookmarkStart w:id="33" w:name="b-diversity-on-central-families-according-to-the-lineage"/>
      <w:bookmarkEnd w:id="33"/>
      <w:r>
        <w:t xml:space="preserve">2b Diversity on central Families according to the lineage</w:t>
      </w:r>
    </w:p>
    <w:p>
      <w:pPr>
        <w:pStyle w:val="FirstParagraph"/>
      </w:pPr>
      <w:r>
        <w:drawing>
          <wp:inline>
            <wp:extent cx="3810000" cy="2540000"/>
            <wp:effectExtent b="0" l="0" r="0" t="0"/>
            <wp:docPr descr="Pipeline" id="1" name="Picture"/>
            <a:graphic>
              <a:graphicData uri="http://schemas.openxmlformats.org/drawingml/2006/picture">
                <pic:pic>
                  <pic:nvPicPr>
                    <pic:cNvPr descr="GenomicDiversity.svg"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Archaea has central expansions and has BGCs</w:t>
      </w:r>
    </w:p>
    <w:p>
      <w:pPr>
        <w:pStyle w:val="Heading4"/>
      </w:pPr>
      <w:bookmarkStart w:id="35" w:name="archaea-fits-as-evomining-central-db"/>
      <w:bookmarkEnd w:id="35"/>
      <w:r>
        <w:t xml:space="preserve">Archaea fits as EvoMining central DB</w:t>
      </w:r>
    </w:p>
    <w:p>
      <w:pPr>
        <w:pStyle w:val="FirstParagraph"/>
      </w:pPr>
      <w:r>
        <w:t xml:space="preserve">During the decade between 1970 and 1980, Archaea was recognized as new life domain, a kingdom different from Bacteria and Eucarya in an exciting first great application of 16S phylogeny</w:t>
      </w:r>
      <w:r>
        <w:t xml:space="preserve">(</w:t>
      </w:r>
      <w:r>
        <w:rPr>
          <w:b/>
        </w:rPr>
        <w:t xml:space="preserve">???</w:t>
      </w:r>
      <w:r>
        <w:t xml:space="preserve">,</w:t>
      </w:r>
      <w:r>
        <w:t xml:space="preserve">(</w:t>
      </w:r>
      <w:r>
        <w:rPr>
          <w:b/>
        </w:rPr>
        <w:t xml:space="preserve">???</w:t>
      </w:r>
      <w:r>
        <w:t xml:space="preserve">)</w:t>
      </w:r>
      <w:r>
        <w:t xml:space="preserve">)</w:t>
      </w:r>
      <w:r>
        <w:t xml:space="preserve"> </w:t>
      </w:r>
      <w:r>
        <w:t xml:space="preserve">. Main differences between this kingdoms are that Archaeal DNA is not arranged in a nucleus as in Eucarya and Archaeal celular walls are not composed from peptidoglycans as in Bacteria. Archaeal proteins may be higlhy valuable to biotechnology industry for their great stability due to extreme temperature, PH and salt content conditions on Archeal habitats. Despite no Archaeal Natural products biosynthetic gene clusters (BGC's) has been reported on MiBIG, Archaea do have BGC's, some of them seems to be acquired by horizontal gene transfer (HGT) like methano nrps {search reference}. Other Archeal natural products known are archaeosins, Diketopiperazines, Acyl Homoserine Lactones, Exopolysaccharides, Carotenoids, Biosurfactants, Phenazines and Organic Solutes but this knowledge is not comparable to Bacterial BGC's knowledge</w:t>
      </w:r>
      <w:r>
        <w:t xml:space="preserve">(</w:t>
      </w:r>
      <w:r>
        <w:rPr>
          <w:b/>
        </w:rPr>
        <w:t xml:space="preserve">???</w:t>
      </w:r>
      <w:r>
        <w:t xml:space="preserve">)</w:t>
      </w:r>
      <w:r>
        <w:t xml:space="preserve">.</w:t>
      </w:r>
    </w:p>
    <w:p>
      <w:pPr>
        <w:pStyle w:val="BodyText"/>
      </w:pPr>
      <w:r>
        <w:t xml:space="preserve">Natural products biosynthetic gene clusters search is actually performed using either</w:t>
      </w:r>
      <w:r>
        <w:t xml:space="preserve"> </w:t>
      </w:r>
      <w:r>
        <w:rPr>
          <w:i/>
        </w:rPr>
        <w:t xml:space="preserve">high-confidence/low-novelty or low-confidence/high-novelty</w:t>
      </w:r>
      <w:r>
        <w:t xml:space="preserve"> </w:t>
      </w:r>
      <w:r>
        <w:t xml:space="preserve">bioinformatic approaches</w:t>
      </w:r>
      <w:r>
        <w:t xml:space="preserve"> </w:t>
      </w:r>
      <w:r>
        <w:t xml:space="preserve">(Medema and Fischbach 2015)</w:t>
      </w:r>
      <w:r>
        <w:t xml:space="preserve">. High confidence methods compares query sequences with previously known BGC's such as nrps or PKS, examples of this algorithms are antiSMASH and clusterfinder</w:t>
      </w:r>
      <w:r>
        <w:t xml:space="preserve"> </w:t>
      </w:r>
      <w:r>
        <w:t xml:space="preserve">(</w:t>
      </w:r>
      <w:r>
        <w:rPr>
          <w:b/>
        </w:rPr>
        <w:t xml:space="preserve">???</w:t>
      </w:r>
      <w:r>
        <w:t xml:space="preserve">?)</w:t>
      </w:r>
      <w:r>
        <w:t xml:space="preserve">. EvoMining searches on expansions from central metabolic pathways enzyme families, it has been classified as low confidence/high novelty method. EvoMining has proved useful on Actinobacteria phylum where its use lead to Arseno-compounds discovery</w:t>
      </w:r>
      <w:r>
        <w:t xml:space="preserve"> </w:t>
      </w:r>
      <w:r>
        <w:t xml:space="preserve">(Cruz-Morales et al. 2016)</w:t>
      </w:r>
      <w:r>
        <w:t xml:space="preserve">. Also on Actinobacteria antiSMASH analysis on 1245 genomes found 774 different classes of natural products, the same analysis on 876 Archaeal genomes, a full kingdom, identifies only 35 BGC's classes. So either Archaea does not have natural products BGC's or this are not yet known. Next paragraph deals with a possible approach about how natural products BGC's can be find.</w:t>
      </w:r>
    </w:p>
    <w:p>
      <w:pPr>
        <w:pStyle w:val="BodyText"/>
      </w:pPr>
      <w:r>
        <w:t xml:space="preserve">Archaea resembled Bacteria in that Archaea uses horizontal gene transfer as a genic interchange mecanism, Archaeal genomes contains operons</w:t>
      </w:r>
      <w:r>
        <w:t xml:space="preserve"> </w:t>
      </w:r>
      <w:r>
        <w:t xml:space="preserve">(</w:t>
      </w:r>
      <w:r>
        <w:rPr>
          <w:b/>
        </w:rPr>
        <w:t xml:space="preserve">???</w:t>
      </w:r>
      <w:r>
        <w:t xml:space="preserve">)</w:t>
      </w:r>
      <w:r>
        <w:t xml:space="preserve"> </w:t>
      </w:r>
      <w:r>
        <w:t xml:space="preserve">and in general there is introns absence{Reference to Computational Methods for Understanding Bacterial and Archaeal Genomes}. Archaeas do have introns, but they are mainly located on genes that encodes ribosomal and transfer RNA</w:t>
      </w:r>
      <w:r>
        <w:t xml:space="preserve"> </w:t>
      </w:r>
      <w:r>
        <w:t xml:space="preserve">(</w:t>
      </w:r>
      <w:r>
        <w:rPr>
          <w:b/>
        </w:rPr>
        <w:t xml:space="preserve">???</w:t>
      </w:r>
      <w:r>
        <w:t xml:space="preserve">)</w:t>
      </w:r>
      <w:r>
        <w:t xml:space="preserve">. General lack of introns allows automatic genome annotation, operons gene organization permits functional inference to a certain degree and HGT contribute to expansions on Archaeal genomes. Some phylum on Archaea has an open pangenome, and as we will show on this chapter some Archaea has central pathway expansions.</w:t>
      </w:r>
      <w:r>
        <w:t xml:space="preserve"> </w:t>
      </w:r>
      <w:r>
        <w:t xml:space="preserve">Enzyme families from central pathways expansions, open pangenome and operon organization made EvoMining succesful on Actinobacteria, this lead us to think that evoMining is suitable to analize Archaeal genomes, even more since EvoMining is a method oriented to use evolution and its not entirelyy based on previous knowledge of BGC's sequences if evolutionary logic behave on Archaea as on bacteria, new BGC's classes may be found on Archaea.</w:t>
      </w:r>
    </w:p>
    <w:p>
      <w:pPr>
        <w:pStyle w:val="BodyText"/>
      </w:pPr>
      <w:r>
        <w:t xml:space="preserve">EvoMining is a trade off between conserved known central metabolic function and enough expansions divergence on sequence and on clusters to divergence</w:t>
      </w:r>
    </w:p>
    <w:p>
      <w:pPr>
        <w:pStyle w:val="BodyText"/>
      </w:pPr>
      <w:r>
        <w:t xml:space="preserve">Beside the already tested 240 Actinobacteria database, other genomic database can be explored. On this case we tested exapnsions on 876 Archaea 416 Cyanobacteria, and 1245 Actinobacteria based on central metabolism from actinobacteria</w:t>
      </w:r>
    </w:p>
    <w:p>
      <w:pPr>
        <w:pStyle w:val="BodyText"/>
      </w:pPr>
      <w:r>
        <w:t xml:space="preserve">On cyanobacteria PriA an enzyme with no previously knwon secondary metabolism on Actinobacteria has been recruited into saxitoxin cluster.</w:t>
      </w:r>
    </w:p>
    <w:p>
      <w:pPr>
        <w:pStyle w:val="Heading3"/>
      </w:pPr>
      <w:bookmarkStart w:id="36" w:name="section-3-update-and-insights-from-central-db"/>
      <w:bookmarkEnd w:id="36"/>
      <w:r>
        <w:t xml:space="preserve">Section 3 Update and insights from central DB</w:t>
      </w:r>
    </w:p>
    <w:p>
      <w:pPr>
        <w:pStyle w:val="FirstParagraph"/>
      </w:pPr>
      <w:r>
        <w:t xml:space="preserve">Expansions other central</w:t>
      </w:r>
      <w:r>
        <w:br w:type="textWrapping"/>
      </w:r>
      <w:r>
        <w:t xml:space="preserve">To limitate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As we have explored other genomic databases, central database customization is also implemented, on this case we have use TauD en enzyme from taurine assimilation system on enterobacteria, on the genomic database Pseudomonas. Enzymes does not necessary have to be central, in the sense that they belong to the core of its taxonomic group, but at least should have expansions.</w:t>
      </w:r>
    </w:p>
    <w:p>
      <w:pPr>
        <w:pStyle w:val="Heading3"/>
      </w:pPr>
      <w:bookmarkStart w:id="38" w:name="section-4-update-and-insights-from-natural-products-db"/>
      <w:bookmarkEnd w:id="38"/>
      <w:r>
        <w:t xml:space="preserve">Section 4 Update and insights from Natural products DB</w:t>
      </w:r>
    </w:p>
    <w:p>
      <w:pPr>
        <w:pStyle w:val="FirstParagraph"/>
      </w:pPr>
      <w:r>
        <w:t xml:space="preserve">Backward EvoMining</w:t>
      </w:r>
      <w:r>
        <w:br w:type="textWrapping"/>
      </w:r>
      <w:r>
        <w:drawing>
          <wp:inline>
            <wp:extent cx="3810000" cy="2540000"/>
            <wp:effectExtent b="0" l="0" r="0" t="0"/>
            <wp:docPr descr="TauD" id="1" name="Picture"/>
            <a:graphic>
              <a:graphicData uri="http://schemas.openxmlformats.org/drawingml/2006/picture">
                <pic:pic>
                  <pic:nvPicPr>
                    <pic:cNvPr descr="Figuras/naturalDB.sv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40" w:name="methodology"/>
      <w:bookmarkEnd w:id="40"/>
      <w:r>
        <w:t xml:space="preserve">Methodology</w:t>
      </w:r>
    </w:p>
    <w:p>
      <w:pPr>
        <w:pStyle w:val="FirstParagraph"/>
      </w:pPr>
      <w:r>
        <w:t xml:space="preserve">EvoMining algorithm and all its dependencies: blast, muscle, Gblocks, Quicktree and newick utilities were packaged on a docker container available at dockerhub. Every EvoMining container has the code inside which turns EvoMining in a totally open standalone genome mining tool, Dockerfile and code are available at github. EvoMining inputs are a genomic database (genomic-DB), a seed family enzymes database from central or shell metabolism (central-DB), and a set of sequences experimentally tested to be part of natural products biosynthetical gene clusters (np-DB), optionally a database containing antiSMASH analysis of the genomic DB may be integrated to the pipeline. To standardize protein annotation and take advantage of functional annotation genomes on genomic-DB were processed by the Rapid Annotation using Subsystem Technology (RAST) platform. Sequences of the central-DB and np-DB must be on fasta format. MIBiG repository was used and is included on EvoMining docker image as default np-DB, metadata such as producer organism and kind of compound are also integrated to the np-DB.</w:t>
      </w:r>
    </w:p>
    <w:p>
      <w:pPr>
        <w:pStyle w:val="BodyText"/>
      </w:pPr>
      <w:r>
        <w:t xml:space="preserve">Once databases are set analysis of expansions-recruitment of enzyme families from central-DB within the context of the genomic and natural product databases is performed by EvoMining. The first step, initialized by the user trough the web interface, is to retrieve from the genomic-DB all those sequences that belong to the expanded families enzymes of the central-DB. To this end a blastp search (default:e-value 0.001, score 100) using as queries seed enzymes from the central-DB is run against the genome-DB. Next it is established which sequences are the most conserved respect to the central-DB, to this end best bidirectional hits between the expanded families and central-DB are identified and stored in a temporal database (conserved-db). Next a heat plot is displayed pinpointing by family which organisms posses an expansion on its copy number, on this work an expansion is understood as an organisms that posses a number of sequences on certain family above the average plus an standard deviation. To identify expanded enzyme families that may also have been recruited into secondary metabolism, i.e. which enzyme families has some members into the natural product database, a new blastp search (e-value 0.001) is run onto the np-DB using as queries all sequences on expanded families.</w:t>
      </w:r>
    </w:p>
    <w:p>
      <w:pPr>
        <w:pStyle w:val="BodyText"/>
      </w:pPr>
      <w:r>
        <w:t xml:space="preserve">At this point families that exhibits expansions and recruitments may be selected by the user to posterior phylogenetical analysis. Selected expanded-recruited enzyme families are then aligned with muscle, automatically curated by Gblocks, and phylogenetically reconstructed by Quicktree. Once the tree is available EvoMining gives evolutionary insights by coloring the expanded family differentiating its history as follows: in red enzyme sequences stored on the conserved-DB, in blue sequences from np-db, on cyan antiSMASH known hits if antiSMASH-DB was provided, and in green EvoMining predictions. An EvoMining prediction are all those enzymes divergent enough from central metabolism that were not red marked and similar enough to secondary metabolism that are closer to a np-DB sequence (blue) than to a conserved-db sequence (red). All enzymes not marked on red or cyan close to a blue enzyme and that are not on sister leaves with a red enzyme are green colored. This algorithm leaves black leaves on many cases.</w:t>
      </w:r>
    </w:p>
    <w:p>
      <w:pPr>
        <w:pStyle w:val="BodyText"/>
      </w:pPr>
      <w:r>
        <w:t xml:space="preserve">To study the nature of expansions on other taxonomic groups beside Actinobacteria, three genomic databases were integrated by 1245 Actinobacteria, 416 Cyanobacteria, 876 Archaea, all genomes were annotated by RAST and mined by AntiSMASH stand alone docker parameters XXXXX. For this work Actinobacteria central-DB is composed by 295 Actinobacteria sequences of central enzymes organized in ninety-three families involved in nine pathways, including amino acid biosynthesis, glycolysis, pentose phosphate pathway, and tricarboxylic acids cycle. Seed sequences were taken mainly from 1)</w:t>
      </w:r>
      <w:r>
        <w:t xml:space="preserve"> </w:t>
      </w:r>
      <w:r>
        <w:rPr>
          <w:i/>
        </w:rPr>
        <w:t xml:space="preserve">Streptomyces coelicolor A3</w:t>
      </w:r>
      <w:r>
        <w:t xml:space="preserve">, 2)</w:t>
      </w:r>
      <w:r>
        <w:t xml:space="preserve"> </w:t>
      </w:r>
      <w:r>
        <w:rPr>
          <w:i/>
        </w:rPr>
        <w:t xml:space="preserve">Mycobacterium tuberculosis H37Rv</w:t>
      </w:r>
      <w:r>
        <w:t xml:space="preserve"> </w:t>
      </w:r>
      <w:r>
        <w:t xml:space="preserve">and 3)</w:t>
      </w:r>
      <w:r>
        <w:t xml:space="preserve"> </w:t>
      </w:r>
      <w:r>
        <w:rPr>
          <w:i/>
        </w:rPr>
        <w:t xml:space="preserve">Corynebacterium glutamicum</w:t>
      </w:r>
      <w:r>
        <w:t xml:space="preserve">. To integrate Cyanobacteria central-DB best bidirectional hits of Actinobacteria central-DB were selected among three organisms distributed on Cyanobacteria phylum 1)* Cyanothece sp. ATCC 51142</w:t>
      </w:r>
      <w:r>
        <w:rPr>
          <w:i/>
        </w:rPr>
        <w:t xml:space="preserve">, 2)</w:t>
      </w:r>
      <w:r>
        <w:rPr>
          <w:i/>
        </w:rPr>
        <w:t xml:space="preserve"> </w:t>
      </w:r>
      <w:r>
        <w:t xml:space="preserve">Synechococcus sp. PCC 7002 CP000951.1</w:t>
      </w:r>
      <w:r>
        <w:rPr>
          <w:i/>
        </w:rPr>
        <w:t xml:space="preserve">, 3)</w:t>
      </w:r>
      <w:r>
        <w:rPr>
          <w:i/>
        </w:rPr>
        <w:t xml:space="preserve"> </w:t>
      </w:r>
      <w:r>
        <w:t xml:space="preserve">Synechocystis sp. PCC 6803 AP012205.1</w:t>
      </w:r>
      <w:r>
        <w:rPr>
          <w:i/>
        </w:rPr>
        <w:t xml:space="preserve">. Same procedure was taken to assemble Archaea central-DB, selecting organisms from diverse sections of Archaea kingdom, on this case 1)</w:t>
      </w:r>
      <w:r>
        <w:rPr>
          <w:i/>
        </w:rPr>
        <w:t xml:space="preserve"> </w:t>
      </w:r>
      <w:r>
        <w:t xml:space="preserve">Natronomonas pharaonis</w:t>
      </w:r>
      <w:r>
        <w:rPr>
          <w:i/>
        </w:rPr>
        <w:t xml:space="preserve">, 2)</w:t>
      </w:r>
      <w:r>
        <w:rPr>
          <w:i/>
        </w:rPr>
        <w:t xml:space="preserve"> </w:t>
      </w:r>
      <w:r>
        <w:t xml:space="preserve">Methanosarcina acetivorans</w:t>
      </w:r>
      <w:r>
        <w:rPr>
          <w:i/>
        </w:rPr>
        <w:t xml:space="preserve">, 3)</w:t>
      </w:r>
      <w:r>
        <w:rPr>
          <w:i/>
        </w:rPr>
        <w:t xml:space="preserve"> </w:t>
      </w:r>
      <w:r>
        <w:t xml:space="preserve">Sulfolobus solfataricus* and 4)</w:t>
      </w:r>
      <w:r>
        <w:t xml:space="preserve"> </w:t>
      </w:r>
      <w:r>
        <w:rPr>
          <w:i/>
        </w:rPr>
        <w:t xml:space="preserve">Nanoarchaeum equitans Kin4-M</w:t>
      </w:r>
      <w:r>
        <w:t xml:space="preserve">. Expansions of enzyme families shared between this three taxonomic groups were calculated with EvoMining default parameters. Graphics for the data analysis on this work were generated by r, to guarantee reproducibilty a rmarkdown document is available at: github/nselem/phd. Finally, EvoMining evolutionary analysis was conducted on PriA enzyme family on the three genomic database with default EvoMining parameters.</w:t>
      </w:r>
    </w:p>
    <w:p>
      <w:pPr>
        <w:pStyle w:val="BodyText"/>
      </w:pPr>
      <w:r>
        <w:t xml:space="preserve">To amplify the concept of central-DB to shell-DB allowing to explore expansions beyond just enzymes belonging to the core genome of a taxonomic group a shell enzyme was explored. TauD, an enzyme that belongs to the shell genome on Pseudomonas was selected as seed of central-DB. Pseudomonas genome-DB was integrated as follows (KARINA como integraste la base de Pseudomonas, how where nps predicted). Genomes on genome-DB were RAST annotated and on this case no antiSMASH mining was conducted. EvoMining expansion-recruitment and phylogenetical analysis with default parameters was conducted for TauD enzyme family.</w:t>
      </w:r>
    </w:p>
    <w:p>
      <w:pPr>
        <w:pStyle w:val="BodyText"/>
      </w:pPr>
      <w:r>
        <w:t xml:space="preserve">Backward Enzyme sequences from S. coelicolor and S. lividans biosynthetic gene clusters were retrieved from MiBiG to test how will behave as seeds from backward EvoMining</w:t>
      </w:r>
      <w:r>
        <w:br w:type="textWrapping"/>
      </w:r>
      <w:r>
        <w:t xml:space="preserve">Average copy number</w:t>
      </w:r>
      <w:r>
        <w:br w:type="textWrapping"/>
      </w:r>
      <w:r>
        <w:t xml:space="preserve"> </w:t>
      </w:r>
      <w:r>
        <w:t xml:space="preserve">All databases are downloadable at Zenodo (Doi numbers genomic-DB: STREPTOMYCES, Actinobacteria, Cyanobacteria, Pseudomonas, Archaea, central-DB: Actinobacteria, Cyanobacteria, Pseudomonas, Archaea, lividans/coelicolor BGC )</w:t>
      </w:r>
    </w:p>
    <w:p>
      <w:pPr>
        <w:pStyle w:val="Heading2"/>
      </w:pPr>
      <w:bookmarkStart w:id="41" w:name="acknowledgments"/>
      <w:bookmarkEnd w:id="41"/>
      <w:r>
        <w:t xml:space="preserve">Acknowledgments</w:t>
      </w:r>
    </w:p>
    <w:p>
      <w:pPr>
        <w:pStyle w:val="FirstParagraph"/>
      </w:pPr>
      <w:r>
        <w:t xml:space="preserve">Secretaria de Inovacion, Conabio:Keri/Ernesto, Argonne cluster Cocina Tepeyac</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42" w:name="references"/>
      <w:bookmarkEnd w:id="42"/>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43">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44">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45">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6">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7">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8">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9">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50">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51">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52">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53">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54">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55">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6">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7">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8">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9">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60">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61">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62">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63">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64">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c8584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32" Target="media/rId32.svg" /><Relationship Type="http://schemas.openxmlformats.org/officeDocument/2006/relationships/image" Id="rId37" Target="media/rId37.svg" /><Relationship Type="http://schemas.openxmlformats.org/officeDocument/2006/relationships/image" Id="rId39" Target="media/rId39.svg" /><Relationship Type="http://schemas.openxmlformats.org/officeDocument/2006/relationships/image" Id="rId34" Target="media/rId34.svg" /><Relationship Type="http://schemas.openxmlformats.org/officeDocument/2006/relationships/hyperlink" Id="rId59" Target="https://doi.org/10.1002/biot.201700465" TargetMode="External" /><Relationship Type="http://schemas.openxmlformats.org/officeDocument/2006/relationships/hyperlink" Id="rId44" Target="https://doi.org/10.1007/s10482-011-9655-1" TargetMode="External" /><Relationship Type="http://schemas.openxmlformats.org/officeDocument/2006/relationships/hyperlink" Id="rId58" Target="https://doi.org/10.1016/j.copbio.2017.02.008" TargetMode="External" /><Relationship Type="http://schemas.openxmlformats.org/officeDocument/2006/relationships/hyperlink" Id="rId53" Target="https://doi.org/10.1016/j.mib.2017.10.027" TargetMode="External" /><Relationship Type="http://schemas.openxmlformats.org/officeDocument/2006/relationships/hyperlink" Id="rId62" Target="https://doi.org/10.1016/j.synbio.2015.12.002" TargetMode="External" /><Relationship Type="http://schemas.openxmlformats.org/officeDocument/2006/relationships/hyperlink" Id="rId55" Target="https://doi.org/10.1038/nchembio.1884" TargetMode="External" /><Relationship Type="http://schemas.openxmlformats.org/officeDocument/2006/relationships/hyperlink" Id="rId56" Target="https://doi.org/10.1038/nchembio.1890" TargetMode="External" /><Relationship Type="http://schemas.openxmlformats.org/officeDocument/2006/relationships/hyperlink" Id="rId64" Target="https://doi.org/10.1039/C6NP00025H" TargetMode="External" /><Relationship Type="http://schemas.openxmlformats.org/officeDocument/2006/relationships/hyperlink" Id="rId54" Target="https://doi.org/10.1071/MA17028" TargetMode="External" /><Relationship Type="http://schemas.openxmlformats.org/officeDocument/2006/relationships/hyperlink" Id="rId46" Target="https://doi.org/10.1093/bib/bbx020" TargetMode="External" /><Relationship Type="http://schemas.openxmlformats.org/officeDocument/2006/relationships/hyperlink" Id="rId45" Target="https://doi.org/10.1093/bib/bbx146" TargetMode="External" /><Relationship Type="http://schemas.openxmlformats.org/officeDocument/2006/relationships/hyperlink" Id="rId47" Target="https://doi.org/10.1093/bioinformatics/btx400" TargetMode="External" /><Relationship Type="http://schemas.openxmlformats.org/officeDocument/2006/relationships/hyperlink" Id="rId61" Target="https://doi.org/10.1093/femsre/fux014" TargetMode="External" /><Relationship Type="http://schemas.openxmlformats.org/officeDocument/2006/relationships/hyperlink" Id="rId50" Target="https://doi.org/10.1093/gbe/evw125" TargetMode="External" /><Relationship Type="http://schemas.openxmlformats.org/officeDocument/2006/relationships/hyperlink" Id="rId43" Target="https://doi.org/10.1093/nar/gkx360" TargetMode="External" /><Relationship Type="http://schemas.openxmlformats.org/officeDocument/2006/relationships/hyperlink" Id="rId60" Target="https://doi.org/10.1101/119354" TargetMode="External" /><Relationship Type="http://schemas.openxmlformats.org/officeDocument/2006/relationships/hyperlink" Id="rId63" Target="https://doi.org/10.1111/1751-7915.12388" TargetMode="External" /><Relationship Type="http://schemas.openxmlformats.org/officeDocument/2006/relationships/hyperlink" Id="rId49" Target="https://doi.org/10.3389/fgene.2016.00004" TargetMode="External" /><Relationship Type="http://schemas.openxmlformats.org/officeDocument/2006/relationships/hyperlink" Id="rId57" Target="https://doi.org/10.3390/md15060165" TargetMode="External" /><Relationship Type="http://schemas.openxmlformats.org/officeDocument/2006/relationships/hyperlink" Id="rId48" Target="https://doi.org/10.3390/md15090272" TargetMode="External" /><Relationship Type="http://schemas.openxmlformats.org/officeDocument/2006/relationships/hyperlink" Id="rId52"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51"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2/biot.201700465" TargetMode="External" /><Relationship Type="http://schemas.openxmlformats.org/officeDocument/2006/relationships/hyperlink" Id="rId44" Target="https://doi.org/10.1007/s10482-011-9655-1" TargetMode="External" /><Relationship Type="http://schemas.openxmlformats.org/officeDocument/2006/relationships/hyperlink" Id="rId58" Target="https://doi.org/10.1016/j.copbio.2017.02.008" TargetMode="External" /><Relationship Type="http://schemas.openxmlformats.org/officeDocument/2006/relationships/hyperlink" Id="rId53" Target="https://doi.org/10.1016/j.mib.2017.10.027" TargetMode="External" /><Relationship Type="http://schemas.openxmlformats.org/officeDocument/2006/relationships/hyperlink" Id="rId62" Target="https://doi.org/10.1016/j.synbio.2015.12.002" TargetMode="External" /><Relationship Type="http://schemas.openxmlformats.org/officeDocument/2006/relationships/hyperlink" Id="rId55" Target="https://doi.org/10.1038/nchembio.1884" TargetMode="External" /><Relationship Type="http://schemas.openxmlformats.org/officeDocument/2006/relationships/hyperlink" Id="rId56" Target="https://doi.org/10.1038/nchembio.1890" TargetMode="External" /><Relationship Type="http://schemas.openxmlformats.org/officeDocument/2006/relationships/hyperlink" Id="rId64" Target="https://doi.org/10.1039/C6NP00025H" TargetMode="External" /><Relationship Type="http://schemas.openxmlformats.org/officeDocument/2006/relationships/hyperlink" Id="rId54" Target="https://doi.org/10.1071/MA17028" TargetMode="External" /><Relationship Type="http://schemas.openxmlformats.org/officeDocument/2006/relationships/hyperlink" Id="rId46" Target="https://doi.org/10.1093/bib/bbx020" TargetMode="External" /><Relationship Type="http://schemas.openxmlformats.org/officeDocument/2006/relationships/hyperlink" Id="rId45" Target="https://doi.org/10.1093/bib/bbx146" TargetMode="External" /><Relationship Type="http://schemas.openxmlformats.org/officeDocument/2006/relationships/hyperlink" Id="rId47" Target="https://doi.org/10.1093/bioinformatics/btx400" TargetMode="External" /><Relationship Type="http://schemas.openxmlformats.org/officeDocument/2006/relationships/hyperlink" Id="rId61" Target="https://doi.org/10.1093/femsre/fux014" TargetMode="External" /><Relationship Type="http://schemas.openxmlformats.org/officeDocument/2006/relationships/hyperlink" Id="rId50" Target="https://doi.org/10.1093/gbe/evw125" TargetMode="External" /><Relationship Type="http://schemas.openxmlformats.org/officeDocument/2006/relationships/hyperlink" Id="rId43" Target="https://doi.org/10.1093/nar/gkx360" TargetMode="External" /><Relationship Type="http://schemas.openxmlformats.org/officeDocument/2006/relationships/hyperlink" Id="rId60" Target="https://doi.org/10.1101/119354" TargetMode="External" /><Relationship Type="http://schemas.openxmlformats.org/officeDocument/2006/relationships/hyperlink" Id="rId63" Target="https://doi.org/10.1111/1751-7915.12388" TargetMode="External" /><Relationship Type="http://schemas.openxmlformats.org/officeDocument/2006/relationships/hyperlink" Id="rId49" Target="https://doi.org/10.3389/fgene.2016.00004" TargetMode="External" /><Relationship Type="http://schemas.openxmlformats.org/officeDocument/2006/relationships/hyperlink" Id="rId57" Target="https://doi.org/10.3390/md15060165" TargetMode="External" /><Relationship Type="http://schemas.openxmlformats.org/officeDocument/2006/relationships/hyperlink" Id="rId48" Target="https://doi.org/10.3390/md15090272" TargetMode="External" /><Relationship Type="http://schemas.openxmlformats.org/officeDocument/2006/relationships/hyperlink" Id="rId52"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51"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 2.0: A customizable computational pipeline for evolutionary reconstructions during genome mining</dc:title>
  <dc:creator>Selem-Mojica Nelly, Martínez-Guerrero Christian , ..., and Barona-Gómez Francisco</dc:creator>
  <dcterms:created xsi:type="dcterms:W3CDTF">2018-03-23T22:16:58Z</dcterms:created>
  <dcterms:modified xsi:type="dcterms:W3CDTF">2018-03-23T22:16:58Z</dcterms:modified>
</cp:coreProperties>
</file>