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64"/>
          <w:szCs w:val="64"/>
        </w:rPr>
        <w:t xml:space="preserve">PRANA</w:t>
      </w:r>
    </w:p>
    <w:p>
      <w:pPr>
        <w:spacing w:after="160" w:before="0"/>
        <w:jc w:val="center"/>
      </w:pPr>
      <w:r>
        <w:rPr>
          <w:rFonts w:ascii="Arial" w:cs="Arial" w:eastAsia="Arial" w:hAnsi="Arial"/>
          <w:i/>
          <w:iCs/>
          <w:color w:val="6B7280"/>
          <w:sz w:val="28"/>
          <w:szCs w:val="28"/>
        </w:rPr>
        <w:t xml:space="preserve">Personal Repository And Networked Authentications</w:t>
      </w:r>
    </w:p>
    <w:p>
      <w:pPr>
        <w:pBdr>
          <w:bottom w:val="single" w:color="D1D5DB" w:sz="4" w:space="1"/>
        </w:pBdr>
        <w:spacing w:after="200" w:before="200"/>
      </w:pPr>
      <w:r>
        <w:t xml:space="preserve"/>
      </w:r>
    </w:p>
    <w:p>
      <w:pPr>
        <w:spacing w:after="100" w:before="200"/>
        <w:jc w:val="center"/>
      </w:pPr>
      <w:r>
        <w:rPr>
          <w:rFonts w:ascii="Arial" w:cs="Arial" w:eastAsia="Arial" w:hAnsi="Arial"/>
          <w:b/>
          <w:bCs/>
          <w:color w:val="0066CC"/>
          <w:sz w:val="40"/>
          <w:szCs w:val="40"/>
        </w:rPr>
        <w:t xml:space="preserve">Indian Labour Law Compliance Framework</w:t>
      </w:r>
    </w:p>
    <w:p>
      <w:pPr>
        <w:spacing w:after="400" w:before="60"/>
        <w:jc w:val="center"/>
      </w:pPr>
      <w:r>
        <w:rPr>
          <w:rFonts w:ascii="Arial" w:cs="Arial" w:eastAsia="Arial" w:hAnsi="Arial"/>
          <w:color w:val="6B7280"/>
          <w:sz w:val="22"/>
          <w:szCs w:val="22"/>
        </w:rPr>
        <w:t xml:space="preserve">4 Labour Codes · Legacy Acts · DPDPA 2023 · Gap Analysis &amp; Remediation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CA3AF"/>
                <w:sz w:val="20"/>
                <w:szCs w:val="20"/>
              </w:rPr>
              <w:t xml:space="preserve">Version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1.0 — June 2026</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CA3AF"/>
                <w:sz w:val="20"/>
                <w:szCs w:val="20"/>
              </w:rPr>
              <w:t xml:space="preserve">Classification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Internal — Confidential</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9CA3AF"/>
                <w:sz w:val="20"/>
                <w:szCs w:val="20"/>
              </w:rPr>
              <w:t xml:space="preserve">Prepared by</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374151"/>
                <w:sz w:val="20"/>
                <w:szCs w:val="20"/>
              </w:rPr>
              <w:t xml:space="preserve">PRANA Product Architecture Team</w:t>
            </w:r>
          </w:p>
        </w:tc>
      </w:tr>
    </w:tbl>
    <w:p>
      <w:r>
        <w:rPr>
          <w:sz w:val="28"/>
          <w:szCs w:val="28"/>
        </w:rPr>
        <w:t xml:space="preserve"/>
      </w:r>
    </w:p>
    <w:p>
      <w:r>
        <w:br w:type="page"/>
      </w:r>
    </w:p>
    <w:p>
      <w:pPr>
        <w:pStyle w:val="Heading1"/>
        <w:spacing w:after="160" w:before="360"/>
      </w:pPr>
      <w:r>
        <w:rPr>
          <w:rFonts w:ascii="Arial" w:cs="Arial" w:eastAsia="Arial" w:hAnsi="Arial"/>
          <w:b/>
          <w:bCs/>
          <w:color w:val="1E3A5F"/>
          <w:sz w:val="32"/>
          <w:szCs w:val="32"/>
        </w:rPr>
        <w:t xml:space="preserve">1. Executive Summary</w:t>
      </w:r>
    </w:p>
    <w:p>
      <w:pPr>
        <w:spacing w:after="120" w:before="80"/>
      </w:pPr>
      <w:r>
        <w:rPr>
          <w:rFonts w:ascii="Arial" w:cs="Arial" w:eastAsia="Arial" w:hAnsi="Arial"/>
          <w:color w:val="1F2937"/>
          <w:sz w:val="22"/>
          <w:szCs w:val="22"/>
        </w:rPr>
        <w:t xml:space="preserve">PRANA operates as a multitenant SaaS platform that stores, manages, and enables portability of employment documents for Indian workers. This dual positioning — as both a document custodian and a data processor — places it squarely within the ambit of Indian labour law, data protection regulation, and sector-specific compliance requirements.</w:t>
      </w:r>
    </w:p>
    <w:p>
      <w:r>
        <w:rPr>
          <w:sz w:val="14"/>
          <w:szCs w:val="14"/>
        </w:rPr>
        <w:t xml:space="preserve"/>
      </w:r>
    </w:p>
    <w:p>
      <w:pPr>
        <w:spacing w:after="120" w:before="80"/>
      </w:pPr>
      <w:r>
        <w:rPr>
          <w:rFonts w:ascii="Arial" w:cs="Arial" w:eastAsia="Arial" w:hAnsi="Arial"/>
          <w:color w:val="1F2937"/>
          <w:sz w:val="22"/>
          <w:szCs w:val="22"/>
        </w:rPr>
        <w:t xml:space="preserve">This document provides a comprehensive mapping of PRANA's compliance posture across:</w:t>
      </w:r>
    </w:p>
    <w:p>
      <w:pPr>
        <w:pStyle w:val="ListParagraph"/>
        <w:numPr>
          <w:ilvl w:val="0"/>
          <w:numId w:val="2"/>
        </w:numPr>
        <w:spacing w:after="40" w:before="40"/>
      </w:pPr>
      <w:r>
        <w:rPr>
          <w:rFonts w:ascii="Arial" w:cs="Arial" w:eastAsia="Arial" w:hAnsi="Arial"/>
          <w:b w:val="false"/>
          <w:bCs w:val="false"/>
          <w:color w:val="1F2937"/>
          <w:sz w:val="22"/>
          <w:szCs w:val="22"/>
        </w:rPr>
        <w:t xml:space="preserve">The 4 New Labour Codes (2020) — Wages, Industrial Relations, Social Security, OSH</w:t>
      </w:r>
    </w:p>
    <w:p>
      <w:pPr>
        <w:pStyle w:val="ListParagraph"/>
        <w:numPr>
          <w:ilvl w:val="0"/>
          <w:numId w:val="2"/>
        </w:numPr>
        <w:spacing w:after="40" w:before="40"/>
      </w:pPr>
      <w:r>
        <w:rPr>
          <w:rFonts w:ascii="Arial" w:cs="Arial" w:eastAsia="Arial" w:hAnsi="Arial"/>
          <w:b w:val="false"/>
          <w:bCs w:val="false"/>
          <w:color w:val="1F2937"/>
          <w:sz w:val="22"/>
          <w:szCs w:val="22"/>
        </w:rPr>
        <w:t xml:space="preserve">Legacy Acts still in force pending Code notification (Shops &amp; Establishments, Factories Act, Contract Labour, etc.)</w:t>
      </w:r>
    </w:p>
    <w:p>
      <w:pPr>
        <w:pStyle w:val="ListParagraph"/>
        <w:numPr>
          <w:ilvl w:val="0"/>
          <w:numId w:val="2"/>
        </w:numPr>
        <w:spacing w:after="40" w:before="40"/>
      </w:pPr>
      <w:r>
        <w:rPr>
          <w:rFonts w:ascii="Arial" w:cs="Arial" w:eastAsia="Arial" w:hAnsi="Arial"/>
          <w:b w:val="false"/>
          <w:bCs w:val="false"/>
          <w:color w:val="1F2937"/>
          <w:sz w:val="22"/>
          <w:szCs w:val="22"/>
        </w:rPr>
        <w:t xml:space="preserve">Digital Personal Data Protection Act 2023 (DPDPA)</w:t>
      </w:r>
    </w:p>
    <w:p>
      <w:pPr>
        <w:pStyle w:val="ListParagraph"/>
        <w:numPr>
          <w:ilvl w:val="0"/>
          <w:numId w:val="2"/>
        </w:numPr>
        <w:spacing w:after="40" w:before="40"/>
      </w:pPr>
      <w:r>
        <w:rPr>
          <w:rFonts w:ascii="Arial" w:cs="Arial" w:eastAsia="Arial" w:hAnsi="Arial"/>
          <w:b w:val="false"/>
          <w:bCs w:val="false"/>
          <w:color w:val="1F2937"/>
          <w:sz w:val="22"/>
          <w:szCs w:val="22"/>
        </w:rPr>
        <w:t xml:space="preserve">IT Act 2000 and e-records framework</w:t>
      </w:r>
    </w:p>
    <w:p>
      <w:pPr>
        <w:pStyle w:val="ListParagraph"/>
        <w:numPr>
          <w:ilvl w:val="0"/>
          <w:numId w:val="2"/>
        </w:numPr>
        <w:spacing w:after="40" w:before="40"/>
      </w:pPr>
      <w:r>
        <w:rPr>
          <w:rFonts w:ascii="Arial" w:cs="Arial" w:eastAsia="Arial" w:hAnsi="Arial"/>
          <w:b w:val="false"/>
          <w:bCs w:val="false"/>
          <w:color w:val="1F2937"/>
          <w:sz w:val="22"/>
          <w:szCs w:val="22"/>
        </w:rPr>
        <w:t xml:space="preserve">Income Tax Act — Form 16 and payroll document obligations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6"/>
              <w:left w:val="single" w:color="0066CC" w:sz="18"/>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PRANA's Core Compliance Position</w:t>
            </w:r>
          </w:p>
          <w:p>
            <w:pPr>
              <w:spacing w:before="40"/>
            </w:pPr>
            <w:r>
              <w:rPr>
                <w:rFonts w:ascii="Arial" w:cs="Arial" w:eastAsia="Arial" w:hAnsi="Arial"/>
                <w:color w:val="374151"/>
                <w:sz w:val="20"/>
                <w:szCs w:val="20"/>
              </w:rPr>
              <w:t xml:space="preserve">PRANA is NOT an employer. It is a neutral platform infrastructure — a document vault operator. This distinction is foundational: PRANA does not employ workers, set wages, or determine employment conditions. However, because it processes employment-linked documents and personal data, it has compliance obligations as a Data Processor (under DPDPA) and as a technology intermediary (under IT Act). Employer-tenants on PRANA retain full legal responsibility for their statutory record-keeping obligations.</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1.1 Overall Compliance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400"/>
        <w:gridCol w:w="1160"/>
      </w:tblGrid>
      <w:tr>
        <w:trPr>
          <w:tblHeader/>
        </w:trP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Law / Code</w:t>
            </w:r>
          </w:p>
        </w:tc>
        <w:tc>
          <w:tcPr>
            <w:tcW w:type="dxa" w:w="3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PRANA Position</w:t>
            </w:r>
          </w:p>
        </w:tc>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1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Labour Codes (2020)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Indirect — enables employer compliance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DPDPA 2023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Data Processor obligations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Critical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 Act 2000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e-records validity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Done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COMPLIANT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Shops &amp; Estab. Acts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Indirect — employer's duty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Income Tax Act (Form 16)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only — not issuer</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Done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COMPLIANT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PF/ESIC (EPF &amp; MP 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Indirect — doc storage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 Labour 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Indirect — principal employer docs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 of Wages 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Indirect — wage slip storage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Low</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bl>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2. The 4 New Labour Codes (2020) — Detailed Analysis</w:t>
      </w:r>
    </w:p>
    <w:p>
      <w:pPr>
        <w:spacing w:after="120" w:before="80"/>
      </w:pPr>
      <w:r>
        <w:rPr>
          <w:rFonts w:ascii="Arial" w:cs="Arial" w:eastAsia="Arial" w:hAnsi="Arial"/>
          <w:color w:val="1F2937"/>
          <w:sz w:val="22"/>
          <w:szCs w:val="22"/>
        </w:rPr>
        <w:t xml:space="preserve">The Government of India enacted four consolidated Labour Codes between 2019 and 2020, amalgamating 29 central labour laws. As of June 2026, the Codes have received Presidential assent but full state-level notification is pending for most states. The existing Acts continue to operate until the respective Code is notified in each state. PRANA must prepare for both the current and post-notification environment.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6"/>
              <w:left w:val="single" w:color="0066CC" w:sz="18"/>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Why This Matters for PRANA</w:t>
            </w:r>
          </w:p>
          <w:p>
            <w:pPr>
              <w:spacing w:before="40"/>
            </w:pPr>
            <w:r>
              <w:rPr>
                <w:rFonts w:ascii="Arial" w:cs="Arial" w:eastAsia="Arial" w:hAnsi="Arial"/>
                <w:color w:val="374151"/>
                <w:sz w:val="20"/>
                <w:szCs w:val="20"/>
              </w:rPr>
              <w:t xml:space="preserve">Each Labour Code mandates specific record-keeping and document-issuance obligations on employers. PRANA — as the platform through which employer-tenants fulfil these obligations — must ensure its document schemas, retention windows, and audit trails are aligned to Code requirements so that employers using PRANA can credibly claim compliance.</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2.1 Code on Wages, 2019</w:t>
      </w:r>
    </w:p>
    <w:p>
      <w:pPr>
        <w:pStyle w:val="Heading3"/>
        <w:spacing w:after="80" w:before="200"/>
      </w:pPr>
      <w:r>
        <w:rPr>
          <w:rFonts w:ascii="Arial" w:cs="Arial" w:eastAsia="Arial" w:hAnsi="Arial"/>
          <w:b/>
          <w:bCs/>
          <w:color w:val="374151"/>
          <w:sz w:val="22"/>
          <w:szCs w:val="22"/>
        </w:rPr>
        <w:t xml:space="preserve">Overview</w:t>
      </w:r>
    </w:p>
    <w:p>
      <w:pPr>
        <w:spacing w:after="120" w:before="80"/>
      </w:pPr>
      <w:r>
        <w:rPr>
          <w:rFonts w:ascii="Arial" w:cs="Arial" w:eastAsia="Arial" w:hAnsi="Arial"/>
          <w:color w:val="1F2937"/>
          <w:sz w:val="22"/>
          <w:szCs w:val="22"/>
        </w:rPr>
        <w:t xml:space="preserve">Consolidates: Minimum Wages Act 1948, Payment of Wages Act 1936, Equal Remuneration Act 1976, Payment of Bonus Act 1965.</w:t>
      </w:r>
    </w:p>
    <w:p>
      <w:r>
        <w:rPr>
          <w:sz w:val="14"/>
          <w:szCs w:val="14"/>
        </w:rPr>
        <w:t xml:space="preserve"/>
      </w:r>
    </w:p>
    <w:p>
      <w:pPr>
        <w:pStyle w:val="Heading3"/>
        <w:spacing w:after="80" w:before="200"/>
      </w:pPr>
      <w:r>
        <w:rPr>
          <w:rFonts w:ascii="Arial" w:cs="Arial" w:eastAsia="Arial" w:hAnsi="Arial"/>
          <w:b/>
          <w:bCs/>
          <w:color w:val="374151"/>
          <w:sz w:val="22"/>
          <w:szCs w:val="22"/>
        </w:rPr>
        <w:t xml:space="preserve">Key Record-Keeping Obligations on Employers</w:t>
      </w:r>
    </w:p>
    <w:p>
      <w:pPr>
        <w:pStyle w:val="ListParagraph"/>
        <w:numPr>
          <w:ilvl w:val="0"/>
          <w:numId w:val="2"/>
        </w:numPr>
        <w:spacing w:after="40" w:before="40"/>
      </w:pPr>
      <w:r>
        <w:rPr>
          <w:rFonts w:ascii="Arial" w:cs="Arial" w:eastAsia="Arial" w:hAnsi="Arial"/>
          <w:b w:val="false"/>
          <w:bCs w:val="false"/>
          <w:color w:val="1F2937"/>
          <w:sz w:val="22"/>
          <w:szCs w:val="22"/>
        </w:rPr>
        <w:t xml:space="preserve">Wage slip / pay slip must be issued to every worker for each wage period (Rule 25 of draft central rules).</w:t>
      </w:r>
    </w:p>
    <w:p>
      <w:pPr>
        <w:pStyle w:val="ListParagraph"/>
        <w:numPr>
          <w:ilvl w:val="0"/>
          <w:numId w:val="2"/>
        </w:numPr>
        <w:spacing w:after="40" w:before="40"/>
      </w:pPr>
      <w:r>
        <w:rPr>
          <w:rFonts w:ascii="Arial" w:cs="Arial" w:eastAsia="Arial" w:hAnsi="Arial"/>
          <w:b w:val="false"/>
          <w:bCs w:val="false"/>
          <w:color w:val="1F2937"/>
          <w:sz w:val="22"/>
          <w:szCs w:val="22"/>
        </w:rPr>
        <w:t xml:space="preserve">Wage register must be maintained in prescribed format — digitally permissible.</w:t>
      </w:r>
    </w:p>
    <w:p>
      <w:pPr>
        <w:pStyle w:val="ListParagraph"/>
        <w:numPr>
          <w:ilvl w:val="0"/>
          <w:numId w:val="2"/>
        </w:numPr>
        <w:spacing w:after="40" w:before="40"/>
      </w:pPr>
      <w:r>
        <w:rPr>
          <w:rFonts w:ascii="Arial" w:cs="Arial" w:eastAsia="Arial" w:hAnsi="Arial"/>
          <w:b w:val="false"/>
          <w:bCs w:val="false"/>
          <w:color w:val="1F2937"/>
          <w:sz w:val="22"/>
          <w:szCs w:val="22"/>
        </w:rPr>
        <w:t xml:space="preserve">Annual bonus computation and payment records.</w:t>
      </w:r>
    </w:p>
    <w:p>
      <w:pPr>
        <w:pStyle w:val="ListParagraph"/>
        <w:numPr>
          <w:ilvl w:val="0"/>
          <w:numId w:val="2"/>
        </w:numPr>
        <w:spacing w:after="40" w:before="40"/>
      </w:pPr>
      <w:r>
        <w:rPr>
          <w:rFonts w:ascii="Arial" w:cs="Arial" w:eastAsia="Arial" w:hAnsi="Arial"/>
          <w:b w:val="false"/>
          <w:bCs w:val="false"/>
          <w:color w:val="1F2937"/>
          <w:sz w:val="22"/>
          <w:szCs w:val="22"/>
        </w:rPr>
        <w:t xml:space="preserve">Equal remuneration register showing pay parity across genders.</w:t>
      </w:r>
    </w:p>
    <w:p>
      <w:pPr>
        <w:pStyle w:val="ListParagraph"/>
        <w:numPr>
          <w:ilvl w:val="0"/>
          <w:numId w:val="2"/>
        </w:numPr>
        <w:spacing w:after="40" w:before="40"/>
      </w:pPr>
      <w:r>
        <w:rPr>
          <w:rFonts w:ascii="Arial" w:cs="Arial" w:eastAsia="Arial" w:hAnsi="Arial"/>
          <w:b w:val="false"/>
          <w:bCs w:val="false"/>
          <w:color w:val="1F2937"/>
          <w:sz w:val="22"/>
          <w:szCs w:val="22"/>
        </w:rPr>
        <w:t xml:space="preserve">Records must be maintained for 3 years and produced on demand by inspector-cum-facilitator.</w:t>
      </w:r>
    </w:p>
    <w:p>
      <w:r>
        <w:rPr>
          <w:sz w:val="14"/>
          <w:szCs w:val="14"/>
        </w:rPr>
        <w:t xml:space="preserve"/>
      </w:r>
    </w:p>
    <w:p>
      <w:pPr>
        <w:pStyle w:val="Heading3"/>
        <w:spacing w:after="80" w:before="200"/>
      </w:pPr>
      <w:r>
        <w:rPr>
          <w:rFonts w:ascii="Arial" w:cs="Arial" w:eastAsia="Arial" w:hAnsi="Arial"/>
          <w:b/>
          <w:bCs/>
          <w:color w:val="374151"/>
          <w:sz w:val="22"/>
          <w:szCs w:val="22"/>
        </w:rPr>
        <w:t xml:space="preserve">PRANA Alignment</w:t>
      </w:r>
    </w:p>
    <w:p>
      <w:pPr>
        <w:pStyle w:val="ListParagraph"/>
        <w:numPr>
          <w:ilvl w:val="0"/>
          <w:numId w:val="2"/>
        </w:numPr>
        <w:spacing w:after="40" w:before="40"/>
      </w:pPr>
      <w:r>
        <w:rPr>
          <w:rFonts w:ascii="Arial" w:cs="Arial" w:eastAsia="Arial" w:hAnsi="Arial"/>
          <w:b/>
          <w:bCs/>
          <w:color w:val="1F2937"/>
          <w:sz w:val="22"/>
          <w:szCs w:val="22"/>
        </w:rPr>
        <w:t xml:space="preserve">Wage slips: PRANA already stores employer-pushed salary slips. Schema supports month/year, gross/net, deduction line items — aligned.</w:t>
      </w:r>
    </w:p>
    <w:p>
      <w:pPr>
        <w:pStyle w:val="ListParagraph"/>
        <w:numPr>
          <w:ilvl w:val="0"/>
          <w:numId w:val="2"/>
        </w:numPr>
        <w:spacing w:after="40" w:before="40"/>
      </w:pPr>
      <w:r>
        <w:rPr>
          <w:rFonts w:ascii="Arial" w:cs="Arial" w:eastAsia="Arial" w:hAnsi="Arial"/>
          <w:b/>
          <w:bCs/>
          <w:color w:val="1F2937"/>
          <w:sz w:val="22"/>
          <w:szCs w:val="22"/>
        </w:rPr>
        <w:t xml:space="preserve">Wage register: An employer can export a structured wage register from PRANA's employer portal. This is a product feature gap — needs explicit export template.</w:t>
      </w:r>
    </w:p>
    <w:p>
      <w:pPr>
        <w:pStyle w:val="ListParagraph"/>
        <w:numPr>
          <w:ilvl w:val="0"/>
          <w:numId w:val="2"/>
        </w:numPr>
        <w:spacing w:after="40" w:before="40"/>
      </w:pPr>
      <w:r>
        <w:rPr>
          <w:rFonts w:ascii="Arial" w:cs="Arial" w:eastAsia="Arial" w:hAnsi="Arial"/>
          <w:b/>
          <w:bCs/>
          <w:color w:val="1F2937"/>
          <w:sz w:val="22"/>
          <w:szCs w:val="22"/>
        </w:rPr>
        <w:t xml:space="preserve">Retention: PRANA's tenant-level retention window must support minimum 3-year lock on wage documents even post-employee exit.</w:t>
      </w:r>
    </w:p>
    <w:p>
      <w:pPr>
        <w:pStyle w:val="ListParagraph"/>
        <w:numPr>
          <w:ilvl w:val="0"/>
          <w:numId w:val="2"/>
        </w:numPr>
        <w:spacing w:after="40" w:before="40"/>
      </w:pPr>
      <w:r>
        <w:rPr>
          <w:rFonts w:ascii="Arial" w:cs="Arial" w:eastAsia="Arial" w:hAnsi="Arial"/>
          <w:b/>
          <w:bCs/>
          <w:color w:val="1F2937"/>
          <w:sz w:val="22"/>
          <w:szCs w:val="22"/>
        </w:rPr>
        <w:t xml:space="preserve">Gender pay parity records: Not currently in PRANA's document taxonomy — out of scope for v1 but should be on the roadmap.</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400"/>
        <w:gridCol w:w="1160"/>
      </w:tblGrid>
      <w:tr>
        <w:trPr>
          <w:tblHeader/>
        </w:trP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Requirement</w:t>
            </w:r>
          </w:p>
        </w:tc>
        <w:tc>
          <w:tcPr>
            <w:tcW w:type="dxa" w:w="3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PRANA Coverage</w:t>
            </w:r>
          </w:p>
        </w:tc>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1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Wage slip issuance &amp; storage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 pushes, employee vault stores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None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COMPLIANT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3-year retention lock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per tenant — needs enforcement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Implement retention floor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Wage register export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structured export yet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Build employer export module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Bonus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be stored as document 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document type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Equal remuneration register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 of scope v1</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Roadmap v2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WATCH</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2.2 Industrial Relations Code, 2020</w:t>
      </w:r>
    </w:p>
    <w:p>
      <w:pPr>
        <w:pStyle w:val="Heading3"/>
        <w:spacing w:after="80" w:before="200"/>
      </w:pPr>
      <w:r>
        <w:rPr>
          <w:rFonts w:ascii="Arial" w:cs="Arial" w:eastAsia="Arial" w:hAnsi="Arial"/>
          <w:b/>
          <w:bCs/>
          <w:color w:val="374151"/>
          <w:sz w:val="22"/>
          <w:szCs w:val="22"/>
        </w:rPr>
        <w:t xml:space="preserve">Overview</w:t>
      </w:r>
    </w:p>
    <w:p>
      <w:pPr>
        <w:spacing w:after="120" w:before="80"/>
      </w:pPr>
      <w:r>
        <w:rPr>
          <w:rFonts w:ascii="Arial" w:cs="Arial" w:eastAsia="Arial" w:hAnsi="Arial"/>
          <w:color w:val="1F2937"/>
          <w:sz w:val="22"/>
          <w:szCs w:val="22"/>
        </w:rPr>
        <w:t xml:space="preserve">Consolidates: Trade Unions Act 1926, Industrial Employment (Standing Orders) Act 1946, Industrial Disputes Act 1947.</w:t>
      </w:r>
    </w:p>
    <w:p>
      <w:r>
        <w:rPr>
          <w:sz w:val="14"/>
          <w:szCs w:val="14"/>
        </w:rPr>
        <w:t xml:space="preserve"/>
      </w:r>
    </w:p>
    <w:p>
      <w:pPr>
        <w:pStyle w:val="Heading3"/>
        <w:spacing w:after="80" w:before="200"/>
      </w:pPr>
      <w:r>
        <w:rPr>
          <w:rFonts w:ascii="Arial" w:cs="Arial" w:eastAsia="Arial" w:hAnsi="Arial"/>
          <w:b/>
          <w:bCs/>
          <w:color w:val="374151"/>
          <w:sz w:val="22"/>
          <w:szCs w:val="22"/>
        </w:rPr>
        <w:t xml:space="preserve">Key Record-Keeping Obligations on Employers</w:t>
      </w:r>
    </w:p>
    <w:p>
      <w:pPr>
        <w:pStyle w:val="ListParagraph"/>
        <w:numPr>
          <w:ilvl w:val="0"/>
          <w:numId w:val="2"/>
        </w:numPr>
        <w:spacing w:after="40" w:before="40"/>
      </w:pPr>
      <w:r>
        <w:rPr>
          <w:rFonts w:ascii="Arial" w:cs="Arial" w:eastAsia="Arial" w:hAnsi="Arial"/>
          <w:b w:val="false"/>
          <w:bCs w:val="false"/>
          <w:color w:val="1F2937"/>
          <w:sz w:val="22"/>
          <w:szCs w:val="22"/>
        </w:rPr>
        <w:t xml:space="preserve">Standing Orders — once certified, must be displayed and accessible to workers.</w:t>
      </w:r>
    </w:p>
    <w:p>
      <w:pPr>
        <w:pStyle w:val="ListParagraph"/>
        <w:numPr>
          <w:ilvl w:val="0"/>
          <w:numId w:val="2"/>
        </w:numPr>
        <w:spacing w:after="40" w:before="40"/>
      </w:pPr>
      <w:r>
        <w:rPr>
          <w:rFonts w:ascii="Arial" w:cs="Arial" w:eastAsia="Arial" w:hAnsi="Arial"/>
          <w:b w:val="false"/>
          <w:bCs w:val="false"/>
          <w:color w:val="1F2937"/>
          <w:sz w:val="22"/>
          <w:szCs w:val="22"/>
        </w:rPr>
        <w:t xml:space="preserve">Notice of retrenchment / layoff — written notice with reasons, 3 months for establishments with 300+ workers.</w:t>
      </w:r>
    </w:p>
    <w:p>
      <w:pPr>
        <w:pStyle w:val="ListParagraph"/>
        <w:numPr>
          <w:ilvl w:val="0"/>
          <w:numId w:val="2"/>
        </w:numPr>
        <w:spacing w:after="40" w:before="40"/>
      </w:pPr>
      <w:r>
        <w:rPr>
          <w:rFonts w:ascii="Arial" w:cs="Arial" w:eastAsia="Arial" w:hAnsi="Arial"/>
          <w:b w:val="false"/>
          <w:bCs w:val="false"/>
          <w:color w:val="1F2937"/>
          <w:sz w:val="22"/>
          <w:szCs w:val="22"/>
        </w:rPr>
        <w:t xml:space="preserve">Service record of workers — appointment, promotions, transfers, disciplinary actions.</w:t>
      </w:r>
    </w:p>
    <w:p>
      <w:pPr>
        <w:pStyle w:val="ListParagraph"/>
        <w:numPr>
          <w:ilvl w:val="0"/>
          <w:numId w:val="2"/>
        </w:numPr>
        <w:spacing w:after="40" w:before="40"/>
      </w:pPr>
      <w:r>
        <w:rPr>
          <w:rFonts w:ascii="Arial" w:cs="Arial" w:eastAsia="Arial" w:hAnsi="Arial"/>
          <w:b w:val="false"/>
          <w:bCs w:val="false"/>
          <w:color w:val="1F2937"/>
          <w:sz w:val="22"/>
          <w:szCs w:val="22"/>
        </w:rPr>
        <w:t xml:space="preserve">Grievance redressal committee records for establishments with 20+ workers.</w:t>
      </w:r>
    </w:p>
    <w:p>
      <w:r>
        <w:rPr>
          <w:sz w:val="14"/>
          <w:szCs w:val="14"/>
        </w:rPr>
        <w:t xml:space="preserve"/>
      </w:r>
    </w:p>
    <w:p>
      <w:pPr>
        <w:pStyle w:val="Heading3"/>
        <w:spacing w:after="80" w:before="200"/>
      </w:pPr>
      <w:r>
        <w:rPr>
          <w:rFonts w:ascii="Arial" w:cs="Arial" w:eastAsia="Arial" w:hAnsi="Arial"/>
          <w:b/>
          <w:bCs/>
          <w:color w:val="374151"/>
          <w:sz w:val="22"/>
          <w:szCs w:val="22"/>
        </w:rPr>
        <w:t xml:space="preserve">PRANA Alignment</w:t>
      </w:r>
    </w:p>
    <w:p>
      <w:pPr>
        <w:pStyle w:val="ListParagraph"/>
        <w:numPr>
          <w:ilvl w:val="0"/>
          <w:numId w:val="2"/>
        </w:numPr>
        <w:spacing w:after="40" w:before="40"/>
      </w:pPr>
      <w:r>
        <w:rPr>
          <w:rFonts w:ascii="Arial" w:cs="Arial" w:eastAsia="Arial" w:hAnsi="Arial"/>
          <w:b/>
          <w:bCs/>
          <w:color w:val="1F2937"/>
          <w:sz w:val="22"/>
          <w:szCs w:val="22"/>
        </w:rPr>
        <w:t xml:space="preserve">Appointment letters and offer letters are already in PRANA's document taxonomy — directly satisfies service record initiation.</w:t>
      </w:r>
    </w:p>
    <w:p>
      <w:pPr>
        <w:pStyle w:val="ListParagraph"/>
        <w:numPr>
          <w:ilvl w:val="0"/>
          <w:numId w:val="2"/>
        </w:numPr>
        <w:spacing w:after="40" w:before="40"/>
      </w:pPr>
      <w:r>
        <w:rPr>
          <w:rFonts w:ascii="Arial" w:cs="Arial" w:eastAsia="Arial" w:hAnsi="Arial"/>
          <w:b/>
          <w:bCs/>
          <w:color w:val="1F2937"/>
          <w:sz w:val="22"/>
          <w:szCs w:val="22"/>
        </w:rPr>
        <w:t xml:space="preserve">Retrenchment / termination letters: PRANA should include this as a formal document type pushed by employer at exit.</w:t>
      </w:r>
    </w:p>
    <w:p>
      <w:pPr>
        <w:pStyle w:val="ListParagraph"/>
        <w:numPr>
          <w:ilvl w:val="0"/>
          <w:numId w:val="2"/>
        </w:numPr>
        <w:spacing w:after="40" w:before="40"/>
      </w:pPr>
      <w:r>
        <w:rPr>
          <w:rFonts w:ascii="Arial" w:cs="Arial" w:eastAsia="Arial" w:hAnsi="Arial"/>
          <w:b/>
          <w:bCs/>
          <w:color w:val="1F2937"/>
          <w:sz w:val="22"/>
          <w:szCs w:val="22"/>
        </w:rPr>
        <w:t xml:space="preserve">Standing Orders: These are employer policy documents, not employee-specific. PRANA could host them as tenant-wide documents accessible to all employees — a feature consideration.</w:t>
      </w:r>
    </w:p>
    <w:p>
      <w:pPr>
        <w:pStyle w:val="ListParagraph"/>
        <w:numPr>
          <w:ilvl w:val="0"/>
          <w:numId w:val="2"/>
        </w:numPr>
        <w:spacing w:after="40" w:before="40"/>
      </w:pPr>
      <w:r>
        <w:rPr>
          <w:rFonts w:ascii="Arial" w:cs="Arial" w:eastAsia="Arial" w:hAnsi="Arial"/>
          <w:b/>
          <w:bCs/>
          <w:color w:val="1F2937"/>
          <w:sz w:val="22"/>
          <w:szCs w:val="22"/>
        </w:rPr>
        <w:t xml:space="preserve">Disciplinary action records: Sensitive. PRANA's current model is employee-visible documents. Disciplinary records may need a restricted category visible to employer and employee but not shareable without dual consent.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400"/>
        <w:gridCol w:w="1160"/>
      </w:tblGrid>
      <w:tr>
        <w:trPr>
          <w:tblHeader/>
        </w:trP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Requirement</w:t>
            </w:r>
          </w:p>
        </w:tc>
        <w:tc>
          <w:tcPr>
            <w:tcW w:type="dxa" w:w="3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PRANA Coverage</w:t>
            </w:r>
          </w:p>
        </w:tc>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1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Appointment letter storage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feature — employer push</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None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COMPLIANT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Termination / retrenchment letter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explicit document 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exit doc type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Standing Orders (policy docs)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covered — tenant-wide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Consider tenant docs feature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Disciplinary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conflict — dual consent needed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Restricted doc category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Grievance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 of scope — employer's internal system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None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2.3 Code on Social Security, 2020</w:t>
      </w:r>
    </w:p>
    <w:p>
      <w:pPr>
        <w:pStyle w:val="Heading3"/>
        <w:spacing w:after="80" w:before="200"/>
      </w:pPr>
      <w:r>
        <w:rPr>
          <w:rFonts w:ascii="Arial" w:cs="Arial" w:eastAsia="Arial" w:hAnsi="Arial"/>
          <w:b/>
          <w:bCs/>
          <w:color w:val="374151"/>
          <w:sz w:val="22"/>
          <w:szCs w:val="22"/>
        </w:rPr>
        <w:t xml:space="preserve">Overview</w:t>
      </w:r>
    </w:p>
    <w:p>
      <w:pPr>
        <w:spacing w:after="120" w:before="80"/>
      </w:pPr>
      <w:r>
        <w:rPr>
          <w:rFonts w:ascii="Arial" w:cs="Arial" w:eastAsia="Arial" w:hAnsi="Arial"/>
          <w:color w:val="1F2937"/>
          <w:sz w:val="22"/>
          <w:szCs w:val="22"/>
        </w:rPr>
        <w:t xml:space="preserve">Consolidates: EPF &amp; MP Act 1952, ESI Act 1948, Gratuity Act 1972, Maternity Benefit Act 1961, BOCW Act 1996, Building &amp; Other Construction Workers Welfare Cess Act, Unorganised Workers Social Security Act 2008, and others.</w:t>
      </w:r>
    </w:p>
    <w:p>
      <w:pPr>
        <w:spacing w:after="120" w:before="80"/>
      </w:pPr>
      <w:r>
        <w:rPr>
          <w:rFonts w:ascii="Arial" w:cs="Arial" w:eastAsia="Arial" w:hAnsi="Arial"/>
          <w:color w:val="1F2937"/>
          <w:sz w:val="22"/>
          <w:szCs w:val="22"/>
        </w:rPr>
        <w:t xml:space="preserve">This is the most document-intensive Code for PRANA — covering PF, ESI, gratuity, maternity, and gig worker protections.</w:t>
      </w:r>
    </w:p>
    <w:p>
      <w:r>
        <w:rPr>
          <w:sz w:val="14"/>
          <w:szCs w:val="14"/>
        </w:rPr>
        <w:t xml:space="preserve"/>
      </w:r>
    </w:p>
    <w:p>
      <w:pPr>
        <w:pStyle w:val="Heading3"/>
        <w:spacing w:after="80" w:before="200"/>
      </w:pPr>
      <w:r>
        <w:rPr>
          <w:rFonts w:ascii="Arial" w:cs="Arial" w:eastAsia="Arial" w:hAnsi="Arial"/>
          <w:b/>
          <w:bCs/>
          <w:color w:val="374151"/>
          <w:sz w:val="22"/>
          <w:szCs w:val="22"/>
        </w:rPr>
        <w:t xml:space="preserve">Key Record-Keeping Obligations</w:t>
      </w:r>
    </w:p>
    <w:p>
      <w:pPr>
        <w:pStyle w:val="ListParagraph"/>
        <w:numPr>
          <w:ilvl w:val="0"/>
          <w:numId w:val="2"/>
        </w:numPr>
        <w:spacing w:after="40" w:before="40"/>
      </w:pPr>
      <w:r>
        <w:rPr>
          <w:rFonts w:ascii="Arial" w:cs="Arial" w:eastAsia="Arial" w:hAnsi="Arial"/>
          <w:b w:val="false"/>
          <w:bCs w:val="false"/>
          <w:color w:val="1F2937"/>
          <w:sz w:val="22"/>
          <w:szCs w:val="22"/>
        </w:rPr>
        <w:t xml:space="preserve">PF passbook / UAN-linked contributions — EPFO already digitally maintains this, but employer-issued PF statements remain important.</w:t>
      </w:r>
    </w:p>
    <w:p>
      <w:pPr>
        <w:pStyle w:val="ListParagraph"/>
        <w:numPr>
          <w:ilvl w:val="0"/>
          <w:numId w:val="2"/>
        </w:numPr>
        <w:spacing w:after="40" w:before="40"/>
      </w:pPr>
      <w:r>
        <w:rPr>
          <w:rFonts w:ascii="Arial" w:cs="Arial" w:eastAsia="Arial" w:hAnsi="Arial"/>
          <w:b w:val="false"/>
          <w:bCs w:val="false"/>
          <w:color w:val="1F2937"/>
          <w:sz w:val="22"/>
          <w:szCs w:val="22"/>
        </w:rPr>
        <w:t xml:space="preserve">ESI contribution details — Form 6C (ESI card), contribution history.</w:t>
      </w:r>
    </w:p>
    <w:p>
      <w:pPr>
        <w:pStyle w:val="ListParagraph"/>
        <w:numPr>
          <w:ilvl w:val="0"/>
          <w:numId w:val="2"/>
        </w:numPr>
        <w:spacing w:after="40" w:before="40"/>
      </w:pPr>
      <w:r>
        <w:rPr>
          <w:rFonts w:ascii="Arial" w:cs="Arial" w:eastAsia="Arial" w:hAnsi="Arial"/>
          <w:b w:val="false"/>
          <w:bCs w:val="false"/>
          <w:color w:val="1F2937"/>
          <w:sz w:val="22"/>
          <w:szCs w:val="22"/>
        </w:rPr>
        <w:t xml:space="preserve">Gratuity nomination form (Form F) and payment certificate on exit.</w:t>
      </w:r>
    </w:p>
    <w:p>
      <w:pPr>
        <w:pStyle w:val="ListParagraph"/>
        <w:numPr>
          <w:ilvl w:val="0"/>
          <w:numId w:val="2"/>
        </w:numPr>
        <w:spacing w:after="40" w:before="40"/>
      </w:pPr>
      <w:r>
        <w:rPr>
          <w:rFonts w:ascii="Arial" w:cs="Arial" w:eastAsia="Arial" w:hAnsi="Arial"/>
          <w:b w:val="false"/>
          <w:bCs w:val="false"/>
          <w:color w:val="1F2937"/>
          <w:sz w:val="22"/>
          <w:szCs w:val="22"/>
        </w:rPr>
        <w:t xml:space="preserve">Maternity benefit records — period of leave, payments made.</w:t>
      </w:r>
    </w:p>
    <w:p>
      <w:pPr>
        <w:pStyle w:val="ListParagraph"/>
        <w:numPr>
          <w:ilvl w:val="0"/>
          <w:numId w:val="2"/>
        </w:numPr>
        <w:spacing w:after="40" w:before="40"/>
      </w:pPr>
      <w:r>
        <w:rPr>
          <w:rFonts w:ascii="Arial" w:cs="Arial" w:eastAsia="Arial" w:hAnsi="Arial"/>
          <w:b w:val="false"/>
          <w:bCs w:val="false"/>
          <w:color w:val="1F2937"/>
          <w:sz w:val="22"/>
          <w:szCs w:val="22"/>
        </w:rPr>
        <w:t xml:space="preserve">Gig / platform workers: Code mandates registration and social security contributions — a new compliance category.</w:t>
      </w:r>
    </w:p>
    <w:p>
      <w:pPr>
        <w:pStyle w:val="ListParagraph"/>
        <w:numPr>
          <w:ilvl w:val="0"/>
          <w:numId w:val="2"/>
        </w:numPr>
        <w:spacing w:after="40" w:before="40"/>
      </w:pPr>
      <w:r>
        <w:rPr>
          <w:rFonts w:ascii="Arial" w:cs="Arial" w:eastAsia="Arial" w:hAnsi="Arial"/>
          <w:b w:val="false"/>
          <w:bCs w:val="false"/>
          <w:color w:val="1F2937"/>
          <w:sz w:val="22"/>
          <w:szCs w:val="22"/>
        </w:rPr>
        <w:t xml:space="preserve">Nomination forms for all social security schemes — must be maintained per employee.</w:t>
      </w:r>
    </w:p>
    <w:p>
      <w:r>
        <w:rPr>
          <w:sz w:val="14"/>
          <w:szCs w:val="14"/>
        </w:rPr>
        <w:t xml:space="preserve"/>
      </w:r>
    </w:p>
    <w:p>
      <w:pPr>
        <w:pStyle w:val="Heading3"/>
        <w:spacing w:after="80" w:before="200"/>
      </w:pPr>
      <w:r>
        <w:rPr>
          <w:rFonts w:ascii="Arial" w:cs="Arial" w:eastAsia="Arial" w:hAnsi="Arial"/>
          <w:b/>
          <w:bCs/>
          <w:color w:val="374151"/>
          <w:sz w:val="22"/>
          <w:szCs w:val="22"/>
        </w:rPr>
        <w:t xml:space="preserve">PRANA Alignment</w:t>
      </w:r>
    </w:p>
    <w:p>
      <w:pPr>
        <w:pStyle w:val="ListParagraph"/>
        <w:numPr>
          <w:ilvl w:val="0"/>
          <w:numId w:val="2"/>
        </w:numPr>
        <w:spacing w:after="40" w:before="40"/>
      </w:pPr>
      <w:r>
        <w:rPr>
          <w:rFonts w:ascii="Arial" w:cs="Arial" w:eastAsia="Arial" w:hAnsi="Arial"/>
          <w:b/>
          <w:bCs/>
          <w:color w:val="1F2937"/>
          <w:sz w:val="22"/>
          <w:szCs w:val="22"/>
        </w:rPr>
        <w:t xml:space="preserve">PF statements: PRANA can store employer-issued annual PF account statements. EPFO digital records are separate and not duplicated on PRANA.</w:t>
      </w:r>
    </w:p>
    <w:p>
      <w:pPr>
        <w:pStyle w:val="ListParagraph"/>
        <w:numPr>
          <w:ilvl w:val="0"/>
          <w:numId w:val="2"/>
        </w:numPr>
        <w:spacing w:after="40" w:before="40"/>
      </w:pPr>
      <w:r>
        <w:rPr>
          <w:rFonts w:ascii="Arial" w:cs="Arial" w:eastAsia="Arial" w:hAnsi="Arial"/>
          <w:b/>
          <w:bCs/>
          <w:color w:val="1F2937"/>
          <w:sz w:val="22"/>
          <w:szCs w:val="22"/>
        </w:rPr>
        <w:t xml:space="preserve">ESI cards and contribution history: Storable as document type — employer HR teams already generate these.</w:t>
      </w:r>
    </w:p>
    <w:p>
      <w:pPr>
        <w:pStyle w:val="ListParagraph"/>
        <w:numPr>
          <w:ilvl w:val="0"/>
          <w:numId w:val="2"/>
        </w:numPr>
        <w:spacing w:after="40" w:before="40"/>
      </w:pPr>
      <w:r>
        <w:rPr>
          <w:rFonts w:ascii="Arial" w:cs="Arial" w:eastAsia="Arial" w:hAnsi="Arial"/>
          <w:b/>
          <w:bCs/>
          <w:color w:val="1F2937"/>
          <w:sz w:val="22"/>
          <w:szCs w:val="22"/>
        </w:rPr>
        <w:t xml:space="preserve">Gratuity Form F (nomination): Critical exit document — must be in PRANA's document taxonomy. Gratuity payment certificate on exit is equally important.</w:t>
      </w:r>
    </w:p>
    <w:p>
      <w:pPr>
        <w:pStyle w:val="ListParagraph"/>
        <w:numPr>
          <w:ilvl w:val="0"/>
          <w:numId w:val="2"/>
        </w:numPr>
        <w:spacing w:after="40" w:before="40"/>
      </w:pPr>
      <w:r>
        <w:rPr>
          <w:rFonts w:ascii="Arial" w:cs="Arial" w:eastAsia="Arial" w:hAnsi="Arial"/>
          <w:b/>
          <w:bCs/>
          <w:color w:val="1F2937"/>
          <w:sz w:val="22"/>
          <w:szCs w:val="22"/>
        </w:rPr>
        <w:t xml:space="preserve">Maternity records: Sensitive. PRANA should support this but with enhanced privacy controls — these are medical-adjacent records.</w:t>
      </w:r>
    </w:p>
    <w:p>
      <w:pPr>
        <w:pStyle w:val="ListParagraph"/>
        <w:numPr>
          <w:ilvl w:val="0"/>
          <w:numId w:val="2"/>
        </w:numPr>
        <w:spacing w:after="40" w:before="40"/>
      </w:pPr>
      <w:r>
        <w:rPr>
          <w:rFonts w:ascii="Arial" w:cs="Arial" w:eastAsia="Arial" w:hAnsi="Arial"/>
          <w:b/>
          <w:bCs/>
          <w:color w:val="1F2937"/>
          <w:sz w:val="22"/>
          <w:szCs w:val="22"/>
        </w:rPr>
        <w:t xml:space="preserve">Gig workers: Code extends protections to platform/gig workers. If PRANA is used by gig economy employers (e.g., aggregators), it must support a lighter document set for gig workers — UAN, registration, contribution proofs.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400"/>
        <w:gridCol w:w="1160"/>
      </w:tblGrid>
      <w:tr>
        <w:trPr>
          <w:tblHeader/>
        </w:trP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Requirement</w:t>
            </w:r>
          </w:p>
        </w:tc>
        <w:tc>
          <w:tcPr>
            <w:tcW w:type="dxa" w:w="3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PRANA Coverage</w:t>
            </w:r>
          </w:p>
        </w:tc>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1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PF / UAN statements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Storable — needs document 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PF statement type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ESI contribution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Storable — needs document 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ESI doc type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Gratuity nomination (Form 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 taxonomy yet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as exit document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Gratuity payment certificate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 taxonomy yet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as exit document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Maternity benefit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controls needed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Restricted + consent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Gig worker registration docs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 in v1</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Roadmap v2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WATCH</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2.4 Occupational Safety, Health &amp; Working Conditions Code, 2020</w:t>
      </w:r>
    </w:p>
    <w:p>
      <w:pPr>
        <w:pStyle w:val="Heading3"/>
        <w:spacing w:after="80" w:before="200"/>
      </w:pPr>
      <w:r>
        <w:rPr>
          <w:rFonts w:ascii="Arial" w:cs="Arial" w:eastAsia="Arial" w:hAnsi="Arial"/>
          <w:b/>
          <w:bCs/>
          <w:color w:val="374151"/>
          <w:sz w:val="22"/>
          <w:szCs w:val="22"/>
        </w:rPr>
        <w:t xml:space="preserve">Overview</w:t>
      </w:r>
    </w:p>
    <w:p>
      <w:pPr>
        <w:spacing w:after="120" w:before="80"/>
      </w:pPr>
      <w:r>
        <w:rPr>
          <w:rFonts w:ascii="Arial" w:cs="Arial" w:eastAsia="Arial" w:hAnsi="Arial"/>
          <w:color w:val="1F2937"/>
          <w:sz w:val="22"/>
          <w:szCs w:val="22"/>
        </w:rPr>
        <w:t xml:space="preserve">Consolidates: Factories Act 1948, Mines Act 1952, Dock Workers Act 1986, Contract Labour Act 1970, Inter-State Migrant Workmen Act 1979, Building &amp; Construction Workers Act, and 9 others.</w:t>
      </w:r>
    </w:p>
    <w:p>
      <w:r>
        <w:rPr>
          <w:sz w:val="14"/>
          <w:szCs w:val="14"/>
        </w:rPr>
        <w:t xml:space="preserve"/>
      </w:r>
    </w:p>
    <w:p>
      <w:pPr>
        <w:pStyle w:val="Heading3"/>
        <w:spacing w:after="80" w:before="200"/>
      </w:pPr>
      <w:r>
        <w:rPr>
          <w:rFonts w:ascii="Arial" w:cs="Arial" w:eastAsia="Arial" w:hAnsi="Arial"/>
          <w:b/>
          <w:bCs/>
          <w:color w:val="374151"/>
          <w:sz w:val="22"/>
          <w:szCs w:val="22"/>
        </w:rPr>
        <w:t xml:space="preserve">PRANA Relevance — Limited but Specific</w:t>
      </w:r>
    </w:p>
    <w:p>
      <w:pPr>
        <w:spacing w:after="120" w:before="80"/>
      </w:pPr>
      <w:r>
        <w:rPr>
          <w:rFonts w:ascii="Arial" w:cs="Arial" w:eastAsia="Arial" w:hAnsi="Arial"/>
          <w:color w:val="1F2937"/>
          <w:sz w:val="22"/>
          <w:szCs w:val="22"/>
        </w:rPr>
        <w:t xml:space="preserve">OSH Code is primarily about physical working conditions and safety compliance. PRANA's relevance is limited to the document-record aspects:</w:t>
      </w:r>
    </w:p>
    <w:p>
      <w:pPr>
        <w:pStyle w:val="ListParagraph"/>
        <w:numPr>
          <w:ilvl w:val="0"/>
          <w:numId w:val="2"/>
        </w:numPr>
        <w:spacing w:after="40" w:before="40"/>
      </w:pPr>
      <w:r>
        <w:rPr>
          <w:rFonts w:ascii="Arial" w:cs="Arial" w:eastAsia="Arial" w:hAnsi="Arial"/>
          <w:b w:val="false"/>
          <w:bCs w:val="false"/>
          <w:color w:val="1F2937"/>
          <w:sz w:val="22"/>
          <w:szCs w:val="22"/>
        </w:rPr>
        <w:t xml:space="preserve">Contract Labour records: Principal employers must maintain records of contract workers. PRANA can assist if the employer-tenant chooses to include contractor document management.</w:t>
      </w:r>
    </w:p>
    <w:p>
      <w:pPr>
        <w:pStyle w:val="ListParagraph"/>
        <w:numPr>
          <w:ilvl w:val="0"/>
          <w:numId w:val="2"/>
        </w:numPr>
        <w:spacing w:after="40" w:before="40"/>
      </w:pPr>
      <w:r>
        <w:rPr>
          <w:rFonts w:ascii="Arial" w:cs="Arial" w:eastAsia="Arial" w:hAnsi="Arial"/>
          <w:b w:val="false"/>
          <w:bCs w:val="false"/>
          <w:color w:val="1F2937"/>
          <w:sz w:val="22"/>
          <w:szCs w:val="22"/>
        </w:rPr>
        <w:t xml:space="preserve">Inter-State Migrant Workers: Employer must issue a passbook to migrant workers with employment terms, wages, and entitlements. PRANA's vault model is an excellent fit — a migrant worker can carry their digital employment passbook across states.</w:t>
      </w:r>
    </w:p>
    <w:p>
      <w:pPr>
        <w:pStyle w:val="ListParagraph"/>
        <w:numPr>
          <w:ilvl w:val="0"/>
          <w:numId w:val="2"/>
        </w:numPr>
        <w:spacing w:after="40" w:before="40"/>
      </w:pPr>
      <w:r>
        <w:rPr>
          <w:rFonts w:ascii="Arial" w:cs="Arial" w:eastAsia="Arial" w:hAnsi="Arial"/>
          <w:b w:val="false"/>
          <w:bCs w:val="false"/>
          <w:color w:val="1F2937"/>
          <w:sz w:val="22"/>
          <w:szCs w:val="22"/>
        </w:rPr>
        <w:t xml:space="preserve">Health and fitness certificates: For factories and hazardous establishments — storable in PRANA.</w:t>
      </w:r>
    </w:p>
    <w:p>
      <w:pPr>
        <w:pStyle w:val="ListParagraph"/>
        <w:numPr>
          <w:ilvl w:val="0"/>
          <w:numId w:val="2"/>
        </w:numPr>
        <w:spacing w:after="40" w:before="40"/>
      </w:pPr>
      <w:r>
        <w:rPr>
          <w:rFonts w:ascii="Arial" w:cs="Arial" w:eastAsia="Arial" w:hAnsi="Arial"/>
          <w:b w:val="false"/>
          <w:bCs w:val="false"/>
          <w:color w:val="1F2937"/>
          <w:sz w:val="22"/>
          <w:szCs w:val="22"/>
        </w:rPr>
        <w:t xml:space="preserve">Appointment letters in local language: OSH Code requires that employment terms be communicated in the worker's language. PRANA's document metadata should capture the language of the document.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400"/>
        <w:gridCol w:w="1160"/>
      </w:tblGrid>
      <w:tr>
        <w:trPr>
          <w:tblHeader/>
        </w:trPr>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Requirement</w:t>
            </w:r>
          </w:p>
        </w:tc>
        <w:tc>
          <w:tcPr>
            <w:tcW w:type="dxa" w:w="3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PRANA Coverage</w:t>
            </w:r>
          </w:p>
        </w:tc>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1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 labour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Employer-side; optional on PRANA</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Employer config</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Migrant worker passbook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PRANA vault is ideal fit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Market to gig/migrant employers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 / fitness certificates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Storable — needs document 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doc type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Appointment letter language metadata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tracked in schema</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Add language field to doc schema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GAP</w:t>
            </w:r>
          </w:p>
        </w:tc>
      </w:tr>
    </w:tbl>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3. Legacy Labour Acts — Still in Force</w:t>
      </w:r>
    </w:p>
    <w:p>
      <w:pPr>
        <w:spacing w:after="120" w:before="80"/>
      </w:pPr>
      <w:r>
        <w:rPr>
          <w:rFonts w:ascii="Arial" w:cs="Arial" w:eastAsia="Arial" w:hAnsi="Arial"/>
          <w:color w:val="1F2937"/>
          <w:sz w:val="22"/>
          <w:szCs w:val="22"/>
        </w:rPr>
        <w:t xml:space="preserve">The 4 Labour Codes subsume 29 Acts, but until each Code is notified by individual states, the original Acts remain operative. The following Acts are most relevant to PRANA's document ecosystem.</w:t>
      </w:r>
    </w:p>
    <w:p>
      <w:r>
        <w:rPr>
          <w:sz w:val="14"/>
          <w:szCs w:val="14"/>
        </w:rPr>
        <w:t xml:space="preserve"/>
      </w:r>
    </w:p>
    <w:p>
      <w:pPr>
        <w:pStyle w:val="Heading2"/>
        <w:spacing w:after="120" w:before="280"/>
      </w:pPr>
      <w:r>
        <w:rPr>
          <w:rFonts w:ascii="Arial" w:cs="Arial" w:eastAsia="Arial" w:hAnsi="Arial"/>
          <w:b/>
          <w:bCs/>
          <w:color w:val="0066CC"/>
          <w:sz w:val="26"/>
          <w:szCs w:val="26"/>
        </w:rPr>
        <w:t xml:space="preserve">3.1 Shops &amp; Establishments Acts (State-Level)</w:t>
      </w:r>
    </w:p>
    <w:p>
      <w:pPr>
        <w:spacing w:after="120" w:before="80"/>
      </w:pPr>
      <w:r>
        <w:rPr>
          <w:rFonts w:ascii="Arial" w:cs="Arial" w:eastAsia="Arial" w:hAnsi="Arial"/>
          <w:color w:val="1F2937"/>
          <w:sz w:val="22"/>
          <w:szCs w:val="22"/>
        </w:rPr>
        <w:t xml:space="preserve">Each state has its own Shops &amp; Establishments Act. These typically mandate:</w:t>
      </w:r>
    </w:p>
    <w:p>
      <w:pPr>
        <w:pStyle w:val="ListParagraph"/>
        <w:numPr>
          <w:ilvl w:val="0"/>
          <w:numId w:val="2"/>
        </w:numPr>
        <w:spacing w:after="40" w:before="40"/>
      </w:pPr>
      <w:r>
        <w:rPr>
          <w:rFonts w:ascii="Arial" w:cs="Arial" w:eastAsia="Arial" w:hAnsi="Arial"/>
          <w:b w:val="false"/>
          <w:bCs w:val="false"/>
          <w:color w:val="1F2937"/>
          <w:sz w:val="22"/>
          <w:szCs w:val="22"/>
        </w:rPr>
        <w:t xml:space="preserve">Employment register with names, dates of joining, wages, leave records.</w:t>
      </w:r>
    </w:p>
    <w:p>
      <w:pPr>
        <w:pStyle w:val="ListParagraph"/>
        <w:numPr>
          <w:ilvl w:val="0"/>
          <w:numId w:val="2"/>
        </w:numPr>
        <w:spacing w:after="40" w:before="40"/>
      </w:pPr>
      <w:r>
        <w:rPr>
          <w:rFonts w:ascii="Arial" w:cs="Arial" w:eastAsia="Arial" w:hAnsi="Arial"/>
          <w:b w:val="false"/>
          <w:bCs w:val="false"/>
          <w:color w:val="1F2937"/>
          <w:sz w:val="22"/>
          <w:szCs w:val="22"/>
        </w:rPr>
        <w:t xml:space="preserve">Leave records — earned leave, sick leave, casual leave balances and encashment.</w:t>
      </w:r>
    </w:p>
    <w:p>
      <w:pPr>
        <w:pStyle w:val="ListParagraph"/>
        <w:numPr>
          <w:ilvl w:val="0"/>
          <w:numId w:val="2"/>
        </w:numPr>
        <w:spacing w:after="40" w:before="40"/>
      </w:pPr>
      <w:r>
        <w:rPr>
          <w:rFonts w:ascii="Arial" w:cs="Arial" w:eastAsia="Arial" w:hAnsi="Arial"/>
          <w:b w:val="false"/>
          <w:bCs w:val="false"/>
          <w:color w:val="1F2937"/>
          <w:sz w:val="22"/>
          <w:szCs w:val="22"/>
        </w:rPr>
        <w:t xml:space="preserve">Working hours registers.</w:t>
      </w:r>
    </w:p>
    <w:p>
      <w:pPr>
        <w:pStyle w:val="ListParagraph"/>
        <w:numPr>
          <w:ilvl w:val="0"/>
          <w:numId w:val="2"/>
        </w:numPr>
        <w:spacing w:after="40" w:before="40"/>
      </w:pPr>
      <w:r>
        <w:rPr>
          <w:rFonts w:ascii="Arial" w:cs="Arial" w:eastAsia="Arial" w:hAnsi="Arial"/>
          <w:b w:val="false"/>
          <w:bCs w:val="false"/>
          <w:color w:val="1F2937"/>
          <w:sz w:val="22"/>
          <w:szCs w:val="22"/>
        </w:rPr>
        <w:t xml:space="preserve">Retention period: 3 to 5 years depending on state.</w:t>
      </w:r>
    </w:p>
    <w:p>
      <w:r>
        <w:rPr>
          <w:sz w:val="14"/>
          <w:szCs w:val="14"/>
        </w:rPr>
        <w:t xml:space="preserve"/>
      </w:r>
    </w:p>
    <w:p>
      <w:pPr>
        <w:spacing w:after="120" w:before="80"/>
      </w:pPr>
      <w:r>
        <w:rPr>
          <w:rFonts w:ascii="Arial" w:cs="Arial" w:eastAsia="Arial" w:hAnsi="Arial"/>
          <w:color w:val="1F2937"/>
          <w:sz w:val="22"/>
          <w:szCs w:val="22"/>
        </w:rPr>
        <w:t xml:space="preserve">PRANA Coverage: Salary slips and appointment letters satisfy partial record-keeping. However, leave records are HR-system data (Darwinbox, Zoho HR, SAP HCM) — not currently in PRANA's scope. PRANA is not positioned as an HRMS. Recommendation: Allow employers to upload annual leave encashment certificates as a document type.</w:t>
      </w:r>
    </w:p>
    <w:p>
      <w:r>
        <w:rPr>
          <w:sz w:val="14"/>
          <w:szCs w:val="14"/>
        </w:rPr>
        <w:t xml:space="preserve"/>
      </w:r>
    </w:p>
    <w:p>
      <w:pPr>
        <w:pStyle w:val="Heading2"/>
        <w:spacing w:after="120" w:before="280"/>
      </w:pPr>
      <w:r>
        <w:rPr>
          <w:rFonts w:ascii="Arial" w:cs="Arial" w:eastAsia="Arial" w:hAnsi="Arial"/>
          <w:b/>
          <w:bCs/>
          <w:color w:val="0066CC"/>
          <w:sz w:val="26"/>
          <w:szCs w:val="26"/>
        </w:rPr>
        <w:t xml:space="preserve">3.2 Employees' Provident Fund &amp; Miscellaneous Provisions Act, 1952</w:t>
      </w:r>
    </w:p>
    <w:p>
      <w:pPr>
        <w:spacing w:after="120" w:before="80"/>
      </w:pPr>
      <w:r>
        <w:rPr>
          <w:rFonts w:ascii="Arial" w:cs="Arial" w:eastAsia="Arial" w:hAnsi="Arial"/>
          <w:color w:val="1F2937"/>
          <w:sz w:val="22"/>
          <w:szCs w:val="22"/>
        </w:rPr>
        <w:t xml:space="preserve">Still operative until Code on Social Security is notified state-wise. Requires:</w:t>
      </w:r>
    </w:p>
    <w:p>
      <w:pPr>
        <w:pStyle w:val="ListParagraph"/>
        <w:numPr>
          <w:ilvl w:val="0"/>
          <w:numId w:val="2"/>
        </w:numPr>
        <w:spacing w:after="40" w:before="40"/>
      </w:pPr>
      <w:r>
        <w:rPr>
          <w:rFonts w:ascii="Arial" w:cs="Arial" w:eastAsia="Arial" w:hAnsi="Arial"/>
          <w:b w:val="false"/>
          <w:bCs w:val="false"/>
          <w:color w:val="1F2937"/>
          <w:sz w:val="22"/>
          <w:szCs w:val="22"/>
        </w:rPr>
        <w:t xml:space="preserve">Form 12A — monthly PF return.</w:t>
      </w:r>
    </w:p>
    <w:p>
      <w:pPr>
        <w:pStyle w:val="ListParagraph"/>
        <w:numPr>
          <w:ilvl w:val="0"/>
          <w:numId w:val="2"/>
        </w:numPr>
        <w:spacing w:after="40" w:before="40"/>
      </w:pPr>
      <w:r>
        <w:rPr>
          <w:rFonts w:ascii="Arial" w:cs="Arial" w:eastAsia="Arial" w:hAnsi="Arial"/>
          <w:b w:val="false"/>
          <w:bCs w:val="false"/>
          <w:color w:val="1F2937"/>
          <w:sz w:val="22"/>
          <w:szCs w:val="22"/>
        </w:rPr>
        <w:t xml:space="preserve">Form 3A — annual PF statement per employee.</w:t>
      </w:r>
    </w:p>
    <w:p>
      <w:pPr>
        <w:pStyle w:val="ListParagraph"/>
        <w:numPr>
          <w:ilvl w:val="0"/>
          <w:numId w:val="2"/>
        </w:numPr>
        <w:spacing w:after="40" w:before="40"/>
      </w:pPr>
      <w:r>
        <w:rPr>
          <w:rFonts w:ascii="Arial" w:cs="Arial" w:eastAsia="Arial" w:hAnsi="Arial"/>
          <w:b w:val="false"/>
          <w:bCs w:val="false"/>
          <w:color w:val="1F2937"/>
          <w:sz w:val="22"/>
          <w:szCs w:val="22"/>
        </w:rPr>
        <w:t xml:space="preserve">PF passbook — EPFO-maintained digitally via UAN.</w:t>
      </w:r>
    </w:p>
    <w:p>
      <w:r>
        <w:rPr>
          <w:sz w:val="14"/>
          <w:szCs w:val="14"/>
        </w:rPr>
        <w:t xml:space="preserve"/>
      </w:r>
    </w:p>
    <w:p>
      <w:pPr>
        <w:spacing w:after="120" w:before="80"/>
      </w:pPr>
      <w:r>
        <w:rPr>
          <w:rFonts w:ascii="Arial" w:cs="Arial" w:eastAsia="Arial" w:hAnsi="Arial"/>
          <w:color w:val="1F2937"/>
          <w:sz w:val="22"/>
          <w:szCs w:val="22"/>
        </w:rPr>
        <w:t xml:space="preserve">PRANA Coverage: PRANA can store employer-generated Form 3A and annual PF account statements. It does not replace EPFO's UAN system. Employers should push annual PF statements into employee vaults — this is already a common employee request and a strong value proposition for PRANA adoption.</w:t>
      </w:r>
    </w:p>
    <w:p>
      <w:r>
        <w:rPr>
          <w:sz w:val="14"/>
          <w:szCs w:val="14"/>
        </w:rPr>
        <w:t xml:space="preserve"/>
      </w:r>
    </w:p>
    <w:p>
      <w:pPr>
        <w:pStyle w:val="Heading2"/>
        <w:spacing w:after="120" w:before="280"/>
      </w:pPr>
      <w:r>
        <w:rPr>
          <w:rFonts w:ascii="Arial" w:cs="Arial" w:eastAsia="Arial" w:hAnsi="Arial"/>
          <w:b/>
          <w:bCs/>
          <w:color w:val="0066CC"/>
          <w:sz w:val="26"/>
          <w:szCs w:val="26"/>
        </w:rPr>
        <w:t xml:space="preserve">3.3 Employees' State Insurance Act, 1948</w:t>
      </w:r>
    </w:p>
    <w:p>
      <w:pPr>
        <w:spacing w:after="120" w:before="80"/>
      </w:pPr>
      <w:r>
        <w:rPr>
          <w:rFonts w:ascii="Arial" w:cs="Arial" w:eastAsia="Arial" w:hAnsi="Arial"/>
          <w:color w:val="1F2937"/>
          <w:sz w:val="22"/>
          <w:szCs w:val="22"/>
        </w:rPr>
        <w:t xml:space="preserve">Mandates ESI contribution deduction and employer contribution. Documents include:</w:t>
      </w:r>
    </w:p>
    <w:p>
      <w:pPr>
        <w:pStyle w:val="ListParagraph"/>
        <w:numPr>
          <w:ilvl w:val="0"/>
          <w:numId w:val="2"/>
        </w:numPr>
        <w:spacing w:after="40" w:before="40"/>
      </w:pPr>
      <w:r>
        <w:rPr>
          <w:rFonts w:ascii="Arial" w:cs="Arial" w:eastAsia="Arial" w:hAnsi="Arial"/>
          <w:b w:val="false"/>
          <w:bCs w:val="false"/>
          <w:color w:val="1F2937"/>
          <w:sz w:val="22"/>
          <w:szCs w:val="22"/>
        </w:rPr>
        <w:t xml:space="preserve">ESI smart card / e-card.</w:t>
      </w:r>
    </w:p>
    <w:p>
      <w:pPr>
        <w:pStyle w:val="ListParagraph"/>
        <w:numPr>
          <w:ilvl w:val="0"/>
          <w:numId w:val="2"/>
        </w:numPr>
        <w:spacing w:after="40" w:before="40"/>
      </w:pPr>
      <w:r>
        <w:rPr>
          <w:rFonts w:ascii="Arial" w:cs="Arial" w:eastAsia="Arial" w:hAnsi="Arial"/>
          <w:b w:val="false"/>
          <w:bCs w:val="false"/>
          <w:color w:val="1F2937"/>
          <w:sz w:val="22"/>
          <w:szCs w:val="22"/>
        </w:rPr>
        <w:t xml:space="preserve">Contribution history statements.</w:t>
      </w:r>
    </w:p>
    <w:p>
      <w:pPr>
        <w:pStyle w:val="ListParagraph"/>
        <w:numPr>
          <w:ilvl w:val="0"/>
          <w:numId w:val="2"/>
        </w:numPr>
        <w:spacing w:after="40" w:before="40"/>
      </w:pPr>
      <w:r>
        <w:rPr>
          <w:rFonts w:ascii="Arial" w:cs="Arial" w:eastAsia="Arial" w:hAnsi="Arial"/>
          <w:b w:val="false"/>
          <w:bCs w:val="false"/>
          <w:color w:val="1F2937"/>
          <w:sz w:val="22"/>
          <w:szCs w:val="22"/>
        </w:rPr>
        <w:t xml:space="preserve">Declaration Form (Form 1).</w:t>
      </w:r>
    </w:p>
    <w:p>
      <w:r>
        <w:rPr>
          <w:sz w:val="14"/>
          <w:szCs w:val="14"/>
        </w:rPr>
        <w:t xml:space="preserve"/>
      </w:r>
    </w:p>
    <w:p>
      <w:pPr>
        <w:spacing w:after="120" w:before="80"/>
      </w:pPr>
      <w:r>
        <w:rPr>
          <w:rFonts w:ascii="Arial" w:cs="Arial" w:eastAsia="Arial" w:hAnsi="Arial"/>
          <w:color w:val="1F2937"/>
          <w:sz w:val="22"/>
          <w:szCs w:val="22"/>
        </w:rPr>
        <w:t xml:space="preserve">PRANA Coverage: All three document types can be employer-pushed to the vault. ESIC's digital portal (esic.in) is the primary source; PRANA stores copies for employee convenience and verification.</w:t>
      </w:r>
    </w:p>
    <w:p>
      <w:r>
        <w:rPr>
          <w:sz w:val="14"/>
          <w:szCs w:val="14"/>
        </w:rPr>
        <w:t xml:space="preserve"/>
      </w:r>
    </w:p>
    <w:p>
      <w:pPr>
        <w:pStyle w:val="Heading2"/>
        <w:spacing w:after="120" w:before="280"/>
      </w:pPr>
      <w:r>
        <w:rPr>
          <w:rFonts w:ascii="Arial" w:cs="Arial" w:eastAsia="Arial" w:hAnsi="Arial"/>
          <w:b/>
          <w:bCs/>
          <w:color w:val="0066CC"/>
          <w:sz w:val="26"/>
          <w:szCs w:val="26"/>
        </w:rPr>
        <w:t xml:space="preserve">3.4 Payment of Gratuity Act, 1972</w:t>
      </w:r>
    </w:p>
    <w:p>
      <w:pPr>
        <w:spacing w:after="120" w:before="80"/>
      </w:pPr>
      <w:r>
        <w:rPr>
          <w:rFonts w:ascii="Arial" w:cs="Arial" w:eastAsia="Arial" w:hAnsi="Arial"/>
          <w:color w:val="1F2937"/>
          <w:sz w:val="22"/>
          <w:szCs w:val="22"/>
        </w:rPr>
        <w:t xml:space="preserve">Every employee who completes 5 years of continuous service is eligible for gratuity on exit. Mandatory documents:</w:t>
      </w:r>
    </w:p>
    <w:p>
      <w:pPr>
        <w:pStyle w:val="ListParagraph"/>
        <w:numPr>
          <w:ilvl w:val="0"/>
          <w:numId w:val="2"/>
        </w:numPr>
        <w:spacing w:after="40" w:before="40"/>
      </w:pPr>
      <w:r>
        <w:rPr>
          <w:rFonts w:ascii="Arial" w:cs="Arial" w:eastAsia="Arial" w:hAnsi="Arial"/>
          <w:b w:val="false"/>
          <w:bCs w:val="false"/>
          <w:color w:val="1F2937"/>
          <w:sz w:val="22"/>
          <w:szCs w:val="22"/>
        </w:rPr>
        <w:t xml:space="preserve">Form F — Gratuity nomination (to be filed within 30 days of joining).</w:t>
      </w:r>
    </w:p>
    <w:p>
      <w:pPr>
        <w:pStyle w:val="ListParagraph"/>
        <w:numPr>
          <w:ilvl w:val="0"/>
          <w:numId w:val="2"/>
        </w:numPr>
        <w:spacing w:after="40" w:before="40"/>
      </w:pPr>
      <w:r>
        <w:rPr>
          <w:rFonts w:ascii="Arial" w:cs="Arial" w:eastAsia="Arial" w:hAnsi="Arial"/>
          <w:b w:val="false"/>
          <w:bCs w:val="false"/>
          <w:color w:val="1F2937"/>
          <w:sz w:val="22"/>
          <w:szCs w:val="22"/>
        </w:rPr>
        <w:t xml:space="preserve">Form I — Application for gratuity (by employee on exit).</w:t>
      </w:r>
    </w:p>
    <w:p>
      <w:pPr>
        <w:pStyle w:val="ListParagraph"/>
        <w:numPr>
          <w:ilvl w:val="0"/>
          <w:numId w:val="2"/>
        </w:numPr>
        <w:spacing w:after="40" w:before="40"/>
      </w:pPr>
      <w:r>
        <w:rPr>
          <w:rFonts w:ascii="Arial" w:cs="Arial" w:eastAsia="Arial" w:hAnsi="Arial"/>
          <w:b w:val="false"/>
          <w:bCs w:val="false"/>
          <w:color w:val="1F2937"/>
          <w:sz w:val="22"/>
          <w:szCs w:val="22"/>
        </w:rPr>
        <w:t xml:space="preserve">Form L / M — Gratuity payment / rejection notice from employer.</w:t>
      </w:r>
    </w:p>
    <w:p>
      <w:r>
        <w:rPr>
          <w:sz w:val="14"/>
          <w:szCs w:val="14"/>
        </w:rPr>
        <w:t xml:space="preserve"/>
      </w:r>
    </w:p>
    <w:p>
      <w:pPr>
        <w:spacing w:after="120" w:before="80"/>
      </w:pPr>
      <w:r>
        <w:rPr>
          <w:rFonts w:ascii="Arial" w:cs="Arial" w:eastAsia="Arial" w:hAnsi="Arial"/>
          <w:color w:val="1F2937"/>
          <w:sz w:val="22"/>
          <w:szCs w:val="22"/>
        </w:rPr>
        <w:t xml:space="preserve">PRANA Coverage: CRITICAL GAP. Gratuity documents are exit-critical and frequently disputed. PRANA must add all four forms to its document taxonomy. Form F should be captured at onboarding. Forms I, L, M should be part of the exit document package. PRANA's immutable audit trail is particularly valuable here — gratuity disputes often arise from document timing claims.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6"/>
              <w:left w:val="single" w:color="0066CC" w:sz="18"/>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Recommended Action — Gratuity Module</w:t>
            </w:r>
          </w:p>
          <w:p>
            <w:pPr>
              <w:spacing w:before="40"/>
            </w:pPr>
            <w:r>
              <w:rPr>
                <w:rFonts w:ascii="Arial" w:cs="Arial" w:eastAsia="Arial" w:hAnsi="Arial"/>
                <w:color w:val="374151"/>
                <w:sz w:val="20"/>
                <w:szCs w:val="20"/>
              </w:rPr>
              <w:t xml:space="preserve">Add Form F to PRANA's onboarding document checklist (employer pushes within 30 days of joining). Add Forms I, L, M to the exit document package. Timestamp all gratuity documents with SHA-256 hash and UTC timestamp — this creates court-admissible evidence in any gratuity dispute.</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3.5 Maternity Benefit Act, 1961</w:t>
      </w:r>
    </w:p>
    <w:p>
      <w:pPr>
        <w:spacing w:after="120" w:before="80"/>
      </w:pPr>
      <w:r>
        <w:rPr>
          <w:rFonts w:ascii="Arial" w:cs="Arial" w:eastAsia="Arial" w:hAnsi="Arial"/>
          <w:color w:val="1F2937"/>
          <w:sz w:val="22"/>
          <w:szCs w:val="22"/>
        </w:rPr>
        <w:t xml:space="preserve">Requires employers to grant 26 weeks of maternity leave and maintain records. Relevant documents:</w:t>
      </w:r>
    </w:p>
    <w:p>
      <w:pPr>
        <w:pStyle w:val="ListParagraph"/>
        <w:numPr>
          <w:ilvl w:val="0"/>
          <w:numId w:val="2"/>
        </w:numPr>
        <w:spacing w:after="40" w:before="40"/>
      </w:pPr>
      <w:r>
        <w:rPr>
          <w:rFonts w:ascii="Arial" w:cs="Arial" w:eastAsia="Arial" w:hAnsi="Arial"/>
          <w:b w:val="false"/>
          <w:bCs w:val="false"/>
          <w:color w:val="1F2937"/>
          <w:sz w:val="22"/>
          <w:szCs w:val="22"/>
        </w:rPr>
        <w:t xml:space="preserve">Maternity leave application and approval letter.</w:t>
      </w:r>
    </w:p>
    <w:p>
      <w:pPr>
        <w:pStyle w:val="ListParagraph"/>
        <w:numPr>
          <w:ilvl w:val="0"/>
          <w:numId w:val="2"/>
        </w:numPr>
        <w:spacing w:after="40" w:before="40"/>
      </w:pPr>
      <w:r>
        <w:rPr>
          <w:rFonts w:ascii="Arial" w:cs="Arial" w:eastAsia="Arial" w:hAnsi="Arial"/>
          <w:b w:val="false"/>
          <w:bCs w:val="false"/>
          <w:color w:val="1F2937"/>
          <w:sz w:val="22"/>
          <w:szCs w:val="22"/>
        </w:rPr>
        <w:t xml:space="preserve">Medical certificate supporting maternity benefit.</w:t>
      </w:r>
    </w:p>
    <w:p>
      <w:pPr>
        <w:pStyle w:val="ListParagraph"/>
        <w:numPr>
          <w:ilvl w:val="0"/>
          <w:numId w:val="2"/>
        </w:numPr>
        <w:spacing w:after="40" w:before="40"/>
      </w:pPr>
      <w:r>
        <w:rPr>
          <w:rFonts w:ascii="Arial" w:cs="Arial" w:eastAsia="Arial" w:hAnsi="Arial"/>
          <w:b w:val="false"/>
          <w:bCs w:val="false"/>
          <w:color w:val="1F2937"/>
          <w:sz w:val="22"/>
          <w:szCs w:val="22"/>
        </w:rPr>
        <w:t xml:space="preserve">Statement of maternity benefits paid.</w:t>
      </w:r>
    </w:p>
    <w:p>
      <w:r>
        <w:rPr>
          <w:sz w:val="14"/>
          <w:szCs w:val="14"/>
        </w:rPr>
        <w:t xml:space="preserve"/>
      </w:r>
    </w:p>
    <w:p>
      <w:pPr>
        <w:spacing w:after="120" w:before="80"/>
      </w:pPr>
      <w:r>
        <w:rPr>
          <w:rFonts w:ascii="Arial" w:cs="Arial" w:eastAsia="Arial" w:hAnsi="Arial"/>
          <w:color w:val="1F2937"/>
          <w:sz w:val="22"/>
          <w:szCs w:val="22"/>
        </w:rPr>
        <w:t xml:space="preserve">PRANA Coverage: Storable but requires enhanced privacy control. These records contain medical information and should be in a restricted category with explicit employee consent required for any sharing. Recommend treating maternity benefit documents as a 'Sensitive Health' category with separate consent flag in PRANA's consent model.</w:t>
      </w:r>
    </w:p>
    <w:p>
      <w:r>
        <w:rPr>
          <w:sz w:val="14"/>
          <w:szCs w:val="14"/>
        </w:rPr>
        <w:t xml:space="preserve"/>
      </w:r>
    </w:p>
    <w:p>
      <w:pPr>
        <w:pStyle w:val="Heading2"/>
        <w:spacing w:after="120" w:before="280"/>
      </w:pPr>
      <w:r>
        <w:rPr>
          <w:rFonts w:ascii="Arial" w:cs="Arial" w:eastAsia="Arial" w:hAnsi="Arial"/>
          <w:b/>
          <w:bCs/>
          <w:color w:val="0066CC"/>
          <w:sz w:val="26"/>
          <w:szCs w:val="26"/>
        </w:rPr>
        <w:t xml:space="preserve">3.6 Contract Labour (Regulation &amp; Abolition) Act, 1970</w:t>
      </w:r>
    </w:p>
    <w:p>
      <w:pPr>
        <w:spacing w:after="120" w:before="80"/>
      </w:pPr>
      <w:r>
        <w:rPr>
          <w:rFonts w:ascii="Arial" w:cs="Arial" w:eastAsia="Arial" w:hAnsi="Arial"/>
          <w:color w:val="1F2937"/>
          <w:sz w:val="22"/>
          <w:szCs w:val="22"/>
        </w:rPr>
        <w:t xml:space="preserve">Principal employers who use contract workers must maintain a register of contractors and the contract workers deployed. Relevant to PRANA only if employer-tenants deploy contract workers and wish to maintain contract labour records on the platform. A future feature consideration — not a compliance gap for PRANA itself.</w:t>
      </w:r>
    </w:p>
    <w:p>
      <w:r>
        <w:rPr>
          <w:sz w:val="14"/>
          <w:szCs w:val="14"/>
        </w:rPr>
        <w:t xml:space="preserve"/>
      </w:r>
    </w:p>
    <w:p>
      <w:pPr>
        <w:pStyle w:val="Heading2"/>
        <w:spacing w:after="120" w:before="280"/>
      </w:pPr>
      <w:r>
        <w:rPr>
          <w:rFonts w:ascii="Arial" w:cs="Arial" w:eastAsia="Arial" w:hAnsi="Arial"/>
          <w:b/>
          <w:bCs/>
          <w:color w:val="0066CC"/>
          <w:sz w:val="26"/>
          <w:szCs w:val="26"/>
        </w:rPr>
        <w:t xml:space="preserve">3.7 Income Tax Act — Form 16</w:t>
      </w:r>
    </w:p>
    <w:p>
      <w:pPr>
        <w:spacing w:after="120" w:before="80"/>
      </w:pPr>
      <w:r>
        <w:rPr>
          <w:rFonts w:ascii="Arial" w:cs="Arial" w:eastAsia="Arial" w:hAnsi="Arial"/>
          <w:color w:val="1F2937"/>
          <w:sz w:val="22"/>
          <w:szCs w:val="22"/>
        </w:rPr>
        <w:t xml:space="preserve">Form 16 is issued by the employer under Section 203 of the Income Tax Act as a TDS certificate. It has two parts:</w:t>
      </w:r>
    </w:p>
    <w:p>
      <w:pPr>
        <w:pStyle w:val="ListParagraph"/>
        <w:numPr>
          <w:ilvl w:val="0"/>
          <w:numId w:val="2"/>
        </w:numPr>
        <w:spacing w:after="40" w:before="40"/>
      </w:pPr>
      <w:r>
        <w:rPr>
          <w:rFonts w:ascii="Arial" w:cs="Arial" w:eastAsia="Arial" w:hAnsi="Arial"/>
          <w:b w:val="false"/>
          <w:bCs w:val="false"/>
          <w:color w:val="1F2937"/>
          <w:sz w:val="22"/>
          <w:szCs w:val="22"/>
        </w:rPr>
        <w:t xml:space="preserve">Part A — Quarterly TDS deposited (generated from TRACES portal).</w:t>
      </w:r>
    </w:p>
    <w:p>
      <w:pPr>
        <w:pStyle w:val="ListParagraph"/>
        <w:numPr>
          <w:ilvl w:val="0"/>
          <w:numId w:val="2"/>
        </w:numPr>
        <w:spacing w:after="40" w:before="40"/>
      </w:pPr>
      <w:r>
        <w:rPr>
          <w:rFonts w:ascii="Arial" w:cs="Arial" w:eastAsia="Arial" w:hAnsi="Arial"/>
          <w:b w:val="false"/>
          <w:bCs w:val="false"/>
          <w:color w:val="1F2937"/>
          <w:sz w:val="22"/>
          <w:szCs w:val="22"/>
        </w:rPr>
        <w:t xml:space="preserve">Part B — Breakup of salary and deductions (employer-generated).</w:t>
      </w:r>
    </w:p>
    <w:p>
      <w:r>
        <w:rPr>
          <w:sz w:val="14"/>
          <w:szCs w:val="14"/>
        </w:rPr>
        <w:t xml:space="preserve"/>
      </w:r>
    </w:p>
    <w:p>
      <w:pPr>
        <w:spacing w:after="120" w:before="80"/>
      </w:pPr>
      <w:r>
        <w:rPr>
          <w:rFonts w:ascii="Arial" w:cs="Arial" w:eastAsia="Arial" w:hAnsi="Arial"/>
          <w:color w:val="1F2937"/>
          <w:sz w:val="22"/>
          <w:szCs w:val="22"/>
        </w:rPr>
        <w:t xml:space="preserve">PRANA Coverage: PRANA stores Form 16 as an employer-pushed document — it is a repository, not the issuer. This is fully compliant. One important caveat: PRANA must NOT represent itself as an issuer or authenticator of Form 16. The Tax Department's TRACES portal is the authoritative source. PRANA's copy is a convenience storage for the employee.</w:t>
      </w:r>
    </w:p>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4. Digital Personal Data Protection Act, 2023 (DPDPA)</w:t>
      </w:r>
    </w:p>
    <w:p>
      <w:pPr>
        <w:spacing w:after="120" w:before="80"/>
      </w:pPr>
      <w:r>
        <w:rPr>
          <w:rFonts w:ascii="Arial" w:cs="Arial" w:eastAsia="Arial" w:hAnsi="Arial"/>
          <w:color w:val="1F2937"/>
          <w:sz w:val="22"/>
          <w:szCs w:val="22"/>
        </w:rPr>
        <w:t xml:space="preserve">The DPDPA 2023 is the primary data protection legislation governing how personal data is collected, processed, stored, and shared in India. PRANA's business model — storing personal employment documents — places it directly under DPDPA's scope.</w:t>
      </w:r>
    </w:p>
    <w:p>
      <w:r>
        <w:rPr>
          <w:sz w:val="14"/>
          <w:szCs w:val="14"/>
        </w:rPr>
        <w:t xml:space="preserve"/>
      </w:r>
    </w:p>
    <w:p>
      <w:pPr>
        <w:pStyle w:val="Heading2"/>
        <w:spacing w:after="120" w:before="280"/>
      </w:pPr>
      <w:r>
        <w:rPr>
          <w:rFonts w:ascii="Arial" w:cs="Arial" w:eastAsia="Arial" w:hAnsi="Arial"/>
          <w:b/>
          <w:bCs/>
          <w:color w:val="0066CC"/>
          <w:sz w:val="26"/>
          <w:szCs w:val="26"/>
        </w:rPr>
        <w:t xml:space="preserve">4.1 Role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Entity</w:t>
            </w:r>
          </w:p>
        </w:tc>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DPDPA Role</w:t>
            </w:r>
          </w:p>
        </w:tc>
        <w:tc>
          <w:tcPr>
            <w:tcW w:type="dxa" w:w="4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Obligations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Employee / Worker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Principal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Rights: access, correction, erasure, grievance. Must give explicit consent for data processing beyond employment purposes.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Employer / Tenant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Fiduciary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 lawful purpose for uploading data to PRANA. Responsible for accuracy. Must have a Data Processing Agreement (DPA) with PRANA.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PRANA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Processes data only per employer instructions. Must maintain security safeguards. Must report breaches. Must sign DPAs with employer-tenants.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BGV Firm / Receiver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Receiver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only access documents after explicit employee consent through PRANA's consent layer. Time-bound and revocable.</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4.2 Key DPDPA Requirements &amp; PRANA Gaps</w:t>
      </w:r>
    </w:p>
    <w:p>
      <w:pPr>
        <w:pStyle w:val="Heading3"/>
        <w:spacing w:after="80" w:before="200"/>
      </w:pPr>
      <w:r>
        <w:rPr>
          <w:rFonts w:ascii="Arial" w:cs="Arial" w:eastAsia="Arial" w:hAnsi="Arial"/>
          <w:b/>
          <w:bCs/>
          <w:color w:val="374151"/>
          <w:sz w:val="22"/>
          <w:szCs w:val="22"/>
        </w:rPr>
        <w:t xml:space="preserve">4.2.1 Data Localisation</w:t>
      </w:r>
    </w:p>
    <w:p>
      <w:pPr>
        <w:spacing w:after="120" w:before="80"/>
      </w:pPr>
      <w:r>
        <w:rPr>
          <w:rFonts w:ascii="Arial" w:cs="Arial" w:eastAsia="Arial" w:hAnsi="Arial"/>
          <w:color w:val="1F2937"/>
          <w:sz w:val="22"/>
          <w:szCs w:val="22"/>
        </w:rPr>
        <w:t xml:space="preserve">PRANA has committed to India-only data storage (AWS ap-south-1 / Azure India Central). This satisfies any future localisation mandate. Must be codified in:</w:t>
      </w:r>
    </w:p>
    <w:p>
      <w:pPr>
        <w:pStyle w:val="ListParagraph"/>
        <w:numPr>
          <w:ilvl w:val="0"/>
          <w:numId w:val="2"/>
        </w:numPr>
        <w:spacing w:after="40" w:before="40"/>
      </w:pPr>
      <w:r>
        <w:rPr>
          <w:rFonts w:ascii="Arial" w:cs="Arial" w:eastAsia="Arial" w:hAnsi="Arial"/>
          <w:b w:val="false"/>
          <w:bCs w:val="false"/>
          <w:color w:val="1F2937"/>
          <w:sz w:val="22"/>
          <w:szCs w:val="22"/>
        </w:rPr>
        <w:t xml:space="preserve">Infrastructure policy document (infra design doc — state ap-south-1 as sole region).</w:t>
      </w:r>
    </w:p>
    <w:p>
      <w:pPr>
        <w:pStyle w:val="ListParagraph"/>
        <w:numPr>
          <w:ilvl w:val="0"/>
          <w:numId w:val="2"/>
        </w:numPr>
        <w:spacing w:after="40" w:before="40"/>
      </w:pPr>
      <w:r>
        <w:rPr>
          <w:rFonts w:ascii="Arial" w:cs="Arial" w:eastAsia="Arial" w:hAnsi="Arial"/>
          <w:b w:val="false"/>
          <w:bCs w:val="false"/>
          <w:color w:val="1F2937"/>
          <w:sz w:val="22"/>
          <w:szCs w:val="22"/>
        </w:rPr>
        <w:t xml:space="preserve">Tenant onboarding agreement — explicitly warrant India-only storage.</w:t>
      </w:r>
    </w:p>
    <w:p>
      <w:pPr>
        <w:pStyle w:val="ListParagraph"/>
        <w:numPr>
          <w:ilvl w:val="0"/>
          <w:numId w:val="2"/>
        </w:numPr>
        <w:spacing w:after="40" w:before="40"/>
      </w:pPr>
      <w:r>
        <w:rPr>
          <w:rFonts w:ascii="Arial" w:cs="Arial" w:eastAsia="Arial" w:hAnsi="Arial"/>
          <w:b w:val="false"/>
          <w:bCs w:val="false"/>
          <w:color w:val="1F2937"/>
          <w:sz w:val="22"/>
          <w:szCs w:val="22"/>
        </w:rPr>
        <w:t xml:space="preserve">ToS and Privacy Policy — publicly disclosed.</w:t>
      </w:r>
    </w:p>
    <w:p>
      <w:r>
        <w:rPr>
          <w:sz w:val="14"/>
          <w:szCs w:val="14"/>
        </w:rPr>
        <w:t xml:space="preserve"/>
      </w:r>
    </w:p>
    <w:p>
      <w:pPr>
        <w:pStyle w:val="Heading3"/>
        <w:spacing w:after="80" w:before="200"/>
      </w:pPr>
      <w:r>
        <w:rPr>
          <w:rFonts w:ascii="Arial" w:cs="Arial" w:eastAsia="Arial" w:hAnsi="Arial"/>
          <w:b/>
          <w:bCs/>
          <w:color w:val="374151"/>
          <w:sz w:val="22"/>
          <w:szCs w:val="22"/>
        </w:rPr>
        <w:t xml:space="preserve">4.2.2 Consent Management</w:t>
      </w:r>
    </w:p>
    <w:p>
      <w:pPr>
        <w:spacing w:after="120" w:before="80"/>
      </w:pPr>
      <w:r>
        <w:rPr>
          <w:rFonts w:ascii="Arial" w:cs="Arial" w:eastAsia="Arial" w:hAnsi="Arial"/>
          <w:color w:val="1F2937"/>
          <w:sz w:val="22"/>
          <w:szCs w:val="22"/>
        </w:rPr>
        <w:t xml:space="preserve">PRANA's consent model for document sharing is already granular and time-bound — a strong base. Gaps:</w:t>
      </w:r>
    </w:p>
    <w:p>
      <w:pPr>
        <w:pStyle w:val="ListParagraph"/>
        <w:numPr>
          <w:ilvl w:val="0"/>
          <w:numId w:val="2"/>
        </w:numPr>
        <w:spacing w:after="40" w:before="40"/>
      </w:pPr>
      <w:r>
        <w:rPr>
          <w:rFonts w:ascii="Arial" w:cs="Arial" w:eastAsia="Arial" w:hAnsi="Arial"/>
          <w:b w:val="false"/>
          <w:bCs w:val="false"/>
          <w:color w:val="1F2937"/>
          <w:sz w:val="22"/>
          <w:szCs w:val="22"/>
        </w:rPr>
        <w:t xml:space="preserve">Consent must be freely given, specific, informed, and unambiguous. The current UI must not default to 'share all' — each document category requires separate consent toggle.</w:t>
      </w:r>
    </w:p>
    <w:p>
      <w:pPr>
        <w:pStyle w:val="ListParagraph"/>
        <w:numPr>
          <w:ilvl w:val="0"/>
          <w:numId w:val="2"/>
        </w:numPr>
        <w:spacing w:after="40" w:before="40"/>
      </w:pPr>
      <w:r>
        <w:rPr>
          <w:rFonts w:ascii="Arial" w:cs="Arial" w:eastAsia="Arial" w:hAnsi="Arial"/>
          <w:b w:val="false"/>
          <w:bCs w:val="false"/>
          <w:color w:val="1F2937"/>
          <w:sz w:val="22"/>
          <w:szCs w:val="22"/>
        </w:rPr>
        <w:t xml:space="preserve">Consent withdrawal: Employee must be able to revoke any active share at any time with immediate effect. Audit log of consent and withdrawal must be maintained.</w:t>
      </w:r>
    </w:p>
    <w:p>
      <w:pPr>
        <w:pStyle w:val="ListParagraph"/>
        <w:numPr>
          <w:ilvl w:val="0"/>
          <w:numId w:val="2"/>
        </w:numPr>
        <w:spacing w:after="40" w:before="40"/>
      </w:pPr>
      <w:r>
        <w:rPr>
          <w:rFonts w:ascii="Arial" w:cs="Arial" w:eastAsia="Arial" w:hAnsi="Arial"/>
          <w:b w:val="false"/>
          <w:bCs w:val="false"/>
          <w:color w:val="1F2937"/>
          <w:sz w:val="22"/>
          <w:szCs w:val="22"/>
        </w:rPr>
        <w:t xml:space="preserve">Consent for self-uploaded documents: When an employee uploads their own documents, the platform must obtain consent for how those documents may be processed (AI classification, metadata extraction).</w:t>
      </w:r>
    </w:p>
    <w:p>
      <w:r>
        <w:rPr>
          <w:sz w:val="14"/>
          <w:szCs w:val="14"/>
        </w:rPr>
        <w:t xml:space="preserve"/>
      </w:r>
    </w:p>
    <w:p>
      <w:pPr>
        <w:pStyle w:val="Heading3"/>
        <w:spacing w:after="80" w:before="200"/>
      </w:pPr>
      <w:r>
        <w:rPr>
          <w:rFonts w:ascii="Arial" w:cs="Arial" w:eastAsia="Arial" w:hAnsi="Arial"/>
          <w:b/>
          <w:bCs/>
          <w:color w:val="374151"/>
          <w:sz w:val="22"/>
          <w:szCs w:val="22"/>
        </w:rPr>
        <w:t xml:space="preserve">4.2.3 Right to Erasure</w:t>
      </w:r>
    </w:p>
    <w:p>
      <w:pPr>
        <w:spacing w:after="120" w:before="80"/>
      </w:pPr>
      <w:r>
        <w:rPr>
          <w:rFonts w:ascii="Arial" w:cs="Arial" w:eastAsia="Arial" w:hAnsi="Arial"/>
          <w:color w:val="1F2937"/>
          <w:sz w:val="22"/>
          <w:szCs w:val="22"/>
        </w:rPr>
        <w:t xml:space="preserve">Under DPDPA §12, a Data Principal (employee) has the right to request erasure of their personal data. This creates a direct tension with employer retention obligations under labour law (3–5 years). PRANA must implement:</w:t>
      </w:r>
    </w:p>
    <w:p>
      <w:pPr>
        <w:pStyle w:val="ListParagraph"/>
        <w:numPr>
          <w:ilvl w:val="0"/>
          <w:numId w:val="2"/>
        </w:numPr>
        <w:spacing w:after="40" w:before="40"/>
      </w:pPr>
      <w:r>
        <w:rPr>
          <w:rFonts w:ascii="Arial" w:cs="Arial" w:eastAsia="Arial" w:hAnsi="Arial"/>
          <w:b w:val="false"/>
          <w:bCs w:val="false"/>
          <w:color w:val="1F2937"/>
          <w:sz w:val="22"/>
          <w:szCs w:val="22"/>
        </w:rPr>
        <w:t xml:space="preserve">Layered erasure logic: Employee-initiated erasure request triggers employer notification. Employer can assert legal hold (citing specific law and section). If legal hold asserted, data is frozen but not deleted until retention period expires.</w:t>
      </w:r>
    </w:p>
    <w:p>
      <w:pPr>
        <w:pStyle w:val="ListParagraph"/>
        <w:numPr>
          <w:ilvl w:val="0"/>
          <w:numId w:val="2"/>
        </w:numPr>
        <w:spacing w:after="40" w:before="40"/>
      </w:pPr>
      <w:r>
        <w:rPr>
          <w:rFonts w:ascii="Arial" w:cs="Arial" w:eastAsia="Arial" w:hAnsi="Arial"/>
          <w:b w:val="false"/>
          <w:bCs w:val="false"/>
          <w:color w:val="1F2937"/>
          <w:sz w:val="22"/>
          <w:szCs w:val="22"/>
        </w:rPr>
        <w:t xml:space="preserve">Employee receives acknowledgement of hold with reason and expected deletion date.</w:t>
      </w:r>
    </w:p>
    <w:p>
      <w:pPr>
        <w:pStyle w:val="ListParagraph"/>
        <w:numPr>
          <w:ilvl w:val="0"/>
          <w:numId w:val="2"/>
        </w:numPr>
        <w:spacing w:after="40" w:before="40"/>
      </w:pPr>
      <w:r>
        <w:rPr>
          <w:rFonts w:ascii="Arial" w:cs="Arial" w:eastAsia="Arial" w:hAnsi="Arial"/>
          <w:b w:val="false"/>
          <w:bCs w:val="false"/>
          <w:color w:val="1F2937"/>
          <w:sz w:val="22"/>
          <w:szCs w:val="22"/>
        </w:rPr>
        <w:t xml:space="preserve">After retention period, automatic deletion with audit trail of the erasure event.</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6"/>
              <w:left w:val="single" w:color="0066CC" w:sz="18"/>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Gap — Erasure Workflow</w:t>
            </w:r>
          </w:p>
          <w:p>
            <w:pPr>
              <w:spacing w:before="40"/>
            </w:pPr>
            <w:r>
              <w:rPr>
                <w:rFonts w:ascii="Arial" w:cs="Arial" w:eastAsia="Arial" w:hAnsi="Arial"/>
                <w:color w:val="374151"/>
                <w:sz w:val="20"/>
                <w:szCs w:val="20"/>
              </w:rPr>
              <w:t xml:space="preserve">No erasure workflow exists in current PRANA design. This is a Critical gap. Build: erasure_request table, employer legal_hold table, scheduled deletion job, audit event logging for deletion. This must be in place before PRANA handles live employee data.</w:t>
            </w:r>
          </w:p>
        </w:tc>
      </w:tr>
    </w:tbl>
    <w:p>
      <w:r>
        <w:rPr>
          <w:sz w:val="14"/>
          <w:szCs w:val="14"/>
        </w:rPr>
        <w:t xml:space="preserve"/>
      </w:r>
    </w:p>
    <w:p>
      <w:pPr>
        <w:pStyle w:val="Heading3"/>
        <w:spacing w:after="80" w:before="200"/>
      </w:pPr>
      <w:r>
        <w:rPr>
          <w:rFonts w:ascii="Arial" w:cs="Arial" w:eastAsia="Arial" w:hAnsi="Arial"/>
          <w:b/>
          <w:bCs/>
          <w:color w:val="374151"/>
          <w:sz w:val="22"/>
          <w:szCs w:val="22"/>
        </w:rPr>
        <w:t xml:space="preserve">4.2.4 Data Breach Notification</w:t>
      </w:r>
    </w:p>
    <w:p>
      <w:pPr>
        <w:spacing w:after="120" w:before="80"/>
      </w:pPr>
      <w:r>
        <w:rPr>
          <w:rFonts w:ascii="Arial" w:cs="Arial" w:eastAsia="Arial" w:hAnsi="Arial"/>
          <w:color w:val="1F2937"/>
          <w:sz w:val="22"/>
          <w:szCs w:val="22"/>
        </w:rPr>
        <w:t xml:space="preserve">DPDPA requires Data Processors to notify the Data Fiduciary (employer-tenant) of any breach without delay. PRANA must:</w:t>
      </w:r>
    </w:p>
    <w:p>
      <w:pPr>
        <w:pStyle w:val="ListParagraph"/>
        <w:numPr>
          <w:ilvl w:val="0"/>
          <w:numId w:val="2"/>
        </w:numPr>
        <w:spacing w:after="40" w:before="40"/>
      </w:pPr>
      <w:r>
        <w:rPr>
          <w:rFonts w:ascii="Arial" w:cs="Arial" w:eastAsia="Arial" w:hAnsi="Arial"/>
          <w:b w:val="false"/>
          <w:bCs w:val="false"/>
          <w:color w:val="1F2937"/>
          <w:sz w:val="22"/>
          <w:szCs w:val="22"/>
        </w:rPr>
        <w:t xml:space="preserve">Implement real-time breach detection alerting (part of Login Forensics — already in architecture §27).</w:t>
      </w:r>
    </w:p>
    <w:p>
      <w:pPr>
        <w:pStyle w:val="ListParagraph"/>
        <w:numPr>
          <w:ilvl w:val="0"/>
          <w:numId w:val="2"/>
        </w:numPr>
        <w:spacing w:after="40" w:before="40"/>
      </w:pPr>
      <w:r>
        <w:rPr>
          <w:rFonts w:ascii="Arial" w:cs="Arial" w:eastAsia="Arial" w:hAnsi="Arial"/>
          <w:b w:val="false"/>
          <w:bCs w:val="false"/>
          <w:color w:val="1F2937"/>
          <w:sz w:val="22"/>
          <w:szCs w:val="22"/>
        </w:rPr>
        <w:t xml:space="preserve">Define Breach Response SLA: notify employer-tenant within 72 hours of detection.</w:t>
      </w:r>
    </w:p>
    <w:p>
      <w:pPr>
        <w:pStyle w:val="ListParagraph"/>
        <w:numPr>
          <w:ilvl w:val="0"/>
          <w:numId w:val="2"/>
        </w:numPr>
        <w:spacing w:after="40" w:before="40"/>
      </w:pPr>
      <w:r>
        <w:rPr>
          <w:rFonts w:ascii="Arial" w:cs="Arial" w:eastAsia="Arial" w:hAnsi="Arial"/>
          <w:b w:val="false"/>
          <w:bCs w:val="false"/>
          <w:color w:val="1F2937"/>
          <w:sz w:val="22"/>
          <w:szCs w:val="22"/>
        </w:rPr>
        <w:t xml:space="preserve">Employer is responsible for notifying the Data Protection Board and affected Data Principals.</w:t>
      </w:r>
    </w:p>
    <w:p>
      <w:pPr>
        <w:pStyle w:val="ListParagraph"/>
        <w:numPr>
          <w:ilvl w:val="0"/>
          <w:numId w:val="2"/>
        </w:numPr>
        <w:spacing w:after="40" w:before="40"/>
      </w:pPr>
      <w:r>
        <w:rPr>
          <w:rFonts w:ascii="Arial" w:cs="Arial" w:eastAsia="Arial" w:hAnsi="Arial"/>
          <w:b w:val="false"/>
          <w:bCs w:val="false"/>
          <w:color w:val="1F2937"/>
          <w:sz w:val="22"/>
          <w:szCs w:val="22"/>
        </w:rPr>
        <w:t xml:space="preserve">Maintain a breach register.</w:t>
      </w:r>
    </w:p>
    <w:p>
      <w:r>
        <w:rPr>
          <w:sz w:val="14"/>
          <w:szCs w:val="14"/>
        </w:rPr>
        <w:t xml:space="preserve"/>
      </w:r>
    </w:p>
    <w:p>
      <w:pPr>
        <w:pStyle w:val="Heading3"/>
        <w:spacing w:after="80" w:before="200"/>
      </w:pPr>
      <w:r>
        <w:rPr>
          <w:rFonts w:ascii="Arial" w:cs="Arial" w:eastAsia="Arial" w:hAnsi="Arial"/>
          <w:b/>
          <w:bCs/>
          <w:color w:val="374151"/>
          <w:sz w:val="22"/>
          <w:szCs w:val="22"/>
        </w:rPr>
        <w:t xml:space="preserve">4.2.5 Data Processing Agreement (DPA)</w:t>
      </w:r>
    </w:p>
    <w:p>
      <w:pPr>
        <w:spacing w:after="120" w:before="80"/>
      </w:pPr>
      <w:r>
        <w:rPr>
          <w:rFonts w:ascii="Arial" w:cs="Arial" w:eastAsia="Arial" w:hAnsi="Arial"/>
          <w:color w:val="1F2937"/>
          <w:sz w:val="22"/>
          <w:szCs w:val="22"/>
        </w:rPr>
        <w:t xml:space="preserve">Every employer-tenant onboarding must sign a DPA with PRANA that specifies:</w:t>
      </w:r>
    </w:p>
    <w:p>
      <w:pPr>
        <w:pStyle w:val="ListParagraph"/>
        <w:numPr>
          <w:ilvl w:val="0"/>
          <w:numId w:val="2"/>
        </w:numPr>
        <w:spacing w:after="40" w:before="40"/>
      </w:pPr>
      <w:r>
        <w:rPr>
          <w:rFonts w:ascii="Arial" w:cs="Arial" w:eastAsia="Arial" w:hAnsi="Arial"/>
          <w:b w:val="false"/>
          <w:bCs w:val="false"/>
          <w:color w:val="1F2937"/>
          <w:sz w:val="22"/>
          <w:szCs w:val="22"/>
        </w:rPr>
        <w:t xml:space="preserve">Nature and purpose of processing.</w:t>
      </w:r>
    </w:p>
    <w:p>
      <w:pPr>
        <w:pStyle w:val="ListParagraph"/>
        <w:numPr>
          <w:ilvl w:val="0"/>
          <w:numId w:val="2"/>
        </w:numPr>
        <w:spacing w:after="40" w:before="40"/>
      </w:pPr>
      <w:r>
        <w:rPr>
          <w:rFonts w:ascii="Arial" w:cs="Arial" w:eastAsia="Arial" w:hAnsi="Arial"/>
          <w:b w:val="false"/>
          <w:bCs w:val="false"/>
          <w:color w:val="1F2937"/>
          <w:sz w:val="22"/>
          <w:szCs w:val="22"/>
        </w:rPr>
        <w:t xml:space="preserve">Categories of personal data processed.</w:t>
      </w:r>
    </w:p>
    <w:p>
      <w:pPr>
        <w:pStyle w:val="ListParagraph"/>
        <w:numPr>
          <w:ilvl w:val="0"/>
          <w:numId w:val="2"/>
        </w:numPr>
        <w:spacing w:after="40" w:before="40"/>
      </w:pPr>
      <w:r>
        <w:rPr>
          <w:rFonts w:ascii="Arial" w:cs="Arial" w:eastAsia="Arial" w:hAnsi="Arial"/>
          <w:b w:val="false"/>
          <w:bCs w:val="false"/>
          <w:color w:val="1F2937"/>
          <w:sz w:val="22"/>
          <w:szCs w:val="22"/>
        </w:rPr>
        <w:t xml:space="preserve">Retention periods and deletion obligations.</w:t>
      </w:r>
    </w:p>
    <w:p>
      <w:pPr>
        <w:pStyle w:val="ListParagraph"/>
        <w:numPr>
          <w:ilvl w:val="0"/>
          <w:numId w:val="2"/>
        </w:numPr>
        <w:spacing w:after="40" w:before="40"/>
      </w:pPr>
      <w:r>
        <w:rPr>
          <w:rFonts w:ascii="Arial" w:cs="Arial" w:eastAsia="Arial" w:hAnsi="Arial"/>
          <w:b w:val="false"/>
          <w:bCs w:val="false"/>
          <w:color w:val="1F2937"/>
          <w:sz w:val="22"/>
          <w:szCs w:val="22"/>
        </w:rPr>
        <w:t xml:space="preserve">Sub-processor list (AWS/Azure, AI classification vendor if any).</w:t>
      </w:r>
    </w:p>
    <w:p>
      <w:pPr>
        <w:pStyle w:val="ListParagraph"/>
        <w:numPr>
          <w:ilvl w:val="0"/>
          <w:numId w:val="2"/>
        </w:numPr>
        <w:spacing w:after="40" w:before="40"/>
      </w:pPr>
      <w:r>
        <w:rPr>
          <w:rFonts w:ascii="Arial" w:cs="Arial" w:eastAsia="Arial" w:hAnsi="Arial"/>
          <w:b w:val="false"/>
          <w:bCs w:val="false"/>
          <w:color w:val="1F2937"/>
          <w:sz w:val="22"/>
          <w:szCs w:val="22"/>
        </w:rPr>
        <w:t xml:space="preserve">Security obligations of PRANA as processor.</w:t>
      </w:r>
    </w:p>
    <w:p>
      <w:r>
        <w:rPr>
          <w:sz w:val="14"/>
          <w:szCs w:val="14"/>
        </w:rPr>
        <w:t xml:space="preserve"/>
      </w:r>
    </w:p>
    <w:p>
      <w:pPr>
        <w:spacing w:after="120" w:before="80"/>
      </w:pPr>
      <w:r>
        <w:rPr>
          <w:rFonts w:ascii="Arial" w:cs="Arial" w:eastAsia="Arial" w:hAnsi="Arial"/>
          <w:color w:val="1F2937"/>
          <w:sz w:val="22"/>
          <w:szCs w:val="22"/>
        </w:rPr>
        <w:t xml:space="preserve">Status: Not yet drafted. Priority: High — must exist before any live employer onboarding.</w:t>
      </w:r>
    </w:p>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5. Consolidated Gap Analysis &amp; Remediation Plan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1700"/>
        <w:gridCol w:w="1860"/>
      </w:tblGrid>
      <w:tr>
        <w:trPr>
          <w:tblHeader/>
        </w:trP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Gap</w:t>
            </w:r>
          </w:p>
        </w:tc>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Law / Code</w:t>
            </w:r>
          </w:p>
        </w:tc>
        <w:tc>
          <w:tcPr>
            <w:tcW w:type="dxa" w:w="1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Severity</w:t>
            </w:r>
          </w:p>
        </w:tc>
        <w:tc>
          <w:tcPr>
            <w:tcW w:type="dxa" w:w="17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Remediation</w:t>
            </w:r>
          </w:p>
        </w:tc>
        <w:tc>
          <w:tcPr>
            <w:tcW w:type="dxa" w:w="18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9"/>
                <w:szCs w:val="19"/>
              </w:rPr>
              <w:t xml:space="preserve">No erasure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DPDPA 2023 §12</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erasure_request + legal_hold tables, scheduled deletion job, audit events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 live launch</w:t>
            </w:r>
          </w:p>
        </w:tc>
      </w:tr>
      <w:tr>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9"/>
                <w:szCs w:val="19"/>
              </w:rPr>
              <w:t xml:space="preserve">No Data Processing Agreement template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DPDPA 2023 — Processor obligations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B91C1C"/>
                <w:sz w:val="18"/>
                <w:szCs w:val="18"/>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 DPA template with legal counsel; mandatory for employer onboarding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 live launch</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9"/>
                <w:szCs w:val="19"/>
              </w:rPr>
              <w:t xml:space="preserve">3-year retention floor not enforced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on Wages, Shops Acts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tenant.retention_floor_years with system enforcement; minimum 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1 post-launch</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9"/>
                <w:szCs w:val="19"/>
              </w:rPr>
              <w:t xml:space="preserve">Gratuity forms missing from taxonomy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Payment of Gratuity Act / SS Code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Form F (onboarding), Forms I/L/M (exit) to document type enum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1 post-launch</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9"/>
                <w:szCs w:val="19"/>
              </w:rPr>
              <w:t xml:space="preserve">Disciplinary records — privacy conflict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IR Code 2020 / DPDPA</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Introduce RESTRICTED document category; dual consent for sharing; employer-only default visibility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2</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9"/>
                <w:szCs w:val="19"/>
              </w:rPr>
              <w:t xml:space="preserve">Exit / termination letter not a doc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IR Code 2020</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TERMINATION_LETTER, RETRENCHMENT_NOTICE to document_type enum; trigger in exit workflow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Document language not tracked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OSH Code 2020</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document.language_code (ISO 639-1) to schema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Maternity docs — no sensitive 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Maternity Benefit Act / DPDPA</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SENSITIVE_HEALTH category; enhanced consent + share restrictions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Wage register export not available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on Wages 2019</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employer-side wage register export (PDF/XLSX) from vault 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Sprint 3</w:t>
            </w:r>
          </w:p>
        </w:tc>
      </w:tr>
    </w:tbl>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6. Recommended Schema &amp; Feature Additions</w:t>
      </w:r>
    </w:p>
    <w:p>
      <w:r>
        <w:rPr>
          <w:sz w:val="14"/>
          <w:szCs w:val="14"/>
        </w:rPr>
        <w:t xml:space="preserve"/>
      </w:r>
    </w:p>
    <w:p>
      <w:pPr>
        <w:pStyle w:val="Heading2"/>
        <w:spacing w:after="120" w:before="280"/>
      </w:pPr>
      <w:r>
        <w:rPr>
          <w:rFonts w:ascii="Arial" w:cs="Arial" w:eastAsia="Arial" w:hAnsi="Arial"/>
          <w:b/>
          <w:bCs/>
          <w:color w:val="0066CC"/>
          <w:sz w:val="26"/>
          <w:szCs w:val="26"/>
        </w:rPr>
        <w:t xml:space="preserve">6.1 Document Type Enum — Additions Required</w:t>
      </w:r>
    </w:p>
    <w:p>
      <w:pPr>
        <w:spacing w:after="120" w:before="80"/>
      </w:pPr>
      <w:r>
        <w:rPr>
          <w:rFonts w:ascii="Arial" w:cs="Arial" w:eastAsia="Arial" w:hAnsi="Arial"/>
          <w:color w:val="1F2937"/>
          <w:sz w:val="22"/>
          <w:szCs w:val="22"/>
        </w:rPr>
        <w:t xml:space="preserve">The following document types should be added to PRANA's document_type enum to achieve labour law completeness: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Law / Source</w:t>
            </w:r>
          </w:p>
        </w:tc>
        <w:tc>
          <w:tcPr>
            <w:tcW w:type="dxa" w:w="3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Trigger</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GRATUITY_NOMINATION_FORM_F</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Payment of Gratuity Act</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Push at employee onboarding (within 30 days)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GRATUITY_PAYMENT_CERT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Payment of Gratuity Act</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Push at exit for 5+ year employees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TERMINATION_LETTER</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IR Code / ID Act</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Exit workflow — mandatory push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RETRENCHMENT_NOTICE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IR Code / ID Act</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Triggered for establishments 300+ workers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PF_ANNUAL_STATEMENT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EPF &amp; MP Act / SS Code</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Annual push — Q1 every year</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ESI_CONTRIBUTION_RECORD</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ESI Act / SS Code</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Annual or on exit push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MATERNITY_BENEFIT_RECORD</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Maternity Benefit Act</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SENSITIVE_HEALTH category; dual consent</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9"/>
                <w:szCs w:val="19"/>
              </w:rPr>
              <w:t xml:space="preserve">LEAVE_ENCASHMENT_CERT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Shops &amp; Estab. Acts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Annual or exit push</w:t>
            </w:r>
          </w:p>
        </w:tc>
      </w:tr>
    </w:tbl>
    <w:p>
      <w:r>
        <w:rPr>
          <w:sz w:val="14"/>
          <w:szCs w:val="14"/>
        </w:rPr>
        <w:t xml:space="preserve"/>
      </w:r>
    </w:p>
    <w:p>
      <w:pPr>
        <w:pStyle w:val="Heading2"/>
        <w:spacing w:after="120" w:before="280"/>
      </w:pPr>
      <w:r>
        <w:rPr>
          <w:rFonts w:ascii="Arial" w:cs="Arial" w:eastAsia="Arial" w:hAnsi="Arial"/>
          <w:b/>
          <w:bCs/>
          <w:color w:val="0066CC"/>
          <w:sz w:val="26"/>
          <w:szCs w:val="26"/>
        </w:rPr>
        <w:t xml:space="preserve">6.2 Schema Fields to Add</w:t>
      </w:r>
    </w:p>
    <w:p>
      <w:pPr>
        <w:pStyle w:val="ListParagraph"/>
        <w:numPr>
          <w:ilvl w:val="0"/>
          <w:numId w:val="2"/>
        </w:numPr>
        <w:spacing w:after="40" w:before="40"/>
      </w:pPr>
      <w:r>
        <w:rPr>
          <w:rFonts w:ascii="Arial" w:cs="Arial" w:eastAsia="Arial" w:hAnsi="Arial"/>
          <w:b w:val="false"/>
          <w:bCs w:val="false"/>
          <w:color w:val="1F2937"/>
          <w:sz w:val="22"/>
          <w:szCs w:val="22"/>
        </w:rPr>
        <w:t xml:space="preserve">document.language_code VARCHAR(5) — ISO 639-1 language of document (e.g., 'hi', 'mr', 'ta'). Required for OSH Code multilingual compliance.</w:t>
      </w:r>
    </w:p>
    <w:p>
      <w:pPr>
        <w:pStyle w:val="ListParagraph"/>
        <w:numPr>
          <w:ilvl w:val="0"/>
          <w:numId w:val="2"/>
        </w:numPr>
        <w:spacing w:after="40" w:before="40"/>
      </w:pPr>
      <w:r>
        <w:rPr>
          <w:rFonts w:ascii="Arial" w:cs="Arial" w:eastAsia="Arial" w:hAnsi="Arial"/>
          <w:b w:val="false"/>
          <w:bCs w:val="false"/>
          <w:color w:val="1F2937"/>
          <w:sz w:val="22"/>
          <w:szCs w:val="22"/>
        </w:rPr>
        <w:t xml:space="preserve">document.sensitivity_class ENUM('STANDARD','RESTRICTED','SENSITIVE_HEALTH') — drives UI visibility and sharing controls.</w:t>
      </w:r>
    </w:p>
    <w:p>
      <w:pPr>
        <w:pStyle w:val="ListParagraph"/>
        <w:numPr>
          <w:ilvl w:val="0"/>
          <w:numId w:val="2"/>
        </w:numPr>
        <w:spacing w:after="40" w:before="40"/>
      </w:pPr>
      <w:r>
        <w:rPr>
          <w:rFonts w:ascii="Arial" w:cs="Arial" w:eastAsia="Arial" w:hAnsi="Arial"/>
          <w:b w:val="false"/>
          <w:bCs w:val="false"/>
          <w:color w:val="1F2937"/>
          <w:sz w:val="22"/>
          <w:szCs w:val="22"/>
        </w:rPr>
        <w:t xml:space="preserve">tenant.retention_floor_years INTEGER DEFAULT 3 — system-enforced minimum retention; cannot be set below 3 by any tenant config.</w:t>
      </w:r>
    </w:p>
    <w:p>
      <w:pPr>
        <w:pStyle w:val="ListParagraph"/>
        <w:numPr>
          <w:ilvl w:val="0"/>
          <w:numId w:val="2"/>
        </w:numPr>
        <w:spacing w:after="40" w:before="40"/>
      </w:pPr>
      <w:r>
        <w:rPr>
          <w:rFonts w:ascii="Arial" w:cs="Arial" w:eastAsia="Arial" w:hAnsi="Arial"/>
          <w:b w:val="false"/>
          <w:bCs w:val="false"/>
          <w:color w:val="1F2937"/>
          <w:sz w:val="22"/>
          <w:szCs w:val="22"/>
        </w:rPr>
        <w:t xml:space="preserve">erasure_request table — id, employee_id, document_ids[], requested_at, status ENUM('PENDING','LEGAL_HOLD','APPROVED','EXECUTED'), employer_hold_reason, expected_deletion_date.</w:t>
      </w:r>
    </w:p>
    <w:p>
      <w:pPr>
        <w:pStyle w:val="ListParagraph"/>
        <w:numPr>
          <w:ilvl w:val="0"/>
          <w:numId w:val="2"/>
        </w:numPr>
        <w:spacing w:after="40" w:before="40"/>
      </w:pPr>
      <w:r>
        <w:rPr>
          <w:rFonts w:ascii="Arial" w:cs="Arial" w:eastAsia="Arial" w:hAnsi="Arial"/>
          <w:b w:val="false"/>
          <w:bCs w:val="false"/>
          <w:color w:val="1F2937"/>
          <w:sz w:val="22"/>
          <w:szCs w:val="22"/>
        </w:rPr>
        <w:t xml:space="preserve">legal_hold table — id, erasure_request_id, tenant_id, asserted_by, asserted_at, law_cited, section_cited, hold_expiry_date.</w:t>
      </w:r>
    </w:p>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7. Positioning PRANA as a Compliance-Ready Platform</w:t>
      </w:r>
    </w:p>
    <w:p>
      <w:pPr>
        <w:spacing w:after="120" w:before="80"/>
      </w:pPr>
      <w:r>
        <w:rPr>
          <w:rFonts w:ascii="Arial" w:cs="Arial" w:eastAsia="Arial" w:hAnsi="Arial"/>
          <w:color w:val="1F2937"/>
          <w:sz w:val="22"/>
          <w:szCs w:val="22"/>
        </w:rPr>
        <w:t xml:space="preserve">When presenting PRANA to enterprise HR heads, CFOs, or bank CTOs evaluating adoption, the compliance narrative should be framed around three pillars:</w:t>
      </w:r>
    </w:p>
    <w:p>
      <w:r>
        <w:rPr>
          <w:sz w:val="14"/>
          <w:szCs w:val="14"/>
        </w:rPr>
        <w:t xml:space="preserve"/>
      </w:r>
    </w:p>
    <w:p>
      <w:pPr>
        <w:pStyle w:val="Heading2"/>
        <w:spacing w:after="120" w:before="280"/>
      </w:pPr>
      <w:r>
        <w:rPr>
          <w:rFonts w:ascii="Arial" w:cs="Arial" w:eastAsia="Arial" w:hAnsi="Arial"/>
          <w:b/>
          <w:bCs/>
          <w:color w:val="0066CC"/>
          <w:sz w:val="26"/>
          <w:szCs w:val="26"/>
        </w:rPr>
        <w:t xml:space="preserve">Pillar 1 — Compliance Lift for the Employer</w:t>
      </w:r>
    </w:p>
    <w:p>
      <w:pPr>
        <w:spacing w:after="120" w:before="80"/>
      </w:pPr>
      <w:r>
        <w:rPr>
          <w:rFonts w:ascii="Arial" w:cs="Arial" w:eastAsia="Arial" w:hAnsi="Arial"/>
          <w:color w:val="1F2937"/>
          <w:sz w:val="22"/>
          <w:szCs w:val="22"/>
        </w:rPr>
        <w:t xml:space="preserve">PRANA reduces employer compliance burden. By pushing documents to PRANA, employers get:</w:t>
      </w:r>
    </w:p>
    <w:p>
      <w:pPr>
        <w:pStyle w:val="ListParagraph"/>
        <w:numPr>
          <w:ilvl w:val="0"/>
          <w:numId w:val="2"/>
        </w:numPr>
        <w:spacing w:after="40" w:before="40"/>
      </w:pPr>
      <w:r>
        <w:rPr>
          <w:rFonts w:ascii="Arial" w:cs="Arial" w:eastAsia="Arial" w:hAnsi="Arial"/>
          <w:b w:val="false"/>
          <w:bCs w:val="false"/>
          <w:color w:val="1F2937"/>
          <w:sz w:val="22"/>
          <w:szCs w:val="22"/>
        </w:rPr>
        <w:t xml:space="preserve">Automatic 3-year retention floor with audit trail — satisfies Wages Code and Shops Act inspectors.</w:t>
      </w:r>
    </w:p>
    <w:p>
      <w:pPr>
        <w:pStyle w:val="ListParagraph"/>
        <w:numPr>
          <w:ilvl w:val="0"/>
          <w:numId w:val="2"/>
        </w:numPr>
        <w:spacing w:after="40" w:before="40"/>
      </w:pPr>
      <w:r>
        <w:rPr>
          <w:rFonts w:ascii="Arial" w:cs="Arial" w:eastAsia="Arial" w:hAnsi="Arial"/>
          <w:b w:val="false"/>
          <w:bCs w:val="false"/>
          <w:color w:val="1F2937"/>
          <w:sz w:val="22"/>
          <w:szCs w:val="22"/>
        </w:rPr>
        <w:t xml:space="preserve">Exit document completeness checklist — relieving letter, gratuity certificate, Form 16, PF statement all prompted at exit.</w:t>
      </w:r>
    </w:p>
    <w:p>
      <w:pPr>
        <w:pStyle w:val="ListParagraph"/>
        <w:numPr>
          <w:ilvl w:val="0"/>
          <w:numId w:val="2"/>
        </w:numPr>
        <w:spacing w:after="40" w:before="40"/>
      </w:pPr>
      <w:r>
        <w:rPr>
          <w:rFonts w:ascii="Arial" w:cs="Arial" w:eastAsia="Arial" w:hAnsi="Arial"/>
          <w:b w:val="false"/>
          <w:bCs w:val="false"/>
          <w:color w:val="1F2937"/>
          <w:sz w:val="22"/>
          <w:szCs w:val="22"/>
        </w:rPr>
        <w:t xml:space="preserve">Immutable evidence for labour disputes — every document timestamped, SHA-256 hashed, court-admissible.</w:t>
      </w:r>
    </w:p>
    <w:p>
      <w:r>
        <w:rPr>
          <w:sz w:val="14"/>
          <w:szCs w:val="14"/>
        </w:rPr>
        <w:t xml:space="preserve"/>
      </w:r>
    </w:p>
    <w:p>
      <w:pPr>
        <w:pStyle w:val="Heading2"/>
        <w:spacing w:after="120" w:before="280"/>
      </w:pPr>
      <w:r>
        <w:rPr>
          <w:rFonts w:ascii="Arial" w:cs="Arial" w:eastAsia="Arial" w:hAnsi="Arial"/>
          <w:b/>
          <w:bCs/>
          <w:color w:val="0066CC"/>
          <w:sz w:val="26"/>
          <w:szCs w:val="26"/>
        </w:rPr>
        <w:t xml:space="preserve">Pillar 2 — Employee Rights as a Feature, Not a Risk</w:t>
      </w:r>
    </w:p>
    <w:p>
      <w:pPr>
        <w:spacing w:after="120" w:before="80"/>
      </w:pPr>
      <w:r>
        <w:rPr>
          <w:rFonts w:ascii="Arial" w:cs="Arial" w:eastAsia="Arial" w:hAnsi="Arial"/>
          <w:color w:val="1F2937"/>
          <w:sz w:val="22"/>
          <w:szCs w:val="22"/>
        </w:rPr>
        <w:t xml:space="preserve">DPDPA could be seen as a compliance burden. PRANA turns it into a product advantage:</w:t>
      </w:r>
    </w:p>
    <w:p>
      <w:pPr>
        <w:pStyle w:val="ListParagraph"/>
        <w:numPr>
          <w:ilvl w:val="0"/>
          <w:numId w:val="2"/>
        </w:numPr>
        <w:spacing w:after="40" w:before="40"/>
      </w:pPr>
      <w:r>
        <w:rPr>
          <w:rFonts w:ascii="Arial" w:cs="Arial" w:eastAsia="Arial" w:hAnsi="Arial"/>
          <w:b w:val="false"/>
          <w:bCs w:val="false"/>
          <w:color w:val="1F2937"/>
          <w:sz w:val="22"/>
          <w:szCs w:val="22"/>
        </w:rPr>
        <w:t xml:space="preserve">Consent-based sharing is the product UX — employees control who sees what.</w:t>
      </w:r>
    </w:p>
    <w:p>
      <w:pPr>
        <w:pStyle w:val="ListParagraph"/>
        <w:numPr>
          <w:ilvl w:val="0"/>
          <w:numId w:val="2"/>
        </w:numPr>
        <w:spacing w:after="40" w:before="40"/>
      </w:pPr>
      <w:r>
        <w:rPr>
          <w:rFonts w:ascii="Arial" w:cs="Arial" w:eastAsia="Arial" w:hAnsi="Arial"/>
          <w:b w:val="false"/>
          <w:bCs w:val="false"/>
          <w:color w:val="1F2937"/>
          <w:sz w:val="22"/>
          <w:szCs w:val="22"/>
        </w:rPr>
        <w:t xml:space="preserve">Right to access is built in — employees have instant access to all their documents.</w:t>
      </w:r>
    </w:p>
    <w:p>
      <w:pPr>
        <w:pStyle w:val="ListParagraph"/>
        <w:numPr>
          <w:ilvl w:val="0"/>
          <w:numId w:val="2"/>
        </w:numPr>
        <w:spacing w:after="40" w:before="40"/>
      </w:pPr>
      <w:r>
        <w:rPr>
          <w:rFonts w:ascii="Arial" w:cs="Arial" w:eastAsia="Arial" w:hAnsi="Arial"/>
          <w:b w:val="false"/>
          <w:bCs w:val="false"/>
          <w:color w:val="1F2937"/>
          <w:sz w:val="22"/>
          <w:szCs w:val="22"/>
        </w:rPr>
        <w:t xml:space="preserve">Erasure workflow with legal hold — protects both employee rights and employer obligations simultaneously.</w:t>
      </w:r>
    </w:p>
    <w:p>
      <w:r>
        <w:rPr>
          <w:sz w:val="14"/>
          <w:szCs w:val="14"/>
        </w:rPr>
        <w:t xml:space="preserve"/>
      </w:r>
    </w:p>
    <w:p>
      <w:pPr>
        <w:pStyle w:val="Heading2"/>
        <w:spacing w:after="120" w:before="280"/>
      </w:pPr>
      <w:r>
        <w:rPr>
          <w:rFonts w:ascii="Arial" w:cs="Arial" w:eastAsia="Arial" w:hAnsi="Arial"/>
          <w:b/>
          <w:bCs/>
          <w:color w:val="0066CC"/>
          <w:sz w:val="26"/>
          <w:szCs w:val="26"/>
        </w:rPr>
        <w:t xml:space="preserve">Pillar 3 — Code-Ready Architecture</w:t>
      </w:r>
    </w:p>
    <w:p>
      <w:pPr>
        <w:spacing w:after="120" w:before="80"/>
      </w:pPr>
      <w:r>
        <w:rPr>
          <w:rFonts w:ascii="Arial" w:cs="Arial" w:eastAsia="Arial" w:hAnsi="Arial"/>
          <w:color w:val="1F2937"/>
          <w:sz w:val="22"/>
          <w:szCs w:val="22"/>
        </w:rPr>
        <w:t xml:space="preserve">As India's 4 Labour Codes get notified state by state, PRANA's document taxonomy and retention architecture will track:</w:t>
      </w:r>
    </w:p>
    <w:p>
      <w:pPr>
        <w:pStyle w:val="ListParagraph"/>
        <w:numPr>
          <w:ilvl w:val="0"/>
          <w:numId w:val="2"/>
        </w:numPr>
        <w:spacing w:after="40" w:before="40"/>
      </w:pPr>
      <w:r>
        <w:rPr>
          <w:rFonts w:ascii="Arial" w:cs="Arial" w:eastAsia="Arial" w:hAnsi="Arial"/>
          <w:b w:val="false"/>
          <w:bCs w:val="false"/>
          <w:color w:val="1F2937"/>
          <w:sz w:val="22"/>
          <w:szCs w:val="22"/>
        </w:rPr>
        <w:t xml:space="preserve">PRANA maintains a Labour Code Notification Tracker — updated as states notify Codes.</w:t>
      </w:r>
    </w:p>
    <w:p>
      <w:pPr>
        <w:pStyle w:val="ListParagraph"/>
        <w:numPr>
          <w:ilvl w:val="0"/>
          <w:numId w:val="2"/>
        </w:numPr>
        <w:spacing w:after="40" w:before="40"/>
      </w:pPr>
      <w:r>
        <w:rPr>
          <w:rFonts w:ascii="Arial" w:cs="Arial" w:eastAsia="Arial" w:hAnsi="Arial"/>
          <w:b w:val="false"/>
          <w:bCs w:val="false"/>
          <w:color w:val="1F2937"/>
          <w:sz w:val="22"/>
          <w:szCs w:val="22"/>
        </w:rPr>
        <w:t xml:space="preserve">Automatic retention floor updates when Code supersedes the underlying Act in a state.</w:t>
      </w:r>
    </w:p>
    <w:p>
      <w:pPr>
        <w:pStyle w:val="ListParagraph"/>
        <w:numPr>
          <w:ilvl w:val="0"/>
          <w:numId w:val="2"/>
        </w:numPr>
        <w:spacing w:after="40" w:before="40"/>
      </w:pPr>
      <w:r>
        <w:rPr>
          <w:rFonts w:ascii="Arial" w:cs="Arial" w:eastAsia="Arial" w:hAnsi="Arial"/>
          <w:b w:val="false"/>
          <w:bCs w:val="false"/>
          <w:color w:val="1F2937"/>
          <w:sz w:val="22"/>
          <w:szCs w:val="22"/>
        </w:rPr>
        <w:t xml:space="preserve">Compliance alert to employer-tenants when their state's Code notification changes their document obligations.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6CC" w:sz="6"/>
              <w:left w:val="single" w:color="0066CC" w:sz="18"/>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E3A5F"/>
                <w:sz w:val="20"/>
                <w:szCs w:val="20"/>
              </w:rPr>
              <w:t xml:space="preserve">Competitive Moat</w:t>
            </w:r>
          </w:p>
          <w:p>
            <w:pPr>
              <w:spacing w:before="40"/>
            </w:pPr>
            <w:r>
              <w:rPr>
                <w:rFonts w:ascii="Arial" w:cs="Arial" w:eastAsia="Arial" w:hAnsi="Arial"/>
                <w:color w:val="374151"/>
                <w:sz w:val="20"/>
                <w:szCs w:val="20"/>
              </w:rPr>
              <w:t xml:space="preserve">No existing HRMS or document management platform in India has built its architecture around the 4 Labour Codes transition. PRANA can be the first platform to offer a Code-aligned document vault — a genuine differentiator in enterprise sales conversations with CHROs and legal counsels.</w:t>
            </w:r>
          </w:p>
        </w:tc>
      </w:tr>
    </w:tbl>
    <w:p>
      <w:r>
        <w:rPr>
          <w:sz w:val="14"/>
          <w:szCs w:val="14"/>
        </w:rPr>
        <w:t xml:space="preserve"/>
      </w:r>
    </w:p>
    <w:p>
      <w:r>
        <w:br w:type="page"/>
      </w:r>
    </w:p>
    <w:p>
      <w:pPr>
        <w:pStyle w:val="Heading1"/>
        <w:spacing w:after="160" w:before="360"/>
      </w:pPr>
      <w:r>
        <w:rPr>
          <w:rFonts w:ascii="Arial" w:cs="Arial" w:eastAsia="Arial" w:hAnsi="Arial"/>
          <w:b/>
          <w:bCs/>
          <w:color w:val="1E3A5F"/>
          <w:sz w:val="32"/>
          <w:szCs w:val="32"/>
        </w:rPr>
        <w:t xml:space="preserve">8. Immediate Action Plan — Pre-Launch Compliance Checklist</w:t>
      </w:r>
    </w:p>
    <w:p>
      <w:r>
        <w:rPr>
          <w:sz w:val="14"/>
          <w:szCs w:val="14"/>
        </w:rPr>
        <w:t xml:space="preserve"/>
      </w:r>
    </w:p>
    <w:p>
      <w:pPr>
        <w:pStyle w:val="Heading2"/>
        <w:spacing w:after="120" w:before="280"/>
      </w:pPr>
      <w:r>
        <w:rPr>
          <w:rFonts w:ascii="Arial" w:cs="Arial" w:eastAsia="Arial" w:hAnsi="Arial"/>
          <w:b/>
          <w:bCs/>
          <w:color w:val="0066CC"/>
          <w:sz w:val="26"/>
          <w:szCs w:val="26"/>
        </w:rPr>
        <w:t xml:space="preserve">Before First Employer Onboarding</w:t>
      </w:r>
    </w:p>
    <w:p>
      <w:pPr>
        <w:pStyle w:val="ListParagraph"/>
        <w:numPr>
          <w:ilvl w:val="0"/>
          <w:numId w:val="2"/>
        </w:numPr>
        <w:spacing w:after="40" w:before="40"/>
      </w:pPr>
      <w:r>
        <w:rPr>
          <w:rFonts w:ascii="Arial" w:cs="Arial" w:eastAsia="Arial" w:hAnsi="Arial"/>
          <w:b/>
          <w:bCs/>
          <w:color w:val="1F2937"/>
          <w:sz w:val="22"/>
          <w:szCs w:val="22"/>
        </w:rPr>
        <w:t xml:space="preserve">Draft Data Processing Agreement (DPA) template — engage legal counsel.</w:t>
      </w:r>
    </w:p>
    <w:p>
      <w:pPr>
        <w:pStyle w:val="ListParagraph"/>
        <w:numPr>
          <w:ilvl w:val="0"/>
          <w:numId w:val="2"/>
        </w:numPr>
        <w:spacing w:after="40" w:before="40"/>
      </w:pPr>
      <w:r>
        <w:rPr>
          <w:rFonts w:ascii="Arial" w:cs="Arial" w:eastAsia="Arial" w:hAnsi="Arial"/>
          <w:b/>
          <w:bCs/>
          <w:color w:val="1F2937"/>
          <w:sz w:val="22"/>
          <w:szCs w:val="22"/>
        </w:rPr>
        <w:t xml:space="preserve">Implement erasure_request and legal_hold tables in schema.</w:t>
      </w:r>
    </w:p>
    <w:p>
      <w:pPr>
        <w:pStyle w:val="ListParagraph"/>
        <w:numPr>
          <w:ilvl w:val="0"/>
          <w:numId w:val="2"/>
        </w:numPr>
        <w:spacing w:after="40" w:before="40"/>
      </w:pPr>
      <w:r>
        <w:rPr>
          <w:rFonts w:ascii="Arial" w:cs="Arial" w:eastAsia="Arial" w:hAnsi="Arial"/>
          <w:b/>
          <w:bCs/>
          <w:color w:val="1F2937"/>
          <w:sz w:val="22"/>
          <w:szCs w:val="22"/>
        </w:rPr>
        <w:t xml:space="preserve">Add India-only storage commitment to Privacy Policy and Tenant Agreement.</w:t>
      </w:r>
    </w:p>
    <w:p>
      <w:pPr>
        <w:pStyle w:val="ListParagraph"/>
        <w:numPr>
          <w:ilvl w:val="0"/>
          <w:numId w:val="2"/>
        </w:numPr>
        <w:spacing w:after="40" w:before="40"/>
      </w:pPr>
      <w:r>
        <w:rPr>
          <w:rFonts w:ascii="Arial" w:cs="Arial" w:eastAsia="Arial" w:hAnsi="Arial"/>
          <w:b/>
          <w:bCs/>
          <w:color w:val="1F2937"/>
          <w:sz w:val="22"/>
          <w:szCs w:val="22"/>
        </w:rPr>
        <w:t xml:space="preserve">Add document sensitivity_class field and RESTRICTED / SENSITIVE_HEALTH categories.</w:t>
      </w:r>
    </w:p>
    <w:p>
      <w:pPr>
        <w:pStyle w:val="ListParagraph"/>
        <w:numPr>
          <w:ilvl w:val="0"/>
          <w:numId w:val="2"/>
        </w:numPr>
        <w:spacing w:after="40" w:before="40"/>
      </w:pPr>
      <w:r>
        <w:rPr>
          <w:rFonts w:ascii="Arial" w:cs="Arial" w:eastAsia="Arial" w:hAnsi="Arial"/>
          <w:b/>
          <w:bCs/>
          <w:color w:val="1F2937"/>
          <w:sz w:val="22"/>
          <w:szCs w:val="22"/>
        </w:rPr>
        <w:t xml:space="preserve">Add GRATUITY_NOMINATION_FORM_F to onboarding document checklist (employer-side).</w:t>
      </w:r>
    </w:p>
    <w:p>
      <w:r>
        <w:rPr>
          <w:sz w:val="14"/>
          <w:szCs w:val="14"/>
        </w:rPr>
        <w:t xml:space="preserve"/>
      </w:r>
    </w:p>
    <w:p>
      <w:pPr>
        <w:pStyle w:val="Heading2"/>
        <w:spacing w:after="120" w:before="280"/>
      </w:pPr>
      <w:r>
        <w:rPr>
          <w:rFonts w:ascii="Arial" w:cs="Arial" w:eastAsia="Arial" w:hAnsi="Arial"/>
          <w:b/>
          <w:bCs/>
          <w:color w:val="0066CC"/>
          <w:sz w:val="26"/>
          <w:szCs w:val="26"/>
        </w:rPr>
        <w:t xml:space="preserve">Sprint 1 Post-Launch</w:t>
      </w:r>
    </w:p>
    <w:p>
      <w:pPr>
        <w:pStyle w:val="ListParagraph"/>
        <w:numPr>
          <w:ilvl w:val="0"/>
          <w:numId w:val="2"/>
        </w:numPr>
        <w:spacing w:after="40" w:before="40"/>
      </w:pPr>
      <w:r>
        <w:rPr>
          <w:rFonts w:ascii="Arial" w:cs="Arial" w:eastAsia="Arial" w:hAnsi="Arial"/>
          <w:b/>
          <w:bCs/>
          <w:color w:val="1F2937"/>
          <w:sz w:val="22"/>
          <w:szCs w:val="22"/>
        </w:rPr>
        <w:t xml:space="preserve">Implement tenant.retention_floor_years enforcement — block deletion below 3 years for employment documents.</w:t>
      </w:r>
    </w:p>
    <w:p>
      <w:pPr>
        <w:pStyle w:val="ListParagraph"/>
        <w:numPr>
          <w:ilvl w:val="0"/>
          <w:numId w:val="2"/>
        </w:numPr>
        <w:spacing w:after="40" w:before="40"/>
      </w:pPr>
      <w:r>
        <w:rPr>
          <w:rFonts w:ascii="Arial" w:cs="Arial" w:eastAsia="Arial" w:hAnsi="Arial"/>
          <w:b/>
          <w:bCs/>
          <w:color w:val="1F2937"/>
          <w:sz w:val="22"/>
          <w:szCs w:val="22"/>
        </w:rPr>
        <w:t xml:space="preserve">Add TERMINATION_LETTER, RETRENCHMENT_NOTICE to document_type enum.</w:t>
      </w:r>
    </w:p>
    <w:p>
      <w:pPr>
        <w:pStyle w:val="ListParagraph"/>
        <w:numPr>
          <w:ilvl w:val="0"/>
          <w:numId w:val="2"/>
        </w:numPr>
        <w:spacing w:after="40" w:before="40"/>
      </w:pPr>
      <w:r>
        <w:rPr>
          <w:rFonts w:ascii="Arial" w:cs="Arial" w:eastAsia="Arial" w:hAnsi="Arial"/>
          <w:b/>
          <w:bCs/>
          <w:color w:val="1F2937"/>
          <w:sz w:val="22"/>
          <w:szCs w:val="22"/>
        </w:rPr>
        <w:t xml:space="preserve">Add GRATUITY_PAYMENT_CERT, Forms I/L/M to exit document package.</w:t>
      </w:r>
    </w:p>
    <w:p>
      <w:pPr>
        <w:pStyle w:val="ListParagraph"/>
        <w:numPr>
          <w:ilvl w:val="0"/>
          <w:numId w:val="2"/>
        </w:numPr>
        <w:spacing w:after="40" w:before="40"/>
      </w:pPr>
      <w:r>
        <w:rPr>
          <w:rFonts w:ascii="Arial" w:cs="Arial" w:eastAsia="Arial" w:hAnsi="Arial"/>
          <w:b/>
          <w:bCs/>
          <w:color w:val="1F2937"/>
          <w:sz w:val="22"/>
          <w:szCs w:val="22"/>
        </w:rPr>
        <w:t xml:space="preserve">Add PF_ANNUAL_STATEMENT and ESI_CONTRIBUTION_RECORD document types.</w:t>
      </w:r>
    </w:p>
    <w:p>
      <w:r>
        <w:rPr>
          <w:sz w:val="14"/>
          <w:szCs w:val="14"/>
        </w:rPr>
        <w:t xml:space="preserve"/>
      </w:r>
    </w:p>
    <w:p>
      <w:pPr>
        <w:pStyle w:val="Heading2"/>
        <w:spacing w:after="120" w:before="280"/>
      </w:pPr>
      <w:r>
        <w:rPr>
          <w:rFonts w:ascii="Arial" w:cs="Arial" w:eastAsia="Arial" w:hAnsi="Arial"/>
          <w:b/>
          <w:bCs/>
          <w:color w:val="0066CC"/>
          <w:sz w:val="26"/>
          <w:szCs w:val="26"/>
        </w:rPr>
        <w:t xml:space="preserve">Sprint 2</w:t>
      </w:r>
    </w:p>
    <w:p>
      <w:pPr>
        <w:pStyle w:val="ListParagraph"/>
        <w:numPr>
          <w:ilvl w:val="0"/>
          <w:numId w:val="2"/>
        </w:numPr>
        <w:spacing w:after="40" w:before="40"/>
      </w:pPr>
      <w:r>
        <w:rPr>
          <w:rFonts w:ascii="Arial" w:cs="Arial" w:eastAsia="Arial" w:hAnsi="Arial"/>
          <w:b/>
          <w:bCs/>
          <w:color w:val="1F2937"/>
          <w:sz w:val="22"/>
          <w:szCs w:val="22"/>
        </w:rPr>
        <w:t xml:space="preserve">Build wage register export for employer-side compliance reporting.</w:t>
      </w:r>
    </w:p>
    <w:p>
      <w:pPr>
        <w:pStyle w:val="ListParagraph"/>
        <w:numPr>
          <w:ilvl w:val="0"/>
          <w:numId w:val="2"/>
        </w:numPr>
        <w:spacing w:after="40" w:before="40"/>
      </w:pPr>
      <w:r>
        <w:rPr>
          <w:rFonts w:ascii="Arial" w:cs="Arial" w:eastAsia="Arial" w:hAnsi="Arial"/>
          <w:b/>
          <w:bCs/>
          <w:color w:val="1F2937"/>
          <w:sz w:val="22"/>
          <w:szCs w:val="22"/>
        </w:rPr>
        <w:t xml:space="preserve">Add document.language_code to schema and metadata capture.</w:t>
      </w:r>
    </w:p>
    <w:p>
      <w:pPr>
        <w:pStyle w:val="ListParagraph"/>
        <w:numPr>
          <w:ilvl w:val="0"/>
          <w:numId w:val="2"/>
        </w:numPr>
        <w:spacing w:after="40" w:before="40"/>
      </w:pPr>
      <w:r>
        <w:rPr>
          <w:rFonts w:ascii="Arial" w:cs="Arial" w:eastAsia="Arial" w:hAnsi="Arial"/>
          <w:b/>
          <w:bCs/>
          <w:color w:val="1F2937"/>
          <w:sz w:val="22"/>
          <w:szCs w:val="22"/>
        </w:rPr>
        <w:t xml:space="preserve">Implement SENSITIVE_HEALTH consent flow for maternity benefit records.</w:t>
      </w:r>
    </w:p>
    <w:p>
      <w:pPr>
        <w:pStyle w:val="ListParagraph"/>
        <w:numPr>
          <w:ilvl w:val="0"/>
          <w:numId w:val="2"/>
        </w:numPr>
        <w:spacing w:after="40" w:before="40"/>
      </w:pPr>
      <w:r>
        <w:rPr>
          <w:rFonts w:ascii="Arial" w:cs="Arial" w:eastAsia="Arial" w:hAnsi="Arial"/>
          <w:b/>
          <w:bCs/>
          <w:color w:val="1F2937"/>
          <w:sz w:val="22"/>
          <w:szCs w:val="22"/>
        </w:rPr>
        <w:t xml:space="preserve">Dual consent mechanism for RESTRICTED category (disciplinary records).</w:t>
      </w:r>
    </w:p>
    <w:p>
      <w:r>
        <w:rPr>
          <w:sz w:val="14"/>
          <w:szCs w:val="14"/>
        </w:rPr>
        <w:t xml:space="preserve"/>
      </w:r>
    </w:p>
    <w:p>
      <w:pPr>
        <w:pStyle w:val="Heading2"/>
        <w:spacing w:after="120" w:before="280"/>
      </w:pPr>
      <w:r>
        <w:rPr>
          <w:rFonts w:ascii="Arial" w:cs="Arial" w:eastAsia="Arial" w:hAnsi="Arial"/>
          <w:b/>
          <w:bCs/>
          <w:color w:val="0066CC"/>
          <w:sz w:val="26"/>
          <w:szCs w:val="26"/>
        </w:rPr>
        <w:t xml:space="preserve">Ongoing</w:t>
      </w:r>
    </w:p>
    <w:p>
      <w:pPr>
        <w:pStyle w:val="ListParagraph"/>
        <w:numPr>
          <w:ilvl w:val="0"/>
          <w:numId w:val="2"/>
        </w:numPr>
        <w:spacing w:after="40" w:before="40"/>
      </w:pPr>
      <w:r>
        <w:rPr>
          <w:rFonts w:ascii="Arial" w:cs="Arial" w:eastAsia="Arial" w:hAnsi="Arial"/>
          <w:b/>
          <w:bCs/>
          <w:color w:val="1F2937"/>
          <w:sz w:val="22"/>
          <w:szCs w:val="22"/>
        </w:rPr>
        <w:t xml:space="preserve">Maintain Labour Code Notification Tracker — monitor MoLE circulars.</w:t>
      </w:r>
    </w:p>
    <w:p>
      <w:pPr>
        <w:pStyle w:val="ListParagraph"/>
        <w:numPr>
          <w:ilvl w:val="0"/>
          <w:numId w:val="2"/>
        </w:numPr>
        <w:spacing w:after="40" w:before="40"/>
      </w:pPr>
      <w:r>
        <w:rPr>
          <w:rFonts w:ascii="Arial" w:cs="Arial" w:eastAsia="Arial" w:hAnsi="Arial"/>
          <w:b/>
          <w:bCs/>
          <w:color w:val="1F2937"/>
          <w:sz w:val="22"/>
          <w:szCs w:val="22"/>
        </w:rPr>
        <w:t xml:space="preserve">Annual legal review of DPDPA rules as and when framed by Data Protection Board.</w:t>
      </w:r>
    </w:p>
    <w:p>
      <w:pPr>
        <w:pStyle w:val="ListParagraph"/>
        <w:numPr>
          <w:ilvl w:val="0"/>
          <w:numId w:val="2"/>
        </w:numPr>
        <w:spacing w:after="40" w:before="40"/>
      </w:pPr>
      <w:r>
        <w:rPr>
          <w:rFonts w:ascii="Arial" w:cs="Arial" w:eastAsia="Arial" w:hAnsi="Arial"/>
          <w:b/>
          <w:bCs/>
          <w:color w:val="1F2937"/>
          <w:sz w:val="22"/>
          <w:szCs w:val="22"/>
        </w:rPr>
        <w:t xml:space="preserve">DPDPA registration as Data Processor once Board is constituted and registration process announced.</w:t>
      </w:r>
    </w:p>
    <w:p>
      <w:r>
        <w:rPr>
          <w:sz w:val="14"/>
          <w:szCs w:val="14"/>
        </w:rPr>
        <w:t xml:space="preserve"/>
      </w:r>
    </w:p>
    <w:p>
      <w:pPr>
        <w:pBdr>
          <w:bottom w:val="single" w:color="D1D5DB" w:sz="4" w:space="1"/>
        </w:pBdr>
        <w:spacing w:after="200" w:before="200"/>
      </w:pPr>
      <w:r>
        <w:t xml:space="preserve"/>
      </w:r>
    </w:p>
    <w:p>
      <w:pPr>
        <w:spacing w:after="120" w:before="80"/>
      </w:pPr>
      <w:r>
        <w:rPr>
          <w:rFonts w:ascii="Arial" w:cs="Arial" w:eastAsia="Arial" w:hAnsi="Arial"/>
          <w:i/>
          <w:iCs/>
          <w:color w:val="9CA3AF"/>
          <w:sz w:val="22"/>
          <w:szCs w:val="22"/>
        </w:rPr>
        <w:t xml:space="preserve">Document maintained by: PRANA Product Architecture Team</w:t>
      </w:r>
    </w:p>
    <w:p>
      <w:pPr>
        <w:spacing w:after="120" w:before="80"/>
      </w:pPr>
      <w:r>
        <w:rPr>
          <w:rFonts w:ascii="Arial" w:cs="Arial" w:eastAsia="Arial" w:hAnsi="Arial"/>
          <w:i/>
          <w:iCs/>
          <w:color w:val="9CA3AF"/>
          <w:sz w:val="22"/>
          <w:szCs w:val="22"/>
        </w:rPr>
        <w:t xml:space="preserve">For legal review, route to: designated legal counsel for India employment and data protection law.</w:t>
      </w:r>
    </w:p>
    <w:p>
      <w:pPr>
        <w:spacing w:after="120" w:before="80"/>
      </w:pPr>
      <w:r>
        <w:rPr>
          <w:rFonts w:ascii="Arial" w:cs="Arial" w:eastAsia="Arial" w:hAnsi="Arial"/>
          <w:i/>
          <w:iCs/>
          <w:color w:val="9CA3AF"/>
          <w:sz w:val="22"/>
          <w:szCs w:val="22"/>
        </w:rPr>
        <w:t xml:space="preserve">Next review date: December 2026 or upon any Labour Code state notification, whichever is earlier.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9CA3AF"/>
        <w:sz w:val="16"/>
        <w:szCs w:val="16"/>
      </w:rPr>
      <w:t xml:space="preserve">Confidential — Internal Use Only</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color w:val="9CA3AF"/>
        <w:sz w:val="18"/>
        <w:szCs w:val="18"/>
      </w:rPr>
      <w:t xml:space="preserve">PRANA — Indian Labour Law Compliance Framework</w:t>
    </w:r>
    <w:r>
      <w:rPr>
        <w:rFonts w:ascii="Arial" w:cs="Arial" w:eastAsia="Arial" w:hAnsi="Arial"/>
        <w:color w:val="D1D5DB"/>
        <w:sz w:val="18"/>
        <w:szCs w:val="18"/>
      </w:rPr>
      <w:t xml:space="preserve">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66C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2026-06-24T01:58:16.181Z</dcterms:created>
  <dcterms:modified xsi:type="dcterms:W3CDTF">2026-06-24T01:58:16.181Z</dcterms:modified>
</cp:coreProperties>
</file>

<file path=docProps/custom.xml><?xml version="1.0" encoding="utf-8"?>
<Properties xmlns="http://schemas.openxmlformats.org/officeDocument/2006/custom-properties" xmlns:vt="http://schemas.openxmlformats.org/officeDocument/2006/docPropsVTypes"/>
</file>