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A9" w:rsidRPr="00AC5C31" w:rsidRDefault="00A148A9" w:rsidP="00D869B3">
      <w:pPr>
        <w:pStyle w:val="Title"/>
        <w:spacing w:line="276" w:lineRule="auto"/>
        <w:jc w:val="both"/>
        <w:rPr>
          <w:rFonts w:eastAsia="Times New Roman"/>
          <w:color w:val="auto"/>
        </w:rPr>
      </w:pPr>
      <w:r w:rsidRPr="00AC5C31">
        <w:rPr>
          <w:rFonts w:eastAsia="Times New Roman"/>
          <w:color w:val="auto"/>
        </w:rPr>
        <w:t>Courses</w:t>
      </w:r>
    </w:p>
    <w:p w:rsidR="00A148A9" w:rsidRDefault="00A148A9" w:rsidP="00D869B3">
      <w:pPr>
        <w:spacing w:after="300"/>
        <w:jc w:val="both"/>
        <w:rPr>
          <w:shd w:val="clear" w:color="auto" w:fill="FFFFFF"/>
        </w:rPr>
      </w:pPr>
      <w:r w:rsidRPr="00DE7F5E">
        <w:rPr>
          <w:shd w:val="clear" w:color="auto" w:fill="FFFFFF"/>
        </w:rPr>
        <w:t>Courses are the spaces on Moodle where</w:t>
      </w:r>
      <w:r w:rsidRPr="00DE7F5E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hyperlink r:id="rId6" w:tooltip="Teacher" w:history="1">
        <w:r w:rsidRPr="00DE7F5E">
          <w:rPr>
            <w:rStyle w:val="Hyperlink"/>
            <w:rFonts w:ascii="Helvetica" w:hAnsi="Helvetica"/>
            <w:color w:val="auto"/>
            <w:sz w:val="21"/>
            <w:szCs w:val="21"/>
            <w:u w:val="none"/>
            <w:shd w:val="clear" w:color="auto" w:fill="FFFFFF"/>
          </w:rPr>
          <w:t>teachers</w:t>
        </w:r>
      </w:hyperlink>
      <w:r w:rsidRPr="00DE7F5E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r w:rsidRPr="00DE7F5E">
        <w:rPr>
          <w:shd w:val="clear" w:color="auto" w:fill="FFFFFF"/>
        </w:rPr>
        <w:t>add learning materials and activities for their students. Courses may be created by</w:t>
      </w:r>
      <w:r w:rsidRPr="00DE7F5E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hyperlink r:id="rId7" w:tooltip="Administrator" w:history="1">
        <w:r w:rsidRPr="00DE7F5E">
          <w:rPr>
            <w:rStyle w:val="Hyperlink"/>
            <w:rFonts w:ascii="Helvetica" w:hAnsi="Helvetica"/>
            <w:color w:val="auto"/>
            <w:sz w:val="21"/>
            <w:szCs w:val="21"/>
            <w:u w:val="none"/>
            <w:shd w:val="clear" w:color="auto" w:fill="FFFFFF"/>
          </w:rPr>
          <w:t>admins</w:t>
        </w:r>
      </w:hyperlink>
      <w:r w:rsidRPr="00DE7F5E">
        <w:rPr>
          <w:shd w:val="clear" w:color="auto" w:fill="FFFFFF"/>
        </w:rPr>
        <w:t>,</w:t>
      </w:r>
      <w:r w:rsidRPr="00DE7F5E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hyperlink r:id="rId8" w:tooltip="Course creator" w:history="1">
        <w:r w:rsidRPr="00DE7F5E">
          <w:rPr>
            <w:rStyle w:val="Hyperlink"/>
            <w:rFonts w:ascii="Helvetica" w:hAnsi="Helvetica"/>
            <w:color w:val="auto"/>
            <w:sz w:val="21"/>
            <w:szCs w:val="21"/>
            <w:u w:val="none"/>
            <w:shd w:val="clear" w:color="auto" w:fill="FFFFFF"/>
          </w:rPr>
          <w:t>course creators</w:t>
        </w:r>
      </w:hyperlink>
      <w:r w:rsidRPr="00DE7F5E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r w:rsidRPr="00DE7F5E">
        <w:rPr>
          <w:shd w:val="clear" w:color="auto" w:fill="FFFFFF"/>
        </w:rPr>
        <w:t>or</w:t>
      </w:r>
      <w:r w:rsidRPr="00DE7F5E">
        <w:rPr>
          <w:rStyle w:val="apple-converted-space"/>
          <w:rFonts w:ascii="Helvetica" w:hAnsi="Helvetica"/>
          <w:sz w:val="21"/>
          <w:szCs w:val="21"/>
          <w:shd w:val="clear" w:color="auto" w:fill="FFFFFF"/>
        </w:rPr>
        <w:t> </w:t>
      </w:r>
      <w:hyperlink r:id="rId9" w:tooltip="Manager" w:history="1">
        <w:r w:rsidRPr="00DE7F5E">
          <w:rPr>
            <w:rStyle w:val="Hyperlink"/>
            <w:rFonts w:ascii="Helvetica" w:hAnsi="Helvetica"/>
            <w:color w:val="auto"/>
            <w:sz w:val="21"/>
            <w:szCs w:val="21"/>
            <w:u w:val="none"/>
            <w:shd w:val="clear" w:color="auto" w:fill="FFFFFF"/>
          </w:rPr>
          <w:t>managers</w:t>
        </w:r>
      </w:hyperlink>
      <w:r w:rsidRPr="00DE7F5E">
        <w:rPr>
          <w:shd w:val="clear" w:color="auto" w:fill="FFFFFF"/>
        </w:rPr>
        <w:t xml:space="preserve">. Teachers can then add the content and re-organise them according to their own needs. </w:t>
      </w:r>
    </w:p>
    <w:p w:rsidR="00A148A9" w:rsidRPr="00DE7F5E" w:rsidRDefault="006B55F4" w:rsidP="00D869B3">
      <w:pPr>
        <w:pStyle w:val="Heading1"/>
        <w:spacing w:after="300" w:afterAutospacing="0" w:line="276" w:lineRule="auto"/>
        <w:jc w:val="both"/>
      </w:pPr>
      <w:r w:rsidRPr="00DE7F5E">
        <w:t xml:space="preserve">Module: </w:t>
      </w:r>
      <w:r w:rsidR="00F767F6">
        <w:t>Course Categories</w:t>
      </w:r>
    </w:p>
    <w:p w:rsidR="00A45B0B" w:rsidRDefault="006B55F4" w:rsidP="00D869B3">
      <w:pPr>
        <w:pStyle w:val="Heading2"/>
        <w:spacing w:after="300"/>
        <w:jc w:val="both"/>
        <w:rPr>
          <w:rStyle w:val="mw-headline"/>
          <w:color w:val="auto"/>
        </w:rPr>
      </w:pPr>
      <w:r w:rsidRPr="00DE7F5E">
        <w:rPr>
          <w:rStyle w:val="mw-headline"/>
          <w:color w:val="auto"/>
        </w:rPr>
        <w:t xml:space="preserve">Feature: </w:t>
      </w:r>
      <w:r w:rsidR="00F767F6">
        <w:rPr>
          <w:rStyle w:val="mw-headline"/>
          <w:color w:val="auto"/>
        </w:rPr>
        <w:t>Assigning users a role in a course category</w:t>
      </w:r>
      <w:r w:rsidR="00A45B0B">
        <w:rPr>
          <w:rStyle w:val="mw-headline"/>
          <w:color w:val="auto"/>
        </w:rPr>
        <w:t xml:space="preserve"> </w:t>
      </w:r>
    </w:p>
    <w:p w:rsidR="00F767F6" w:rsidRPr="00F767F6" w:rsidRDefault="00F767F6" w:rsidP="00D869B3">
      <w:pPr>
        <w:spacing w:after="300"/>
        <w:jc w:val="both"/>
        <w:rPr>
          <w:shd w:val="clear" w:color="auto" w:fill="FFFFFF"/>
        </w:rPr>
      </w:pPr>
      <w:r w:rsidRPr="00F767F6">
        <w:rPr>
          <w:shd w:val="clear" w:color="auto" w:fill="FFFFFF"/>
        </w:rPr>
        <w:t>To assign users a role in a course category, see </w:t>
      </w:r>
      <w:r>
        <w:rPr>
          <w:shd w:val="clear" w:color="auto" w:fill="FFFFFF"/>
        </w:rPr>
        <w:t xml:space="preserve">Module: </w:t>
      </w:r>
      <w:hyperlink r:id="rId10" w:tooltip="Category enrolments" w:history="1">
        <w:r w:rsidRPr="00F767F6">
          <w:rPr>
            <w:shd w:val="clear" w:color="auto" w:fill="FFFFFF"/>
          </w:rPr>
          <w:t>Category enrolments</w:t>
        </w:r>
      </w:hyperlink>
      <w:r w:rsidRPr="00F767F6">
        <w:rPr>
          <w:shd w:val="clear" w:color="auto" w:fill="FFFFFF"/>
        </w:rPr>
        <w:t>.</w:t>
      </w:r>
    </w:p>
    <w:p w:rsidR="006B55F4" w:rsidRPr="00DE7F5E" w:rsidRDefault="00191CF0" w:rsidP="00D869B3">
      <w:pPr>
        <w:pStyle w:val="Heading1"/>
        <w:spacing w:after="300" w:afterAutospacing="0" w:line="276" w:lineRule="auto"/>
        <w:jc w:val="both"/>
      </w:pPr>
      <w:r w:rsidRPr="00DE7F5E">
        <w:rPr>
          <w:rStyle w:val="mw-headline"/>
        </w:rPr>
        <w:t xml:space="preserve">Module: </w:t>
      </w:r>
      <w:r w:rsidR="00F767F6">
        <w:rPr>
          <w:rStyle w:val="mw-headline"/>
        </w:rPr>
        <w:t>Category Enrolments</w:t>
      </w:r>
    </w:p>
    <w:p w:rsidR="004659E9" w:rsidRDefault="00191CF0" w:rsidP="00D869B3">
      <w:pPr>
        <w:pStyle w:val="Heading2"/>
        <w:spacing w:after="300"/>
        <w:jc w:val="both"/>
        <w:rPr>
          <w:color w:val="auto"/>
        </w:rPr>
      </w:pPr>
      <w:r w:rsidRPr="00DE7F5E">
        <w:rPr>
          <w:color w:val="auto"/>
        </w:rPr>
        <w:t xml:space="preserve">Feature: </w:t>
      </w:r>
      <w:r w:rsidR="00F767F6">
        <w:rPr>
          <w:color w:val="auto"/>
        </w:rPr>
        <w:t>Enrolling users to a category</w:t>
      </w:r>
      <w:r w:rsidR="004659E9">
        <w:rPr>
          <w:color w:val="auto"/>
        </w:rPr>
        <w:t xml:space="preserve"> </w:t>
      </w:r>
    </w:p>
    <w:p w:rsidR="00F767F6" w:rsidRPr="00F767F6" w:rsidRDefault="00F767F6" w:rsidP="00D869B3">
      <w:pPr>
        <w:pStyle w:val="ListParagraph"/>
        <w:numPr>
          <w:ilvl w:val="0"/>
          <w:numId w:val="9"/>
        </w:numPr>
        <w:spacing w:after="300"/>
        <w:jc w:val="both"/>
        <w:rPr>
          <w:shd w:val="clear" w:color="auto" w:fill="FFFFFF"/>
        </w:rPr>
      </w:pPr>
      <w:r w:rsidRPr="00F767F6">
        <w:rPr>
          <w:shd w:val="clear" w:color="auto" w:fill="FFFFFF"/>
        </w:rPr>
        <w:t>Go to the category into which you wish to enrol users. Note: You need to have category rights (manager or administrator)</w:t>
      </w:r>
    </w:p>
    <w:p w:rsidR="00F767F6" w:rsidRPr="00F767F6" w:rsidRDefault="00F767F6" w:rsidP="00C262AF">
      <w:pPr>
        <w:pStyle w:val="ListParagraph"/>
        <w:numPr>
          <w:ilvl w:val="0"/>
          <w:numId w:val="9"/>
        </w:numPr>
        <w:spacing w:after="300"/>
        <w:jc w:val="both"/>
        <w:rPr>
          <w:shd w:val="clear" w:color="auto" w:fill="FFFFFF"/>
        </w:rPr>
      </w:pPr>
      <w:r w:rsidRPr="00F767F6">
        <w:rPr>
          <w:shd w:val="clear" w:color="auto" w:fill="FFFFFF"/>
        </w:rPr>
        <w:t xml:space="preserve">In the Administration block, click Assign roles. </w:t>
      </w:r>
      <w:r w:rsidR="00C262AF" w:rsidRPr="00C262AF">
        <w:rPr>
          <w:i/>
          <w:iCs/>
          <w:sz w:val="18"/>
          <w:szCs w:val="18"/>
          <w:shd w:val="clear" w:color="auto" w:fill="FFFFFF"/>
        </w:rPr>
        <w:t>“</w:t>
      </w:r>
      <w:r w:rsidR="00C262AF" w:rsidRPr="00C262AF">
        <w:rPr>
          <w:i/>
          <w:iCs/>
          <w:sz w:val="18"/>
          <w:szCs w:val="18"/>
          <w:shd w:val="clear" w:color="auto" w:fill="FFFFFF"/>
        </w:rPr>
        <w:t>Feature</w:t>
      </w:r>
      <w:r w:rsidR="00C262AF" w:rsidRPr="00C262AF">
        <w:rPr>
          <w:i/>
          <w:iCs/>
          <w:sz w:val="18"/>
          <w:szCs w:val="18"/>
          <w:shd w:val="clear" w:color="auto" w:fill="FFFFFF"/>
        </w:rPr>
        <w:t xml:space="preserve">: </w:t>
      </w:r>
      <w:r w:rsidR="00C262AF">
        <w:rPr>
          <w:i/>
          <w:iCs/>
          <w:sz w:val="18"/>
          <w:szCs w:val="18"/>
          <w:shd w:val="clear" w:color="auto" w:fill="FFFFFF"/>
        </w:rPr>
        <w:t>Enrolling Users</w:t>
      </w:r>
      <w:r w:rsidR="00C262AF" w:rsidRPr="00C262AF">
        <w:rPr>
          <w:i/>
          <w:iCs/>
          <w:sz w:val="18"/>
          <w:szCs w:val="18"/>
          <w:shd w:val="clear" w:color="auto" w:fill="FFFFFF"/>
        </w:rPr>
        <w:t xml:space="preserve"> to a category”</w:t>
      </w:r>
      <w:r w:rsidR="00C262AF">
        <w:rPr>
          <w:i/>
          <w:iCs/>
          <w:sz w:val="18"/>
          <w:szCs w:val="18"/>
          <w:shd w:val="clear" w:color="auto" w:fill="FFFFFF"/>
        </w:rPr>
        <w:t xml:space="preserve">. </w:t>
      </w:r>
      <w:r w:rsidRPr="00F767F6">
        <w:rPr>
          <w:shd w:val="clear" w:color="auto" w:fill="FFFFFF"/>
        </w:rPr>
        <w:t>The list of possible roles you can assign will appear:</w:t>
      </w:r>
    </w:p>
    <w:p w:rsidR="00F767F6" w:rsidRDefault="00F418F9" w:rsidP="00D869B3">
      <w:pPr>
        <w:shd w:val="clear" w:color="auto" w:fill="FFFFFF"/>
        <w:spacing w:before="150" w:after="300"/>
        <w:jc w:val="center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noProof/>
          <w:color w:val="595959"/>
          <w:sz w:val="21"/>
          <w:szCs w:val="21"/>
          <w:lang w:eastAsia="en-GB"/>
        </w:rPr>
        <w:drawing>
          <wp:inline distT="0" distB="0" distL="0" distR="0" wp14:anchorId="2E0927CC" wp14:editId="30489899">
            <wp:extent cx="4733334" cy="20285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assig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D6" w:rsidRPr="00F767F6" w:rsidRDefault="000E47D6" w:rsidP="00D869B3">
      <w:pPr>
        <w:pStyle w:val="ListParagraph"/>
        <w:numPr>
          <w:ilvl w:val="0"/>
          <w:numId w:val="9"/>
        </w:numPr>
        <w:spacing w:after="300"/>
        <w:jc w:val="both"/>
        <w:rPr>
          <w:shd w:val="clear" w:color="auto" w:fill="FFFFFF"/>
        </w:rPr>
      </w:pPr>
      <w:r>
        <w:rPr>
          <w:shd w:val="clear" w:color="auto" w:fill="FFFFFF"/>
        </w:rPr>
        <w:t>You should click on the desired role in order to start assigning users for this role inside this category.</w:t>
      </w:r>
      <w:r w:rsidR="00B75260">
        <w:rPr>
          <w:shd w:val="clear" w:color="auto" w:fill="FFFFFF"/>
        </w:rPr>
        <w:t xml:space="preserve"> The number of user with role in the table above will be updated automatically after the assignments.</w:t>
      </w:r>
      <w:r w:rsidR="00C262AF">
        <w:rPr>
          <w:shd w:val="clear" w:color="auto" w:fill="FFFFFF"/>
        </w:rPr>
        <w:t xml:space="preserve"> </w:t>
      </w:r>
      <w:r w:rsidR="00C262AF" w:rsidRPr="00C262AF">
        <w:rPr>
          <w:i/>
          <w:iCs/>
          <w:sz w:val="18"/>
          <w:szCs w:val="18"/>
          <w:shd w:val="clear" w:color="auto" w:fill="FFFFFF"/>
        </w:rPr>
        <w:t>“feature: Assigning teachers or students to a category”</w:t>
      </w:r>
    </w:p>
    <w:p w:rsidR="00F767F6" w:rsidRDefault="00F767F6" w:rsidP="00D869B3">
      <w:pPr>
        <w:spacing w:before="240" w:after="300"/>
        <w:jc w:val="both"/>
      </w:pPr>
      <w:r w:rsidRPr="00F767F6">
        <w:t>NOTE: The roles you see here are roles which have been assigned at the ca</w:t>
      </w:r>
      <w:bookmarkStart w:id="0" w:name="_GoBack"/>
      <w:bookmarkEnd w:id="0"/>
      <w:r w:rsidRPr="00F767F6">
        <w:t>tegory context a</w:t>
      </w:r>
      <w:r w:rsidR="001F3FE2">
        <w:t>nd which you are able to assign</w:t>
      </w:r>
      <w:r w:rsidR="006F03E0">
        <w:t xml:space="preserve"> i.e. you have to go to Roles and Permissions &gt; Assigning Roles &gt; Context and Roles &gt; Course Category Context</w:t>
      </w:r>
      <w:r w:rsidR="001F3FE2">
        <w:t>.</w:t>
      </w:r>
    </w:p>
    <w:p w:rsidR="000F3E7B" w:rsidRDefault="000F3E7B" w:rsidP="00D869B3">
      <w:pPr>
        <w:pStyle w:val="Heading1"/>
        <w:spacing w:after="300" w:afterAutospacing="0" w:line="276" w:lineRule="auto"/>
        <w:rPr>
          <w:rStyle w:val="mw-headline"/>
        </w:rPr>
      </w:pPr>
      <w:r w:rsidRPr="00DE7F5E">
        <w:rPr>
          <w:rStyle w:val="mw-headline"/>
        </w:rPr>
        <w:lastRenderedPageBreak/>
        <w:t xml:space="preserve">Module: </w:t>
      </w:r>
      <w:r w:rsidR="00D05EB7">
        <w:rPr>
          <w:rStyle w:val="mw-headline"/>
        </w:rPr>
        <w:t>Roles and Permissions</w:t>
      </w:r>
    </w:p>
    <w:p w:rsidR="00D05EB7" w:rsidRDefault="006F03E0" w:rsidP="0023296C">
      <w:pPr>
        <w:pStyle w:val="Heading2"/>
        <w:spacing w:after="300"/>
        <w:jc w:val="both"/>
        <w:rPr>
          <w:color w:val="auto"/>
        </w:rPr>
      </w:pPr>
      <w:r>
        <w:rPr>
          <w:color w:val="auto"/>
        </w:rPr>
        <w:t>Feature: Assigning Roles</w:t>
      </w:r>
      <w:r w:rsidR="0023296C">
        <w:rPr>
          <w:color w:val="auto"/>
        </w:rPr>
        <w:t xml:space="preserve"> &gt;</w:t>
      </w:r>
      <w:r w:rsidR="00D05EB7">
        <w:rPr>
          <w:color w:val="auto"/>
        </w:rPr>
        <w:t xml:space="preserve"> </w:t>
      </w:r>
      <w:r w:rsidR="00D05EB7" w:rsidRPr="00D05EB7">
        <w:rPr>
          <w:color w:val="auto"/>
        </w:rPr>
        <w:t>Context and roles</w:t>
      </w:r>
    </w:p>
    <w:p w:rsidR="00D05EB7" w:rsidRPr="00D05EB7" w:rsidRDefault="00D05EB7" w:rsidP="00D869B3">
      <w:pPr>
        <w:pStyle w:val="ListParagraph"/>
        <w:numPr>
          <w:ilvl w:val="0"/>
          <w:numId w:val="16"/>
        </w:numPr>
        <w:spacing w:after="300"/>
        <w:jc w:val="both"/>
        <w:rPr>
          <w:shd w:val="clear" w:color="auto" w:fill="FFFFFF"/>
        </w:rPr>
      </w:pPr>
      <w:r w:rsidRPr="00D05EB7">
        <w:rPr>
          <w:shd w:val="clear" w:color="auto" w:fill="FFFFFF"/>
        </w:rPr>
        <w:t>In Moodle, apart from the site administrator, users do not normally have a global, site-wide role. In other words, even though you may be a teacher offline, when you are in Moodle you could have a teacher role in the course you teach in but a student role in another course where you are studying for a diploma. There are a few exceptions but this is generally the case.</w:t>
      </w:r>
    </w:p>
    <w:p w:rsidR="00D05EB7" w:rsidRDefault="00D05EB7" w:rsidP="00D869B3">
      <w:pPr>
        <w:pStyle w:val="ListParagraph"/>
        <w:numPr>
          <w:ilvl w:val="0"/>
          <w:numId w:val="16"/>
        </w:numPr>
        <w:spacing w:after="300"/>
        <w:jc w:val="both"/>
        <w:rPr>
          <w:shd w:val="clear" w:color="auto" w:fill="FFFFFF"/>
        </w:rPr>
      </w:pPr>
      <w:r w:rsidRPr="00D05EB7">
        <w:rPr>
          <w:shd w:val="clear" w:color="auto" w:fill="FFFFFF"/>
        </w:rPr>
        <w:t>Because of the way Moodle works, assigning roles is done for a particular context. A site and course are examples of two different contexts. When you create a new role or tweak a pre-existing role, you are asked in which context(s) you want the role to be assigned:</w:t>
      </w:r>
    </w:p>
    <w:p w:rsidR="00D05EB7" w:rsidRDefault="00D05EB7" w:rsidP="00D869B3">
      <w:pPr>
        <w:pStyle w:val="Heading1"/>
        <w:spacing w:after="300" w:afterAutospacing="0" w:line="276" w:lineRule="auto"/>
        <w:jc w:val="center"/>
      </w:pPr>
      <w:r>
        <w:rPr>
          <w:noProof/>
        </w:rPr>
        <w:drawing>
          <wp:inline distT="0" distB="0" distL="0" distR="0" wp14:anchorId="76812327" wp14:editId="532E8C5F">
            <wp:extent cx="1947961" cy="109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contexttyp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260" cy="109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B7" w:rsidRDefault="00D05EB7" w:rsidP="00D869B3">
      <w:pPr>
        <w:pStyle w:val="Heading2"/>
        <w:spacing w:after="300"/>
        <w:jc w:val="both"/>
        <w:rPr>
          <w:rFonts w:ascii="Helvetica" w:hAnsi="Helvetica" w:cs="Helvetica"/>
          <w:b w:val="0"/>
          <w:bCs w:val="0"/>
          <w:color w:val="6C336D"/>
          <w:sz w:val="32"/>
          <w:szCs w:val="32"/>
        </w:rPr>
      </w:pPr>
      <w:r w:rsidRPr="00D05EB7">
        <w:rPr>
          <w:color w:val="auto"/>
        </w:rPr>
        <w:t>Feature: Course Category context</w:t>
      </w:r>
    </w:p>
    <w:p w:rsidR="00D05EB7" w:rsidRPr="00D05EB7" w:rsidRDefault="00D05EB7" w:rsidP="00D869B3">
      <w:pPr>
        <w:pStyle w:val="ListParagraph"/>
        <w:numPr>
          <w:ilvl w:val="0"/>
          <w:numId w:val="16"/>
        </w:numPr>
        <w:spacing w:after="300"/>
        <w:jc w:val="both"/>
        <w:rPr>
          <w:shd w:val="clear" w:color="auto" w:fill="FFFFFF"/>
        </w:rPr>
      </w:pPr>
      <w:r w:rsidRPr="00D05EB7">
        <w:rPr>
          <w:shd w:val="clear" w:color="auto" w:fill="FFFFFF"/>
        </w:rPr>
        <w:t>Users may be enrolled in the category to save enrolling them in each individual course in that category.</w:t>
      </w:r>
    </w:p>
    <w:p w:rsidR="00D05EB7" w:rsidRPr="00D05EB7" w:rsidRDefault="00D05EB7" w:rsidP="00D869B3">
      <w:pPr>
        <w:pStyle w:val="ListParagraph"/>
        <w:numPr>
          <w:ilvl w:val="0"/>
          <w:numId w:val="16"/>
        </w:numPr>
        <w:spacing w:after="300"/>
        <w:jc w:val="both"/>
        <w:rPr>
          <w:shd w:val="clear" w:color="auto" w:fill="FFFFFF"/>
        </w:rPr>
      </w:pPr>
      <w:r w:rsidRPr="00D05EB7">
        <w:rPr>
          <w:shd w:val="clear" w:color="auto" w:fill="FFFFFF"/>
        </w:rPr>
        <w:t xml:space="preserve">Used in module: </w:t>
      </w:r>
      <w:hyperlink r:id="rId13" w:tooltip="Category enrolments" w:history="1">
        <w:r w:rsidRPr="00D05EB7">
          <w:rPr>
            <w:shd w:val="clear" w:color="auto" w:fill="FFFFFF"/>
          </w:rPr>
          <w:t>Category enrolments</w:t>
        </w:r>
      </w:hyperlink>
      <w:r w:rsidRPr="00D05EB7">
        <w:rPr>
          <w:shd w:val="clear" w:color="auto" w:fill="FFFFFF"/>
        </w:rPr>
        <w:t xml:space="preserve"> as explained above.</w:t>
      </w:r>
    </w:p>
    <w:p w:rsidR="00B35867" w:rsidRDefault="00B35867" w:rsidP="00D869B3">
      <w:pPr>
        <w:pStyle w:val="Heading1"/>
        <w:spacing w:after="300" w:afterAutospacing="0" w:line="276" w:lineRule="auto"/>
        <w:jc w:val="both"/>
      </w:pPr>
    </w:p>
    <w:p w:rsidR="00B35867" w:rsidRDefault="00B35867" w:rsidP="00D869B3">
      <w:pPr>
        <w:pStyle w:val="Heading1"/>
        <w:spacing w:after="300" w:afterAutospacing="0" w:line="276" w:lineRule="auto"/>
        <w:jc w:val="both"/>
      </w:pPr>
    </w:p>
    <w:p w:rsidR="00D869B3" w:rsidRDefault="00D869B3" w:rsidP="00D869B3">
      <w:pPr>
        <w:pStyle w:val="Heading1"/>
        <w:spacing w:after="300" w:afterAutospacing="0" w:line="276" w:lineRule="auto"/>
        <w:jc w:val="both"/>
      </w:pPr>
    </w:p>
    <w:p w:rsidR="00D869B3" w:rsidRDefault="00D869B3" w:rsidP="00D869B3">
      <w:pPr>
        <w:pStyle w:val="Heading1"/>
        <w:spacing w:after="300" w:afterAutospacing="0" w:line="276" w:lineRule="auto"/>
        <w:jc w:val="both"/>
      </w:pPr>
    </w:p>
    <w:p w:rsidR="00D869B3" w:rsidRDefault="00D869B3" w:rsidP="00D869B3">
      <w:pPr>
        <w:pStyle w:val="Heading1"/>
        <w:spacing w:after="300" w:afterAutospacing="0" w:line="276" w:lineRule="auto"/>
        <w:jc w:val="both"/>
      </w:pPr>
    </w:p>
    <w:p w:rsidR="00167087" w:rsidRDefault="00167087" w:rsidP="00D869B3">
      <w:pPr>
        <w:pStyle w:val="Heading1"/>
        <w:spacing w:after="300" w:afterAutospacing="0" w:line="276" w:lineRule="auto"/>
        <w:jc w:val="both"/>
      </w:pPr>
    </w:p>
    <w:p w:rsidR="00DE7F5E" w:rsidRPr="00DE7F5E" w:rsidRDefault="00DE7F5E" w:rsidP="00D869B3">
      <w:pPr>
        <w:pStyle w:val="Heading1"/>
        <w:spacing w:after="300" w:afterAutospacing="0" w:line="276" w:lineRule="auto"/>
        <w:jc w:val="both"/>
      </w:pPr>
      <w:r w:rsidRPr="00DE7F5E">
        <w:lastRenderedPageBreak/>
        <w:t xml:space="preserve">Problem </w:t>
      </w:r>
    </w:p>
    <w:p w:rsidR="00E700F5" w:rsidRDefault="000F5D8E" w:rsidP="00D869B3">
      <w:pPr>
        <w:spacing w:before="240" w:after="300"/>
        <w:jc w:val="both"/>
      </w:pPr>
      <w:r>
        <w:t>Suppose when you use</w:t>
      </w:r>
      <w:r w:rsidR="008409AD">
        <w:t xml:space="preserve"> the feature: enrolling users to a category, t</w:t>
      </w:r>
      <w:r w:rsidR="00AA0594">
        <w:t>he list of roles is empty</w:t>
      </w:r>
      <w:r w:rsidR="00E700F5">
        <w:t xml:space="preserve"> as shown below:</w:t>
      </w:r>
    </w:p>
    <w:p w:rsidR="00E700F5" w:rsidRDefault="00E700F5" w:rsidP="00D869B3">
      <w:pPr>
        <w:spacing w:before="240" w:after="300"/>
        <w:jc w:val="center"/>
      </w:pPr>
      <w:r>
        <w:rPr>
          <w:noProof/>
          <w:lang w:eastAsia="en-GB"/>
        </w:rPr>
        <w:drawing>
          <wp:inline distT="0" distB="0" distL="0" distR="0" wp14:anchorId="18F8F1CF" wp14:editId="216159AF">
            <wp:extent cx="4822823" cy="2066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assignEmp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044" cy="206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38" w:rsidRDefault="000F5D8E" w:rsidP="000F5D8E">
      <w:pPr>
        <w:spacing w:before="240" w:after="300"/>
        <w:jc w:val="both"/>
      </w:pPr>
      <w:r>
        <w:t>You</w:t>
      </w:r>
      <w:r w:rsidR="00B3791F">
        <w:t xml:space="preserve"> should use feature: </w:t>
      </w:r>
      <w:r w:rsidR="001F3FE2">
        <w:t>Context and R</w:t>
      </w:r>
      <w:r w:rsidR="0039554F">
        <w:t>oles &gt; Course Category Context</w:t>
      </w:r>
      <w:r w:rsidR="00B3791F">
        <w:t xml:space="preserve">. </w:t>
      </w:r>
      <w:r w:rsidR="00E700F5">
        <w:t xml:space="preserve">However, to do so </w:t>
      </w:r>
      <w:r>
        <w:t>you</w:t>
      </w:r>
      <w:r w:rsidR="00E700F5">
        <w:t xml:space="preserve"> will have to go to a different page in a different module. </w:t>
      </w:r>
    </w:p>
    <w:p w:rsidR="006B1796" w:rsidRPr="00DE7F5E" w:rsidRDefault="000F5D8E" w:rsidP="000F5D8E">
      <w:pPr>
        <w:spacing w:before="240" w:after="300"/>
        <w:jc w:val="both"/>
      </w:pPr>
      <w:r>
        <w:t>Write a feedback to request an</w:t>
      </w:r>
      <w:r w:rsidR="00E700F5">
        <w:t xml:space="preserve"> enhancement, which is adding a permissions link in the</w:t>
      </w:r>
      <w:r w:rsidR="00B3791F">
        <w:t xml:space="preserve"> Category</w:t>
      </w:r>
      <w:r w:rsidR="00E700F5">
        <w:t xml:space="preserve"> administration block</w:t>
      </w:r>
      <w:r w:rsidR="00B3791F">
        <w:t xml:space="preserve"> to improve</w:t>
      </w:r>
      <w:r w:rsidR="006A0664">
        <w:t xml:space="preserve"> the usability, and reduce the navigation steps needed to finish the task.</w:t>
      </w:r>
    </w:p>
    <w:sectPr w:rsidR="006B1796" w:rsidRPr="00DE7F5E" w:rsidSect="00A148A9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12DE5"/>
    <w:multiLevelType w:val="hybridMultilevel"/>
    <w:tmpl w:val="F0465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D520B"/>
    <w:multiLevelType w:val="hybridMultilevel"/>
    <w:tmpl w:val="723AB4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921CC"/>
    <w:multiLevelType w:val="hybridMultilevel"/>
    <w:tmpl w:val="8CC25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C70DE"/>
    <w:multiLevelType w:val="multilevel"/>
    <w:tmpl w:val="8FB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A35C3A"/>
    <w:multiLevelType w:val="multilevel"/>
    <w:tmpl w:val="DDBA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4C289A"/>
    <w:multiLevelType w:val="hybridMultilevel"/>
    <w:tmpl w:val="0BEE1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A0862"/>
    <w:multiLevelType w:val="hybridMultilevel"/>
    <w:tmpl w:val="723AB4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53FCE"/>
    <w:multiLevelType w:val="multilevel"/>
    <w:tmpl w:val="10E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A713B4"/>
    <w:multiLevelType w:val="multilevel"/>
    <w:tmpl w:val="1D94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AC7B7C"/>
    <w:multiLevelType w:val="multilevel"/>
    <w:tmpl w:val="548A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C00B32"/>
    <w:multiLevelType w:val="multilevel"/>
    <w:tmpl w:val="3A30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BF7624"/>
    <w:multiLevelType w:val="hybridMultilevel"/>
    <w:tmpl w:val="723AB4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E82EAE"/>
    <w:multiLevelType w:val="hybridMultilevel"/>
    <w:tmpl w:val="8CC25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16803"/>
    <w:multiLevelType w:val="multilevel"/>
    <w:tmpl w:val="EE9E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9C5DB8"/>
    <w:multiLevelType w:val="multilevel"/>
    <w:tmpl w:val="7054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980DC9"/>
    <w:multiLevelType w:val="multilevel"/>
    <w:tmpl w:val="FB26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FA0C68"/>
    <w:multiLevelType w:val="multilevel"/>
    <w:tmpl w:val="4AFC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3"/>
  </w:num>
  <w:num w:numId="5">
    <w:abstractNumId w:val="12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11"/>
  </w:num>
  <w:num w:numId="12">
    <w:abstractNumId w:val="16"/>
  </w:num>
  <w:num w:numId="13">
    <w:abstractNumId w:val="1"/>
  </w:num>
  <w:num w:numId="14">
    <w:abstractNumId w:val="14"/>
  </w:num>
  <w:num w:numId="15">
    <w:abstractNumId w:val="7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350"/>
    <w:rsid w:val="0006611A"/>
    <w:rsid w:val="000E47D6"/>
    <w:rsid w:val="000F3E7B"/>
    <w:rsid w:val="000F5D8E"/>
    <w:rsid w:val="00167087"/>
    <w:rsid w:val="00191CF0"/>
    <w:rsid w:val="001E457E"/>
    <w:rsid w:val="001F3FE2"/>
    <w:rsid w:val="0023296C"/>
    <w:rsid w:val="0039554F"/>
    <w:rsid w:val="004659E9"/>
    <w:rsid w:val="00480389"/>
    <w:rsid w:val="004A4CCA"/>
    <w:rsid w:val="004F0F2B"/>
    <w:rsid w:val="00561395"/>
    <w:rsid w:val="0058500C"/>
    <w:rsid w:val="006A0664"/>
    <w:rsid w:val="006B1796"/>
    <w:rsid w:val="006B55F4"/>
    <w:rsid w:val="006E051D"/>
    <w:rsid w:val="006F03E0"/>
    <w:rsid w:val="007D37C8"/>
    <w:rsid w:val="008409AD"/>
    <w:rsid w:val="00863738"/>
    <w:rsid w:val="008B175F"/>
    <w:rsid w:val="008E033C"/>
    <w:rsid w:val="008F6742"/>
    <w:rsid w:val="00957590"/>
    <w:rsid w:val="00A148A9"/>
    <w:rsid w:val="00A45B0B"/>
    <w:rsid w:val="00A8177E"/>
    <w:rsid w:val="00AA0594"/>
    <w:rsid w:val="00AC5C31"/>
    <w:rsid w:val="00AD0980"/>
    <w:rsid w:val="00B35867"/>
    <w:rsid w:val="00B3791F"/>
    <w:rsid w:val="00B507C6"/>
    <w:rsid w:val="00B75260"/>
    <w:rsid w:val="00BB5EC8"/>
    <w:rsid w:val="00BF71EE"/>
    <w:rsid w:val="00C16F70"/>
    <w:rsid w:val="00C262AF"/>
    <w:rsid w:val="00C33AB1"/>
    <w:rsid w:val="00C45208"/>
    <w:rsid w:val="00D05EB7"/>
    <w:rsid w:val="00D869B3"/>
    <w:rsid w:val="00DE7F5E"/>
    <w:rsid w:val="00E700F5"/>
    <w:rsid w:val="00F020EB"/>
    <w:rsid w:val="00F418F9"/>
    <w:rsid w:val="00F767F6"/>
    <w:rsid w:val="00FC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A148A9"/>
  </w:style>
  <w:style w:type="character" w:styleId="Hyperlink">
    <w:name w:val="Hyperlink"/>
    <w:basedOn w:val="DefaultParagraphFont"/>
    <w:uiPriority w:val="99"/>
    <w:semiHidden/>
    <w:unhideWhenUsed/>
    <w:rsid w:val="00A148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48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8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w-headline">
    <w:name w:val="mw-headline"/>
    <w:basedOn w:val="DefaultParagraphFont"/>
    <w:rsid w:val="00A148A9"/>
  </w:style>
  <w:style w:type="paragraph" w:styleId="NormalWeb">
    <w:name w:val="Normal (Web)"/>
    <w:basedOn w:val="Normal"/>
    <w:uiPriority w:val="99"/>
    <w:semiHidden/>
    <w:unhideWhenUsed/>
    <w:rsid w:val="00A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B5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F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51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A148A9"/>
  </w:style>
  <w:style w:type="character" w:styleId="Hyperlink">
    <w:name w:val="Hyperlink"/>
    <w:basedOn w:val="DefaultParagraphFont"/>
    <w:uiPriority w:val="99"/>
    <w:semiHidden/>
    <w:unhideWhenUsed/>
    <w:rsid w:val="00A148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48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8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w-headline">
    <w:name w:val="mw-headline"/>
    <w:basedOn w:val="DefaultParagraphFont"/>
    <w:rsid w:val="00A148A9"/>
  </w:style>
  <w:style w:type="paragraph" w:styleId="NormalWeb">
    <w:name w:val="Normal (Web)"/>
    <w:basedOn w:val="Normal"/>
    <w:uiPriority w:val="99"/>
    <w:semiHidden/>
    <w:unhideWhenUsed/>
    <w:rsid w:val="00A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B5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F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51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31/en/Course_creator" TargetMode="External"/><Relationship Id="rId13" Type="http://schemas.openxmlformats.org/officeDocument/2006/relationships/hyperlink" Target="https://docs.moodle.org/31/en/Category_enrolmen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moodle.org/31/en/Administrator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oodle.org/31/en/Teacher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oodle.org/31/en/Category_enrolm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odle.org/31/en/Manage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Sherief</dc:creator>
  <cp:keywords/>
  <dc:description/>
  <cp:lastModifiedBy>Nada Sherief</cp:lastModifiedBy>
  <cp:revision>30</cp:revision>
  <dcterms:created xsi:type="dcterms:W3CDTF">2016-12-05T13:47:00Z</dcterms:created>
  <dcterms:modified xsi:type="dcterms:W3CDTF">2016-12-11T20:31:00Z</dcterms:modified>
</cp:coreProperties>
</file>