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20" w:rsidRDefault="00884820" w:rsidP="00884820">
      <w:pPr>
        <w:pStyle w:val="Heading1"/>
        <w:spacing w:after="300" w:afterAutospacing="0" w:line="276" w:lineRule="auto"/>
        <w:jc w:val="both"/>
      </w:pPr>
      <w:r>
        <w:t>Solution</w:t>
      </w:r>
    </w:p>
    <w:p w:rsidR="00884820" w:rsidRDefault="00884820" w:rsidP="00185FBD">
      <w:pPr>
        <w:spacing w:before="240" w:after="300"/>
        <w:jc w:val="both"/>
      </w:pPr>
      <w:r>
        <w:t xml:space="preserve">In the screenshot </w:t>
      </w:r>
      <w:r w:rsidR="00185FBD">
        <w:t xml:space="preserve">below that the user sent, the list of roles is empty because the user did not </w:t>
      </w:r>
      <w:r w:rsidR="0019089F">
        <w:t xml:space="preserve">define the roles and allow them to be assignable in the course categories. </w:t>
      </w:r>
    </w:p>
    <w:p w:rsidR="00884820" w:rsidRDefault="00884820" w:rsidP="0019089F">
      <w:pPr>
        <w:spacing w:before="240" w:after="300"/>
        <w:jc w:val="center"/>
      </w:pPr>
      <w:r>
        <w:rPr>
          <w:noProof/>
          <w:lang w:eastAsia="en-GB"/>
        </w:rPr>
        <w:drawing>
          <wp:inline distT="0" distB="0" distL="0" distR="0" wp14:anchorId="6B0DC437" wp14:editId="0A2D6214">
            <wp:extent cx="4822823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assign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044" cy="20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9F" w:rsidRDefault="0019089F" w:rsidP="0019089F">
      <w:pPr>
        <w:spacing w:before="240" w:after="300"/>
        <w:jc w:val="both"/>
      </w:pPr>
      <w:r>
        <w:t>The user is requesting to be able to do so from the same screen and therefore, a link to the “Permissions” will be added in the administration block as follows:</w:t>
      </w:r>
    </w:p>
    <w:p w:rsidR="0019089F" w:rsidRPr="0019089F" w:rsidRDefault="0019089F" w:rsidP="0019089F">
      <w:pPr>
        <w:spacing w:before="240" w:after="300"/>
        <w:jc w:val="center"/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 wp14:anchorId="4F472AFF" wp14:editId="784965F4">
            <wp:extent cx="4733334" cy="2028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assign enhanc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20" w:rsidRDefault="0019089F" w:rsidP="00FA2296">
      <w:pPr>
        <w:spacing w:before="240" w:after="300"/>
        <w:jc w:val="both"/>
      </w:pPr>
      <w:r>
        <w:t xml:space="preserve">By clicking this permissions link will open to the </w:t>
      </w:r>
      <w:r w:rsidR="00FA2296">
        <w:t>feature “Assigning</w:t>
      </w:r>
      <w:r w:rsidR="00FA2296">
        <w:t xml:space="preserve"> Roles &gt; </w:t>
      </w:r>
      <w:r w:rsidR="00FA2296" w:rsidRPr="00D05EB7">
        <w:t>Context and roles</w:t>
      </w:r>
      <w:r w:rsidR="00FA2296">
        <w:t>” in the roles and permissions module, which as explained in the feature will open the context types where this role is allowed to be assigned:</w:t>
      </w:r>
    </w:p>
    <w:p w:rsidR="00FA2296" w:rsidRDefault="00FA2296" w:rsidP="00FA2296">
      <w:pPr>
        <w:spacing w:before="240" w:after="30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DDB5DA" wp14:editId="4A965279">
            <wp:extent cx="1947961" cy="109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context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260" cy="10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296" w:rsidSect="00A148A9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12DE5"/>
    <w:multiLevelType w:val="hybridMultilevel"/>
    <w:tmpl w:val="F046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20B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21CC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C70DE"/>
    <w:multiLevelType w:val="multilevel"/>
    <w:tmpl w:val="8FB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35C3A"/>
    <w:multiLevelType w:val="multilevel"/>
    <w:tmpl w:val="DDBA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C289A"/>
    <w:multiLevelType w:val="hybridMultilevel"/>
    <w:tmpl w:val="0BEE1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A0862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53FCE"/>
    <w:multiLevelType w:val="multilevel"/>
    <w:tmpl w:val="10E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A713B4"/>
    <w:multiLevelType w:val="multilevel"/>
    <w:tmpl w:val="1D94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C7B7C"/>
    <w:multiLevelType w:val="multilevel"/>
    <w:tmpl w:val="548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00B32"/>
    <w:multiLevelType w:val="multilevel"/>
    <w:tmpl w:val="3A30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F7624"/>
    <w:multiLevelType w:val="hybridMultilevel"/>
    <w:tmpl w:val="723AB4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82EAE"/>
    <w:multiLevelType w:val="hybridMultilevel"/>
    <w:tmpl w:val="8CC25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16803"/>
    <w:multiLevelType w:val="multilevel"/>
    <w:tmpl w:val="EE9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C5DB8"/>
    <w:multiLevelType w:val="multilevel"/>
    <w:tmpl w:val="705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980DC9"/>
    <w:multiLevelType w:val="multilevel"/>
    <w:tmpl w:val="FB26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A0C68"/>
    <w:multiLevelType w:val="multilevel"/>
    <w:tmpl w:val="4AF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16"/>
  </w:num>
  <w:num w:numId="13">
    <w:abstractNumId w:val="1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50"/>
    <w:rsid w:val="0006611A"/>
    <w:rsid w:val="000E47D6"/>
    <w:rsid w:val="000F3E7B"/>
    <w:rsid w:val="000F5D8E"/>
    <w:rsid w:val="00185FBD"/>
    <w:rsid w:val="0019089F"/>
    <w:rsid w:val="00191CF0"/>
    <w:rsid w:val="001E457E"/>
    <w:rsid w:val="001F3FE2"/>
    <w:rsid w:val="0023296C"/>
    <w:rsid w:val="0039554F"/>
    <w:rsid w:val="004659E9"/>
    <w:rsid w:val="00480389"/>
    <w:rsid w:val="004A4CCA"/>
    <w:rsid w:val="004F0F2B"/>
    <w:rsid w:val="00561395"/>
    <w:rsid w:val="0058500C"/>
    <w:rsid w:val="006A0664"/>
    <w:rsid w:val="006B1796"/>
    <w:rsid w:val="006B55F4"/>
    <w:rsid w:val="006E051D"/>
    <w:rsid w:val="006F03E0"/>
    <w:rsid w:val="007D37C8"/>
    <w:rsid w:val="008409AD"/>
    <w:rsid w:val="00863738"/>
    <w:rsid w:val="00884820"/>
    <w:rsid w:val="008B175F"/>
    <w:rsid w:val="008E033C"/>
    <w:rsid w:val="008F6742"/>
    <w:rsid w:val="00912AA0"/>
    <w:rsid w:val="00957590"/>
    <w:rsid w:val="00A148A9"/>
    <w:rsid w:val="00A45B0B"/>
    <w:rsid w:val="00A8177E"/>
    <w:rsid w:val="00AA0594"/>
    <w:rsid w:val="00AC5C31"/>
    <w:rsid w:val="00AD0980"/>
    <w:rsid w:val="00B35867"/>
    <w:rsid w:val="00B3791F"/>
    <w:rsid w:val="00B507C6"/>
    <w:rsid w:val="00B75260"/>
    <w:rsid w:val="00BB5EC8"/>
    <w:rsid w:val="00BF71EE"/>
    <w:rsid w:val="00C16F70"/>
    <w:rsid w:val="00C33AB1"/>
    <w:rsid w:val="00C45208"/>
    <w:rsid w:val="00D05EB7"/>
    <w:rsid w:val="00D869B3"/>
    <w:rsid w:val="00DE7F5E"/>
    <w:rsid w:val="00E700F5"/>
    <w:rsid w:val="00F020EB"/>
    <w:rsid w:val="00F418F9"/>
    <w:rsid w:val="00F767F6"/>
    <w:rsid w:val="00FA2296"/>
    <w:rsid w:val="00F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148A9"/>
  </w:style>
  <w:style w:type="character" w:styleId="Hyperlink">
    <w:name w:val="Hyperlink"/>
    <w:basedOn w:val="DefaultParagraphFont"/>
    <w:uiPriority w:val="99"/>
    <w:semiHidden/>
    <w:unhideWhenUsed/>
    <w:rsid w:val="00A148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4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w-headline">
    <w:name w:val="mw-headline"/>
    <w:basedOn w:val="DefaultParagraphFont"/>
    <w:rsid w:val="00A148A9"/>
  </w:style>
  <w:style w:type="paragraph" w:styleId="NormalWeb">
    <w:name w:val="Normal (Web)"/>
    <w:basedOn w:val="Normal"/>
    <w:uiPriority w:val="99"/>
    <w:semiHidden/>
    <w:unhideWhenUsed/>
    <w:rsid w:val="00A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B5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Sherief</dc:creator>
  <cp:keywords/>
  <dc:description/>
  <cp:lastModifiedBy>Nada Sherief</cp:lastModifiedBy>
  <cp:revision>31</cp:revision>
  <dcterms:created xsi:type="dcterms:W3CDTF">2016-12-05T13:47:00Z</dcterms:created>
  <dcterms:modified xsi:type="dcterms:W3CDTF">2016-12-07T21:21:00Z</dcterms:modified>
</cp:coreProperties>
</file>