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Izere: Hackathon Build Sheet</w:t>
      </w:r>
    </w:p>
    <w:p>
      <w:pPr>
        <w:pBdr>
          <w:bottom w:val="single" w:color="B45309" w:sz="8" w:space="8"/>
        </w:pBdr>
        <w:spacing w:after="240"/>
      </w:pPr>
      <w:r>
        <w:rPr>
          <w:color w:val="6B7280"/>
          <w:sz w:val="21"/>
          <w:szCs w:val="21"/>
        </w:rPr>
        <w:t xml:space="preserve">Cursor Kigali Hackathon 2026  ·  Financial Inclusion &amp; Smart Banking  ·  5 July 2026</w:t>
      </w:r>
    </w:p>
    <w:p>
      <w:pPr>
        <w:spacing w:after="160" w:line="360"/>
      </w:pPr>
      <w:r>
        <w:rPr>
          <w:i/>
          <w:iCs/>
          <w:color w:val="6B7280"/>
        </w:rPr>
        <w:t xml:space="preserve">Here it is, lean and final. Save this message; it’s your build sheet.</w:t>
      </w:r>
    </w:p>
    <w:p>
      <w:pPr>
        <w:pStyle w:val="Heading2"/>
      </w:pPr>
      <w:r>
        <w:t xml:space="preserve">The idea in two lines</w:t>
      </w:r>
    </w:p>
    <w:p>
      <w:pPr>
        <w:spacing w:after="160" w:line="360"/>
      </w:pPr>
      <w:r>
        <w:t xml:space="preserve">Izere turns a small business’s mobile money statement into an instant, explainable credit decision for lenders. Rwanda’s credit system can see fewer than 1 in 5 adults while mobile money sees almost 9 in 10, so Izere reads what the phone already knows and hands banks, MFIs, and SACCOs what they need to say yes: a score, a safe loan limit, repayment capacity, and the reasons in plain language.</w:t>
      </w:r>
    </w:p>
    <w:p>
      <w:pPr>
        <w:spacing w:after="160" w:line="360"/>
      </w:pPr>
      <w:r>
        <w:t xml:space="preserve">For the submission form, one-liner version: </w:t>
      </w:r>
      <w:r>
        <w:rPr>
          <w:i/>
          <w:iCs/>
        </w:rPr>
        <w:t xml:space="preserve">“Izere converts an MSME’s mobile money statement into an instant, explainable credit decision, making Rwanda’s invisible businesses bankable.”</w:t>
      </w:r>
      <w:r>
        <w:t xml:space="preserve"> Track: Financial Inclusion &amp; Smart Banking. Name: Izere.</w:t>
      </w:r>
    </w:p>
    <w:p>
      <w:pPr>
        <w:pStyle w:val="Heading2"/>
      </w:pPr>
      <w:r>
        <w:t xml:space="preserve">Build these, in this exact order</w:t>
      </w:r>
    </w:p>
    <w:p>
      <w:pPr>
        <w:spacing w:after="160" w:line="360"/>
      </w:pPr>
      <w:r>
        <w:t xml:space="preserve">P0, the demo is these four things, nothing else matters until they work:</w:t>
      </w:r>
    </w:p>
    <w:p>
      <w:pPr>
        <w:pStyle w:val="ListParagraph"/>
        <w:numPr>
          <w:ilvl w:val="0"/>
          <w:numId w:val="2"/>
        </w:numPr>
        <w:spacing w:after="120" w:line="360"/>
      </w:pPr>
      <w:r>
        <w:rPr>
          <w:b/>
          <w:bCs/>
        </w:rPr>
        <w:t xml:space="preserve">Statement in. </w:t>
      </w:r>
      <w:r>
        <w:t xml:space="preserve">Upload a CSV shaped like a MoMo statement (date, description, type, amount, balance), plus a “Load sample” button with three built-in datasets: healthy business, seasonal/risky business, tampered statement. The button is your insurance; never let a file picker kill you on stage.</w:t>
      </w:r>
    </w:p>
    <w:p>
      <w:pPr>
        <w:pStyle w:val="ListParagraph"/>
        <w:numPr>
          <w:ilvl w:val="0"/>
          <w:numId w:val="2"/>
        </w:numPr>
        <w:spacing w:after="120" w:line="360"/>
      </w:pPr>
      <w:r>
        <w:rPr>
          <w:b/>
          <w:bCs/>
        </w:rPr>
        <w:t xml:space="preserve">Scoring engine. </w:t>
      </w:r>
      <w:r>
        <w:t xml:space="preserve">Compute five features: average monthly inflow, inflow regularity, balance floor, volatility, expense-to-income ratio. Blend into a 0 to 100 score with transparent weights (roughly 25/20/20/20/15). Say on stage the weights are illustrative and the real model gets trained on outcomes in the sandbox.</w:t>
      </w:r>
    </w:p>
    <w:p>
      <w:pPr>
        <w:pStyle w:val="ListParagraph"/>
        <w:numPr>
          <w:ilvl w:val="0"/>
          <w:numId w:val="2"/>
        </w:numPr>
        <w:spacing w:after="120" w:line="360"/>
      </w:pPr>
      <w:r>
        <w:rPr>
          <w:b/>
          <w:bCs/>
        </w:rPr>
        <w:t xml:space="preserve">Decision card. </w:t>
      </w:r>
      <w:r>
        <w:t xml:space="preserve">Score gauge, verdict band (Approve / Review / Decline), recommended limit (about 2 to 3 times average monthly net inflow), monthly repayment capacity, and the top three plain-language reasons. This card is the product; make it look bank-grade.</w:t>
      </w:r>
    </w:p>
    <w:p>
      <w:pPr>
        <w:pStyle w:val="ListParagraph"/>
        <w:numPr>
          <w:ilvl w:val="0"/>
          <w:numId w:val="2"/>
        </w:numPr>
        <w:spacing w:after="120" w:line="360"/>
      </w:pPr>
      <w:r>
        <w:rPr>
          <w:b/>
          <w:bCs/>
        </w:rPr>
        <w:t xml:space="preserve">Integrity check. </w:t>
      </w:r>
      <w:r>
        <w:t xml:space="preserve">Recompute the running balance row by row; on the tampered sample, flag the exact broken row in red. Thirty seconds of demo magic that answers the fraud question before anyone asks it.</w:t>
      </w:r>
    </w:p>
    <w:p>
      <w:pPr>
        <w:spacing w:after="160" w:line="360"/>
      </w:pPr>
      <w:r>
        <w:t xml:space="preserve">P1, only after all four work: an affordability guardrail (cap repayment at ~30% of net monthly inflow, shown as a “responsible lending” badge) and, if you’re flying, a stress-test slider (“revenue drops 20%, can they still repay?”) that recomputes live.</w:t>
      </w:r>
    </w:p>
    <w:p>
      <w:pPr>
        <w:pStyle w:val="Heading2"/>
      </w:pPr>
      <w:r>
        <w:t xml:space="preserve">Do not build</w:t>
      </w:r>
    </w:p>
    <w:p>
      <w:pPr>
        <w:spacing w:after="160" w:line="360"/>
      </w:pPr>
      <w:r>
        <w:t xml:space="preserve">Login, database, PDF parsing, real ML, API endpoints, multiple pages. One page, one flow. In the pitch, the phrase is “API-ready architecture,” not actual APIs.</w:t>
      </w:r>
    </w:p>
    <w:p>
      <w:pPr>
        <w:pStyle w:val="Heading2"/>
      </w:pPr>
      <w:r>
        <w:t xml:space="preserve">Practicals</w:t>
      </w:r>
    </w:p>
    <w:p>
      <w:pPr>
        <w:spacing w:after="160" w:line="360"/>
      </w:pPr>
      <w:r>
        <w:t xml:space="preserve">One Next.js or Vite React app, everything client-side, Tailwind, localhost demo is fine (deploy to Netlify only if there’s spare time). First act at 9:06: have Cursor generate the three sample CSVs, about six months and 200 rows each, before anything else, since every feature depends on them. Commit early and often with clear plain messages, no AI co-author footers, since judges may read your history and Best Use of Cursor is partly won there.</w:t>
      </w:r>
    </w:p>
    <w:p>
      <w:pPr>
        <w:spacing w:after="160" w:line="360"/>
      </w:pPr>
      <w:r>
        <w:t xml:space="preserve">Demo order, so you build toward it: healthy statement scored, tampered one caught, then the 1-in-5 versus 9-in-10 line, then the $1.8 billion close.</w:t>
      </w:r>
    </w:p>
    <w:p>
      <w:pPr>
        <w:spacing w:after="160" w:line="360"/>
      </w:pPr>
      <w:r>
        <w:rPr>
          <w:b/>
          <w:bCs/>
        </w:rPr>
        <w:t xml:space="preserve">That’s everything. You’re the most prepared person in that building. Go take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color w:val="1F2937"/>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0"/>
      <w:outlineLvl w:val="0"/>
    </w:pPr>
    <w:rPr>
      <w:rFonts w:ascii="Montserrat" w:cs="Montserrat" w:eastAsia="Montserrat" w:hAnsi="Montserrat"/>
      <w:b/>
      <w:bCs/>
      <w:color w:val="111827"/>
      <w:sz w:val="36"/>
      <w:szCs w:val="36"/>
    </w:rPr>
  </w:style>
  <w:style w:type="paragraph" w:styleId="Heading2">
    <w:name w:val="Heading 2"/>
    <w:basedOn w:val="Normal"/>
    <w:next w:val="Normal"/>
    <w:qFormat/>
    <w:pPr>
      <w:keepNext/>
      <w:spacing w:after="100" w:before="260"/>
      <w:outlineLvl w:val="1"/>
    </w:pPr>
    <w:rPr>
      <w:rFonts w:ascii="Montserrat" w:cs="Montserrat" w:eastAsia="Montserrat" w:hAnsi="Montserrat"/>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2026-07-05T06:44:47.148Z</dcterms:created>
  <dcterms:modified xsi:type="dcterms:W3CDTF">2026-07-05T06:44:47.148Z</dcterms:modified>
</cp:coreProperties>
</file>

<file path=docProps/custom.xml><?xml version="1.0" encoding="utf-8"?>
<Properties xmlns="http://schemas.openxmlformats.org/officeDocument/2006/custom-properties" xmlns:vt="http://schemas.openxmlformats.org/officeDocument/2006/docPropsVTypes"/>
</file>