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10"/>
    <w:p>
      <w:pPr>
        <w:pStyle w:val="Heading2"/>
      </w:pPr>
      <w:r>
        <w:t xml:space="preserve">CHAPTER 10</w:t>
      </w:r>
    </w:p>
    <w:bookmarkEnd w:id="22"/>
    <w:bookmarkEnd w:id="23"/>
    <w:bookmarkStart w:id="24" w:name="X440580d6af27f9a5560b5cbae15ad705f3a2cf4"/>
    <w:p>
      <w:pPr>
        <w:pStyle w:val="Heading1"/>
      </w:pPr>
      <w:r>
        <w:t xml:space="preserve">SUSTAINABILITY, GREEN COMPUTING AND DIGITAL INCLUSION</w:t>
      </w:r>
    </w:p>
    <w:p>
      <w:r>
        <w:pict>
          <v:rect style="width:0;height:1.5pt" o:hralign="center" o:hrstd="t" o:hr="t"/>
        </w:pict>
      </w:r>
    </w:p>
    <w:bookmarkEnd w:id="24"/>
    <w:bookmarkStart w:id="25" w:name="purpose"/>
    <w:p>
      <w:pPr>
        <w:pStyle w:val="Heading1"/>
      </w:pPr>
      <w:r>
        <w:t xml:space="preserve">10.1 Purpose</w:t>
      </w:r>
    </w:p>
    <w:p>
      <w:pPr>
        <w:pStyle w:val="FirstParagraph"/>
      </w:pPr>
      <w:r>
        <w:t xml:space="preserve">This chapter establishes the enterprise framework governing environmental sustainability, green computing, digital inclusion, energy efficiency, responsible technology management, equitable digital access, accessibility, circular economy principles, and sustainable ICT practices within the EduOS Cameroon ecosystem.</w:t>
      </w:r>
    </w:p>
    <w:p>
      <w:pPr>
        <w:pStyle w:val="BodyText"/>
      </w:pPr>
      <w:r>
        <w:t xml:space="preserve">Its objective is to ensure that EduOS Cameroon delivers long-term educational value while minimizing environmental impact, expanding equitable access to digital education, and promoting responsible technology stewardship.</w:t>
      </w:r>
    </w:p>
    <w:p>
      <w:r>
        <w:pict>
          <v:rect style="width:0;height:1.5pt" o:hralign="center" o:hrstd="t" o:hr="t"/>
        </w:pict>
      </w:r>
    </w:p>
    <w:bookmarkEnd w:id="25"/>
    <w:bookmarkStart w:id="26" w:name="vision"/>
    <w:p>
      <w:pPr>
        <w:pStyle w:val="Heading1"/>
      </w:pPr>
      <w:r>
        <w:t xml:space="preserve">10.2 Vision</w:t>
      </w:r>
    </w:p>
    <w:p>
      <w:pPr>
        <w:pStyle w:val="FirstParagraph"/>
      </w:pPr>
      <w:r>
        <w:t xml:space="preserve">EduOS Cameroon shall support a sustainable and inclusive digital education ecosystem that:</w:t>
      </w:r>
    </w:p>
    <w:p>
      <w:pPr>
        <w:pStyle w:val="Compact"/>
        <w:numPr>
          <w:ilvl w:val="0"/>
          <w:numId w:val="1001"/>
        </w:numPr>
      </w:pPr>
      <w:r>
        <w:t xml:space="preserve">Expands educational opportunities.</w:t>
      </w:r>
    </w:p>
    <w:p>
      <w:pPr>
        <w:pStyle w:val="Compact"/>
        <w:numPr>
          <w:ilvl w:val="0"/>
          <w:numId w:val="1001"/>
        </w:numPr>
      </w:pPr>
      <w:r>
        <w:t xml:space="preserve">Reduces environmental impact.</w:t>
      </w:r>
    </w:p>
    <w:p>
      <w:pPr>
        <w:pStyle w:val="Compact"/>
        <w:numPr>
          <w:ilvl w:val="0"/>
          <w:numId w:val="1001"/>
        </w:numPr>
      </w:pPr>
      <w:r>
        <w:t xml:space="preserve">Promotes efficient use of ICT resources.</w:t>
      </w:r>
    </w:p>
    <w:p>
      <w:pPr>
        <w:pStyle w:val="Compact"/>
        <w:numPr>
          <w:ilvl w:val="0"/>
          <w:numId w:val="1001"/>
        </w:numPr>
      </w:pPr>
      <w:r>
        <w:t xml:space="preserve">Extends digital access to underserved communities.</w:t>
      </w:r>
    </w:p>
    <w:p>
      <w:pPr>
        <w:pStyle w:val="Compact"/>
        <w:numPr>
          <w:ilvl w:val="0"/>
          <w:numId w:val="1001"/>
        </w:numPr>
      </w:pPr>
      <w:r>
        <w:t xml:space="preserve">Encourages responsible technology lifecycle management.</w:t>
      </w:r>
    </w:p>
    <w:p>
      <w:pPr>
        <w:pStyle w:val="Compact"/>
        <w:numPr>
          <w:ilvl w:val="0"/>
          <w:numId w:val="1001"/>
        </w:numPr>
      </w:pPr>
      <w:r>
        <w:t xml:space="preserve">Supports national sustainable development priorities.</w:t>
      </w:r>
    </w:p>
    <w:p>
      <w:pPr>
        <w:pStyle w:val="FirstParagraph"/>
      </w:pPr>
      <w:r>
        <w:t xml:space="preserve">Sustainability shall become a core enterprise design principle rather than a post-deployment consideration.</w:t>
      </w:r>
    </w:p>
    <w:p>
      <w:r>
        <w:pict>
          <v:rect style="width:0;height:1.5pt" o:hralign="center" o:hrstd="t" o:hr="t"/>
        </w:pict>
      </w:r>
    </w:p>
    <w:bookmarkEnd w:id="26"/>
    <w:bookmarkStart w:id="32" w:name="sustainability-principles"/>
    <w:p>
      <w:pPr>
        <w:pStyle w:val="Heading1"/>
      </w:pPr>
      <w:r>
        <w:t xml:space="preserve">10.3 Sustainability Principles</w:t>
      </w:r>
    </w:p>
    <w:p>
      <w:pPr>
        <w:pStyle w:val="FirstParagraph"/>
      </w:pPr>
      <w:r>
        <w:t xml:space="preserve">Enterprise sustainability shall follow these principles.</w:t>
      </w:r>
    </w:p>
    <w:bookmarkStart w:id="27" w:name="green-001-energy-efficiency"/>
    <w:p>
      <w:pPr>
        <w:pStyle w:val="Heading3"/>
      </w:pPr>
      <w:r>
        <w:t xml:space="preserve">GREEN-001 Energy Efficiency</w:t>
      </w:r>
    </w:p>
    <w:p>
      <w:pPr>
        <w:pStyle w:val="FirstParagraph"/>
      </w:pPr>
      <w:r>
        <w:t xml:space="preserve">Infrastructure, applications, and digital services shall optimize energy consumption without compromising educational effectiveness.</w:t>
      </w:r>
    </w:p>
    <w:p>
      <w:r>
        <w:pict>
          <v:rect style="width:0;height:1.5pt" o:hralign="center" o:hrstd="t" o:hr="t"/>
        </w:pict>
      </w:r>
    </w:p>
    <w:bookmarkEnd w:id="27"/>
    <w:bookmarkStart w:id="28" w:name="X874c4f009546df42fe04a5a96458fdaafd94efb"/>
    <w:p>
      <w:pPr>
        <w:pStyle w:val="Heading3"/>
      </w:pPr>
      <w:r>
        <w:t xml:space="preserve">GREEN-002 Responsible Resource Utilization</w:t>
      </w:r>
    </w:p>
    <w:p>
      <w:pPr>
        <w:pStyle w:val="FirstParagraph"/>
      </w:pPr>
      <w:r>
        <w:t xml:space="preserve">Technology resources shall be selected, deployed, and operated to maximize efficiency and longevity.</w:t>
      </w:r>
    </w:p>
    <w:p>
      <w:r>
        <w:pict>
          <v:rect style="width:0;height:1.5pt" o:hralign="center" o:hrstd="t" o:hr="t"/>
        </w:pict>
      </w:r>
    </w:p>
    <w:bookmarkEnd w:id="28"/>
    <w:bookmarkStart w:id="29" w:name="green-003-digital-inclusion"/>
    <w:p>
      <w:pPr>
        <w:pStyle w:val="Heading3"/>
      </w:pPr>
      <w:r>
        <w:t xml:space="preserve">GREEN-003 Digital Inclusion</w:t>
      </w:r>
    </w:p>
    <w:p>
      <w:pPr>
        <w:pStyle w:val="FirstParagraph"/>
      </w:pPr>
      <w:r>
        <w:t xml:space="preserve">Educational technology shall remain accessible to learners regardless of geography, disability, language, gender, or socioeconomic circumstances.</w:t>
      </w:r>
    </w:p>
    <w:p>
      <w:r>
        <w:pict>
          <v:rect style="width:0;height:1.5pt" o:hralign="center" o:hrstd="t" o:hr="t"/>
        </w:pict>
      </w:r>
    </w:p>
    <w:bookmarkEnd w:id="29"/>
    <w:bookmarkStart w:id="30" w:name="green-004-circular-economy"/>
    <w:p>
      <w:pPr>
        <w:pStyle w:val="Heading3"/>
      </w:pPr>
      <w:r>
        <w:t xml:space="preserve">GREEN-004 Circular Economy</w:t>
      </w:r>
    </w:p>
    <w:p>
      <w:pPr>
        <w:pStyle w:val="FirstParagraph"/>
      </w:pPr>
      <w:r>
        <w:t xml:space="preserve">ICT assets shall be managed through responsible procurement, maintenance, reuse, refurbishment, and environmentally responsible disposal.</w:t>
      </w:r>
    </w:p>
    <w:p>
      <w:r>
        <w:pict>
          <v:rect style="width:0;height:1.5pt" o:hralign="center" o:hrstd="t" o:hr="t"/>
        </w:pict>
      </w:r>
    </w:p>
    <w:bookmarkEnd w:id="30"/>
    <w:bookmarkStart w:id="31" w:name="green-005-long-term-sustainability"/>
    <w:p>
      <w:pPr>
        <w:pStyle w:val="Heading3"/>
      </w:pPr>
      <w:r>
        <w:t xml:space="preserve">GREEN-005 Long-Term Sustainability</w:t>
      </w:r>
    </w:p>
    <w:p>
      <w:pPr>
        <w:pStyle w:val="FirstParagraph"/>
      </w:pPr>
      <w:r>
        <w:t xml:space="preserve">Technology investments shall prioritize maintainability, interoperability, scalability, and operational resilience.</w:t>
      </w:r>
    </w:p>
    <w:p>
      <w:r>
        <w:pict>
          <v:rect style="width:0;height:1.5pt" o:hralign="center" o:hrstd="t" o:hr="t"/>
        </w:pict>
      </w:r>
    </w:p>
    <w:bookmarkEnd w:id="31"/>
    <w:bookmarkEnd w:id="32"/>
    <w:bookmarkStart w:id="33" w:name="green-computing-strategy"/>
    <w:p>
      <w:pPr>
        <w:pStyle w:val="Heading1"/>
      </w:pPr>
      <w:r>
        <w:t xml:space="preserve">10.4 Green Computing Strategy</w:t>
      </w:r>
    </w:p>
    <w:p>
      <w:pPr>
        <w:pStyle w:val="FirstParagraph"/>
      </w:pPr>
      <w:r>
        <w:t xml:space="preserve">The strategy shall promote:</w:t>
      </w:r>
    </w:p>
    <w:p>
      <w:pPr>
        <w:pStyle w:val="Compact"/>
        <w:numPr>
          <w:ilvl w:val="0"/>
          <w:numId w:val="1002"/>
        </w:numPr>
      </w:pPr>
      <w:r>
        <w:t xml:space="preserve">Energy-efficient infrastructure.</w:t>
      </w:r>
    </w:p>
    <w:p>
      <w:pPr>
        <w:pStyle w:val="Compact"/>
        <w:numPr>
          <w:ilvl w:val="0"/>
          <w:numId w:val="1002"/>
        </w:numPr>
      </w:pPr>
      <w:r>
        <w:t xml:space="preserve">Server virtualization.</w:t>
      </w:r>
    </w:p>
    <w:p>
      <w:pPr>
        <w:pStyle w:val="Compact"/>
        <w:numPr>
          <w:ilvl w:val="0"/>
          <w:numId w:val="1002"/>
        </w:numPr>
      </w:pPr>
      <w:r>
        <w:t xml:space="preserve">Cloud resource optimization.</w:t>
      </w:r>
    </w:p>
    <w:p>
      <w:pPr>
        <w:pStyle w:val="Compact"/>
        <w:numPr>
          <w:ilvl w:val="0"/>
          <w:numId w:val="1002"/>
        </w:numPr>
      </w:pPr>
      <w:r>
        <w:t xml:space="preserve">Efficient software architecture.</w:t>
      </w:r>
    </w:p>
    <w:p>
      <w:pPr>
        <w:pStyle w:val="Compact"/>
        <w:numPr>
          <w:ilvl w:val="0"/>
          <w:numId w:val="1002"/>
        </w:numPr>
      </w:pPr>
      <w:r>
        <w:t xml:space="preserve">Intelligent workload scheduling.</w:t>
      </w:r>
    </w:p>
    <w:p>
      <w:pPr>
        <w:pStyle w:val="Compact"/>
        <w:numPr>
          <w:ilvl w:val="0"/>
          <w:numId w:val="1002"/>
        </w:numPr>
      </w:pPr>
      <w:r>
        <w:t xml:space="preserve">Reduced paper consumption.</w:t>
      </w:r>
    </w:p>
    <w:p>
      <w:pPr>
        <w:pStyle w:val="Compact"/>
        <w:numPr>
          <w:ilvl w:val="0"/>
          <w:numId w:val="1002"/>
        </w:numPr>
      </w:pPr>
      <w:r>
        <w:t xml:space="preserve">Responsible printing.</w:t>
      </w:r>
    </w:p>
    <w:p>
      <w:pPr>
        <w:pStyle w:val="Compact"/>
        <w:numPr>
          <w:ilvl w:val="0"/>
          <w:numId w:val="1002"/>
        </w:numPr>
      </w:pPr>
      <w:r>
        <w:t xml:space="preserve">Sustainable procurement.</w:t>
      </w:r>
    </w:p>
    <w:p>
      <w:pPr>
        <w:pStyle w:val="FirstParagraph"/>
      </w:pPr>
      <w:r>
        <w:t xml:space="preserve">Performance optimization shall consider environmental impact.</w:t>
      </w:r>
    </w:p>
    <w:p>
      <w:r>
        <w:pict>
          <v:rect style="width:0;height:1.5pt" o:hralign="center" o:hrstd="t" o:hr="t"/>
        </w:pict>
      </w:r>
    </w:p>
    <w:bookmarkEnd w:id="33"/>
    <w:bookmarkStart w:id="34" w:name="digital-inclusion-framework"/>
    <w:p>
      <w:pPr>
        <w:pStyle w:val="Heading1"/>
      </w:pPr>
      <w:r>
        <w:t xml:space="preserve">10.5 Digital Inclusion Framework</w:t>
      </w:r>
    </w:p>
    <w:p>
      <w:pPr>
        <w:pStyle w:val="FirstParagraph"/>
      </w:pPr>
      <w:r>
        <w:t xml:space="preserve">EduOS shall support:</w:t>
      </w:r>
    </w:p>
    <w:p>
      <w:pPr>
        <w:pStyle w:val="Compact"/>
        <w:numPr>
          <w:ilvl w:val="0"/>
          <w:numId w:val="1003"/>
        </w:numPr>
      </w:pPr>
      <w:r>
        <w:t xml:space="preserve">Rural connectivity initiatives.</w:t>
      </w:r>
    </w:p>
    <w:p>
      <w:pPr>
        <w:pStyle w:val="Compact"/>
        <w:numPr>
          <w:ilvl w:val="0"/>
          <w:numId w:val="1003"/>
        </w:numPr>
      </w:pPr>
      <w:r>
        <w:t xml:space="preserve">Offline-first learning capabilities.</w:t>
      </w:r>
    </w:p>
    <w:p>
      <w:pPr>
        <w:pStyle w:val="Compact"/>
        <w:numPr>
          <w:ilvl w:val="0"/>
          <w:numId w:val="1003"/>
        </w:numPr>
      </w:pPr>
      <w:r>
        <w:t xml:space="preserve">Low-bandwidth application modes.</w:t>
      </w:r>
    </w:p>
    <w:p>
      <w:pPr>
        <w:pStyle w:val="Compact"/>
        <w:numPr>
          <w:ilvl w:val="0"/>
          <w:numId w:val="1003"/>
        </w:numPr>
      </w:pPr>
      <w:r>
        <w:t xml:space="preserve">Mobile-first services.</w:t>
      </w:r>
    </w:p>
    <w:p>
      <w:pPr>
        <w:pStyle w:val="Compact"/>
        <w:numPr>
          <w:ilvl w:val="0"/>
          <w:numId w:val="1003"/>
        </w:numPr>
      </w:pPr>
      <w:r>
        <w:t xml:space="preserve">Multilingual interfaces.</w:t>
      </w:r>
    </w:p>
    <w:p>
      <w:pPr>
        <w:pStyle w:val="Compact"/>
        <w:numPr>
          <w:ilvl w:val="0"/>
          <w:numId w:val="1003"/>
        </w:numPr>
      </w:pPr>
      <w:r>
        <w:t xml:space="preserve">Accessibility technologies.</w:t>
      </w:r>
    </w:p>
    <w:p>
      <w:pPr>
        <w:pStyle w:val="Compact"/>
        <w:numPr>
          <w:ilvl w:val="0"/>
          <w:numId w:val="1003"/>
        </w:numPr>
      </w:pPr>
      <w:r>
        <w:t xml:space="preserve">Affordable device strategies.</w:t>
      </w:r>
    </w:p>
    <w:p>
      <w:pPr>
        <w:pStyle w:val="Compact"/>
        <w:numPr>
          <w:ilvl w:val="0"/>
          <w:numId w:val="1003"/>
        </w:numPr>
      </w:pPr>
      <w:r>
        <w:t xml:space="preserve">Community digital learning centres.</w:t>
      </w:r>
    </w:p>
    <w:p>
      <w:pPr>
        <w:pStyle w:val="FirstParagraph"/>
      </w:pPr>
      <w:r>
        <w:t xml:space="preserve">Digital inclusion initiatives shall align with national education policies.</w:t>
      </w:r>
    </w:p>
    <w:p>
      <w:r>
        <w:pict>
          <v:rect style="width:0;height:1.5pt" o:hralign="center" o:hrstd="t" o:hr="t"/>
        </w:pict>
      </w:r>
    </w:p>
    <w:bookmarkEnd w:id="34"/>
    <w:bookmarkStart w:id="35" w:name="ict-asset-sustainability"/>
    <w:p>
      <w:pPr>
        <w:pStyle w:val="Heading1"/>
      </w:pPr>
      <w:r>
        <w:t xml:space="preserve">10.6 ICT Asset Sustainability</w:t>
      </w:r>
    </w:p>
    <w:p>
      <w:pPr>
        <w:pStyle w:val="FirstParagraph"/>
      </w:pPr>
      <w:r>
        <w:t xml:space="preserve">Enterprise ICT asset management shall include:</w:t>
      </w:r>
    </w:p>
    <w:p>
      <w:pPr>
        <w:pStyle w:val="Compact"/>
        <w:numPr>
          <w:ilvl w:val="0"/>
          <w:numId w:val="1004"/>
        </w:numPr>
      </w:pPr>
      <w:r>
        <w:t xml:space="preserve">Sustainable procurement.</w:t>
      </w:r>
    </w:p>
    <w:p>
      <w:pPr>
        <w:pStyle w:val="Compact"/>
        <w:numPr>
          <w:ilvl w:val="0"/>
          <w:numId w:val="1004"/>
        </w:numPr>
      </w:pPr>
      <w:r>
        <w:t xml:space="preserve">Equipment lifecycle tracking.</w:t>
      </w:r>
    </w:p>
    <w:p>
      <w:pPr>
        <w:pStyle w:val="Compact"/>
        <w:numPr>
          <w:ilvl w:val="0"/>
          <w:numId w:val="1004"/>
        </w:numPr>
      </w:pPr>
      <w:r>
        <w:t xml:space="preserve">Preventive maintenance.</w:t>
      </w:r>
    </w:p>
    <w:p>
      <w:pPr>
        <w:pStyle w:val="Compact"/>
        <w:numPr>
          <w:ilvl w:val="0"/>
          <w:numId w:val="1004"/>
        </w:numPr>
      </w:pPr>
      <w:r>
        <w:t xml:space="preserve">Device refurbishment.</w:t>
      </w:r>
    </w:p>
    <w:p>
      <w:pPr>
        <w:pStyle w:val="Compact"/>
        <w:numPr>
          <w:ilvl w:val="0"/>
          <w:numId w:val="1004"/>
        </w:numPr>
      </w:pPr>
      <w:r>
        <w:t xml:space="preserve">Secure reuse.</w:t>
      </w:r>
    </w:p>
    <w:p>
      <w:pPr>
        <w:pStyle w:val="Compact"/>
        <w:numPr>
          <w:ilvl w:val="0"/>
          <w:numId w:val="1004"/>
        </w:numPr>
      </w:pPr>
      <w:r>
        <w:t xml:space="preserve">Environmentally responsible recycling.</w:t>
      </w:r>
    </w:p>
    <w:p>
      <w:pPr>
        <w:pStyle w:val="Compact"/>
        <w:numPr>
          <w:ilvl w:val="0"/>
          <w:numId w:val="1004"/>
        </w:numPr>
      </w:pPr>
      <w:r>
        <w:t xml:space="preserve">Asset retirement planning.</w:t>
      </w:r>
    </w:p>
    <w:p>
      <w:pPr>
        <w:pStyle w:val="Compact"/>
        <w:numPr>
          <w:ilvl w:val="0"/>
          <w:numId w:val="1004"/>
        </w:numPr>
      </w:pPr>
      <w:r>
        <w:t xml:space="preserve">Certified disposal procedures.</w:t>
      </w:r>
    </w:p>
    <w:p>
      <w:pPr>
        <w:pStyle w:val="FirstParagraph"/>
      </w:pPr>
      <w:r>
        <w:t xml:space="preserve">Asset management shall integrate with enterprise lifecycle governance.</w:t>
      </w:r>
    </w:p>
    <w:p>
      <w:r>
        <w:pict>
          <v:rect style="width:0;height:1.5pt" o:hralign="center" o:hrstd="t" o:hr="t"/>
        </w:pict>
      </w:r>
    </w:p>
    <w:bookmarkEnd w:id="35"/>
    <w:bookmarkStart w:id="36" w:name="environmental-monitoring"/>
    <w:p>
      <w:pPr>
        <w:pStyle w:val="Heading1"/>
      </w:pPr>
      <w:r>
        <w:t xml:space="preserve">10.7 Environmental Monitoring</w:t>
      </w:r>
    </w:p>
    <w:p>
      <w:pPr>
        <w:pStyle w:val="FirstParagraph"/>
      </w:pPr>
      <w:r>
        <w:t xml:space="preserve">The platform may monitor:</w:t>
      </w:r>
    </w:p>
    <w:p>
      <w:pPr>
        <w:pStyle w:val="Compact"/>
        <w:numPr>
          <w:ilvl w:val="0"/>
          <w:numId w:val="1005"/>
        </w:numPr>
      </w:pPr>
      <w:r>
        <w:t xml:space="preserve">Energy consumption.</w:t>
      </w:r>
    </w:p>
    <w:p>
      <w:pPr>
        <w:pStyle w:val="Compact"/>
        <w:numPr>
          <w:ilvl w:val="0"/>
          <w:numId w:val="1005"/>
        </w:numPr>
      </w:pPr>
      <w:r>
        <w:t xml:space="preserve">Device utilization.</w:t>
      </w:r>
    </w:p>
    <w:p>
      <w:pPr>
        <w:pStyle w:val="Compact"/>
        <w:numPr>
          <w:ilvl w:val="0"/>
          <w:numId w:val="1005"/>
        </w:numPr>
      </w:pPr>
      <w:r>
        <w:t xml:space="preserve">Infrastructure efficiency.</w:t>
      </w:r>
    </w:p>
    <w:p>
      <w:pPr>
        <w:pStyle w:val="Compact"/>
        <w:numPr>
          <w:ilvl w:val="0"/>
          <w:numId w:val="1005"/>
        </w:numPr>
      </w:pPr>
      <w:r>
        <w:t xml:space="preserve">Resource optimization.</w:t>
      </w:r>
    </w:p>
    <w:p>
      <w:pPr>
        <w:pStyle w:val="Compact"/>
        <w:numPr>
          <w:ilvl w:val="0"/>
          <w:numId w:val="1005"/>
        </w:numPr>
      </w:pPr>
      <w:r>
        <w:t xml:space="preserve">Carbon impact indicators.</w:t>
      </w:r>
    </w:p>
    <w:p>
      <w:pPr>
        <w:pStyle w:val="Compact"/>
        <w:numPr>
          <w:ilvl w:val="0"/>
          <w:numId w:val="1005"/>
        </w:numPr>
      </w:pPr>
      <w:r>
        <w:t xml:space="preserve">Equipment lifecycle metrics.</w:t>
      </w:r>
    </w:p>
    <w:p>
      <w:pPr>
        <w:pStyle w:val="Compact"/>
        <w:numPr>
          <w:ilvl w:val="0"/>
          <w:numId w:val="1005"/>
        </w:numPr>
      </w:pPr>
      <w:r>
        <w:t xml:space="preserve">Paper reduction initiatives.</w:t>
      </w:r>
    </w:p>
    <w:p>
      <w:pPr>
        <w:pStyle w:val="Compact"/>
        <w:numPr>
          <w:ilvl w:val="0"/>
          <w:numId w:val="1005"/>
        </w:numPr>
      </w:pPr>
      <w:r>
        <w:t xml:space="preserve">Digital service adoption.</w:t>
      </w:r>
    </w:p>
    <w:p>
      <w:pPr>
        <w:pStyle w:val="FirstParagraph"/>
      </w:pPr>
      <w:r>
        <w:t xml:space="preserve">Monitoring shall support continuous sustainability improvements.</w:t>
      </w:r>
    </w:p>
    <w:p>
      <w:r>
        <w:pict>
          <v:rect style="width:0;height:1.5pt" o:hralign="center" o:hrstd="t" o:hr="t"/>
        </w:pict>
      </w:r>
    </w:p>
    <w:bookmarkEnd w:id="36"/>
    <w:bookmarkStart w:id="37" w:name="community-impact"/>
    <w:p>
      <w:pPr>
        <w:pStyle w:val="Heading1"/>
      </w:pPr>
      <w:r>
        <w:t xml:space="preserve">10.8 Community Impact</w:t>
      </w:r>
    </w:p>
    <w:p>
      <w:pPr>
        <w:pStyle w:val="FirstParagraph"/>
      </w:pPr>
      <w:r>
        <w:t xml:space="preserve">The sustainability programme shall encourage:</w:t>
      </w:r>
    </w:p>
    <w:p>
      <w:pPr>
        <w:pStyle w:val="Compact"/>
        <w:numPr>
          <w:ilvl w:val="0"/>
          <w:numId w:val="1006"/>
        </w:numPr>
      </w:pPr>
      <w:r>
        <w:t xml:space="preserve">Community digital literacy.</w:t>
      </w:r>
    </w:p>
    <w:p>
      <w:pPr>
        <w:pStyle w:val="Compact"/>
        <w:numPr>
          <w:ilvl w:val="0"/>
          <w:numId w:val="1006"/>
        </w:numPr>
      </w:pPr>
      <w:r>
        <w:t xml:space="preserve">Inclusive educational access.</w:t>
      </w:r>
    </w:p>
    <w:p>
      <w:pPr>
        <w:pStyle w:val="Compact"/>
        <w:numPr>
          <w:ilvl w:val="0"/>
          <w:numId w:val="1006"/>
        </w:numPr>
      </w:pPr>
      <w:r>
        <w:t xml:space="preserve">Teacher digital skills development.</w:t>
      </w:r>
    </w:p>
    <w:p>
      <w:pPr>
        <w:pStyle w:val="Compact"/>
        <w:numPr>
          <w:ilvl w:val="0"/>
          <w:numId w:val="1006"/>
        </w:numPr>
      </w:pPr>
      <w:r>
        <w:t xml:space="preserve">Responsible technology use.</w:t>
      </w:r>
    </w:p>
    <w:p>
      <w:pPr>
        <w:pStyle w:val="Compact"/>
        <w:numPr>
          <w:ilvl w:val="0"/>
          <w:numId w:val="1006"/>
        </w:numPr>
      </w:pPr>
      <w:r>
        <w:t xml:space="preserve">Local innovation.</w:t>
      </w:r>
    </w:p>
    <w:p>
      <w:pPr>
        <w:pStyle w:val="Compact"/>
        <w:numPr>
          <w:ilvl w:val="0"/>
          <w:numId w:val="1006"/>
        </w:numPr>
      </w:pPr>
      <w:r>
        <w:t xml:space="preserve">Public awareness.</w:t>
      </w:r>
    </w:p>
    <w:p>
      <w:pPr>
        <w:pStyle w:val="Compact"/>
        <w:numPr>
          <w:ilvl w:val="0"/>
          <w:numId w:val="1006"/>
        </w:numPr>
      </w:pPr>
      <w:r>
        <w:t xml:space="preserve">Environmental stewardship.</w:t>
      </w:r>
    </w:p>
    <w:p>
      <w:pPr>
        <w:pStyle w:val="FirstParagraph"/>
      </w:pPr>
      <w:r>
        <w:t xml:space="preserve">Community engagement shall support national development goals.</w:t>
      </w:r>
    </w:p>
    <w:p>
      <w:r>
        <w:pict>
          <v:rect style="width:0;height:1.5pt" o:hralign="center" o:hrstd="t" o:hr="t"/>
        </w:pict>
      </w:r>
    </w:p>
    <w:bookmarkEnd w:id="37"/>
    <w:bookmarkStart w:id="38" w:name="governance-framework"/>
    <w:p>
      <w:pPr>
        <w:pStyle w:val="Heading1"/>
      </w:pPr>
      <w:r>
        <w:t xml:space="preserve">10.9 Governance Framework</w:t>
      </w:r>
    </w:p>
    <w:p>
      <w:pPr>
        <w:pStyle w:val="FirstParagraph"/>
      </w:pPr>
      <w:r>
        <w:t xml:space="preserve">Enterprise governance shall maintain:</w:t>
      </w:r>
    </w:p>
    <w:p>
      <w:pPr>
        <w:pStyle w:val="Compact"/>
        <w:numPr>
          <w:ilvl w:val="0"/>
          <w:numId w:val="1007"/>
        </w:numPr>
      </w:pPr>
      <w:r>
        <w:t xml:space="preserve">Sustainability policies.</w:t>
      </w:r>
    </w:p>
    <w:p>
      <w:pPr>
        <w:pStyle w:val="Compact"/>
        <w:numPr>
          <w:ilvl w:val="0"/>
          <w:numId w:val="1007"/>
        </w:numPr>
      </w:pPr>
      <w:r>
        <w:t xml:space="preserve">Green ICT standards.</w:t>
      </w:r>
    </w:p>
    <w:p>
      <w:pPr>
        <w:pStyle w:val="Compact"/>
        <w:numPr>
          <w:ilvl w:val="0"/>
          <w:numId w:val="1007"/>
        </w:numPr>
      </w:pPr>
      <w:r>
        <w:t xml:space="preserve">Inclusion indicators.</w:t>
      </w:r>
    </w:p>
    <w:p>
      <w:pPr>
        <w:pStyle w:val="Compact"/>
        <w:numPr>
          <w:ilvl w:val="0"/>
          <w:numId w:val="1007"/>
        </w:numPr>
      </w:pPr>
      <w:r>
        <w:t xml:space="preserve">Asset lifecycle reports.</w:t>
      </w:r>
    </w:p>
    <w:p>
      <w:pPr>
        <w:pStyle w:val="Compact"/>
        <w:numPr>
          <w:ilvl w:val="0"/>
          <w:numId w:val="1007"/>
        </w:numPr>
      </w:pPr>
      <w:r>
        <w:t xml:space="preserve">Environmental performance metrics.</w:t>
      </w:r>
    </w:p>
    <w:p>
      <w:pPr>
        <w:pStyle w:val="Compact"/>
        <w:numPr>
          <w:ilvl w:val="0"/>
          <w:numId w:val="1007"/>
        </w:numPr>
      </w:pPr>
      <w:r>
        <w:t xml:space="preserve">Accessibility evaluations.</w:t>
      </w:r>
    </w:p>
    <w:p>
      <w:pPr>
        <w:pStyle w:val="Compact"/>
        <w:numPr>
          <w:ilvl w:val="0"/>
          <w:numId w:val="1007"/>
        </w:numPr>
      </w:pPr>
      <w:r>
        <w:t xml:space="preserve">Compliance assessments.</w:t>
      </w:r>
    </w:p>
    <w:p>
      <w:pPr>
        <w:pStyle w:val="Compact"/>
        <w:numPr>
          <w:ilvl w:val="0"/>
          <w:numId w:val="1007"/>
        </w:numPr>
      </w:pPr>
      <w:r>
        <w:t xml:space="preserve">Continuous improvement initiatives.</w:t>
      </w:r>
    </w:p>
    <w:p>
      <w:pPr>
        <w:pStyle w:val="FirstParagraph"/>
      </w:pPr>
      <w:r>
        <w:t xml:space="preserve">Governance shall ensure accountability and measurable progress.</w:t>
      </w:r>
    </w:p>
    <w:p>
      <w:r>
        <w:pict>
          <v:rect style="width:0;height:1.5pt" o:hralign="center" o:hrstd="t" o:hr="t"/>
        </w:pict>
      </w:r>
    </w:p>
    <w:bookmarkEnd w:id="38"/>
    <w:bookmarkStart w:id="44" w:name="business-rules"/>
    <w:p>
      <w:pPr>
        <w:pStyle w:val="Heading1"/>
      </w:pPr>
      <w:r>
        <w:t xml:space="preserve">10.10 Business Rules</w:t>
      </w:r>
    </w:p>
    <w:bookmarkStart w:id="39" w:name="br-green-001"/>
    <w:p>
      <w:pPr>
        <w:pStyle w:val="Heading3"/>
      </w:pPr>
      <w:r>
        <w:t xml:space="preserve">BR-GREEN-001</w:t>
      </w:r>
    </w:p>
    <w:p>
      <w:pPr>
        <w:pStyle w:val="FirstParagraph"/>
      </w:pPr>
      <w:r>
        <w:t xml:space="preserve">Technology procurement shall consider environmental sustainability, maintainability, interoperability, and lifecycle costs.</w:t>
      </w:r>
    </w:p>
    <w:p>
      <w:r>
        <w:pict>
          <v:rect style="width:0;height:1.5pt" o:hralign="center" o:hrstd="t" o:hr="t"/>
        </w:pict>
      </w:r>
    </w:p>
    <w:bookmarkEnd w:id="39"/>
    <w:bookmarkStart w:id="40" w:name="br-green-002"/>
    <w:p>
      <w:pPr>
        <w:pStyle w:val="Heading3"/>
      </w:pPr>
      <w:r>
        <w:t xml:space="preserve">BR-GREEN-002</w:t>
      </w:r>
    </w:p>
    <w:p>
      <w:pPr>
        <w:pStyle w:val="FirstParagraph"/>
      </w:pPr>
      <w:r>
        <w:t xml:space="preserve">Digital services shall support low-bandwidth and mobile-first operation wherever practical.</w:t>
      </w:r>
    </w:p>
    <w:p>
      <w:r>
        <w:pict>
          <v:rect style="width:0;height:1.5pt" o:hralign="center" o:hrstd="t" o:hr="t"/>
        </w:pict>
      </w:r>
    </w:p>
    <w:bookmarkEnd w:id="40"/>
    <w:bookmarkStart w:id="41" w:name="br-green-003"/>
    <w:p>
      <w:pPr>
        <w:pStyle w:val="Heading3"/>
      </w:pPr>
      <w:r>
        <w:t xml:space="preserve">BR-GREEN-003</w:t>
      </w:r>
    </w:p>
    <w:p>
      <w:pPr>
        <w:pStyle w:val="FirstParagraph"/>
      </w:pPr>
      <w:r>
        <w:t xml:space="preserve">ICT assets shall follow approved lifecycle management procedures from acquisition through environmentally responsible disposal.</w:t>
      </w:r>
    </w:p>
    <w:p>
      <w:r>
        <w:pict>
          <v:rect style="width:0;height:1.5pt" o:hralign="center" o:hrstd="t" o:hr="t"/>
        </w:pict>
      </w:r>
    </w:p>
    <w:bookmarkEnd w:id="41"/>
    <w:bookmarkStart w:id="42" w:name="br-green-004"/>
    <w:p>
      <w:pPr>
        <w:pStyle w:val="Heading3"/>
      </w:pPr>
      <w:r>
        <w:t xml:space="preserve">BR-GREEN-004</w:t>
      </w:r>
    </w:p>
    <w:p>
      <w:pPr>
        <w:pStyle w:val="FirstParagraph"/>
      </w:pPr>
      <w:r>
        <w:t xml:space="preserve">Digital inclusion initiatives shall prioritize equitable access for underserved populations and learners requiring accessibility accommodations.</w:t>
      </w:r>
    </w:p>
    <w:p>
      <w:r>
        <w:pict>
          <v:rect style="width:0;height:1.5pt" o:hralign="center" o:hrstd="t" o:hr="t"/>
        </w:pict>
      </w:r>
    </w:p>
    <w:bookmarkEnd w:id="42"/>
    <w:bookmarkStart w:id="43" w:name="br-green-005"/>
    <w:p>
      <w:pPr>
        <w:pStyle w:val="Heading3"/>
      </w:pPr>
      <w:r>
        <w:t xml:space="preserve">BR-GREEN-005</w:t>
      </w:r>
    </w:p>
    <w:p>
      <w:pPr>
        <w:pStyle w:val="FirstParagraph"/>
      </w:pPr>
      <w:r>
        <w:t xml:space="preserve">Sustainability performance indicators shall be monitored and reviewed periodically as part of enterprise governance.</w:t>
      </w:r>
    </w:p>
    <w:p>
      <w:r>
        <w:pict>
          <v:rect style="width:0;height:1.5pt" o:hralign="center" o:hrstd="t" o:hr="t"/>
        </w:pict>
      </w:r>
    </w:p>
    <w:bookmarkEnd w:id="43"/>
    <w:bookmarkEnd w:id="44"/>
    <w:bookmarkStart w:id="45" w:name="acceptance-criteria"/>
    <w:p>
      <w:pPr>
        <w:pStyle w:val="Heading1"/>
      </w:pPr>
      <w:r>
        <w:t xml:space="preserve">10.11 Acceptance Criteria</w:t>
      </w:r>
    </w:p>
    <w:p>
      <w:pPr>
        <w:pStyle w:val="FirstParagraph"/>
      </w:pPr>
      <w:r>
        <w:t xml:space="preserve">The Sustainability and Digital Inclusion Framework shall be considered complete when:</w:t>
      </w:r>
    </w:p>
    <w:p>
      <w:pPr>
        <w:pStyle w:val="Compact"/>
        <w:numPr>
          <w:ilvl w:val="0"/>
          <w:numId w:val="1008"/>
        </w:numPr>
      </w:pPr>
      <w:r>
        <w:t xml:space="preserve">Sustainability principles are documented.</w:t>
      </w:r>
    </w:p>
    <w:p>
      <w:pPr>
        <w:pStyle w:val="Compact"/>
        <w:numPr>
          <w:ilvl w:val="0"/>
          <w:numId w:val="1008"/>
        </w:numPr>
      </w:pPr>
      <w:r>
        <w:t xml:space="preserve">Green computing strategy is established.</w:t>
      </w:r>
    </w:p>
    <w:p>
      <w:pPr>
        <w:pStyle w:val="Compact"/>
        <w:numPr>
          <w:ilvl w:val="0"/>
          <w:numId w:val="1008"/>
        </w:numPr>
      </w:pPr>
      <w:r>
        <w:t xml:space="preserve">Digital inclusion framework is defined.</w:t>
      </w:r>
    </w:p>
    <w:p>
      <w:pPr>
        <w:pStyle w:val="Compact"/>
        <w:numPr>
          <w:ilvl w:val="0"/>
          <w:numId w:val="1008"/>
        </w:numPr>
      </w:pPr>
      <w:r>
        <w:t xml:space="preserve">ICT asset sustainability procedures are implemented.</w:t>
      </w:r>
    </w:p>
    <w:p>
      <w:pPr>
        <w:pStyle w:val="Compact"/>
        <w:numPr>
          <w:ilvl w:val="0"/>
          <w:numId w:val="1008"/>
        </w:numPr>
      </w:pPr>
      <w:r>
        <w:t xml:space="preserve">Environmental monitoring is operational.</w:t>
      </w:r>
    </w:p>
    <w:p>
      <w:pPr>
        <w:pStyle w:val="Compact"/>
        <w:numPr>
          <w:ilvl w:val="0"/>
          <w:numId w:val="1008"/>
        </w:numPr>
      </w:pPr>
      <w:r>
        <w:t xml:space="preserve">Governance responsibilities are assigned.</w:t>
      </w:r>
    </w:p>
    <w:p>
      <w:pPr>
        <w:pStyle w:val="Compact"/>
        <w:numPr>
          <w:ilvl w:val="0"/>
          <w:numId w:val="1008"/>
        </w:numPr>
      </w:pPr>
      <w:r>
        <w:t xml:space="preserve">Performance indicators are established.</w:t>
      </w:r>
    </w:p>
    <w:p>
      <w:r>
        <w:pict>
          <v:rect style="width:0;height:1.5pt" o:hralign="center" o:hrstd="t" o:hr="t"/>
        </w:pict>
      </w:r>
    </w:p>
    <w:bookmarkEnd w:id="45"/>
    <w:bookmarkStart w:id="46" w:name="summary"/>
    <w:p>
      <w:pPr>
        <w:pStyle w:val="Heading1"/>
      </w:pPr>
      <w:r>
        <w:t xml:space="preserve">10.12 Summary</w:t>
      </w:r>
    </w:p>
    <w:p>
      <w:pPr>
        <w:pStyle w:val="FirstParagraph"/>
      </w:pPr>
      <w:r>
        <w:t xml:space="preserve">The Sustainability, Green Computing and Digital Inclusion framework establishes the long-term environmental and social responsibility strategy for EduOS Cameroon.</w:t>
      </w:r>
    </w:p>
    <w:p>
      <w:pPr>
        <w:pStyle w:val="BodyText"/>
      </w:pPr>
      <w:r>
        <w:t xml:space="preserve">By defining green computing practices, digital inclusion initiatives, sustainable ICT lifecycle management, environmental monitoring, and enterprise governance, this framework ensures that the national education platform remains accessible, resilient, resource-efficient, and aligned with sustainable development objectives.</w:t>
      </w:r>
    </w:p>
    <w:p>
      <w:pPr>
        <w:pStyle w:val="BodyText"/>
      </w:pPr>
      <w:r>
        <w:t xml:space="preserve">These principles support equitable educational opportunities while promoting responsible stewardship of technology and public resources.</w:t>
      </w:r>
    </w:p>
    <w:p>
      <w:r>
        <w:pict>
          <v:rect style="width:0;height:1.5pt" o:hralign="center" o:hrstd="t" o:hr="t"/>
        </w:pict>
      </w:r>
    </w:p>
    <w:bookmarkEnd w:id="46"/>
    <w:bookmarkStart w:id="47" w:name="volume-ix-progress"/>
    <w:p>
      <w:pPr>
        <w:pStyle w:val="Heading1"/>
      </w:pPr>
      <w:r>
        <w:t xml:space="preserve">VOLUME IX PROGRESS</w:t>
      </w:r>
    </w:p>
    <w:p>
      <w:pPr>
        <w:pStyle w:val="FirstParagraph"/>
      </w:pPr>
      <w:r>
        <w:t xml:space="preserve">Completed Chapters:</w:t>
      </w:r>
    </w:p>
    <w:p>
      <w:pPr>
        <w:pStyle w:val="BodyText"/>
      </w:pPr>
      <w:r>
        <w:t xml:space="preserve">✓ Chapter 1 – National Education Super App Strategy and Digital Ecosystem Vision</w:t>
      </w:r>
    </w:p>
    <w:p>
      <w:pPr>
        <w:pStyle w:val="BodyText"/>
      </w:pPr>
      <w:r>
        <w:t xml:space="preserve">✓ Chapter 2 – Open API Marketplace and Developer Ecosystem</w:t>
      </w:r>
    </w:p>
    <w:p>
      <w:pPr>
        <w:pStyle w:val="BodyText"/>
      </w:pPr>
      <w:r>
        <w:t xml:space="preserve">✓ Chapter 3 – Third-Party Applications and Plugin Framework</w:t>
      </w:r>
    </w:p>
    <w:p>
      <w:pPr>
        <w:pStyle w:val="BodyText"/>
      </w:pPr>
      <w:r>
        <w:t xml:space="preserve">✓ Chapter 4 – Digital Credentials, Digital Wallets and Verifiable Credentials</w:t>
      </w:r>
    </w:p>
    <w:p>
      <w:pPr>
        <w:pStyle w:val="BodyText"/>
      </w:pPr>
      <w:r>
        <w:t xml:space="preserve">✓ Chapter 5 – Research, Innovation and EdTech Sandbox</w:t>
      </w:r>
    </w:p>
    <w:p>
      <w:pPr>
        <w:pStyle w:val="BodyText"/>
      </w:pPr>
      <w:r>
        <w:t xml:space="preserve">✓ Chapter 6 – Smart Classrooms, Internet of Things (IoT) and Connected Campuses</w:t>
      </w:r>
    </w:p>
    <w:p>
      <w:pPr>
        <w:pStyle w:val="BodyText"/>
      </w:pPr>
      <w:r>
        <w:t xml:space="preserve">✓ Chapter 7 – Augmented Reality (AR), Virtual Reality (VR), Extended Reality (XR) and Immersive Learning</w:t>
      </w:r>
    </w:p>
    <w:p>
      <w:pPr>
        <w:pStyle w:val="BodyText"/>
      </w:pPr>
      <w:r>
        <w:t xml:space="preserve">✓ Chapter 8 – Robotics, STEM and Makerspace Integration</w:t>
      </w:r>
    </w:p>
    <w:p>
      <w:pPr>
        <w:pStyle w:val="BodyText"/>
      </w:pPr>
      <w:r>
        <w:t xml:space="preserve">✓ Chapter 9 – International Interoperability, Cross-Border Education and Global Recognition</w:t>
      </w:r>
    </w:p>
    <w:p>
      <w:pPr>
        <w:pStyle w:val="BodyText"/>
      </w:pPr>
      <w:r>
        <w:t xml:space="preserve">✓ Chapter 10 – Sustainability, Green Computing and Digital Inclusion</w:t>
      </w:r>
    </w:p>
    <w:p>
      <w:pPr>
        <w:pStyle w:val="BodyText"/>
      </w:pPr>
      <w:r>
        <w:t xml:space="preserve">Remaining Chapters:</w:t>
      </w:r>
    </w:p>
    <w:p>
      <w:pPr>
        <w:pStyle w:val="Compact"/>
        <w:numPr>
          <w:ilvl w:val="0"/>
          <w:numId w:val="1009"/>
        </w:numPr>
      </w:pPr>
      <w:r>
        <w:t xml:space="preserve">Chapter 11 – Emerging Technology Governance and Future Readiness</w:t>
      </w:r>
    </w:p>
    <w:p>
      <w:pPr>
        <w:pStyle w:val="Compact"/>
        <w:numPr>
          <w:ilvl w:val="0"/>
          <w:numId w:val="1009"/>
        </w:numPr>
      </w:pPr>
      <w:r>
        <w:t xml:space="preserve">Chapter 12 – National Education Innovation Reference Architecture and Strategic Roadmap</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2026-07-10T14:48:07Z</dcterms:created>
  <dcterms:modified xsi:type="dcterms:W3CDTF">2026-07-10T14:48:07Z</dcterms:modified>
</cp:coreProperties>
</file>

<file path=docProps/custom.xml><?xml version="1.0" encoding="utf-8"?>
<Properties xmlns="http://schemas.openxmlformats.org/officeDocument/2006/custom-properties" xmlns:vt="http://schemas.openxmlformats.org/officeDocument/2006/docPropsVTypes"/>
</file>