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2"/>
    <w:p>
      <w:pPr>
        <w:pStyle w:val="Heading2"/>
      </w:pPr>
      <w:r>
        <w:t xml:space="preserve">CHAPTER 2</w:t>
      </w:r>
    </w:p>
    <w:bookmarkEnd w:id="22"/>
    <w:bookmarkEnd w:id="23"/>
    <w:bookmarkStart w:id="24" w:name="X6c9119a584047fa7d00a8ce9713a9b77c26ffd1"/>
    <w:p>
      <w:pPr>
        <w:pStyle w:val="Heading1"/>
      </w:pPr>
      <w:r>
        <w:t xml:space="preserve">OPEN API MARKETPLACE AND DEVELOPER ECOSYSTEM</w:t>
      </w:r>
    </w:p>
    <w:p>
      <w:r>
        <w:pict>
          <v:rect style="width:0;height:1.5pt" o:hralign="center" o:hrstd="t" o:hr="t"/>
        </w:pict>
      </w:r>
    </w:p>
    <w:bookmarkEnd w:id="24"/>
    <w:bookmarkStart w:id="25" w:name="purpose"/>
    <w:p>
      <w:pPr>
        <w:pStyle w:val="Heading1"/>
      </w:pPr>
      <w:r>
        <w:t xml:space="preserve">2.1 Purpose</w:t>
      </w:r>
    </w:p>
    <w:p>
      <w:pPr>
        <w:pStyle w:val="FirstParagraph"/>
      </w:pPr>
      <w:r>
        <w:t xml:space="preserve">This chapter establishes the enterprise framework governing the EduOS Open API Marketplace, Developer Ecosystem, API governance, third-party integrations, developer enablement, certification, monetization where applicable, and lifecycle management.</w:t>
      </w:r>
    </w:p>
    <w:p>
      <w:pPr>
        <w:pStyle w:val="BodyText"/>
      </w:pPr>
      <w:r>
        <w:t xml:space="preserve">Its objective is to enable secure, standardized, and governed integration between EduOS Cameroon and approved public and private sector partners while encouraging innovation and protecting national education data.</w:t>
      </w:r>
    </w:p>
    <w:p>
      <w:r>
        <w:pict>
          <v:rect style="width:0;height:1.5pt" o:hralign="center" o:hrstd="t" o:hr="t"/>
        </w:pict>
      </w:r>
    </w:p>
    <w:bookmarkEnd w:id="25"/>
    <w:bookmarkStart w:id="26" w:name="vision"/>
    <w:p>
      <w:pPr>
        <w:pStyle w:val="Heading1"/>
      </w:pPr>
      <w:r>
        <w:t xml:space="preserve">2.2 Vision</w:t>
      </w:r>
    </w:p>
    <w:p>
      <w:pPr>
        <w:pStyle w:val="FirstParagraph"/>
      </w:pPr>
      <w:r>
        <w:t xml:space="preserve">The EduOS Developer Ecosystem shall:</w:t>
      </w:r>
    </w:p>
    <w:p>
      <w:pPr>
        <w:pStyle w:val="Compact"/>
        <w:numPr>
          <w:ilvl w:val="0"/>
          <w:numId w:val="1001"/>
        </w:numPr>
      </w:pPr>
      <w:r>
        <w:t xml:space="preserve">Encourage innovation.</w:t>
      </w:r>
    </w:p>
    <w:p>
      <w:pPr>
        <w:pStyle w:val="Compact"/>
        <w:numPr>
          <w:ilvl w:val="0"/>
          <w:numId w:val="1001"/>
        </w:numPr>
      </w:pPr>
      <w:r>
        <w:t xml:space="preserve">Promote interoperability.</w:t>
      </w:r>
    </w:p>
    <w:p>
      <w:pPr>
        <w:pStyle w:val="Compact"/>
        <w:numPr>
          <w:ilvl w:val="0"/>
          <w:numId w:val="1001"/>
        </w:numPr>
      </w:pPr>
      <w:r>
        <w:t xml:space="preserve">Accelerate digital transformation.</w:t>
      </w:r>
    </w:p>
    <w:p>
      <w:pPr>
        <w:pStyle w:val="Compact"/>
        <w:numPr>
          <w:ilvl w:val="0"/>
          <w:numId w:val="1001"/>
        </w:numPr>
      </w:pPr>
      <w:r>
        <w:t xml:space="preserve">Support local EdTech innovation.</w:t>
      </w:r>
    </w:p>
    <w:p>
      <w:pPr>
        <w:pStyle w:val="Compact"/>
        <w:numPr>
          <w:ilvl w:val="0"/>
          <w:numId w:val="1001"/>
        </w:numPr>
      </w:pPr>
      <w:r>
        <w:t xml:space="preserve">Enable research collaboration.</w:t>
      </w:r>
    </w:p>
    <w:p>
      <w:pPr>
        <w:pStyle w:val="Compact"/>
        <w:numPr>
          <w:ilvl w:val="0"/>
          <w:numId w:val="1001"/>
        </w:numPr>
      </w:pPr>
      <w:r>
        <w:t xml:space="preserve">Foster public-private partnerships.</w:t>
      </w:r>
    </w:p>
    <w:p>
      <w:pPr>
        <w:pStyle w:val="Compact"/>
        <w:numPr>
          <w:ilvl w:val="0"/>
          <w:numId w:val="1001"/>
        </w:numPr>
      </w:pPr>
      <w:r>
        <w:t xml:space="preserve">Standardize external integrations.</w:t>
      </w:r>
    </w:p>
    <w:p>
      <w:pPr>
        <w:pStyle w:val="Compact"/>
        <w:numPr>
          <w:ilvl w:val="0"/>
          <w:numId w:val="1001"/>
        </w:numPr>
      </w:pPr>
      <w:r>
        <w:t xml:space="preserve">Protect national education services.</w:t>
      </w:r>
    </w:p>
    <w:p>
      <w:pPr>
        <w:pStyle w:val="FirstParagraph"/>
      </w:pPr>
      <w:r>
        <w:t xml:space="preserve">The platform shall provide a trusted environment for ecosystem development.</w:t>
      </w:r>
    </w:p>
    <w:p>
      <w:r>
        <w:pict>
          <v:rect style="width:0;height:1.5pt" o:hralign="center" o:hrstd="t" o:hr="t"/>
        </w:pict>
      </w:r>
    </w:p>
    <w:bookmarkEnd w:id="26"/>
    <w:bookmarkStart w:id="32" w:name="developer-ecosystem-principles"/>
    <w:p>
      <w:pPr>
        <w:pStyle w:val="Heading1"/>
      </w:pPr>
      <w:r>
        <w:t xml:space="preserve">2.3 Developer Ecosystem Principles</w:t>
      </w:r>
    </w:p>
    <w:bookmarkStart w:id="27" w:name="api-001-open-by-design"/>
    <w:p>
      <w:pPr>
        <w:pStyle w:val="Heading3"/>
      </w:pPr>
      <w:r>
        <w:t xml:space="preserve">API-001 Open by Design</w:t>
      </w:r>
    </w:p>
    <w:p>
      <w:pPr>
        <w:pStyle w:val="FirstParagraph"/>
      </w:pPr>
      <w:r>
        <w:t xml:space="preserve">Approved services shall expose documented APIs where appropriate.</w:t>
      </w:r>
    </w:p>
    <w:p>
      <w:r>
        <w:pict>
          <v:rect style="width:0;height:1.5pt" o:hralign="center" o:hrstd="t" o:hr="t"/>
        </w:pict>
      </w:r>
    </w:p>
    <w:bookmarkEnd w:id="27"/>
    <w:bookmarkStart w:id="28" w:name="api-002-secure-by-default"/>
    <w:p>
      <w:pPr>
        <w:pStyle w:val="Heading3"/>
      </w:pPr>
      <w:r>
        <w:t xml:space="preserve">API-002 Secure by Default</w:t>
      </w:r>
    </w:p>
    <w:p>
      <w:pPr>
        <w:pStyle w:val="FirstParagraph"/>
      </w:pPr>
      <w:r>
        <w:t xml:space="preserve">Every API shall implement enterprise security standards before publication.</w:t>
      </w:r>
    </w:p>
    <w:p>
      <w:r>
        <w:pict>
          <v:rect style="width:0;height:1.5pt" o:hralign="center" o:hrstd="t" o:hr="t"/>
        </w:pict>
      </w:r>
    </w:p>
    <w:bookmarkEnd w:id="28"/>
    <w:bookmarkStart w:id="29" w:name="api-003-standardization"/>
    <w:p>
      <w:pPr>
        <w:pStyle w:val="Heading3"/>
      </w:pPr>
      <w:r>
        <w:t xml:space="preserve">API-003 Standardization</w:t>
      </w:r>
    </w:p>
    <w:p>
      <w:pPr>
        <w:pStyle w:val="FirstParagraph"/>
      </w:pPr>
      <w:r>
        <w:t xml:space="preserve">APIs shall follow enterprise design, naming, documentation, and versioning standards.</w:t>
      </w:r>
    </w:p>
    <w:p>
      <w:r>
        <w:pict>
          <v:rect style="width:0;height:1.5pt" o:hralign="center" o:hrstd="t" o:hr="t"/>
        </w:pict>
      </w:r>
    </w:p>
    <w:bookmarkEnd w:id="29"/>
    <w:bookmarkStart w:id="30" w:name="api-004-discoverability"/>
    <w:p>
      <w:pPr>
        <w:pStyle w:val="Heading3"/>
      </w:pPr>
      <w:r>
        <w:t xml:space="preserve">API-004 Discoverability</w:t>
      </w:r>
    </w:p>
    <w:p>
      <w:pPr>
        <w:pStyle w:val="FirstParagraph"/>
      </w:pPr>
      <w:r>
        <w:t xml:space="preserve">Authorized developers shall easily discover available APIs, SDKs, documentation, and sample implementations.</w:t>
      </w:r>
    </w:p>
    <w:p>
      <w:r>
        <w:pict>
          <v:rect style="width:0;height:1.5pt" o:hralign="center" o:hrstd="t" o:hr="t"/>
        </w:pict>
      </w:r>
    </w:p>
    <w:bookmarkEnd w:id="30"/>
    <w:bookmarkStart w:id="31" w:name="api-005-governance"/>
    <w:p>
      <w:pPr>
        <w:pStyle w:val="Heading3"/>
      </w:pPr>
      <w:r>
        <w:t xml:space="preserve">API-005 Governance</w:t>
      </w:r>
    </w:p>
    <w:p>
      <w:pPr>
        <w:pStyle w:val="FirstParagraph"/>
      </w:pPr>
      <w:r>
        <w:t xml:space="preserve">API publication, modification, and retirement shall follow enterprise governance processes.</w:t>
      </w:r>
    </w:p>
    <w:p>
      <w:r>
        <w:pict>
          <v:rect style="width:0;height:1.5pt" o:hralign="center" o:hrstd="t" o:hr="t"/>
        </w:pict>
      </w:r>
    </w:p>
    <w:bookmarkEnd w:id="31"/>
    <w:bookmarkEnd w:id="32"/>
    <w:bookmarkStart w:id="33" w:name="api-marketplace"/>
    <w:p>
      <w:pPr>
        <w:pStyle w:val="Heading1"/>
      </w:pPr>
      <w:r>
        <w:t xml:space="preserve">2.4 API Marketplace</w:t>
      </w:r>
    </w:p>
    <w:p>
      <w:pPr>
        <w:pStyle w:val="FirstParagraph"/>
      </w:pPr>
      <w:r>
        <w:t xml:space="preserve">The marketplace shall provide:</w:t>
      </w:r>
    </w:p>
    <w:p>
      <w:pPr>
        <w:pStyle w:val="Compact"/>
        <w:numPr>
          <w:ilvl w:val="0"/>
          <w:numId w:val="1002"/>
        </w:numPr>
      </w:pPr>
      <w:r>
        <w:t xml:space="preserve">API catalogue.</w:t>
      </w:r>
    </w:p>
    <w:p>
      <w:pPr>
        <w:pStyle w:val="Compact"/>
        <w:numPr>
          <w:ilvl w:val="0"/>
          <w:numId w:val="1002"/>
        </w:numPr>
      </w:pPr>
      <w:r>
        <w:t xml:space="preserve">API search.</w:t>
      </w:r>
    </w:p>
    <w:p>
      <w:pPr>
        <w:pStyle w:val="Compact"/>
        <w:numPr>
          <w:ilvl w:val="0"/>
          <w:numId w:val="1002"/>
        </w:numPr>
      </w:pPr>
      <w:r>
        <w:t xml:space="preserve">API documentation.</w:t>
      </w:r>
    </w:p>
    <w:p>
      <w:pPr>
        <w:pStyle w:val="Compact"/>
        <w:numPr>
          <w:ilvl w:val="0"/>
          <w:numId w:val="1002"/>
        </w:numPr>
      </w:pPr>
      <w:r>
        <w:t xml:space="preserve">SDK downloads.</w:t>
      </w:r>
    </w:p>
    <w:p>
      <w:pPr>
        <w:pStyle w:val="Compact"/>
        <w:numPr>
          <w:ilvl w:val="0"/>
          <w:numId w:val="1002"/>
        </w:numPr>
      </w:pPr>
      <w:r>
        <w:t xml:space="preserve">OpenAPI specifications.</w:t>
      </w:r>
    </w:p>
    <w:p>
      <w:pPr>
        <w:pStyle w:val="Compact"/>
        <w:numPr>
          <w:ilvl w:val="0"/>
          <w:numId w:val="1002"/>
        </w:numPr>
      </w:pPr>
      <w:r>
        <w:t xml:space="preserve">Example applications.</w:t>
      </w:r>
    </w:p>
    <w:p>
      <w:pPr>
        <w:pStyle w:val="Compact"/>
        <w:numPr>
          <w:ilvl w:val="0"/>
          <w:numId w:val="1002"/>
        </w:numPr>
      </w:pPr>
      <w:r>
        <w:t xml:space="preserve">API version history.</w:t>
      </w:r>
    </w:p>
    <w:p>
      <w:pPr>
        <w:pStyle w:val="Compact"/>
        <w:numPr>
          <w:ilvl w:val="0"/>
          <w:numId w:val="1002"/>
        </w:numPr>
      </w:pPr>
      <w:r>
        <w:t xml:space="preserve">Change notifications.</w:t>
      </w:r>
    </w:p>
    <w:p>
      <w:pPr>
        <w:pStyle w:val="FirstParagraph"/>
      </w:pPr>
      <w:r>
        <w:t xml:space="preserve">Only approved APIs shall be published.</w:t>
      </w:r>
    </w:p>
    <w:p>
      <w:r>
        <w:pict>
          <v:rect style="width:0;height:1.5pt" o:hralign="center" o:hrstd="t" o:hr="t"/>
        </w:pict>
      </w:r>
    </w:p>
    <w:bookmarkEnd w:id="33"/>
    <w:bookmarkStart w:id="34" w:name="developer-portal"/>
    <w:p>
      <w:pPr>
        <w:pStyle w:val="Heading1"/>
      </w:pPr>
      <w:r>
        <w:t xml:space="preserve">2.5 Developer Portal</w:t>
      </w:r>
    </w:p>
    <w:p>
      <w:pPr>
        <w:pStyle w:val="FirstParagraph"/>
      </w:pPr>
      <w:r>
        <w:t xml:space="preserve">The portal shall include:</w:t>
      </w:r>
    </w:p>
    <w:p>
      <w:pPr>
        <w:pStyle w:val="Compact"/>
        <w:numPr>
          <w:ilvl w:val="0"/>
          <w:numId w:val="1003"/>
        </w:numPr>
      </w:pPr>
      <w:r>
        <w:t xml:space="preserve">Developer registration.</w:t>
      </w:r>
    </w:p>
    <w:p>
      <w:pPr>
        <w:pStyle w:val="Compact"/>
        <w:numPr>
          <w:ilvl w:val="0"/>
          <w:numId w:val="1003"/>
        </w:numPr>
      </w:pPr>
      <w:r>
        <w:t xml:space="preserve">Application registration.</w:t>
      </w:r>
    </w:p>
    <w:p>
      <w:pPr>
        <w:pStyle w:val="Compact"/>
        <w:numPr>
          <w:ilvl w:val="0"/>
          <w:numId w:val="1003"/>
        </w:numPr>
      </w:pPr>
      <w:r>
        <w:t xml:space="preserve">API key management.</w:t>
      </w:r>
    </w:p>
    <w:p>
      <w:pPr>
        <w:pStyle w:val="Compact"/>
        <w:numPr>
          <w:ilvl w:val="0"/>
          <w:numId w:val="1003"/>
        </w:numPr>
      </w:pPr>
      <w:r>
        <w:t xml:space="preserve">OAuth client registration.</w:t>
      </w:r>
    </w:p>
    <w:p>
      <w:pPr>
        <w:pStyle w:val="Compact"/>
        <w:numPr>
          <w:ilvl w:val="0"/>
          <w:numId w:val="1003"/>
        </w:numPr>
      </w:pPr>
      <w:r>
        <w:t xml:space="preserve">Sandbox access.</w:t>
      </w:r>
    </w:p>
    <w:p>
      <w:pPr>
        <w:pStyle w:val="Compact"/>
        <w:numPr>
          <w:ilvl w:val="0"/>
          <w:numId w:val="1003"/>
        </w:numPr>
      </w:pPr>
      <w:r>
        <w:t xml:space="preserve">Usage dashboards.</w:t>
      </w:r>
    </w:p>
    <w:p>
      <w:pPr>
        <w:pStyle w:val="Compact"/>
        <w:numPr>
          <w:ilvl w:val="0"/>
          <w:numId w:val="1003"/>
        </w:numPr>
      </w:pPr>
      <w:r>
        <w:t xml:space="preserve">Documentation portal.</w:t>
      </w:r>
    </w:p>
    <w:p>
      <w:pPr>
        <w:pStyle w:val="Compact"/>
        <w:numPr>
          <w:ilvl w:val="0"/>
          <w:numId w:val="1003"/>
        </w:numPr>
      </w:pPr>
      <w:r>
        <w:t xml:space="preserve">Community forums where approved.</w:t>
      </w:r>
    </w:p>
    <w:p>
      <w:pPr>
        <w:pStyle w:val="Compact"/>
        <w:numPr>
          <w:ilvl w:val="0"/>
          <w:numId w:val="1003"/>
        </w:numPr>
      </w:pPr>
      <w:r>
        <w:t xml:space="preserve">Support services.</w:t>
      </w:r>
    </w:p>
    <w:p>
      <w:pPr>
        <w:pStyle w:val="FirstParagraph"/>
      </w:pPr>
      <w:r>
        <w:t xml:space="preserve">The portal shall support self-service onboarding.</w:t>
      </w:r>
    </w:p>
    <w:p>
      <w:r>
        <w:pict>
          <v:rect style="width:0;height:1.5pt" o:hralign="center" o:hrstd="t" o:hr="t"/>
        </w:pict>
      </w:r>
    </w:p>
    <w:bookmarkEnd w:id="34"/>
    <w:bookmarkStart w:id="35" w:name="api-categories"/>
    <w:p>
      <w:pPr>
        <w:pStyle w:val="Heading1"/>
      </w:pPr>
      <w:r>
        <w:t xml:space="preserve">2.6 API Categories</w:t>
      </w:r>
    </w:p>
    <w:p>
      <w:pPr>
        <w:pStyle w:val="FirstParagraph"/>
      </w:pPr>
      <w:r>
        <w:t xml:space="preserve">Enterprise APIs may include:</w:t>
      </w:r>
    </w:p>
    <w:p>
      <w:pPr>
        <w:pStyle w:val="Compact"/>
        <w:numPr>
          <w:ilvl w:val="0"/>
          <w:numId w:val="1004"/>
        </w:numPr>
      </w:pPr>
      <w:r>
        <w:t xml:space="preserve">Student Information APIs.</w:t>
      </w:r>
    </w:p>
    <w:p>
      <w:pPr>
        <w:pStyle w:val="Compact"/>
        <w:numPr>
          <w:ilvl w:val="0"/>
          <w:numId w:val="1004"/>
        </w:numPr>
      </w:pPr>
      <w:r>
        <w:t xml:space="preserve">Teacher Information APIs.</w:t>
      </w:r>
    </w:p>
    <w:p>
      <w:pPr>
        <w:pStyle w:val="Compact"/>
        <w:numPr>
          <w:ilvl w:val="0"/>
          <w:numId w:val="1004"/>
        </w:numPr>
      </w:pPr>
      <w:r>
        <w:t xml:space="preserve">Curriculum APIs.</w:t>
      </w:r>
    </w:p>
    <w:p>
      <w:pPr>
        <w:pStyle w:val="Compact"/>
        <w:numPr>
          <w:ilvl w:val="0"/>
          <w:numId w:val="1004"/>
        </w:numPr>
      </w:pPr>
      <w:r>
        <w:t xml:space="preserve">Assessment APIs.</w:t>
      </w:r>
    </w:p>
    <w:p>
      <w:pPr>
        <w:pStyle w:val="Compact"/>
        <w:numPr>
          <w:ilvl w:val="0"/>
          <w:numId w:val="1004"/>
        </w:numPr>
      </w:pPr>
      <w:r>
        <w:t xml:space="preserve">Timetable APIs.</w:t>
      </w:r>
    </w:p>
    <w:p>
      <w:pPr>
        <w:pStyle w:val="Compact"/>
        <w:numPr>
          <w:ilvl w:val="0"/>
          <w:numId w:val="1004"/>
        </w:numPr>
      </w:pPr>
      <w:r>
        <w:t xml:space="preserve">Attendance APIs.</w:t>
      </w:r>
    </w:p>
    <w:p>
      <w:pPr>
        <w:pStyle w:val="Compact"/>
        <w:numPr>
          <w:ilvl w:val="0"/>
          <w:numId w:val="1004"/>
        </w:numPr>
      </w:pPr>
      <w:r>
        <w:t xml:space="preserve">Certificate Verification APIs.</w:t>
      </w:r>
    </w:p>
    <w:p>
      <w:pPr>
        <w:pStyle w:val="Compact"/>
        <w:numPr>
          <w:ilvl w:val="0"/>
          <w:numId w:val="1004"/>
        </w:numPr>
      </w:pPr>
      <w:r>
        <w:t xml:space="preserve">Learning Resource APIs.</w:t>
      </w:r>
    </w:p>
    <w:p>
      <w:pPr>
        <w:pStyle w:val="Compact"/>
        <w:numPr>
          <w:ilvl w:val="0"/>
          <w:numId w:val="1004"/>
        </w:numPr>
      </w:pPr>
      <w:r>
        <w:t xml:space="preserve">Analytics APIs.</w:t>
      </w:r>
    </w:p>
    <w:p>
      <w:pPr>
        <w:pStyle w:val="Compact"/>
        <w:numPr>
          <w:ilvl w:val="0"/>
          <w:numId w:val="1004"/>
        </w:numPr>
      </w:pPr>
      <w:r>
        <w:t xml:space="preserve">AI Service APIs.</w:t>
      </w:r>
    </w:p>
    <w:p>
      <w:pPr>
        <w:pStyle w:val="Compact"/>
        <w:numPr>
          <w:ilvl w:val="0"/>
          <w:numId w:val="1004"/>
        </w:numPr>
      </w:pPr>
      <w:r>
        <w:t xml:space="preserve">Notification APIs.</w:t>
      </w:r>
    </w:p>
    <w:p>
      <w:pPr>
        <w:pStyle w:val="Compact"/>
        <w:numPr>
          <w:ilvl w:val="0"/>
          <w:numId w:val="1004"/>
        </w:numPr>
      </w:pPr>
      <w:r>
        <w:t xml:space="preserve">Identity APIs.</w:t>
      </w:r>
    </w:p>
    <w:p>
      <w:pPr>
        <w:pStyle w:val="FirstParagraph"/>
      </w:pPr>
      <w:r>
        <w:t xml:space="preserve">API publication shall respect authorization policies.</w:t>
      </w:r>
    </w:p>
    <w:p>
      <w:r>
        <w:pict>
          <v:rect style="width:0;height:1.5pt" o:hralign="center" o:hrstd="t" o:hr="t"/>
        </w:pict>
      </w:r>
    </w:p>
    <w:bookmarkEnd w:id="35"/>
    <w:bookmarkStart w:id="36" w:name="api-security"/>
    <w:p>
      <w:pPr>
        <w:pStyle w:val="Heading1"/>
      </w:pPr>
      <w:r>
        <w:t xml:space="preserve">2.7 API Security</w:t>
      </w:r>
    </w:p>
    <w:p>
      <w:pPr>
        <w:pStyle w:val="FirstParagraph"/>
      </w:pPr>
      <w:r>
        <w:t xml:space="preserve">Security controls shall include:</w:t>
      </w:r>
    </w:p>
    <w:p>
      <w:pPr>
        <w:pStyle w:val="Compact"/>
        <w:numPr>
          <w:ilvl w:val="0"/>
          <w:numId w:val="1005"/>
        </w:numPr>
      </w:pPr>
      <w:r>
        <w:t xml:space="preserve">OAuth 2.1 authorization.</w:t>
      </w:r>
    </w:p>
    <w:p>
      <w:pPr>
        <w:pStyle w:val="Compact"/>
        <w:numPr>
          <w:ilvl w:val="0"/>
          <w:numId w:val="1005"/>
        </w:numPr>
      </w:pPr>
      <w:r>
        <w:t xml:space="preserve">OpenID Connect.</w:t>
      </w:r>
    </w:p>
    <w:p>
      <w:pPr>
        <w:pStyle w:val="Compact"/>
        <w:numPr>
          <w:ilvl w:val="0"/>
          <w:numId w:val="1005"/>
        </w:numPr>
      </w:pPr>
      <w:r>
        <w:t xml:space="preserve">Mutual TLS where required.</w:t>
      </w:r>
    </w:p>
    <w:p>
      <w:pPr>
        <w:pStyle w:val="Compact"/>
        <w:numPr>
          <w:ilvl w:val="0"/>
          <w:numId w:val="1005"/>
        </w:numPr>
      </w:pPr>
      <w:r>
        <w:t xml:space="preserve">API Gateway enforcement.</w:t>
      </w:r>
    </w:p>
    <w:p>
      <w:pPr>
        <w:pStyle w:val="Compact"/>
        <w:numPr>
          <w:ilvl w:val="0"/>
          <w:numId w:val="1005"/>
        </w:numPr>
      </w:pPr>
      <w:r>
        <w:t xml:space="preserve">Rate limiting.</w:t>
      </w:r>
    </w:p>
    <w:p>
      <w:pPr>
        <w:pStyle w:val="Compact"/>
        <w:numPr>
          <w:ilvl w:val="0"/>
          <w:numId w:val="1005"/>
        </w:numPr>
      </w:pPr>
      <w:r>
        <w:t xml:space="preserve">Request validation.</w:t>
      </w:r>
    </w:p>
    <w:p>
      <w:pPr>
        <w:pStyle w:val="Compact"/>
        <w:numPr>
          <w:ilvl w:val="0"/>
          <w:numId w:val="1005"/>
        </w:numPr>
      </w:pPr>
      <w:r>
        <w:t xml:space="preserve">Threat detection.</w:t>
      </w:r>
    </w:p>
    <w:p>
      <w:pPr>
        <w:pStyle w:val="Compact"/>
        <w:numPr>
          <w:ilvl w:val="0"/>
          <w:numId w:val="1005"/>
        </w:numPr>
      </w:pPr>
      <w:r>
        <w:t xml:space="preserve">Audit logging.</w:t>
      </w:r>
    </w:p>
    <w:p>
      <w:pPr>
        <w:pStyle w:val="Compact"/>
        <w:numPr>
          <w:ilvl w:val="0"/>
          <w:numId w:val="1005"/>
        </w:numPr>
      </w:pPr>
      <w:r>
        <w:t xml:space="preserve">API key lifecycle management.</w:t>
      </w:r>
    </w:p>
    <w:p>
      <w:pPr>
        <w:pStyle w:val="FirstParagraph"/>
      </w:pPr>
      <w:r>
        <w:t xml:space="preserve">Security shall remain aligned with enterprise cybersecurity standards.</w:t>
      </w:r>
    </w:p>
    <w:p>
      <w:r>
        <w:pict>
          <v:rect style="width:0;height:1.5pt" o:hralign="center" o:hrstd="t" o:hr="t"/>
        </w:pict>
      </w:r>
    </w:p>
    <w:bookmarkEnd w:id="36"/>
    <w:bookmarkStart w:id="37" w:name="sandbox-environment"/>
    <w:p>
      <w:pPr>
        <w:pStyle w:val="Heading1"/>
      </w:pPr>
      <w:r>
        <w:t xml:space="preserve">2.8 Sandbox Environment</w:t>
      </w:r>
    </w:p>
    <w:p>
      <w:pPr>
        <w:pStyle w:val="FirstParagraph"/>
      </w:pPr>
      <w:r>
        <w:t xml:space="preserve">The developer sandbox shall provide:</w:t>
      </w:r>
    </w:p>
    <w:p>
      <w:pPr>
        <w:pStyle w:val="Compact"/>
        <w:numPr>
          <w:ilvl w:val="0"/>
          <w:numId w:val="1006"/>
        </w:numPr>
      </w:pPr>
      <w:r>
        <w:t xml:space="preserve">Test datasets.</w:t>
      </w:r>
    </w:p>
    <w:p>
      <w:pPr>
        <w:pStyle w:val="Compact"/>
        <w:numPr>
          <w:ilvl w:val="0"/>
          <w:numId w:val="1006"/>
        </w:numPr>
      </w:pPr>
      <w:r>
        <w:t xml:space="preserve">Mock services.</w:t>
      </w:r>
    </w:p>
    <w:p>
      <w:pPr>
        <w:pStyle w:val="Compact"/>
        <w:numPr>
          <w:ilvl w:val="0"/>
          <w:numId w:val="1006"/>
        </w:numPr>
      </w:pPr>
      <w:r>
        <w:t xml:space="preserve">Sample credentials.</w:t>
      </w:r>
    </w:p>
    <w:p>
      <w:pPr>
        <w:pStyle w:val="Compact"/>
        <w:numPr>
          <w:ilvl w:val="0"/>
          <w:numId w:val="1006"/>
        </w:numPr>
      </w:pPr>
      <w:r>
        <w:t xml:space="preserve">API simulators.</w:t>
      </w:r>
    </w:p>
    <w:p>
      <w:pPr>
        <w:pStyle w:val="Compact"/>
        <w:numPr>
          <w:ilvl w:val="0"/>
          <w:numId w:val="1006"/>
        </w:numPr>
      </w:pPr>
      <w:r>
        <w:t xml:space="preserve">Documentation.</w:t>
      </w:r>
    </w:p>
    <w:p>
      <w:pPr>
        <w:pStyle w:val="Compact"/>
        <w:numPr>
          <w:ilvl w:val="0"/>
          <w:numId w:val="1006"/>
        </w:numPr>
      </w:pPr>
      <w:r>
        <w:t xml:space="preserve">SDK examples.</w:t>
      </w:r>
    </w:p>
    <w:p>
      <w:pPr>
        <w:pStyle w:val="Compact"/>
        <w:numPr>
          <w:ilvl w:val="0"/>
          <w:numId w:val="1006"/>
        </w:numPr>
      </w:pPr>
      <w:r>
        <w:t xml:space="preserve">Validation tools.</w:t>
      </w:r>
    </w:p>
    <w:p>
      <w:pPr>
        <w:pStyle w:val="Compact"/>
        <w:numPr>
          <w:ilvl w:val="0"/>
          <w:numId w:val="1006"/>
        </w:numPr>
      </w:pPr>
      <w:r>
        <w:t xml:space="preserve">Testing dashboards.</w:t>
      </w:r>
    </w:p>
    <w:p>
      <w:pPr>
        <w:pStyle w:val="FirstParagraph"/>
      </w:pPr>
      <w:r>
        <w:t xml:space="preserve">Sandbox services shall remain isolated from production.</w:t>
      </w:r>
    </w:p>
    <w:p>
      <w:r>
        <w:pict>
          <v:rect style="width:0;height:1.5pt" o:hralign="center" o:hrstd="t" o:hr="t"/>
        </w:pict>
      </w:r>
    </w:p>
    <w:bookmarkEnd w:id="37"/>
    <w:bookmarkStart w:id="38" w:name="developer-certification"/>
    <w:p>
      <w:pPr>
        <w:pStyle w:val="Heading1"/>
      </w:pPr>
      <w:r>
        <w:t xml:space="preserve">2.9 Developer Certification</w:t>
      </w:r>
    </w:p>
    <w:p>
      <w:pPr>
        <w:pStyle w:val="FirstParagraph"/>
      </w:pPr>
      <w:r>
        <w:t xml:space="preserve">Certification may include:</w:t>
      </w:r>
    </w:p>
    <w:p>
      <w:pPr>
        <w:pStyle w:val="Compact"/>
        <w:numPr>
          <w:ilvl w:val="0"/>
          <w:numId w:val="1007"/>
        </w:numPr>
      </w:pPr>
      <w:r>
        <w:t xml:space="preserve">API compliance testing.</w:t>
      </w:r>
    </w:p>
    <w:p>
      <w:pPr>
        <w:pStyle w:val="Compact"/>
        <w:numPr>
          <w:ilvl w:val="0"/>
          <w:numId w:val="1007"/>
        </w:numPr>
      </w:pPr>
      <w:r>
        <w:t xml:space="preserve">Security assessment.</w:t>
      </w:r>
    </w:p>
    <w:p>
      <w:pPr>
        <w:pStyle w:val="Compact"/>
        <w:numPr>
          <w:ilvl w:val="0"/>
          <w:numId w:val="1007"/>
        </w:numPr>
      </w:pPr>
      <w:r>
        <w:t xml:space="preserve">Performance validation.</w:t>
      </w:r>
    </w:p>
    <w:p>
      <w:pPr>
        <w:pStyle w:val="Compact"/>
        <w:numPr>
          <w:ilvl w:val="0"/>
          <w:numId w:val="1007"/>
        </w:numPr>
      </w:pPr>
      <w:r>
        <w:t xml:space="preserve">Accessibility review where applicable.</w:t>
      </w:r>
    </w:p>
    <w:p>
      <w:pPr>
        <w:pStyle w:val="Compact"/>
        <w:numPr>
          <w:ilvl w:val="0"/>
          <w:numId w:val="1007"/>
        </w:numPr>
      </w:pPr>
      <w:r>
        <w:t xml:space="preserve">Privacy compliance verification.</w:t>
      </w:r>
    </w:p>
    <w:p>
      <w:pPr>
        <w:pStyle w:val="Compact"/>
        <w:numPr>
          <w:ilvl w:val="0"/>
          <w:numId w:val="1007"/>
        </w:numPr>
      </w:pPr>
      <w:r>
        <w:t xml:space="preserve">Integration approval.</w:t>
      </w:r>
    </w:p>
    <w:p>
      <w:pPr>
        <w:pStyle w:val="Compact"/>
        <w:numPr>
          <w:ilvl w:val="0"/>
          <w:numId w:val="1007"/>
        </w:numPr>
      </w:pPr>
      <w:r>
        <w:t xml:space="preserve">Production certification.</w:t>
      </w:r>
    </w:p>
    <w:p>
      <w:pPr>
        <w:pStyle w:val="FirstParagraph"/>
      </w:pPr>
      <w:r>
        <w:t xml:space="preserve">Certified applications may receive production access.</w:t>
      </w:r>
    </w:p>
    <w:p>
      <w:r>
        <w:pict>
          <v:rect style="width:0;height:1.5pt" o:hralign="center" o:hrstd="t" o:hr="t"/>
        </w:pict>
      </w:r>
    </w:p>
    <w:bookmarkEnd w:id="38"/>
    <w:bookmarkStart w:id="39" w:name="api-lifecycle"/>
    <w:p>
      <w:pPr>
        <w:pStyle w:val="Heading1"/>
      </w:pPr>
      <w:r>
        <w:t xml:space="preserve">2.10 API Lifecycle</w:t>
      </w:r>
    </w:p>
    <w:p>
      <w:pPr>
        <w:pStyle w:val="FirstParagraph"/>
      </w:pPr>
      <w:r>
        <w:t xml:space="preserve">Every enterprise API shall progress through:</w:t>
      </w:r>
    </w:p>
    <w:p>
      <w:pPr>
        <w:pStyle w:val="BodyText"/>
      </w:pPr>
      <w:r>
        <w:t xml:space="preserve">```text id=</w:t>
      </w:r>
      <w:r>
        <w:t xml:space="preserve">“api001”</w:t>
      </w:r>
    </w:p>
    <w:p>
      <w:pPr>
        <w:pStyle w:val="BodyText"/>
      </w:pPr>
      <w:r>
        <w:t xml:space="preserve">Proposal</w:t>
      </w:r>
      <w:r>
        <w:t xml:space="preserve"> </w:t>
      </w:r>
      <w:r>
        <w:t xml:space="preserve">│</w:t>
      </w:r>
      <w:r>
        <w:t xml:space="preserve"> </w:t>
      </w:r>
      <w:r>
        <w:t xml:space="preserve">▼</w:t>
      </w:r>
      <w:r>
        <w:t xml:space="preserve"> </w:t>
      </w:r>
      <w:r>
        <w:t xml:space="preserve">Design</w:t>
      </w:r>
      <w:r>
        <w:t xml:space="preserve"> </w:t>
      </w:r>
      <w:r>
        <w:t xml:space="preserve">│</w:t>
      </w:r>
      <w:r>
        <w:t xml:space="preserve"> </w:t>
      </w:r>
      <w:r>
        <w:t xml:space="preserve">▼</w:t>
      </w:r>
      <w:r>
        <w:t xml:space="preserve"> </w:t>
      </w:r>
      <w:r>
        <w:t xml:space="preserve">Security Review</w:t>
      </w:r>
      <w:r>
        <w:t xml:space="preserve"> </w:t>
      </w:r>
      <w:r>
        <w:t xml:space="preserve">│</w:t>
      </w:r>
      <w:r>
        <w:t xml:space="preserve"> </w:t>
      </w:r>
      <w:r>
        <w:t xml:space="preserve">▼</w:t>
      </w:r>
      <w:r>
        <w:t xml:space="preserve"> </w:t>
      </w:r>
      <w:r>
        <w:t xml:space="preserve">Implementation</w:t>
      </w:r>
      <w:r>
        <w:t xml:space="preserve"> </w:t>
      </w:r>
      <w:r>
        <w:t xml:space="preserve">│</w:t>
      </w:r>
      <w:r>
        <w:t xml:space="preserve"> </w:t>
      </w:r>
      <w:r>
        <w:t xml:space="preserve">▼</w:t>
      </w:r>
      <w:r>
        <w:t xml:space="preserve"> </w:t>
      </w:r>
      <w:r>
        <w:t xml:space="preserve">Testing</w:t>
      </w:r>
      <w:r>
        <w:t xml:space="preserve"> </w:t>
      </w:r>
      <w:r>
        <w:t xml:space="preserve">│</w:t>
      </w:r>
      <w:r>
        <w:t xml:space="preserve"> </w:t>
      </w:r>
      <w:r>
        <w:t xml:space="preserve">▼</w:t>
      </w:r>
      <w:r>
        <w:t xml:space="preserve"> </w:t>
      </w:r>
      <w:r>
        <w:t xml:space="preserve">Documentation</w:t>
      </w:r>
      <w:r>
        <w:t xml:space="preserve"> </w:t>
      </w:r>
      <w:r>
        <w:t xml:space="preserve">│</w:t>
      </w:r>
      <w:r>
        <w:t xml:space="preserve"> </w:t>
      </w:r>
      <w:r>
        <w:t xml:space="preserve">▼</w:t>
      </w:r>
      <w:r>
        <w:t xml:space="preserve"> </w:t>
      </w:r>
      <w:r>
        <w:t xml:space="preserve">Publication</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Version Upgrade</w:t>
      </w:r>
      <w:r>
        <w:t xml:space="preserve"> </w:t>
      </w:r>
      <w:r>
        <w:t xml:space="preserve">│</w:t>
      </w:r>
      <w:r>
        <w:t xml:space="preserve"> </w:t>
      </w:r>
      <w:r>
        <w:t xml:space="preserve">▼</w:t>
      </w:r>
      <w:r>
        <w:t xml:space="preserve"> </w:t>
      </w:r>
      <w:r>
        <w:t xml:space="preserve">Retirement</w:t>
      </w:r>
      <w:r>
        <w:t xml:space="preserve"> </w:t>
      </w:r>
      <w:r>
        <w:t xml:space="preserve">```</w:t>
      </w:r>
    </w:p>
    <w:p>
      <w:pPr>
        <w:pStyle w:val="BodyText"/>
      </w:pPr>
      <w:r>
        <w:t xml:space="preserve">Each stage shall be governed and documented.</w:t>
      </w:r>
    </w:p>
    <w:p>
      <w:r>
        <w:pict>
          <v:rect style="width:0;height:1.5pt" o:hralign="center" o:hrstd="t" o:hr="t"/>
        </w:pict>
      </w:r>
    </w:p>
    <w:bookmarkEnd w:id="39"/>
    <w:bookmarkStart w:id="45" w:name="business-rules"/>
    <w:p>
      <w:pPr>
        <w:pStyle w:val="Heading1"/>
      </w:pPr>
      <w:r>
        <w:t xml:space="preserve">2.11 Business Rules</w:t>
      </w:r>
    </w:p>
    <w:bookmarkStart w:id="40" w:name="br-api-001"/>
    <w:p>
      <w:pPr>
        <w:pStyle w:val="Heading3"/>
      </w:pPr>
      <w:r>
        <w:t xml:space="preserve">BR-API-001</w:t>
      </w:r>
    </w:p>
    <w:p>
      <w:pPr>
        <w:pStyle w:val="FirstParagraph"/>
      </w:pPr>
      <w:r>
        <w:t xml:space="preserve">All production APIs shall be registered within the Enterprise API Catalogue.</w:t>
      </w:r>
    </w:p>
    <w:p>
      <w:r>
        <w:pict>
          <v:rect style="width:0;height:1.5pt" o:hralign="center" o:hrstd="t" o:hr="t"/>
        </w:pict>
      </w:r>
    </w:p>
    <w:bookmarkEnd w:id="40"/>
    <w:bookmarkStart w:id="41" w:name="br-api-002"/>
    <w:p>
      <w:pPr>
        <w:pStyle w:val="Heading3"/>
      </w:pPr>
      <w:r>
        <w:t xml:space="preserve">BR-API-002</w:t>
      </w:r>
    </w:p>
    <w:p>
      <w:pPr>
        <w:pStyle w:val="FirstParagraph"/>
      </w:pPr>
      <w:r>
        <w:t xml:space="preserve">External applications shall be certified before production access is granted.</w:t>
      </w:r>
    </w:p>
    <w:p>
      <w:r>
        <w:pict>
          <v:rect style="width:0;height:1.5pt" o:hralign="center" o:hrstd="t" o:hr="t"/>
        </w:pict>
      </w:r>
    </w:p>
    <w:bookmarkEnd w:id="41"/>
    <w:bookmarkStart w:id="42" w:name="br-api-003"/>
    <w:p>
      <w:pPr>
        <w:pStyle w:val="Heading3"/>
      </w:pPr>
      <w:r>
        <w:t xml:space="preserve">BR-API-003</w:t>
      </w:r>
    </w:p>
    <w:p>
      <w:pPr>
        <w:pStyle w:val="FirstParagraph"/>
      </w:pPr>
      <w:r>
        <w:t xml:space="preserve">APIs shall implement enterprise authentication, authorization, encryption, and monitoring controls.</w:t>
      </w:r>
    </w:p>
    <w:p>
      <w:r>
        <w:pict>
          <v:rect style="width:0;height:1.5pt" o:hralign="center" o:hrstd="t" o:hr="t"/>
        </w:pict>
      </w:r>
    </w:p>
    <w:bookmarkEnd w:id="42"/>
    <w:bookmarkStart w:id="43" w:name="br-api-004"/>
    <w:p>
      <w:pPr>
        <w:pStyle w:val="Heading3"/>
      </w:pPr>
      <w:r>
        <w:t xml:space="preserve">BR-API-004</w:t>
      </w:r>
    </w:p>
    <w:p>
      <w:pPr>
        <w:pStyle w:val="FirstParagraph"/>
      </w:pPr>
      <w:r>
        <w:t xml:space="preserve">Deprecated APIs shall remain supported for an approved transition period before retirement.</w:t>
      </w:r>
    </w:p>
    <w:p>
      <w:r>
        <w:pict>
          <v:rect style="width:0;height:1.5pt" o:hralign="center" o:hrstd="t" o:hr="t"/>
        </w:pict>
      </w:r>
    </w:p>
    <w:bookmarkEnd w:id="43"/>
    <w:bookmarkStart w:id="44" w:name="br-api-005"/>
    <w:p>
      <w:pPr>
        <w:pStyle w:val="Heading3"/>
      </w:pPr>
      <w:r>
        <w:t xml:space="preserve">BR-API-005</w:t>
      </w:r>
    </w:p>
    <w:p>
      <w:pPr>
        <w:pStyle w:val="FirstParagraph"/>
      </w:pPr>
      <w:r>
        <w:t xml:space="preserve">Developer activities shall be monitored and audited according to enterprise governance policies.</w:t>
      </w:r>
    </w:p>
    <w:p>
      <w:r>
        <w:pict>
          <v:rect style="width:0;height:1.5pt" o:hralign="center" o:hrstd="t" o:hr="t"/>
        </w:pict>
      </w:r>
    </w:p>
    <w:bookmarkEnd w:id="44"/>
    <w:bookmarkEnd w:id="45"/>
    <w:bookmarkStart w:id="46" w:name="acceptance-criteria"/>
    <w:p>
      <w:pPr>
        <w:pStyle w:val="Heading1"/>
      </w:pPr>
      <w:r>
        <w:t xml:space="preserve">2.12 Acceptance Criteria</w:t>
      </w:r>
    </w:p>
    <w:p>
      <w:pPr>
        <w:pStyle w:val="FirstParagraph"/>
      </w:pPr>
      <w:r>
        <w:t xml:space="preserve">The Open API Marketplace shall be considered complete when:</w:t>
      </w:r>
    </w:p>
    <w:p>
      <w:pPr>
        <w:pStyle w:val="Compact"/>
        <w:numPr>
          <w:ilvl w:val="0"/>
          <w:numId w:val="1008"/>
        </w:numPr>
      </w:pPr>
      <w:r>
        <w:t xml:space="preserve">Developer Portal is operational.</w:t>
      </w:r>
    </w:p>
    <w:p>
      <w:pPr>
        <w:pStyle w:val="Compact"/>
        <w:numPr>
          <w:ilvl w:val="0"/>
          <w:numId w:val="1008"/>
        </w:numPr>
      </w:pPr>
      <w:r>
        <w:t xml:space="preserve">API Catalogue is published.</w:t>
      </w:r>
    </w:p>
    <w:p>
      <w:pPr>
        <w:pStyle w:val="Compact"/>
        <w:numPr>
          <w:ilvl w:val="0"/>
          <w:numId w:val="1008"/>
        </w:numPr>
      </w:pPr>
      <w:r>
        <w:t xml:space="preserve">Security framework is implemented.</w:t>
      </w:r>
    </w:p>
    <w:p>
      <w:pPr>
        <w:pStyle w:val="Compact"/>
        <w:numPr>
          <w:ilvl w:val="0"/>
          <w:numId w:val="1008"/>
        </w:numPr>
      </w:pPr>
      <w:r>
        <w:t xml:space="preserve">Sandbox environment is available.</w:t>
      </w:r>
    </w:p>
    <w:p>
      <w:pPr>
        <w:pStyle w:val="Compact"/>
        <w:numPr>
          <w:ilvl w:val="0"/>
          <w:numId w:val="1008"/>
        </w:numPr>
      </w:pPr>
      <w:r>
        <w:t xml:space="preserve">Certification procedures are documented.</w:t>
      </w:r>
    </w:p>
    <w:p>
      <w:pPr>
        <w:pStyle w:val="Compact"/>
        <w:numPr>
          <w:ilvl w:val="0"/>
          <w:numId w:val="1008"/>
        </w:numPr>
      </w:pPr>
      <w:r>
        <w:t xml:space="preserve">API lifecycle governance is established.</w:t>
      </w:r>
    </w:p>
    <w:p>
      <w:pPr>
        <w:pStyle w:val="Compact"/>
        <w:numPr>
          <w:ilvl w:val="0"/>
          <w:numId w:val="1008"/>
        </w:numPr>
      </w:pPr>
      <w:r>
        <w:t xml:space="preserve">Monitoring and analytics are operational.</w:t>
      </w:r>
    </w:p>
    <w:p>
      <w:r>
        <w:pict>
          <v:rect style="width:0;height:1.5pt" o:hralign="center" o:hrstd="t" o:hr="t"/>
        </w:pict>
      </w:r>
    </w:p>
    <w:bookmarkEnd w:id="46"/>
    <w:bookmarkStart w:id="47" w:name="summary"/>
    <w:p>
      <w:pPr>
        <w:pStyle w:val="Heading1"/>
      </w:pPr>
      <w:r>
        <w:t xml:space="preserve">2.13 Summary</w:t>
      </w:r>
    </w:p>
    <w:p>
      <w:pPr>
        <w:pStyle w:val="FirstParagraph"/>
      </w:pPr>
      <w:r>
        <w:t xml:space="preserve">The Open API Marketplace and Developer Ecosystem establish the foundation for secure digital innovation around EduOS Cameroon.</w:t>
      </w:r>
    </w:p>
    <w:p>
      <w:pPr>
        <w:pStyle w:val="BodyText"/>
      </w:pPr>
      <w:r>
        <w:t xml:space="preserve">By defining standardized APIs, developer services, certification processes, sandbox environments, governance procedures, and enterprise security controls, this framework enables government agencies, educational institutions, researchers, and technology partners to extend EduOS while maintaining interoperability, security, and trust.</w:t>
      </w:r>
    </w:p>
    <w:p>
      <w:r>
        <w:pict>
          <v:rect style="width:0;height:1.5pt" o:hralign="center" o:hrstd="t" o:hr="t"/>
        </w:pict>
      </w:r>
    </w:p>
    <w:bookmarkEnd w:id="47"/>
    <w:bookmarkStart w:id="48"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Remaining Chapters:</w:t>
      </w:r>
    </w:p>
    <w:p>
      <w:pPr>
        <w:pStyle w:val="Compact"/>
        <w:numPr>
          <w:ilvl w:val="0"/>
          <w:numId w:val="1009"/>
        </w:numPr>
      </w:pPr>
      <w:r>
        <w:t xml:space="preserve">Chapter 3 – Third-Party Applications and Plugin Framework</w:t>
      </w:r>
    </w:p>
    <w:p>
      <w:pPr>
        <w:pStyle w:val="Compact"/>
        <w:numPr>
          <w:ilvl w:val="0"/>
          <w:numId w:val="1009"/>
        </w:numPr>
      </w:pPr>
      <w:r>
        <w:t xml:space="preserve">Chapter 4 – Digital Credentials, Wallets and Verifiable Credentials</w:t>
      </w:r>
    </w:p>
    <w:p>
      <w:pPr>
        <w:pStyle w:val="Compact"/>
        <w:numPr>
          <w:ilvl w:val="0"/>
          <w:numId w:val="1009"/>
        </w:numPr>
      </w:pPr>
      <w:r>
        <w:t xml:space="preserve">Chapter 5 – Research, Innovation and EdTech Sandbox</w:t>
      </w:r>
    </w:p>
    <w:p>
      <w:pPr>
        <w:pStyle w:val="Compact"/>
        <w:numPr>
          <w:ilvl w:val="0"/>
          <w:numId w:val="1009"/>
        </w:numPr>
      </w:pPr>
      <w:r>
        <w:t xml:space="preserve">Chapter 6 – Smart Classrooms, IoT and Connected Campuses</w:t>
      </w:r>
    </w:p>
    <w:p>
      <w:pPr>
        <w:pStyle w:val="Compact"/>
        <w:numPr>
          <w:ilvl w:val="0"/>
          <w:numId w:val="1009"/>
        </w:numPr>
      </w:pPr>
      <w:r>
        <w:t xml:space="preserve">Chapter 7 – AR, VR, XR and Immersive Learning</w:t>
      </w:r>
    </w:p>
    <w:p>
      <w:pPr>
        <w:pStyle w:val="Compact"/>
        <w:numPr>
          <w:ilvl w:val="0"/>
          <w:numId w:val="1009"/>
        </w:numPr>
      </w:pPr>
      <w:r>
        <w:t xml:space="preserve">Chapter 8 – Robotics, STEM and Makerspace Integration</w:t>
      </w:r>
    </w:p>
    <w:p>
      <w:pPr>
        <w:pStyle w:val="Compact"/>
        <w:numPr>
          <w:ilvl w:val="0"/>
          <w:numId w:val="1009"/>
        </w:numPr>
      </w:pPr>
      <w:r>
        <w:t xml:space="preserve">Chapter 9 – International Interoperability and Cross-Border Education</w:t>
      </w:r>
    </w:p>
    <w:p>
      <w:pPr>
        <w:pStyle w:val="Compact"/>
        <w:numPr>
          <w:ilvl w:val="0"/>
          <w:numId w:val="1009"/>
        </w:numPr>
      </w:pPr>
      <w:r>
        <w:t xml:space="preserve">Chapter 10 – Sustainability, Green Computing and Digital Inclusion</w:t>
      </w:r>
    </w:p>
    <w:p>
      <w:pPr>
        <w:pStyle w:val="Compact"/>
        <w:numPr>
          <w:ilvl w:val="0"/>
          <w:numId w:val="1009"/>
        </w:numPr>
      </w:pPr>
      <w:r>
        <w:t xml:space="preserve">Chapter 11 – Emerging Technology Governance and Future Readiness</w:t>
      </w:r>
    </w:p>
    <w:p>
      <w:pPr>
        <w:pStyle w:val="Compact"/>
        <w:numPr>
          <w:ilvl w:val="0"/>
          <w:numId w:val="1009"/>
        </w:numPr>
      </w:pPr>
      <w:r>
        <w:t xml:space="preserve">Chapter 12 – National Education Innovation Reference Architecture and Strategic Roadmap</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2026-07-10T14:53:02Z</dcterms:created>
  <dcterms:modified xsi:type="dcterms:W3CDTF">2026-07-10T14:53:02Z</dcterms:modified>
</cp:coreProperties>
</file>

<file path=docProps/custom.xml><?xml version="1.0" encoding="utf-8"?>
<Properties xmlns="http://schemas.openxmlformats.org/officeDocument/2006/custom-properties" xmlns:vt="http://schemas.openxmlformats.org/officeDocument/2006/docPropsVTypes"/>
</file>