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duos-cameroon"/>
    <w:p>
      <w:pPr>
        <w:pStyle w:val="Heading1"/>
      </w:pPr>
      <w:r>
        <w:t xml:space="preserve">EDUOS CAMEROON</w:t>
      </w:r>
    </w:p>
    <w:bookmarkEnd w:id="20"/>
    <w:bookmarkStart w:id="21" w:name="volume-ix"/>
    <w:p>
      <w:pPr>
        <w:pStyle w:val="Heading1"/>
      </w:pPr>
      <w:r>
        <w:t xml:space="preserve">VOLUME IX</w:t>
      </w:r>
    </w:p>
    <w:bookmarkEnd w:id="21"/>
    <w:bookmarkStart w:id="23" w:name="Xdcfc02e57cb8d11f2441a5b8cc4c3e57d2e0628"/>
    <w:p>
      <w:pPr>
        <w:pStyle w:val="Heading1"/>
      </w:pPr>
      <w:r>
        <w:t xml:space="preserve">NATIONAL DIGITAL EDUCATION ECOSYSTEM, INNOVATION, OPEN PLATFORM AND FUTURE READINESS</w:t>
      </w:r>
    </w:p>
    <w:bookmarkStart w:id="22" w:name="chapter-9"/>
    <w:p>
      <w:pPr>
        <w:pStyle w:val="Heading2"/>
      </w:pPr>
      <w:r>
        <w:t xml:space="preserve">CHAPTER 9</w:t>
      </w:r>
    </w:p>
    <w:bookmarkEnd w:id="22"/>
    <w:bookmarkEnd w:id="23"/>
    <w:bookmarkStart w:id="24" w:name="Xb4b01caaec955f6e1b947ae0c1f73586dd0df1e"/>
    <w:p>
      <w:pPr>
        <w:pStyle w:val="Heading1"/>
      </w:pPr>
      <w:r>
        <w:t xml:space="preserve">INTERNATIONAL INTEROPERABILITY, CROSS-BORDER EDUCATION AND GLOBAL RECOGNITION</w:t>
      </w:r>
    </w:p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9.1 Purpose</w:t>
      </w:r>
    </w:p>
    <w:p>
      <w:pPr>
        <w:pStyle w:val="FirstParagraph"/>
      </w:pPr>
      <w:r>
        <w:t xml:space="preserve">This chapter establishes the enterprise framework governing international interoperability, cross-border education, academic mobility, international credential recognition, education data exchange, multilingual collaboration, regional integration, and global education partnerships within the EduOS Cameroon ecosystem.</w:t>
      </w:r>
    </w:p>
    <w:p>
      <w:pPr>
        <w:pStyle w:val="BodyText"/>
      </w:pPr>
      <w:r>
        <w:t xml:space="preserve">Its objective is to ensure that EduOS Cameroon supports national priorities while enabling secure, standards-based collaboration with regional and international education systems, facilitating learner mobility, institutional cooperation, and recognition of educational achievements.</w:t>
      </w:r>
    </w:p>
    <w:p>
      <w:r>
        <w:pict>
          <v:rect style="width:0;height:1.5pt" o:hralign="center" o:hrstd="t" o:hr="t"/>
        </w:pict>
      </w:r>
    </w:p>
    <w:bookmarkEnd w:id="25"/>
    <w:bookmarkStart w:id="26" w:name="vision"/>
    <w:p>
      <w:pPr>
        <w:pStyle w:val="Heading1"/>
      </w:pPr>
      <w:r>
        <w:t xml:space="preserve">9.2 Vision</w:t>
      </w:r>
    </w:p>
    <w:p>
      <w:pPr>
        <w:pStyle w:val="FirstParagraph"/>
      </w:pPr>
      <w:r>
        <w:t xml:space="preserve">EduOS Cameroon shall support a globally interoperable education ecosystem that enables learners, educators, institutions, and policymakers to collaborate beyond national borders while preserving national sovereignty, legal compliance, and educational integrity.</w:t>
      </w:r>
    </w:p>
    <w:p>
      <w:pPr>
        <w:pStyle w:val="BodyText"/>
      </w:pPr>
      <w:r>
        <w:t xml:space="preserve">The platform shall strengthen Cameroon’s participation in regional, continental, and international education initiatives.</w:t>
      </w:r>
    </w:p>
    <w:p>
      <w:r>
        <w:pict>
          <v:rect style="width:0;height:1.5pt" o:hralign="center" o:hrstd="t" o:hr="t"/>
        </w:pict>
      </w:r>
    </w:p>
    <w:bookmarkEnd w:id="26"/>
    <w:bookmarkStart w:id="32" w:name="guiding-principles"/>
    <w:p>
      <w:pPr>
        <w:pStyle w:val="Heading1"/>
      </w:pPr>
      <w:r>
        <w:t xml:space="preserve">9.3 Guiding Principles</w:t>
      </w:r>
    </w:p>
    <w:p>
      <w:pPr>
        <w:pStyle w:val="FirstParagraph"/>
      </w:pPr>
      <w:r>
        <w:t xml:space="preserve">International interoperability shall follow these principles.</w:t>
      </w:r>
    </w:p>
    <w:bookmarkStart w:id="27" w:name="global-001-national-sovereignty"/>
    <w:p>
      <w:pPr>
        <w:pStyle w:val="Heading3"/>
      </w:pPr>
      <w:r>
        <w:t xml:space="preserve">GLOBAL-001 National Sovereignty</w:t>
      </w:r>
    </w:p>
    <w:p>
      <w:pPr>
        <w:pStyle w:val="FirstParagraph"/>
      </w:pPr>
      <w:r>
        <w:t xml:space="preserve">Cross-border integration shall respect Cameroon’s constitutional, legal, and regulatory frameworks.</w:t>
      </w:r>
    </w:p>
    <w:p>
      <w:r>
        <w:pict>
          <v:rect style="width:0;height:1.5pt" o:hralign="center" o:hrstd="t" o:hr="t"/>
        </w:pict>
      </w:r>
    </w:p>
    <w:bookmarkEnd w:id="27"/>
    <w:bookmarkStart w:id="28" w:name="global-002-standards-based-exchange"/>
    <w:p>
      <w:pPr>
        <w:pStyle w:val="Heading3"/>
      </w:pPr>
      <w:r>
        <w:t xml:space="preserve">GLOBAL-002 Standards-Based Exchange</w:t>
      </w:r>
    </w:p>
    <w:p>
      <w:pPr>
        <w:pStyle w:val="FirstParagraph"/>
      </w:pPr>
      <w:r>
        <w:t xml:space="preserve">International interoperability shall rely on recognized technical and educational standards wherever appropriate.</w:t>
      </w:r>
    </w:p>
    <w:p>
      <w:r>
        <w:pict>
          <v:rect style="width:0;height:1.5pt" o:hralign="center" o:hrstd="t" o:hr="t"/>
        </w:pict>
      </w:r>
    </w:p>
    <w:bookmarkEnd w:id="28"/>
    <w:bookmarkStart w:id="29" w:name="global-003-mutual-trust"/>
    <w:p>
      <w:pPr>
        <w:pStyle w:val="Heading3"/>
      </w:pPr>
      <w:r>
        <w:t xml:space="preserve">GLOBAL-003 Mutual Trust</w:t>
      </w:r>
    </w:p>
    <w:p>
      <w:pPr>
        <w:pStyle w:val="FirstParagraph"/>
      </w:pPr>
      <w:r>
        <w:t xml:space="preserve">Information exchange shall occur only between trusted institutions operating under approved governance arrangements.</w:t>
      </w:r>
    </w:p>
    <w:p>
      <w:r>
        <w:pict>
          <v:rect style="width:0;height:1.5pt" o:hralign="center" o:hrstd="t" o:hr="t"/>
        </w:pict>
      </w:r>
    </w:p>
    <w:bookmarkEnd w:id="29"/>
    <w:bookmarkStart w:id="30" w:name="global-004-security-and-privacy"/>
    <w:p>
      <w:pPr>
        <w:pStyle w:val="Heading3"/>
      </w:pPr>
      <w:r>
        <w:t xml:space="preserve">GLOBAL-004 Security and Privacy</w:t>
      </w:r>
    </w:p>
    <w:p>
      <w:pPr>
        <w:pStyle w:val="FirstParagraph"/>
      </w:pPr>
      <w:r>
        <w:t xml:space="preserve">Cross-border information sharing shall maintain enterprise security, privacy, and data protection requirements.</w:t>
      </w:r>
    </w:p>
    <w:p>
      <w:r>
        <w:pict>
          <v:rect style="width:0;height:1.5pt" o:hralign="center" o:hrstd="t" o:hr="t"/>
        </w:pict>
      </w:r>
    </w:p>
    <w:bookmarkEnd w:id="30"/>
    <w:bookmarkStart w:id="31" w:name="global-005-educational-mobility"/>
    <w:p>
      <w:pPr>
        <w:pStyle w:val="Heading3"/>
      </w:pPr>
      <w:r>
        <w:t xml:space="preserve">GLOBAL-005 Educational Mobility</w:t>
      </w:r>
    </w:p>
    <w:p>
      <w:pPr>
        <w:pStyle w:val="FirstParagraph"/>
      </w:pPr>
      <w:r>
        <w:t xml:space="preserve">The platform shall facilitate learner, educator, researcher, and institutional mobility through trusted digital services.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cross-border-education-services"/>
    <w:p>
      <w:pPr>
        <w:pStyle w:val="Heading1"/>
      </w:pPr>
      <w:r>
        <w:t xml:space="preserve">9.4 Cross-Border Education Services</w:t>
      </w:r>
    </w:p>
    <w:p>
      <w:pPr>
        <w:pStyle w:val="FirstParagraph"/>
      </w:pPr>
      <w:r>
        <w:t xml:space="preserve">The platform may support:</w:t>
      </w:r>
    </w:p>
    <w:p>
      <w:pPr>
        <w:pStyle w:val="Compact"/>
        <w:numPr>
          <w:ilvl w:val="0"/>
          <w:numId w:val="1001"/>
        </w:numPr>
      </w:pPr>
      <w:r>
        <w:t xml:space="preserve">Student mobility programmes.</w:t>
      </w:r>
    </w:p>
    <w:p>
      <w:pPr>
        <w:pStyle w:val="Compact"/>
        <w:numPr>
          <w:ilvl w:val="0"/>
          <w:numId w:val="1001"/>
        </w:numPr>
      </w:pPr>
      <w:r>
        <w:t xml:space="preserve">Academic exchange.</w:t>
      </w:r>
    </w:p>
    <w:p>
      <w:pPr>
        <w:pStyle w:val="Compact"/>
        <w:numPr>
          <w:ilvl w:val="0"/>
          <w:numId w:val="1001"/>
        </w:numPr>
      </w:pPr>
      <w:r>
        <w:t xml:space="preserve">International admissions support.</w:t>
      </w:r>
    </w:p>
    <w:p>
      <w:pPr>
        <w:pStyle w:val="Compact"/>
        <w:numPr>
          <w:ilvl w:val="0"/>
          <w:numId w:val="1001"/>
        </w:numPr>
      </w:pPr>
      <w:r>
        <w:t xml:space="preserve">Joint degree administration.</w:t>
      </w:r>
    </w:p>
    <w:p>
      <w:pPr>
        <w:pStyle w:val="Compact"/>
        <w:numPr>
          <w:ilvl w:val="0"/>
          <w:numId w:val="1001"/>
        </w:numPr>
      </w:pPr>
      <w:r>
        <w:t xml:space="preserve">Distance learning partnerships.</w:t>
      </w:r>
    </w:p>
    <w:p>
      <w:pPr>
        <w:pStyle w:val="Compact"/>
        <w:numPr>
          <w:ilvl w:val="0"/>
          <w:numId w:val="1001"/>
        </w:numPr>
      </w:pPr>
      <w:r>
        <w:t xml:space="preserve">Collaborative research.</w:t>
      </w:r>
    </w:p>
    <w:p>
      <w:pPr>
        <w:pStyle w:val="Compact"/>
        <w:numPr>
          <w:ilvl w:val="0"/>
          <w:numId w:val="1001"/>
        </w:numPr>
      </w:pPr>
      <w:r>
        <w:t xml:space="preserve">Cross-border examinations where authorized.</w:t>
      </w:r>
    </w:p>
    <w:p>
      <w:pPr>
        <w:pStyle w:val="Compact"/>
        <w:numPr>
          <w:ilvl w:val="0"/>
          <w:numId w:val="1001"/>
        </w:numPr>
      </w:pPr>
      <w:r>
        <w:t xml:space="preserve">International alumni services.</w:t>
      </w:r>
    </w:p>
    <w:p>
      <w:pPr>
        <w:pStyle w:val="FirstParagraph"/>
      </w:pPr>
      <w:r>
        <w:t xml:space="preserve">Services shall be governed through approved institutional agreements.</w:t>
      </w:r>
    </w:p>
    <w:p>
      <w:r>
        <w:pict>
          <v:rect style="width:0;height:1.5pt" o:hralign="center" o:hrstd="t" o:hr="t"/>
        </w:pict>
      </w:r>
    </w:p>
    <w:bookmarkEnd w:id="33"/>
    <w:bookmarkStart w:id="34" w:name="credential-recognition"/>
    <w:p>
      <w:pPr>
        <w:pStyle w:val="Heading1"/>
      </w:pPr>
      <w:r>
        <w:t xml:space="preserve">9.5 Credential Recognition</w:t>
      </w:r>
    </w:p>
    <w:p>
      <w:pPr>
        <w:pStyle w:val="FirstParagraph"/>
      </w:pPr>
      <w:r>
        <w:t xml:space="preserve">EduOS may support:</w:t>
      </w:r>
    </w:p>
    <w:p>
      <w:pPr>
        <w:pStyle w:val="Compact"/>
        <w:numPr>
          <w:ilvl w:val="0"/>
          <w:numId w:val="1002"/>
        </w:numPr>
      </w:pPr>
      <w:r>
        <w:t xml:space="preserve">Digital diploma verification.</w:t>
      </w:r>
    </w:p>
    <w:p>
      <w:pPr>
        <w:pStyle w:val="Compact"/>
        <w:numPr>
          <w:ilvl w:val="0"/>
          <w:numId w:val="1002"/>
        </w:numPr>
      </w:pPr>
      <w:r>
        <w:t xml:space="preserve">Academic transcript verification.</w:t>
      </w:r>
    </w:p>
    <w:p>
      <w:pPr>
        <w:pStyle w:val="Compact"/>
        <w:numPr>
          <w:ilvl w:val="0"/>
          <w:numId w:val="1002"/>
        </w:numPr>
      </w:pPr>
      <w:r>
        <w:t xml:space="preserve">Professional qualification verification.</w:t>
      </w:r>
    </w:p>
    <w:p>
      <w:pPr>
        <w:pStyle w:val="Compact"/>
        <w:numPr>
          <w:ilvl w:val="0"/>
          <w:numId w:val="1002"/>
        </w:numPr>
      </w:pPr>
      <w:r>
        <w:t xml:space="preserve">Teacher certification verification.</w:t>
      </w:r>
    </w:p>
    <w:p>
      <w:pPr>
        <w:pStyle w:val="Compact"/>
        <w:numPr>
          <w:ilvl w:val="0"/>
          <w:numId w:val="1002"/>
        </w:numPr>
      </w:pPr>
      <w:r>
        <w:t xml:space="preserve">Competency recognition.</w:t>
      </w:r>
    </w:p>
    <w:p>
      <w:pPr>
        <w:pStyle w:val="Compact"/>
        <w:numPr>
          <w:ilvl w:val="0"/>
          <w:numId w:val="1002"/>
        </w:numPr>
      </w:pPr>
      <w:r>
        <w:t xml:space="preserve">Skills passport exchange.</w:t>
      </w:r>
    </w:p>
    <w:p>
      <w:pPr>
        <w:pStyle w:val="Compact"/>
        <w:numPr>
          <w:ilvl w:val="0"/>
          <w:numId w:val="1002"/>
        </w:numPr>
      </w:pPr>
      <w:r>
        <w:t xml:space="preserve">Lifelong learning records.</w:t>
      </w:r>
    </w:p>
    <w:p>
      <w:pPr>
        <w:pStyle w:val="Compact"/>
        <w:numPr>
          <w:ilvl w:val="0"/>
          <w:numId w:val="1002"/>
        </w:numPr>
      </w:pPr>
      <w:r>
        <w:t xml:space="preserve">International credential validation.</w:t>
      </w:r>
    </w:p>
    <w:p>
      <w:pPr>
        <w:pStyle w:val="FirstParagraph"/>
      </w:pPr>
      <w:r>
        <w:t xml:space="preserve">Verification shall rely upon trusted digital credential services.</w:t>
      </w:r>
    </w:p>
    <w:p>
      <w:r>
        <w:pict>
          <v:rect style="width:0;height:1.5pt" o:hralign="center" o:hrstd="t" o:hr="t"/>
        </w:pict>
      </w:r>
    </w:p>
    <w:bookmarkEnd w:id="34"/>
    <w:bookmarkStart w:id="35" w:name="international-standards"/>
    <w:p>
      <w:pPr>
        <w:pStyle w:val="Heading1"/>
      </w:pPr>
      <w:r>
        <w:t xml:space="preserve">9.6 International Standards</w:t>
      </w:r>
    </w:p>
    <w:p>
      <w:pPr>
        <w:pStyle w:val="FirstParagraph"/>
      </w:pPr>
      <w:r>
        <w:t xml:space="preserve">The enterprise architecture shall support applicable international standards relating to:</w:t>
      </w:r>
    </w:p>
    <w:p>
      <w:pPr>
        <w:pStyle w:val="Compact"/>
        <w:numPr>
          <w:ilvl w:val="0"/>
          <w:numId w:val="1003"/>
        </w:numPr>
      </w:pPr>
      <w:r>
        <w:t xml:space="preserve">Digital credentials.</w:t>
      </w:r>
    </w:p>
    <w:p>
      <w:pPr>
        <w:pStyle w:val="Compact"/>
        <w:numPr>
          <w:ilvl w:val="0"/>
          <w:numId w:val="1003"/>
        </w:numPr>
      </w:pPr>
      <w:r>
        <w:t xml:space="preserve">Identity management.</w:t>
      </w:r>
    </w:p>
    <w:p>
      <w:pPr>
        <w:pStyle w:val="Compact"/>
        <w:numPr>
          <w:ilvl w:val="0"/>
          <w:numId w:val="1003"/>
        </w:numPr>
      </w:pPr>
      <w:r>
        <w:t xml:space="preserve">Learning interoperability.</w:t>
      </w:r>
    </w:p>
    <w:p>
      <w:pPr>
        <w:pStyle w:val="Compact"/>
        <w:numPr>
          <w:ilvl w:val="0"/>
          <w:numId w:val="1003"/>
        </w:numPr>
      </w:pPr>
      <w:r>
        <w:t xml:space="preserve">Educational metadata.</w:t>
      </w:r>
    </w:p>
    <w:p>
      <w:pPr>
        <w:pStyle w:val="Compact"/>
        <w:numPr>
          <w:ilvl w:val="0"/>
          <w:numId w:val="1003"/>
        </w:numPr>
      </w:pPr>
      <w:r>
        <w:t xml:space="preserve">Accessibility.</w:t>
      </w:r>
    </w:p>
    <w:p>
      <w:pPr>
        <w:pStyle w:val="Compact"/>
        <w:numPr>
          <w:ilvl w:val="0"/>
          <w:numId w:val="1003"/>
        </w:numPr>
      </w:pPr>
      <w:r>
        <w:t xml:space="preserve">Security.</w:t>
      </w:r>
    </w:p>
    <w:p>
      <w:pPr>
        <w:pStyle w:val="Compact"/>
        <w:numPr>
          <w:ilvl w:val="0"/>
          <w:numId w:val="1003"/>
        </w:numPr>
      </w:pPr>
      <w:r>
        <w:t xml:space="preserve">Multilingual content.</w:t>
      </w:r>
    </w:p>
    <w:p>
      <w:pPr>
        <w:pStyle w:val="Compact"/>
        <w:numPr>
          <w:ilvl w:val="0"/>
          <w:numId w:val="1003"/>
        </w:numPr>
      </w:pPr>
      <w:r>
        <w:t xml:space="preserve">Data exchange.</w:t>
      </w:r>
    </w:p>
    <w:p>
      <w:pPr>
        <w:pStyle w:val="FirstParagraph"/>
      </w:pPr>
      <w:r>
        <w:t xml:space="preserve">Adoption shall remain consistent with national governance and implementation priorities.</w:t>
      </w:r>
    </w:p>
    <w:p>
      <w:r>
        <w:pict>
          <v:rect style="width:0;height:1.5pt" o:hralign="center" o:hrstd="t" o:hr="t"/>
        </w:pict>
      </w:r>
    </w:p>
    <w:bookmarkEnd w:id="35"/>
    <w:bookmarkStart w:id="36" w:name="regional-and-international-collaboration"/>
    <w:p>
      <w:pPr>
        <w:pStyle w:val="Heading1"/>
      </w:pPr>
      <w:r>
        <w:t xml:space="preserve">9.7 Regional and International Collaboration</w:t>
      </w:r>
    </w:p>
    <w:p>
      <w:pPr>
        <w:pStyle w:val="FirstParagraph"/>
      </w:pPr>
      <w:r>
        <w:t xml:space="preserve">EduOS may facilitate collaboration with:</w:t>
      </w:r>
    </w:p>
    <w:p>
      <w:pPr>
        <w:pStyle w:val="Compact"/>
        <w:numPr>
          <w:ilvl w:val="0"/>
          <w:numId w:val="1004"/>
        </w:numPr>
      </w:pPr>
      <w:r>
        <w:t xml:space="preserve">Universities.</w:t>
      </w:r>
    </w:p>
    <w:p>
      <w:pPr>
        <w:pStyle w:val="Compact"/>
        <w:numPr>
          <w:ilvl w:val="0"/>
          <w:numId w:val="1004"/>
        </w:numPr>
      </w:pPr>
      <w:r>
        <w:t xml:space="preserve">Research institutions.</w:t>
      </w:r>
    </w:p>
    <w:p>
      <w:pPr>
        <w:pStyle w:val="Compact"/>
        <w:numPr>
          <w:ilvl w:val="0"/>
          <w:numId w:val="1004"/>
        </w:numPr>
      </w:pPr>
      <w:r>
        <w:t xml:space="preserve">Regional education bodies.</w:t>
      </w:r>
    </w:p>
    <w:p>
      <w:pPr>
        <w:pStyle w:val="Compact"/>
        <w:numPr>
          <w:ilvl w:val="0"/>
          <w:numId w:val="1004"/>
        </w:numPr>
      </w:pPr>
      <w:r>
        <w:t xml:space="preserve">International organizations.</w:t>
      </w:r>
    </w:p>
    <w:p>
      <w:pPr>
        <w:pStyle w:val="Compact"/>
        <w:numPr>
          <w:ilvl w:val="0"/>
          <w:numId w:val="1004"/>
        </w:numPr>
      </w:pPr>
      <w:r>
        <w:t xml:space="preserve">Accreditation agencies.</w:t>
      </w:r>
    </w:p>
    <w:p>
      <w:pPr>
        <w:pStyle w:val="Compact"/>
        <w:numPr>
          <w:ilvl w:val="0"/>
          <w:numId w:val="1004"/>
        </w:numPr>
      </w:pPr>
      <w:r>
        <w:t xml:space="preserve">Development partners.</w:t>
      </w:r>
    </w:p>
    <w:p>
      <w:pPr>
        <w:pStyle w:val="Compact"/>
        <w:numPr>
          <w:ilvl w:val="0"/>
          <w:numId w:val="1004"/>
        </w:numPr>
      </w:pPr>
      <w:r>
        <w:t xml:space="preserve">Professional associations.</w:t>
      </w:r>
    </w:p>
    <w:p>
      <w:pPr>
        <w:pStyle w:val="Compact"/>
        <w:numPr>
          <w:ilvl w:val="0"/>
          <w:numId w:val="1004"/>
        </w:numPr>
      </w:pPr>
      <w:r>
        <w:t xml:space="preserve">Educational technology providers.</w:t>
      </w:r>
    </w:p>
    <w:p>
      <w:pPr>
        <w:pStyle w:val="FirstParagraph"/>
      </w:pPr>
      <w:r>
        <w:t xml:space="preserve">Collaborative initiatives shall be formally governed.</w:t>
      </w:r>
    </w:p>
    <w:p>
      <w:r>
        <w:pict>
          <v:rect style="width:0;height:1.5pt" o:hralign="center" o:hrstd="t" o:hr="t"/>
        </w:pict>
      </w:r>
    </w:p>
    <w:bookmarkEnd w:id="36"/>
    <w:bookmarkStart w:id="37" w:name="multilingual-education"/>
    <w:p>
      <w:pPr>
        <w:pStyle w:val="Heading1"/>
      </w:pPr>
      <w:r>
        <w:t xml:space="preserve">9.8 Multilingual Education</w:t>
      </w:r>
    </w:p>
    <w:p>
      <w:pPr>
        <w:pStyle w:val="FirstParagraph"/>
      </w:pPr>
      <w:r>
        <w:t xml:space="preserve">International services shall support:</w:t>
      </w:r>
    </w:p>
    <w:p>
      <w:pPr>
        <w:pStyle w:val="Compact"/>
        <w:numPr>
          <w:ilvl w:val="0"/>
          <w:numId w:val="1005"/>
        </w:numPr>
      </w:pPr>
      <w:r>
        <w:t xml:space="preserve">Multilingual interfaces.</w:t>
      </w:r>
    </w:p>
    <w:p>
      <w:pPr>
        <w:pStyle w:val="Compact"/>
        <w:numPr>
          <w:ilvl w:val="0"/>
          <w:numId w:val="1005"/>
        </w:numPr>
      </w:pPr>
      <w:r>
        <w:t xml:space="preserve">Translation assistance.</w:t>
      </w:r>
    </w:p>
    <w:p>
      <w:pPr>
        <w:pStyle w:val="Compact"/>
        <w:numPr>
          <w:ilvl w:val="0"/>
          <w:numId w:val="1005"/>
        </w:numPr>
      </w:pPr>
      <w:r>
        <w:t xml:space="preserve">International document exchange.</w:t>
      </w:r>
    </w:p>
    <w:p>
      <w:pPr>
        <w:pStyle w:val="Compact"/>
        <w:numPr>
          <w:ilvl w:val="0"/>
          <w:numId w:val="1005"/>
        </w:numPr>
      </w:pPr>
      <w:r>
        <w:t xml:space="preserve">Curriculum mapping.</w:t>
      </w:r>
    </w:p>
    <w:p>
      <w:pPr>
        <w:pStyle w:val="Compact"/>
        <w:numPr>
          <w:ilvl w:val="0"/>
          <w:numId w:val="1005"/>
        </w:numPr>
      </w:pPr>
      <w:r>
        <w:t xml:space="preserve">Cross-language search.</w:t>
      </w:r>
    </w:p>
    <w:p>
      <w:pPr>
        <w:pStyle w:val="Compact"/>
        <w:numPr>
          <w:ilvl w:val="0"/>
          <w:numId w:val="1005"/>
        </w:numPr>
      </w:pPr>
      <w:r>
        <w:t xml:space="preserve">Accessibility across official and supported languages.</w:t>
      </w:r>
    </w:p>
    <w:p>
      <w:pPr>
        <w:pStyle w:val="FirstParagraph"/>
      </w:pPr>
      <w:r>
        <w:t xml:space="preserve">Language services shall maintain educational accuracy and cultural appropriateness.</w:t>
      </w:r>
    </w:p>
    <w:p>
      <w:r>
        <w:pict>
          <v:rect style="width:0;height:1.5pt" o:hralign="center" o:hrstd="t" o:hr="t"/>
        </w:pict>
      </w:r>
    </w:p>
    <w:bookmarkEnd w:id="37"/>
    <w:bookmarkStart w:id="38" w:name="governance-framework"/>
    <w:p>
      <w:pPr>
        <w:pStyle w:val="Heading1"/>
      </w:pPr>
      <w:r>
        <w:t xml:space="preserve">9.9 Governance Framework</w:t>
      </w:r>
    </w:p>
    <w:p>
      <w:pPr>
        <w:pStyle w:val="FirstParagraph"/>
      </w:pPr>
      <w:r>
        <w:t xml:space="preserve">International governance shall maintain:</w:t>
      </w:r>
    </w:p>
    <w:p>
      <w:pPr>
        <w:pStyle w:val="Compact"/>
        <w:numPr>
          <w:ilvl w:val="0"/>
          <w:numId w:val="1006"/>
        </w:numPr>
      </w:pPr>
      <w:r>
        <w:t xml:space="preserve">Partnership registry.</w:t>
      </w:r>
    </w:p>
    <w:p>
      <w:pPr>
        <w:pStyle w:val="Compact"/>
        <w:numPr>
          <w:ilvl w:val="0"/>
          <w:numId w:val="1006"/>
        </w:numPr>
      </w:pPr>
      <w:r>
        <w:t xml:space="preserve">Institutional agreements.</w:t>
      </w:r>
    </w:p>
    <w:p>
      <w:pPr>
        <w:pStyle w:val="Compact"/>
        <w:numPr>
          <w:ilvl w:val="0"/>
          <w:numId w:val="1006"/>
        </w:numPr>
      </w:pPr>
      <w:r>
        <w:t xml:space="preserve">Cross-border data sharing approvals.</w:t>
      </w:r>
    </w:p>
    <w:p>
      <w:pPr>
        <w:pStyle w:val="Compact"/>
        <w:numPr>
          <w:ilvl w:val="0"/>
          <w:numId w:val="1006"/>
        </w:numPr>
      </w:pPr>
      <w:r>
        <w:t xml:space="preserve">Credential trust registry.</w:t>
      </w:r>
    </w:p>
    <w:p>
      <w:pPr>
        <w:pStyle w:val="Compact"/>
        <w:numPr>
          <w:ilvl w:val="0"/>
          <w:numId w:val="1006"/>
        </w:numPr>
      </w:pPr>
      <w:r>
        <w:t xml:space="preserve">International standards catalogue.</w:t>
      </w:r>
    </w:p>
    <w:p>
      <w:pPr>
        <w:pStyle w:val="Compact"/>
        <w:numPr>
          <w:ilvl w:val="0"/>
          <w:numId w:val="1006"/>
        </w:numPr>
      </w:pPr>
      <w:r>
        <w:t xml:space="preserve">Compliance records.</w:t>
      </w:r>
    </w:p>
    <w:p>
      <w:pPr>
        <w:pStyle w:val="Compact"/>
        <w:numPr>
          <w:ilvl w:val="0"/>
          <w:numId w:val="1006"/>
        </w:numPr>
      </w:pPr>
      <w:r>
        <w:t xml:space="preserve">Audit history.</w:t>
      </w:r>
    </w:p>
    <w:p>
      <w:pPr>
        <w:pStyle w:val="Compact"/>
        <w:numPr>
          <w:ilvl w:val="0"/>
          <w:numId w:val="1006"/>
        </w:numPr>
      </w:pPr>
      <w:r>
        <w:t xml:space="preserve">Periodic review reports.</w:t>
      </w:r>
    </w:p>
    <w:p>
      <w:pPr>
        <w:pStyle w:val="FirstParagraph"/>
      </w:pPr>
      <w:r>
        <w:t xml:space="preserve">Governance shall ensure lawful and trusted international collaboration.</w:t>
      </w:r>
    </w:p>
    <w:p>
      <w:r>
        <w:pict>
          <v:rect style="width:0;height:1.5pt" o:hralign="center" o:hrstd="t" o:hr="t"/>
        </w:pict>
      </w:r>
    </w:p>
    <w:bookmarkEnd w:id="38"/>
    <w:bookmarkStart w:id="44" w:name="business-rules"/>
    <w:p>
      <w:pPr>
        <w:pStyle w:val="Heading1"/>
      </w:pPr>
      <w:r>
        <w:t xml:space="preserve">9.10 Business Rules</w:t>
      </w:r>
    </w:p>
    <w:bookmarkStart w:id="39" w:name="br-global-001"/>
    <w:p>
      <w:pPr>
        <w:pStyle w:val="Heading3"/>
      </w:pPr>
      <w:r>
        <w:t xml:space="preserve">BR-GLOBAL-001</w:t>
      </w:r>
    </w:p>
    <w:p>
      <w:pPr>
        <w:pStyle w:val="FirstParagraph"/>
      </w:pPr>
      <w:r>
        <w:t xml:space="preserve">Cross-border education services shall operate only under approved legal, institutional, and governance arrangements.</w:t>
      </w:r>
    </w:p>
    <w:p>
      <w:r>
        <w:pict>
          <v:rect style="width:0;height:1.5pt" o:hralign="center" o:hrstd="t" o:hr="t"/>
        </w:pict>
      </w:r>
    </w:p>
    <w:bookmarkEnd w:id="39"/>
    <w:bookmarkStart w:id="40" w:name="br-global-002"/>
    <w:p>
      <w:pPr>
        <w:pStyle w:val="Heading3"/>
      </w:pPr>
      <w:r>
        <w:t xml:space="preserve">BR-GLOBAL-002</w:t>
      </w:r>
    </w:p>
    <w:p>
      <w:pPr>
        <w:pStyle w:val="FirstParagraph"/>
      </w:pPr>
      <w:r>
        <w:t xml:space="preserve">International credential verification shall utilize approved trust frameworks and secure verification mechanisms.</w:t>
      </w:r>
    </w:p>
    <w:p>
      <w:r>
        <w:pict>
          <v:rect style="width:0;height:1.5pt" o:hralign="center" o:hrstd="t" o:hr="t"/>
        </w:pict>
      </w:r>
    </w:p>
    <w:bookmarkEnd w:id="40"/>
    <w:bookmarkStart w:id="41" w:name="br-global-003"/>
    <w:p>
      <w:pPr>
        <w:pStyle w:val="Heading3"/>
      </w:pPr>
      <w:r>
        <w:t xml:space="preserve">BR-GLOBAL-003</w:t>
      </w:r>
    </w:p>
    <w:p>
      <w:pPr>
        <w:pStyle w:val="FirstParagraph"/>
      </w:pPr>
      <w:r>
        <w:t xml:space="preserve">Cross-border information exchange shall comply with applicable privacy, cybersecurity, and information governance requirements.</w:t>
      </w:r>
    </w:p>
    <w:p>
      <w:r>
        <w:pict>
          <v:rect style="width:0;height:1.5pt" o:hralign="center" o:hrstd="t" o:hr="t"/>
        </w:pict>
      </w:r>
    </w:p>
    <w:bookmarkEnd w:id="41"/>
    <w:bookmarkStart w:id="42" w:name="br-global-004"/>
    <w:p>
      <w:pPr>
        <w:pStyle w:val="Heading3"/>
      </w:pPr>
      <w:r>
        <w:t xml:space="preserve">BR-GLOBAL-004</w:t>
      </w:r>
    </w:p>
    <w:p>
      <w:pPr>
        <w:pStyle w:val="FirstParagraph"/>
      </w:pPr>
      <w:r>
        <w:t xml:space="preserve">International interoperability shall utilize enterprise-approved standards and documented integration specifications.</w:t>
      </w:r>
    </w:p>
    <w:p>
      <w:r>
        <w:pict>
          <v:rect style="width:0;height:1.5pt" o:hralign="center" o:hrstd="t" o:hr="t"/>
        </w:pict>
      </w:r>
    </w:p>
    <w:bookmarkEnd w:id="42"/>
    <w:bookmarkStart w:id="43" w:name="br-global-005"/>
    <w:p>
      <w:pPr>
        <w:pStyle w:val="Heading3"/>
      </w:pPr>
      <w:r>
        <w:t xml:space="preserve">BR-GLOBAL-005</w:t>
      </w:r>
    </w:p>
    <w:p>
      <w:pPr>
        <w:pStyle w:val="FirstParagraph"/>
      </w:pPr>
      <w:r>
        <w:t xml:space="preserve">International partnerships shall undergo periodic governance and compliance review.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cceptance-criteria"/>
    <w:p>
      <w:pPr>
        <w:pStyle w:val="Heading1"/>
      </w:pPr>
      <w:r>
        <w:t xml:space="preserve">9.11 Acceptance Criteria</w:t>
      </w:r>
    </w:p>
    <w:p>
      <w:pPr>
        <w:pStyle w:val="FirstParagraph"/>
      </w:pPr>
      <w:r>
        <w:t xml:space="preserve">The International Interoperability Framework shall be considered complete when:</w:t>
      </w:r>
    </w:p>
    <w:p>
      <w:pPr>
        <w:pStyle w:val="Compact"/>
        <w:numPr>
          <w:ilvl w:val="0"/>
          <w:numId w:val="1007"/>
        </w:numPr>
      </w:pPr>
      <w:r>
        <w:t xml:space="preserve">Cross-border service architecture is documented.</w:t>
      </w:r>
    </w:p>
    <w:p>
      <w:pPr>
        <w:pStyle w:val="Compact"/>
        <w:numPr>
          <w:ilvl w:val="0"/>
          <w:numId w:val="1007"/>
        </w:numPr>
      </w:pPr>
      <w:r>
        <w:t xml:space="preserve">Credential recognition processes are defined.</w:t>
      </w:r>
    </w:p>
    <w:p>
      <w:pPr>
        <w:pStyle w:val="Compact"/>
        <w:numPr>
          <w:ilvl w:val="0"/>
          <w:numId w:val="1007"/>
        </w:numPr>
      </w:pPr>
      <w:r>
        <w:t xml:space="preserve">International standards are catalogued.</w:t>
      </w:r>
    </w:p>
    <w:p>
      <w:pPr>
        <w:pStyle w:val="Compact"/>
        <w:numPr>
          <w:ilvl w:val="0"/>
          <w:numId w:val="1007"/>
        </w:numPr>
      </w:pPr>
      <w:r>
        <w:t xml:space="preserve">Multilingual support is established.</w:t>
      </w:r>
    </w:p>
    <w:p>
      <w:pPr>
        <w:pStyle w:val="Compact"/>
        <w:numPr>
          <w:ilvl w:val="0"/>
          <w:numId w:val="1007"/>
        </w:numPr>
      </w:pPr>
      <w:r>
        <w:t xml:space="preserve">Partnership governance is operational.</w:t>
      </w:r>
    </w:p>
    <w:p>
      <w:pPr>
        <w:pStyle w:val="Compact"/>
        <w:numPr>
          <w:ilvl w:val="0"/>
          <w:numId w:val="1007"/>
        </w:numPr>
      </w:pPr>
      <w:r>
        <w:t xml:space="preserve">Compliance procedures are implemented.</w:t>
      </w:r>
    </w:p>
    <w:p>
      <w:pPr>
        <w:pStyle w:val="Compact"/>
        <w:numPr>
          <w:ilvl w:val="0"/>
          <w:numId w:val="1007"/>
        </w:numPr>
      </w:pPr>
      <w:r>
        <w:t xml:space="preserve">Trust framework is documented.</w:t>
      </w:r>
    </w:p>
    <w:p>
      <w:r>
        <w:pict>
          <v:rect style="width:0;height:1.5pt" o:hralign="center" o:hrstd="t" o:hr="t"/>
        </w:pict>
      </w:r>
    </w:p>
    <w:bookmarkEnd w:id="45"/>
    <w:bookmarkStart w:id="46" w:name="summary"/>
    <w:p>
      <w:pPr>
        <w:pStyle w:val="Heading1"/>
      </w:pPr>
      <w:r>
        <w:t xml:space="preserve">9.12 Summary</w:t>
      </w:r>
    </w:p>
    <w:p>
      <w:pPr>
        <w:pStyle w:val="FirstParagraph"/>
      </w:pPr>
      <w:r>
        <w:t xml:space="preserve">The International Interoperability, Cross-Border Education and Global Recognition framework establishes the international dimension of EduOS Cameroon.</w:t>
      </w:r>
    </w:p>
    <w:p>
      <w:pPr>
        <w:pStyle w:val="BodyText"/>
      </w:pPr>
      <w:r>
        <w:t xml:space="preserve">By defining secure cross-border education services, trusted credential recognition, multilingual interoperability, partnership governance, international standards, and legal compliance, this framework positions EduOS Cameroon to participate confidently in regional, continental, and global education ecosystems.</w:t>
      </w:r>
    </w:p>
    <w:p>
      <w:pPr>
        <w:pStyle w:val="BodyText"/>
      </w:pPr>
      <w:r>
        <w:t xml:space="preserve">It strengthens learner mobility, institutional collaboration, research partnerships, and international recognition while preserving national educational sovereignty and governance.</w:t>
      </w:r>
    </w:p>
    <w:p>
      <w:r>
        <w:pict>
          <v:rect style="width:0;height:1.5pt" o:hralign="center" o:hrstd="t" o:hr="t"/>
        </w:pict>
      </w:r>
    </w:p>
    <w:bookmarkEnd w:id="46"/>
    <w:bookmarkStart w:id="47" w:name="volume-ix-progress"/>
    <w:p>
      <w:pPr>
        <w:pStyle w:val="Heading1"/>
      </w:pPr>
      <w:r>
        <w:t xml:space="preserve">VOLUME IX PROGRESS</w:t>
      </w:r>
    </w:p>
    <w:p>
      <w:pPr>
        <w:pStyle w:val="FirstParagraph"/>
      </w:pPr>
      <w:r>
        <w:t xml:space="preserve">Completed Chapters:</w:t>
      </w:r>
    </w:p>
    <w:p>
      <w:pPr>
        <w:pStyle w:val="BodyText"/>
      </w:pPr>
      <w:r>
        <w:t xml:space="preserve">✓ Chapter 1 – National Education Super App Strategy and Digital Ecosystem Vision</w:t>
      </w:r>
    </w:p>
    <w:p>
      <w:pPr>
        <w:pStyle w:val="BodyText"/>
      </w:pPr>
      <w:r>
        <w:t xml:space="preserve">✓ Chapter 2 – Open API Marketplace and Developer Ecosystem</w:t>
      </w:r>
    </w:p>
    <w:p>
      <w:pPr>
        <w:pStyle w:val="BodyText"/>
      </w:pPr>
      <w:r>
        <w:t xml:space="preserve">✓ Chapter 3 – Third-Party Applications and Plugin Framework</w:t>
      </w:r>
    </w:p>
    <w:p>
      <w:pPr>
        <w:pStyle w:val="BodyText"/>
      </w:pPr>
      <w:r>
        <w:t xml:space="preserve">✓ Chapter 4 – Digital Credentials, Digital Wallets and Verifiable Credentials</w:t>
      </w:r>
    </w:p>
    <w:p>
      <w:pPr>
        <w:pStyle w:val="BodyText"/>
      </w:pPr>
      <w:r>
        <w:t xml:space="preserve">✓ Chapter 5 – Research, Innovation and EdTech Sandbox</w:t>
      </w:r>
    </w:p>
    <w:p>
      <w:pPr>
        <w:pStyle w:val="BodyText"/>
      </w:pPr>
      <w:r>
        <w:t xml:space="preserve">✓ Chapter 6 – Smart Classrooms, Internet of Things (IoT) and Connected Campuses</w:t>
      </w:r>
    </w:p>
    <w:p>
      <w:pPr>
        <w:pStyle w:val="BodyText"/>
      </w:pPr>
      <w:r>
        <w:t xml:space="preserve">✓ Chapter 7 – Augmented Reality (AR), Virtual Reality (VR), Extended Reality (XR) and Immersive Learning</w:t>
      </w:r>
    </w:p>
    <w:p>
      <w:pPr>
        <w:pStyle w:val="BodyText"/>
      </w:pPr>
      <w:r>
        <w:t xml:space="preserve">✓ Chapter 8 – Robotics, STEM and Makerspace Integration</w:t>
      </w:r>
    </w:p>
    <w:p>
      <w:pPr>
        <w:pStyle w:val="BodyText"/>
      </w:pPr>
      <w:r>
        <w:t xml:space="preserve">✓ Chapter 9 – International Interoperability, Cross-Border Education and Global Recognition</w:t>
      </w:r>
    </w:p>
    <w:p>
      <w:pPr>
        <w:pStyle w:val="BodyText"/>
      </w:pPr>
      <w:r>
        <w:t xml:space="preserve">Remaining Chapters:</w:t>
      </w:r>
    </w:p>
    <w:p>
      <w:pPr>
        <w:pStyle w:val="Compact"/>
        <w:numPr>
          <w:ilvl w:val="0"/>
          <w:numId w:val="1008"/>
        </w:numPr>
      </w:pPr>
      <w:r>
        <w:t xml:space="preserve">Chapter 10 – Sustainability, Green Computing and Digital Inclusion</w:t>
      </w:r>
    </w:p>
    <w:p>
      <w:pPr>
        <w:pStyle w:val="Compact"/>
        <w:numPr>
          <w:ilvl w:val="0"/>
          <w:numId w:val="1008"/>
        </w:numPr>
      </w:pPr>
      <w:r>
        <w:t xml:space="preserve">Chapter 11 – Emerging Technology Governance and Future Readiness</w:t>
      </w:r>
    </w:p>
    <w:p>
      <w:pPr>
        <w:pStyle w:val="Compact"/>
        <w:numPr>
          <w:ilvl w:val="0"/>
          <w:numId w:val="1008"/>
        </w:numPr>
      </w:pPr>
      <w:r>
        <w:t xml:space="preserve">Chapter 12 – National Education Innovation Reference Architecture and Strategic Roadmap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2026-07-10T14:48:20Z</dcterms:created>
  <dcterms:modified xsi:type="dcterms:W3CDTF">2026-07-10T14:48:20Z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