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x"/>
    <w:p>
      <w:pPr>
        <w:pStyle w:val="Heading1"/>
      </w:pPr>
      <w:r>
        <w:t xml:space="preserve">VOLUME IX</w:t>
      </w:r>
    </w:p>
    <w:bookmarkEnd w:id="21"/>
    <w:bookmarkStart w:id="23" w:name="Xdcfc02e57cb8d11f2441a5b8cc4c3e57d2e0628"/>
    <w:p>
      <w:pPr>
        <w:pStyle w:val="Heading1"/>
      </w:pPr>
      <w:r>
        <w:t xml:space="preserve">NATIONAL DIGITAL EDUCATION ECOSYSTEM, INNOVATION, OPEN PLATFORM AND FUTURE READINESS</w:t>
      </w:r>
    </w:p>
    <w:bookmarkStart w:id="22" w:name="chapter-7"/>
    <w:p>
      <w:pPr>
        <w:pStyle w:val="Heading2"/>
      </w:pPr>
      <w:r>
        <w:t xml:space="preserve">CHAPTER 7</w:t>
      </w:r>
    </w:p>
    <w:bookmarkEnd w:id="22"/>
    <w:bookmarkEnd w:id="23"/>
    <w:bookmarkStart w:id="24" w:name="X52434cc4ae9a5934d193e3090ccb947bb2876cb"/>
    <w:p>
      <w:pPr>
        <w:pStyle w:val="Heading1"/>
      </w:pPr>
      <w:r>
        <w:t xml:space="preserve">AUGMENTED REALITY (AR), VIRTUAL REALITY (VR), EXTENDED REALITY (XR) AND IMMERSIVE LEARNING</w:t>
      </w:r>
    </w:p>
    <w:p>
      <w:r>
        <w:pict>
          <v:rect style="width:0;height:1.5pt" o:hralign="center" o:hrstd="t" o:hr="t"/>
        </w:pict>
      </w:r>
    </w:p>
    <w:bookmarkEnd w:id="24"/>
    <w:bookmarkStart w:id="25" w:name="purpose"/>
    <w:p>
      <w:pPr>
        <w:pStyle w:val="Heading1"/>
      </w:pPr>
      <w:r>
        <w:t xml:space="preserve">7.1 Purpose</w:t>
      </w:r>
    </w:p>
    <w:p>
      <w:pPr>
        <w:pStyle w:val="FirstParagraph"/>
      </w:pPr>
      <w:r>
        <w:t xml:space="preserve">This chapter establishes the enterprise framework governing Augmented Reality (AR), Virtual Reality (VR), Mixed Reality (MR), Extended Reality (XR), immersive learning environments, virtual laboratories, simulation-based education, and spatial computing within the EduOS Cameroon ecosystem.</w:t>
      </w:r>
    </w:p>
    <w:p>
      <w:pPr>
        <w:pStyle w:val="BodyText"/>
      </w:pPr>
      <w:r>
        <w:t xml:space="preserve">Its objective is to enhance educational outcomes through immersive, interactive, and experiential learning while ensuring accessibility, pedagogical effectiveness, security, and responsible technology governance.</w:t>
      </w:r>
    </w:p>
    <w:p>
      <w:r>
        <w:pict>
          <v:rect style="width:0;height:1.5pt" o:hralign="center" o:hrstd="t" o:hr="t"/>
        </w:pict>
      </w:r>
    </w:p>
    <w:bookmarkEnd w:id="25"/>
    <w:bookmarkStart w:id="26" w:name="vision"/>
    <w:p>
      <w:pPr>
        <w:pStyle w:val="Heading1"/>
      </w:pPr>
      <w:r>
        <w:t xml:space="preserve">7.2 Vision</w:t>
      </w:r>
    </w:p>
    <w:p>
      <w:pPr>
        <w:pStyle w:val="FirstParagraph"/>
      </w:pPr>
      <w:r>
        <w:t xml:space="preserve">EduOS Cameroon shall support immersive educational experiences that enable learners to explore concepts, conduct virtual experiments, practice technical skills, and participate in realistic simulations regardless of geographical location or physical resource limitations.</w:t>
      </w:r>
    </w:p>
    <w:p>
      <w:pPr>
        <w:pStyle w:val="BodyText"/>
      </w:pPr>
      <w:r>
        <w:t xml:space="preserve">Immersive technologies shall complement classroom instruction rather than replace educators.</w:t>
      </w:r>
    </w:p>
    <w:p>
      <w:r>
        <w:pict>
          <v:rect style="width:0;height:1.5pt" o:hralign="center" o:hrstd="t" o:hr="t"/>
        </w:pict>
      </w:r>
    </w:p>
    <w:bookmarkEnd w:id="26"/>
    <w:bookmarkStart w:id="32" w:name="guiding-principles"/>
    <w:p>
      <w:pPr>
        <w:pStyle w:val="Heading1"/>
      </w:pPr>
      <w:r>
        <w:t xml:space="preserve">7.3 Guiding Principles</w:t>
      </w:r>
    </w:p>
    <w:p>
      <w:pPr>
        <w:pStyle w:val="FirstParagraph"/>
      </w:pPr>
      <w:r>
        <w:t xml:space="preserve">Immersive learning shall follow these principles.</w:t>
      </w:r>
    </w:p>
    <w:bookmarkStart w:id="27" w:name="xr-001-educational-purpose"/>
    <w:p>
      <w:pPr>
        <w:pStyle w:val="Heading3"/>
      </w:pPr>
      <w:r>
        <w:t xml:space="preserve">XR-001 Educational Purpose</w:t>
      </w:r>
    </w:p>
    <w:p>
      <w:pPr>
        <w:pStyle w:val="FirstParagraph"/>
      </w:pPr>
      <w:r>
        <w:t xml:space="preserve">Every immersive experience shall have clearly defined curriculum-aligned learning objectives.</w:t>
      </w:r>
    </w:p>
    <w:p>
      <w:r>
        <w:pict>
          <v:rect style="width:0;height:1.5pt" o:hralign="center" o:hrstd="t" o:hr="t"/>
        </w:pict>
      </w:r>
    </w:p>
    <w:bookmarkEnd w:id="27"/>
    <w:bookmarkStart w:id="28" w:name="xr-002-accessibility"/>
    <w:p>
      <w:pPr>
        <w:pStyle w:val="Heading3"/>
      </w:pPr>
      <w:r>
        <w:t xml:space="preserve">XR-002 Accessibility</w:t>
      </w:r>
    </w:p>
    <w:p>
      <w:pPr>
        <w:pStyle w:val="FirstParagraph"/>
      </w:pPr>
      <w:r>
        <w:t xml:space="preserve">Alternative learning pathways shall be available for learners unable to use immersive technologies.</w:t>
      </w:r>
    </w:p>
    <w:p>
      <w:r>
        <w:pict>
          <v:rect style="width:0;height:1.5pt" o:hralign="center" o:hrstd="t" o:hr="t"/>
        </w:pict>
      </w:r>
    </w:p>
    <w:bookmarkEnd w:id="28"/>
    <w:bookmarkStart w:id="29" w:name="xr-003-safety"/>
    <w:p>
      <w:pPr>
        <w:pStyle w:val="Heading3"/>
      </w:pPr>
      <w:r>
        <w:t xml:space="preserve">XR-003 Safety</w:t>
      </w:r>
    </w:p>
    <w:p>
      <w:pPr>
        <w:pStyle w:val="FirstParagraph"/>
      </w:pPr>
      <w:r>
        <w:t xml:space="preserve">Immersive environments shall minimize physical, psychological, and ergonomic risks.</w:t>
      </w:r>
    </w:p>
    <w:p>
      <w:r>
        <w:pict>
          <v:rect style="width:0;height:1.5pt" o:hralign="center" o:hrstd="t" o:hr="t"/>
        </w:pict>
      </w:r>
    </w:p>
    <w:bookmarkEnd w:id="29"/>
    <w:bookmarkStart w:id="30" w:name="xr-004-inclusiveness"/>
    <w:p>
      <w:pPr>
        <w:pStyle w:val="Heading3"/>
      </w:pPr>
      <w:r>
        <w:t xml:space="preserve">XR-004 Inclusiveness</w:t>
      </w:r>
    </w:p>
    <w:p>
      <w:pPr>
        <w:pStyle w:val="FirstParagraph"/>
      </w:pPr>
      <w:r>
        <w:t xml:space="preserve">Experiences shall reflect the cultural diversity, languages, and educational context of Cameroon.</w:t>
      </w:r>
    </w:p>
    <w:p>
      <w:r>
        <w:pict>
          <v:rect style="width:0;height:1.5pt" o:hralign="center" o:hrstd="t" o:hr="t"/>
        </w:pict>
      </w:r>
    </w:p>
    <w:bookmarkEnd w:id="30"/>
    <w:bookmarkStart w:id="31" w:name="xr-005-evidence-based-adoption"/>
    <w:p>
      <w:pPr>
        <w:pStyle w:val="Heading3"/>
      </w:pPr>
      <w:r>
        <w:t xml:space="preserve">XR-005 Evidence-Based Adoption</w:t>
      </w:r>
    </w:p>
    <w:p>
      <w:pPr>
        <w:pStyle w:val="FirstParagraph"/>
      </w:pPr>
      <w:r>
        <w:t xml:space="preserve">Immersive technologies shall be deployed based on demonstrated educational effectiveness.</w:t>
      </w:r>
    </w:p>
    <w:p>
      <w:r>
        <w:pict>
          <v:rect style="width:0;height:1.5pt" o:hralign="center" o:hrstd="t" o:hr="t"/>
        </w:pict>
      </w:r>
    </w:p>
    <w:bookmarkEnd w:id="31"/>
    <w:bookmarkEnd w:id="32"/>
    <w:bookmarkStart w:id="33" w:name="supported-learning-experiences"/>
    <w:p>
      <w:pPr>
        <w:pStyle w:val="Heading1"/>
      </w:pPr>
      <w:r>
        <w:t xml:space="preserve">7.4 Supported Learning Experiences</w:t>
      </w:r>
    </w:p>
    <w:p>
      <w:pPr>
        <w:pStyle w:val="FirstParagraph"/>
      </w:pPr>
      <w:r>
        <w:t xml:space="preserve">EduOS may support:</w:t>
      </w:r>
    </w:p>
    <w:p>
      <w:pPr>
        <w:pStyle w:val="Compact"/>
        <w:numPr>
          <w:ilvl w:val="0"/>
          <w:numId w:val="1001"/>
        </w:numPr>
      </w:pPr>
      <w:r>
        <w:t xml:space="preserve">Virtual science laboratories.</w:t>
      </w:r>
    </w:p>
    <w:p>
      <w:pPr>
        <w:pStyle w:val="Compact"/>
        <w:numPr>
          <w:ilvl w:val="0"/>
          <w:numId w:val="1001"/>
        </w:numPr>
      </w:pPr>
      <w:r>
        <w:t xml:space="preserve">Historical reconstructions.</w:t>
      </w:r>
    </w:p>
    <w:p>
      <w:pPr>
        <w:pStyle w:val="Compact"/>
        <w:numPr>
          <w:ilvl w:val="0"/>
          <w:numId w:val="1001"/>
        </w:numPr>
      </w:pPr>
      <w:r>
        <w:t xml:space="preserve">Geography simulations.</w:t>
      </w:r>
    </w:p>
    <w:p>
      <w:pPr>
        <w:pStyle w:val="Compact"/>
        <w:numPr>
          <w:ilvl w:val="0"/>
          <w:numId w:val="1001"/>
        </w:numPr>
      </w:pPr>
      <w:r>
        <w:t xml:space="preserve">Engineering simulations.</w:t>
      </w:r>
    </w:p>
    <w:p>
      <w:pPr>
        <w:pStyle w:val="Compact"/>
        <w:numPr>
          <w:ilvl w:val="0"/>
          <w:numId w:val="1001"/>
        </w:numPr>
      </w:pPr>
      <w:r>
        <w:t xml:space="preserve">Medical and health training.</w:t>
      </w:r>
    </w:p>
    <w:p>
      <w:pPr>
        <w:pStyle w:val="Compact"/>
        <w:numPr>
          <w:ilvl w:val="0"/>
          <w:numId w:val="1001"/>
        </w:numPr>
      </w:pPr>
      <w:r>
        <w:t xml:space="preserve">Agricultural demonstrations.</w:t>
      </w:r>
    </w:p>
    <w:p>
      <w:pPr>
        <w:pStyle w:val="Compact"/>
        <w:numPr>
          <w:ilvl w:val="0"/>
          <w:numId w:val="1001"/>
        </w:numPr>
      </w:pPr>
      <w:r>
        <w:t xml:space="preserve">Technical and vocational education simulations.</w:t>
      </w:r>
    </w:p>
    <w:p>
      <w:pPr>
        <w:pStyle w:val="Compact"/>
        <w:numPr>
          <w:ilvl w:val="0"/>
          <w:numId w:val="1001"/>
        </w:numPr>
      </w:pPr>
      <w:r>
        <w:t xml:space="preserve">Language immersion experiences.</w:t>
      </w:r>
    </w:p>
    <w:p>
      <w:pPr>
        <w:pStyle w:val="Compact"/>
        <w:numPr>
          <w:ilvl w:val="0"/>
          <w:numId w:val="1001"/>
        </w:numPr>
      </w:pPr>
      <w:r>
        <w:t xml:space="preserve">Cultural heritage exploration.</w:t>
      </w:r>
    </w:p>
    <w:p>
      <w:pPr>
        <w:pStyle w:val="Compact"/>
        <w:numPr>
          <w:ilvl w:val="0"/>
          <w:numId w:val="1001"/>
        </w:numPr>
      </w:pPr>
      <w:r>
        <w:t xml:space="preserve">Career orientation experiences.</w:t>
      </w:r>
    </w:p>
    <w:p>
      <w:pPr>
        <w:pStyle w:val="FirstParagraph"/>
      </w:pPr>
      <w:r>
        <w:t xml:space="preserve">Learning experiences shall align with approved curricula.</w:t>
      </w:r>
    </w:p>
    <w:p>
      <w:r>
        <w:pict>
          <v:rect style="width:0;height:1.5pt" o:hralign="center" o:hrstd="t" o:hr="t"/>
        </w:pict>
      </w:r>
    </w:p>
    <w:bookmarkEnd w:id="33"/>
    <w:bookmarkStart w:id="34" w:name="virtual-laboratories"/>
    <w:p>
      <w:pPr>
        <w:pStyle w:val="Heading1"/>
      </w:pPr>
      <w:r>
        <w:t xml:space="preserve">7.5 Virtual Laboratories</w:t>
      </w:r>
    </w:p>
    <w:p>
      <w:pPr>
        <w:pStyle w:val="FirstParagraph"/>
      </w:pPr>
      <w:r>
        <w:t xml:space="preserve">Virtual laboratories may provide:</w:t>
      </w:r>
    </w:p>
    <w:p>
      <w:pPr>
        <w:pStyle w:val="Compact"/>
        <w:numPr>
          <w:ilvl w:val="0"/>
          <w:numId w:val="1002"/>
        </w:numPr>
      </w:pPr>
      <w:r>
        <w:t xml:space="preserve">Scientific experimentation.</w:t>
      </w:r>
    </w:p>
    <w:p>
      <w:pPr>
        <w:pStyle w:val="Compact"/>
        <w:numPr>
          <w:ilvl w:val="0"/>
          <w:numId w:val="1002"/>
        </w:numPr>
      </w:pPr>
      <w:r>
        <w:t xml:space="preserve">Equipment familiarization.</w:t>
      </w:r>
    </w:p>
    <w:p>
      <w:pPr>
        <w:pStyle w:val="Compact"/>
        <w:numPr>
          <w:ilvl w:val="0"/>
          <w:numId w:val="1002"/>
        </w:numPr>
      </w:pPr>
      <w:r>
        <w:t xml:space="preserve">Safety training.</w:t>
      </w:r>
    </w:p>
    <w:p>
      <w:pPr>
        <w:pStyle w:val="Compact"/>
        <w:numPr>
          <w:ilvl w:val="0"/>
          <w:numId w:val="1002"/>
        </w:numPr>
      </w:pPr>
      <w:r>
        <w:t xml:space="preserve">Procedure simulations.</w:t>
      </w:r>
    </w:p>
    <w:p>
      <w:pPr>
        <w:pStyle w:val="Compact"/>
        <w:numPr>
          <w:ilvl w:val="0"/>
          <w:numId w:val="1002"/>
        </w:numPr>
      </w:pPr>
      <w:r>
        <w:t xml:space="preserve">Chemistry experiments.</w:t>
      </w:r>
    </w:p>
    <w:p>
      <w:pPr>
        <w:pStyle w:val="Compact"/>
        <w:numPr>
          <w:ilvl w:val="0"/>
          <w:numId w:val="1002"/>
        </w:numPr>
      </w:pPr>
      <w:r>
        <w:t xml:space="preserve">Physics demonstrations.</w:t>
      </w:r>
    </w:p>
    <w:p>
      <w:pPr>
        <w:pStyle w:val="Compact"/>
        <w:numPr>
          <w:ilvl w:val="0"/>
          <w:numId w:val="1002"/>
        </w:numPr>
      </w:pPr>
      <w:r>
        <w:t xml:space="preserve">Biology exploration.</w:t>
      </w:r>
    </w:p>
    <w:p>
      <w:pPr>
        <w:pStyle w:val="Compact"/>
        <w:numPr>
          <w:ilvl w:val="0"/>
          <w:numId w:val="1002"/>
        </w:numPr>
      </w:pPr>
      <w:r>
        <w:t xml:space="preserve">Engineering practice.</w:t>
      </w:r>
    </w:p>
    <w:p>
      <w:pPr>
        <w:pStyle w:val="FirstParagraph"/>
      </w:pPr>
      <w:r>
        <w:t xml:space="preserve">Virtual laboratories shall supplement physical laboratory instruction where available.</w:t>
      </w:r>
    </w:p>
    <w:p>
      <w:r>
        <w:pict>
          <v:rect style="width:0;height:1.5pt" o:hralign="center" o:hrstd="t" o:hr="t"/>
        </w:pict>
      </w:r>
    </w:p>
    <w:bookmarkEnd w:id="34"/>
    <w:bookmarkStart w:id="35" w:name="extended-reality-infrastructure"/>
    <w:p>
      <w:pPr>
        <w:pStyle w:val="Heading1"/>
      </w:pPr>
      <w:r>
        <w:t xml:space="preserve">7.6 Extended Reality Infrastructure</w:t>
      </w:r>
    </w:p>
    <w:p>
      <w:pPr>
        <w:pStyle w:val="FirstParagraph"/>
      </w:pPr>
      <w:r>
        <w:t xml:space="preserve">The infrastructure may support:</w:t>
      </w:r>
    </w:p>
    <w:p>
      <w:pPr>
        <w:pStyle w:val="Compact"/>
        <w:numPr>
          <w:ilvl w:val="0"/>
          <w:numId w:val="1003"/>
        </w:numPr>
      </w:pPr>
      <w:r>
        <w:t xml:space="preserve">AR-enabled mobile devices.</w:t>
      </w:r>
    </w:p>
    <w:p>
      <w:pPr>
        <w:pStyle w:val="Compact"/>
        <w:numPr>
          <w:ilvl w:val="0"/>
          <w:numId w:val="1003"/>
        </w:numPr>
      </w:pPr>
      <w:r>
        <w:t xml:space="preserve">VR headsets.</w:t>
      </w:r>
    </w:p>
    <w:p>
      <w:pPr>
        <w:pStyle w:val="Compact"/>
        <w:numPr>
          <w:ilvl w:val="0"/>
          <w:numId w:val="1003"/>
        </w:numPr>
      </w:pPr>
      <w:r>
        <w:t xml:space="preserve">Mixed reality devices.</w:t>
      </w:r>
    </w:p>
    <w:p>
      <w:pPr>
        <w:pStyle w:val="Compact"/>
        <w:numPr>
          <w:ilvl w:val="0"/>
          <w:numId w:val="1003"/>
        </w:numPr>
      </w:pPr>
      <w:r>
        <w:t xml:space="preserve">Spatial sensors.</w:t>
      </w:r>
    </w:p>
    <w:p>
      <w:pPr>
        <w:pStyle w:val="Compact"/>
        <w:numPr>
          <w:ilvl w:val="0"/>
          <w:numId w:val="1003"/>
        </w:numPr>
      </w:pPr>
      <w:r>
        <w:t xml:space="preserve">Motion tracking.</w:t>
      </w:r>
    </w:p>
    <w:p>
      <w:pPr>
        <w:pStyle w:val="Compact"/>
        <w:numPr>
          <w:ilvl w:val="0"/>
          <w:numId w:val="1003"/>
        </w:numPr>
      </w:pPr>
      <w:r>
        <w:t xml:space="preserve">Immersive audio systems.</w:t>
      </w:r>
    </w:p>
    <w:p>
      <w:pPr>
        <w:pStyle w:val="Compact"/>
        <w:numPr>
          <w:ilvl w:val="0"/>
          <w:numId w:val="1003"/>
        </w:numPr>
      </w:pPr>
      <w:r>
        <w:t xml:space="preserve">Cloud rendering services.</w:t>
      </w:r>
    </w:p>
    <w:p>
      <w:pPr>
        <w:pStyle w:val="Compact"/>
        <w:numPr>
          <w:ilvl w:val="0"/>
          <w:numId w:val="1003"/>
        </w:numPr>
      </w:pPr>
      <w:r>
        <w:t xml:space="preserve">Edge computing support.</w:t>
      </w:r>
    </w:p>
    <w:p>
      <w:pPr>
        <w:pStyle w:val="FirstParagraph"/>
      </w:pPr>
      <w:r>
        <w:t xml:space="preserve">Infrastructure shall comply with approved enterprise technology standards.</w:t>
      </w:r>
    </w:p>
    <w:p>
      <w:r>
        <w:pict>
          <v:rect style="width:0;height:1.5pt" o:hralign="center" o:hrstd="t" o:hr="t"/>
        </w:pict>
      </w:r>
    </w:p>
    <w:bookmarkEnd w:id="35"/>
    <w:bookmarkStart w:id="36" w:name="content-governance"/>
    <w:p>
      <w:pPr>
        <w:pStyle w:val="Heading1"/>
      </w:pPr>
      <w:r>
        <w:t xml:space="preserve">7.7 Content Governance</w:t>
      </w:r>
    </w:p>
    <w:p>
      <w:pPr>
        <w:pStyle w:val="FirstParagraph"/>
      </w:pPr>
      <w:r>
        <w:t xml:space="preserve">Immersive educational content shall include:</w:t>
      </w:r>
    </w:p>
    <w:p>
      <w:pPr>
        <w:pStyle w:val="Compact"/>
        <w:numPr>
          <w:ilvl w:val="0"/>
          <w:numId w:val="1004"/>
        </w:numPr>
      </w:pPr>
      <w:r>
        <w:t xml:space="preserve">Curriculum approval.</w:t>
      </w:r>
    </w:p>
    <w:p>
      <w:pPr>
        <w:pStyle w:val="Compact"/>
        <w:numPr>
          <w:ilvl w:val="0"/>
          <w:numId w:val="1004"/>
        </w:numPr>
      </w:pPr>
      <w:r>
        <w:t xml:space="preserve">Educational quality review.</w:t>
      </w:r>
    </w:p>
    <w:p>
      <w:pPr>
        <w:pStyle w:val="Compact"/>
        <w:numPr>
          <w:ilvl w:val="0"/>
          <w:numId w:val="1004"/>
        </w:numPr>
      </w:pPr>
      <w:r>
        <w:t xml:space="preserve">Accessibility assessment.</w:t>
      </w:r>
    </w:p>
    <w:p>
      <w:pPr>
        <w:pStyle w:val="Compact"/>
        <w:numPr>
          <w:ilvl w:val="0"/>
          <w:numId w:val="1004"/>
        </w:numPr>
      </w:pPr>
      <w:r>
        <w:t xml:space="preserve">Language localization.</w:t>
      </w:r>
    </w:p>
    <w:p>
      <w:pPr>
        <w:pStyle w:val="Compact"/>
        <w:numPr>
          <w:ilvl w:val="0"/>
          <w:numId w:val="1004"/>
        </w:numPr>
      </w:pPr>
      <w:r>
        <w:t xml:space="preserve">Cultural appropriateness review.</w:t>
      </w:r>
    </w:p>
    <w:p>
      <w:pPr>
        <w:pStyle w:val="Compact"/>
        <w:numPr>
          <w:ilvl w:val="0"/>
          <w:numId w:val="1004"/>
        </w:numPr>
      </w:pPr>
      <w:r>
        <w:t xml:space="preserve">Security validation.</w:t>
      </w:r>
    </w:p>
    <w:p>
      <w:pPr>
        <w:pStyle w:val="Compact"/>
        <w:numPr>
          <w:ilvl w:val="0"/>
          <w:numId w:val="1004"/>
        </w:numPr>
      </w:pPr>
      <w:r>
        <w:t xml:space="preserve">Version control.</w:t>
      </w:r>
    </w:p>
    <w:p>
      <w:pPr>
        <w:pStyle w:val="Compact"/>
        <w:numPr>
          <w:ilvl w:val="0"/>
          <w:numId w:val="1004"/>
        </w:numPr>
      </w:pPr>
      <w:r>
        <w:t xml:space="preserve">Periodic content review.</w:t>
      </w:r>
    </w:p>
    <w:p>
      <w:pPr>
        <w:pStyle w:val="FirstParagraph"/>
      </w:pPr>
      <w:r>
        <w:t xml:space="preserve">Only approved immersive content shall be distributed through EduOS.</w:t>
      </w:r>
    </w:p>
    <w:p>
      <w:r>
        <w:pict>
          <v:rect style="width:0;height:1.5pt" o:hralign="center" o:hrstd="t" o:hr="t"/>
        </w:pict>
      </w:r>
    </w:p>
    <w:bookmarkEnd w:id="36"/>
    <w:bookmarkStart w:id="37" w:name="performance-monitoring"/>
    <w:p>
      <w:pPr>
        <w:pStyle w:val="Heading1"/>
      </w:pPr>
      <w:r>
        <w:t xml:space="preserve">7.8 Performance Monitoring</w:t>
      </w:r>
    </w:p>
    <w:p>
      <w:pPr>
        <w:pStyle w:val="FirstParagraph"/>
      </w:pPr>
      <w:r>
        <w:t xml:space="preserve">Monitoring shall evaluate:</w:t>
      </w:r>
    </w:p>
    <w:p>
      <w:pPr>
        <w:pStyle w:val="Compact"/>
        <w:numPr>
          <w:ilvl w:val="0"/>
          <w:numId w:val="1005"/>
        </w:numPr>
      </w:pPr>
      <w:r>
        <w:t xml:space="preserve">Learner engagement.</w:t>
      </w:r>
    </w:p>
    <w:p>
      <w:pPr>
        <w:pStyle w:val="Compact"/>
        <w:numPr>
          <w:ilvl w:val="0"/>
          <w:numId w:val="1005"/>
        </w:numPr>
      </w:pPr>
      <w:r>
        <w:t xml:space="preserve">Learning outcomes.</w:t>
      </w:r>
    </w:p>
    <w:p>
      <w:pPr>
        <w:pStyle w:val="Compact"/>
        <w:numPr>
          <w:ilvl w:val="0"/>
          <w:numId w:val="1005"/>
        </w:numPr>
      </w:pPr>
      <w:r>
        <w:t xml:space="preserve">Session completion.</w:t>
      </w:r>
    </w:p>
    <w:p>
      <w:pPr>
        <w:pStyle w:val="Compact"/>
        <w:numPr>
          <w:ilvl w:val="0"/>
          <w:numId w:val="1005"/>
        </w:numPr>
      </w:pPr>
      <w:r>
        <w:t xml:space="preserve">Device utilization.</w:t>
      </w:r>
    </w:p>
    <w:p>
      <w:pPr>
        <w:pStyle w:val="Compact"/>
        <w:numPr>
          <w:ilvl w:val="0"/>
          <w:numId w:val="1005"/>
        </w:numPr>
      </w:pPr>
      <w:r>
        <w:t xml:space="preserve">Performance metrics.</w:t>
      </w:r>
    </w:p>
    <w:p>
      <w:pPr>
        <w:pStyle w:val="Compact"/>
        <w:numPr>
          <w:ilvl w:val="0"/>
          <w:numId w:val="1005"/>
        </w:numPr>
      </w:pPr>
      <w:r>
        <w:t xml:space="preserve">Accessibility compliance.</w:t>
      </w:r>
    </w:p>
    <w:p>
      <w:pPr>
        <w:pStyle w:val="Compact"/>
        <w:numPr>
          <w:ilvl w:val="0"/>
          <w:numId w:val="1005"/>
        </w:numPr>
      </w:pPr>
      <w:r>
        <w:t xml:space="preserve">User satisfaction.</w:t>
      </w:r>
    </w:p>
    <w:p>
      <w:pPr>
        <w:pStyle w:val="Compact"/>
        <w:numPr>
          <w:ilvl w:val="0"/>
          <w:numId w:val="1005"/>
        </w:numPr>
      </w:pPr>
      <w:r>
        <w:t xml:space="preserve">Operational reliability.</w:t>
      </w:r>
    </w:p>
    <w:p>
      <w:pPr>
        <w:pStyle w:val="FirstParagraph"/>
      </w:pPr>
      <w:r>
        <w:t xml:space="preserve">Findings shall support continuous improvement.</w:t>
      </w:r>
    </w:p>
    <w:p>
      <w:r>
        <w:pict>
          <v:rect style="width:0;height:1.5pt" o:hralign="center" o:hrstd="t" o:hr="t"/>
        </w:pict>
      </w:r>
    </w:p>
    <w:bookmarkEnd w:id="37"/>
    <w:bookmarkStart w:id="43" w:name="business-rules"/>
    <w:p>
      <w:pPr>
        <w:pStyle w:val="Heading1"/>
      </w:pPr>
      <w:r>
        <w:t xml:space="preserve">7.9 Business Rules</w:t>
      </w:r>
    </w:p>
    <w:bookmarkStart w:id="38" w:name="br-xr-001"/>
    <w:p>
      <w:pPr>
        <w:pStyle w:val="Heading3"/>
      </w:pPr>
      <w:r>
        <w:t xml:space="preserve">BR-XR-001</w:t>
      </w:r>
    </w:p>
    <w:p>
      <w:pPr>
        <w:pStyle w:val="FirstParagraph"/>
      </w:pPr>
      <w:r>
        <w:t xml:space="preserve">Immersive learning resources shall align with approved national curricula before production deployment.</w:t>
      </w:r>
    </w:p>
    <w:p>
      <w:r>
        <w:pict>
          <v:rect style="width:0;height:1.5pt" o:hralign="center" o:hrstd="t" o:hr="t"/>
        </w:pict>
      </w:r>
    </w:p>
    <w:bookmarkEnd w:id="38"/>
    <w:bookmarkStart w:id="39" w:name="br-xr-002"/>
    <w:p>
      <w:pPr>
        <w:pStyle w:val="Heading3"/>
      </w:pPr>
      <w:r>
        <w:t xml:space="preserve">BR-XR-002</w:t>
      </w:r>
    </w:p>
    <w:p>
      <w:pPr>
        <w:pStyle w:val="FirstParagraph"/>
      </w:pPr>
      <w:r>
        <w:t xml:space="preserve">Alternative instructional methods shall remain available for learners who cannot access immersive technologies.</w:t>
      </w:r>
    </w:p>
    <w:p>
      <w:r>
        <w:pict>
          <v:rect style="width:0;height:1.5pt" o:hralign="center" o:hrstd="t" o:hr="t"/>
        </w:pict>
      </w:r>
    </w:p>
    <w:bookmarkEnd w:id="39"/>
    <w:bookmarkStart w:id="40" w:name="br-xr-003"/>
    <w:p>
      <w:pPr>
        <w:pStyle w:val="Heading3"/>
      </w:pPr>
      <w:r>
        <w:t xml:space="preserve">BR-XR-003</w:t>
      </w:r>
    </w:p>
    <w:p>
      <w:pPr>
        <w:pStyle w:val="FirstParagraph"/>
      </w:pPr>
      <w:r>
        <w:t xml:space="preserve">Immersive educational content shall undergo educational, accessibility, security, and governance review prior to publication.</w:t>
      </w:r>
    </w:p>
    <w:p>
      <w:r>
        <w:pict>
          <v:rect style="width:0;height:1.5pt" o:hralign="center" o:hrstd="t" o:hr="t"/>
        </w:pict>
      </w:r>
    </w:p>
    <w:bookmarkEnd w:id="40"/>
    <w:bookmarkStart w:id="41" w:name="br-xr-004"/>
    <w:p>
      <w:pPr>
        <w:pStyle w:val="Heading3"/>
      </w:pPr>
      <w:r>
        <w:t xml:space="preserve">BR-XR-004</w:t>
      </w:r>
    </w:p>
    <w:p>
      <w:pPr>
        <w:pStyle w:val="FirstParagraph"/>
      </w:pPr>
      <w:r>
        <w:t xml:space="preserve">Immersive technology deployments shall comply with enterprise cybersecurity, privacy, and device management standards.</w:t>
      </w:r>
    </w:p>
    <w:p>
      <w:r>
        <w:pict>
          <v:rect style="width:0;height:1.5pt" o:hralign="center" o:hrstd="t" o:hr="t"/>
        </w:pict>
      </w:r>
    </w:p>
    <w:bookmarkEnd w:id="41"/>
    <w:bookmarkStart w:id="42" w:name="br-xr-005"/>
    <w:p>
      <w:pPr>
        <w:pStyle w:val="Heading3"/>
      </w:pPr>
      <w:r>
        <w:t xml:space="preserve">BR-XR-005</w:t>
      </w:r>
    </w:p>
    <w:p>
      <w:pPr>
        <w:pStyle w:val="FirstParagraph"/>
      </w:pPr>
      <w:r>
        <w:t xml:space="preserve">Educational effectiveness shall be evaluated periodically to guide future investment and curriculum integration.</w:t>
      </w:r>
    </w:p>
    <w:p>
      <w:r>
        <w:pict>
          <v:rect style="width:0;height:1.5pt" o:hralign="center" o:hrstd="t" o:hr="t"/>
        </w:pict>
      </w:r>
    </w:p>
    <w:bookmarkEnd w:id="42"/>
    <w:bookmarkEnd w:id="43"/>
    <w:bookmarkStart w:id="44" w:name="acceptance-criteria"/>
    <w:p>
      <w:pPr>
        <w:pStyle w:val="Heading1"/>
      </w:pPr>
      <w:r>
        <w:t xml:space="preserve">7.10 Acceptance Criteria</w:t>
      </w:r>
    </w:p>
    <w:p>
      <w:pPr>
        <w:pStyle w:val="FirstParagraph"/>
      </w:pPr>
      <w:r>
        <w:t xml:space="preserve">The Immersive Learning Framework shall be considered complete when:</w:t>
      </w:r>
    </w:p>
    <w:p>
      <w:pPr>
        <w:pStyle w:val="Compact"/>
        <w:numPr>
          <w:ilvl w:val="0"/>
          <w:numId w:val="1006"/>
        </w:numPr>
      </w:pPr>
      <w:r>
        <w:t xml:space="preserve">AR, VR, MR, and XR standards are documented.</w:t>
      </w:r>
    </w:p>
    <w:p>
      <w:pPr>
        <w:pStyle w:val="Compact"/>
        <w:numPr>
          <w:ilvl w:val="0"/>
          <w:numId w:val="1006"/>
        </w:numPr>
      </w:pPr>
      <w:r>
        <w:t xml:space="preserve">Virtual laboratory guidance is established.</w:t>
      </w:r>
    </w:p>
    <w:p>
      <w:pPr>
        <w:pStyle w:val="Compact"/>
        <w:numPr>
          <w:ilvl w:val="0"/>
          <w:numId w:val="1006"/>
        </w:numPr>
      </w:pPr>
      <w:r>
        <w:t xml:space="preserve">Infrastructure requirements are defined.</w:t>
      </w:r>
    </w:p>
    <w:p>
      <w:pPr>
        <w:pStyle w:val="Compact"/>
        <w:numPr>
          <w:ilvl w:val="0"/>
          <w:numId w:val="1006"/>
        </w:numPr>
      </w:pPr>
      <w:r>
        <w:t xml:space="preserve">Content governance procedures are operational.</w:t>
      </w:r>
    </w:p>
    <w:p>
      <w:pPr>
        <w:pStyle w:val="Compact"/>
        <w:numPr>
          <w:ilvl w:val="0"/>
          <w:numId w:val="1006"/>
        </w:numPr>
      </w:pPr>
      <w:r>
        <w:t xml:space="preserve">Performance monitoring is implemented.</w:t>
      </w:r>
    </w:p>
    <w:p>
      <w:pPr>
        <w:pStyle w:val="Compact"/>
        <w:numPr>
          <w:ilvl w:val="0"/>
          <w:numId w:val="1006"/>
        </w:numPr>
      </w:pPr>
      <w:r>
        <w:t xml:space="preserve">Accessibility requirements are documented.</w:t>
      </w:r>
    </w:p>
    <w:p>
      <w:pPr>
        <w:pStyle w:val="Compact"/>
        <w:numPr>
          <w:ilvl w:val="0"/>
          <w:numId w:val="1006"/>
        </w:numPr>
      </w:pPr>
      <w:r>
        <w:t xml:space="preserve">Governance processes are approved.</w:t>
      </w:r>
    </w:p>
    <w:p>
      <w:r>
        <w:pict>
          <v:rect style="width:0;height:1.5pt" o:hralign="center" o:hrstd="t" o:hr="t"/>
        </w:pict>
      </w:r>
    </w:p>
    <w:bookmarkEnd w:id="44"/>
    <w:bookmarkStart w:id="45" w:name="summary"/>
    <w:p>
      <w:pPr>
        <w:pStyle w:val="Heading1"/>
      </w:pPr>
      <w:r>
        <w:t xml:space="preserve">7.11 Summary</w:t>
      </w:r>
    </w:p>
    <w:p>
      <w:pPr>
        <w:pStyle w:val="FirstParagraph"/>
      </w:pPr>
      <w:r>
        <w:t xml:space="preserve">The Augmented Reality (AR), Virtual Reality (VR), Extended Reality (XR) and Immersive Learning framework establishes the foundation for next-generation educational experiences within EduOS Cameroon.</w:t>
      </w:r>
    </w:p>
    <w:p>
      <w:pPr>
        <w:pStyle w:val="BodyText"/>
      </w:pPr>
      <w:r>
        <w:t xml:space="preserve">By defining immersive technologies, virtual laboratories, curriculum governance, infrastructure standards, accessibility requirements, and continuous evaluation, this framework enables innovative teaching and experiential learning while maintaining educational quality, inclusiveness, security, and long-term sustainability.</w:t>
      </w:r>
    </w:p>
    <w:p>
      <w:r>
        <w:pict>
          <v:rect style="width:0;height:1.5pt" o:hralign="center" o:hrstd="t" o:hr="t"/>
        </w:pict>
      </w:r>
    </w:p>
    <w:bookmarkEnd w:id="45"/>
    <w:bookmarkStart w:id="46" w:name="volume-ix-progress"/>
    <w:p>
      <w:pPr>
        <w:pStyle w:val="Heading1"/>
      </w:pPr>
      <w:r>
        <w:t xml:space="preserve">VOLUME IX PROGRESS</w:t>
      </w:r>
    </w:p>
    <w:p>
      <w:pPr>
        <w:pStyle w:val="FirstParagraph"/>
      </w:pPr>
      <w:r>
        <w:t xml:space="preserve">Completed Chapters:</w:t>
      </w:r>
    </w:p>
    <w:p>
      <w:pPr>
        <w:pStyle w:val="BodyText"/>
      </w:pPr>
      <w:r>
        <w:t xml:space="preserve">✓ Chapter 1 – National Education Super App Strategy and Digital Ecosystem Vision</w:t>
      </w:r>
    </w:p>
    <w:p>
      <w:pPr>
        <w:pStyle w:val="BodyText"/>
      </w:pPr>
      <w:r>
        <w:t xml:space="preserve">✓ Chapter 2 – Open API Marketplace and Developer Ecosystem</w:t>
      </w:r>
    </w:p>
    <w:p>
      <w:pPr>
        <w:pStyle w:val="BodyText"/>
      </w:pPr>
      <w:r>
        <w:t xml:space="preserve">✓ Chapter 3 – Third-Party Applications and Plugin Framework</w:t>
      </w:r>
    </w:p>
    <w:p>
      <w:pPr>
        <w:pStyle w:val="BodyText"/>
      </w:pPr>
      <w:r>
        <w:t xml:space="preserve">✓ Chapter 4 – Digital Credentials, Digital Wallets and Verifiable Credentials</w:t>
      </w:r>
    </w:p>
    <w:p>
      <w:pPr>
        <w:pStyle w:val="BodyText"/>
      </w:pPr>
      <w:r>
        <w:t xml:space="preserve">✓ Chapter 5 – Research, Innovation and EdTech Sandbox</w:t>
      </w:r>
    </w:p>
    <w:p>
      <w:pPr>
        <w:pStyle w:val="BodyText"/>
      </w:pPr>
      <w:r>
        <w:t xml:space="preserve">✓ Chapter 6 – Smart Classrooms, Internet of Things (IoT) and Connected Campuses</w:t>
      </w:r>
    </w:p>
    <w:p>
      <w:pPr>
        <w:pStyle w:val="BodyText"/>
      </w:pPr>
      <w:r>
        <w:t xml:space="preserve">✓ Chapter 7 – Augmented Reality (AR), Virtual Reality (VR), Extended Reality (XR) and Immersive Learning</w:t>
      </w:r>
    </w:p>
    <w:p>
      <w:pPr>
        <w:pStyle w:val="BodyText"/>
      </w:pPr>
      <w:r>
        <w:t xml:space="preserve">Remaining Chapters:</w:t>
      </w:r>
    </w:p>
    <w:p>
      <w:pPr>
        <w:pStyle w:val="Compact"/>
        <w:numPr>
          <w:ilvl w:val="0"/>
          <w:numId w:val="1007"/>
        </w:numPr>
      </w:pPr>
      <w:r>
        <w:t xml:space="preserve">Chapter 8 – Robotics, STEM and Makerspace Integration</w:t>
      </w:r>
    </w:p>
    <w:p>
      <w:pPr>
        <w:pStyle w:val="Compact"/>
        <w:numPr>
          <w:ilvl w:val="0"/>
          <w:numId w:val="1007"/>
        </w:numPr>
      </w:pPr>
      <w:r>
        <w:t xml:space="preserve">Chapter 9 – International Interoperability and Cross-Border Education</w:t>
      </w:r>
    </w:p>
    <w:p>
      <w:pPr>
        <w:pStyle w:val="Compact"/>
        <w:numPr>
          <w:ilvl w:val="0"/>
          <w:numId w:val="1007"/>
        </w:numPr>
      </w:pPr>
      <w:r>
        <w:t xml:space="preserve">Chapter 10 – Sustainability, Green Computing and Digital Inclusion</w:t>
      </w:r>
    </w:p>
    <w:p>
      <w:pPr>
        <w:pStyle w:val="Compact"/>
        <w:numPr>
          <w:ilvl w:val="0"/>
          <w:numId w:val="1007"/>
        </w:numPr>
      </w:pPr>
      <w:r>
        <w:t xml:space="preserve">Chapter 11 – Emerging Technology Governance and Future Readiness</w:t>
      </w:r>
    </w:p>
    <w:p>
      <w:pPr>
        <w:pStyle w:val="Compact"/>
        <w:numPr>
          <w:ilvl w:val="0"/>
          <w:numId w:val="1007"/>
        </w:numPr>
      </w:pPr>
      <w:r>
        <w:t xml:space="preserve">Chapter 12 – National Education Innovation Reference Architecture and Strategic Roadmap</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2026-07-10T14:50:41Z</dcterms:created>
  <dcterms:modified xsi:type="dcterms:W3CDTF">2026-07-10T14:50:41Z</dcterms:modified>
</cp:coreProperties>
</file>

<file path=docProps/custom.xml><?xml version="1.0" encoding="utf-8"?>
<Properties xmlns="http://schemas.openxmlformats.org/officeDocument/2006/custom-properties" xmlns:vt="http://schemas.openxmlformats.org/officeDocument/2006/docPropsVTypes"/>
</file>