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volume-ix"/>
    <w:p>
      <w:pPr>
        <w:pStyle w:val="Heading1"/>
      </w:pPr>
      <w:r>
        <w:t xml:space="preserve">VOLUME IX</w:t>
      </w:r>
    </w:p>
    <w:bookmarkEnd w:id="21"/>
    <w:bookmarkStart w:id="23" w:name="Xdcfc02e57cb8d11f2441a5b8cc4c3e57d2e0628"/>
    <w:p>
      <w:pPr>
        <w:pStyle w:val="Heading1"/>
      </w:pPr>
      <w:r>
        <w:t xml:space="preserve">NATIONAL DIGITAL EDUCATION ECOSYSTEM, INNOVATION, OPEN PLATFORM AND FUTURE READINESS</w:t>
      </w:r>
    </w:p>
    <w:bookmarkStart w:id="22" w:name="chapter-5"/>
    <w:p>
      <w:pPr>
        <w:pStyle w:val="Heading2"/>
      </w:pPr>
      <w:r>
        <w:t xml:space="preserve">CHAPTER 5</w:t>
      </w:r>
    </w:p>
    <w:bookmarkEnd w:id="22"/>
    <w:bookmarkEnd w:id="23"/>
    <w:bookmarkStart w:id="24" w:name="research-innovation-and-edtech-sandbox"/>
    <w:p>
      <w:pPr>
        <w:pStyle w:val="Heading1"/>
      </w:pPr>
      <w:r>
        <w:t xml:space="preserve">RESEARCH, INNOVATION AND EDTECH SANDBOX</w:t>
      </w:r>
    </w:p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5.1 Purpose</w:t>
      </w:r>
    </w:p>
    <w:p>
      <w:pPr>
        <w:pStyle w:val="FirstParagraph"/>
      </w:pPr>
      <w:r>
        <w:t xml:space="preserve">This chapter establishes the enterprise framework governing educational research, innovation programmes, EdTech experimentation, regulatory sandboxes, pilot projects, academic collaboration, technology evaluation, and controlled innovation within the EduOS Cameroon ecosystem.</w:t>
      </w:r>
    </w:p>
    <w:p>
      <w:pPr>
        <w:pStyle w:val="BodyText"/>
      </w:pPr>
      <w:r>
        <w:t xml:space="preserve">Its objective is to foster continuous innovation while ensuring that new technologies, educational methodologies, and digital services are evaluated safely, ethically, and in alignment with national education priorities.</w:t>
      </w:r>
    </w:p>
    <w:p>
      <w:r>
        <w:pict>
          <v:rect style="width:0;height:1.5pt" o:hralign="center" o:hrstd="t" o:hr="t"/>
        </w:pict>
      </w:r>
    </w:p>
    <w:bookmarkEnd w:id="25"/>
    <w:bookmarkStart w:id="26" w:name="vision"/>
    <w:p>
      <w:pPr>
        <w:pStyle w:val="Heading1"/>
      </w:pPr>
      <w:r>
        <w:t xml:space="preserve">5.2 Vision</w:t>
      </w:r>
    </w:p>
    <w:p>
      <w:pPr>
        <w:pStyle w:val="FirstParagraph"/>
      </w:pPr>
      <w:r>
        <w:t xml:space="preserve">The EduOS Research and Innovation Platform shall:</w:t>
      </w:r>
    </w:p>
    <w:p>
      <w:pPr>
        <w:pStyle w:val="Compact"/>
        <w:numPr>
          <w:ilvl w:val="0"/>
          <w:numId w:val="1001"/>
        </w:numPr>
      </w:pPr>
      <w:r>
        <w:t xml:space="preserve">Encourage educational innovation.</w:t>
      </w:r>
    </w:p>
    <w:p>
      <w:pPr>
        <w:pStyle w:val="Compact"/>
        <w:numPr>
          <w:ilvl w:val="0"/>
          <w:numId w:val="1001"/>
        </w:numPr>
      </w:pPr>
      <w:r>
        <w:t xml:space="preserve">Support academic research.</w:t>
      </w:r>
    </w:p>
    <w:p>
      <w:pPr>
        <w:pStyle w:val="Compact"/>
        <w:numPr>
          <w:ilvl w:val="0"/>
          <w:numId w:val="1001"/>
        </w:numPr>
      </w:pPr>
      <w:r>
        <w:t xml:space="preserve">Enable evidence-based experimentation.</w:t>
      </w:r>
    </w:p>
    <w:p>
      <w:pPr>
        <w:pStyle w:val="Compact"/>
        <w:numPr>
          <w:ilvl w:val="0"/>
          <w:numId w:val="1001"/>
        </w:numPr>
      </w:pPr>
      <w:r>
        <w:t xml:space="preserve">Accelerate EdTech development.</w:t>
      </w:r>
    </w:p>
    <w:p>
      <w:pPr>
        <w:pStyle w:val="Compact"/>
        <w:numPr>
          <w:ilvl w:val="0"/>
          <w:numId w:val="1001"/>
        </w:numPr>
      </w:pPr>
      <w:r>
        <w:t xml:space="preserve">Promote collaboration between government, academia, and industry.</w:t>
      </w:r>
    </w:p>
    <w:p>
      <w:pPr>
        <w:pStyle w:val="Compact"/>
        <w:numPr>
          <w:ilvl w:val="0"/>
          <w:numId w:val="1001"/>
        </w:numPr>
      </w:pPr>
      <w:r>
        <w:t xml:space="preserve">Improve educational outcomes through research.</w:t>
      </w:r>
    </w:p>
    <w:p>
      <w:pPr>
        <w:pStyle w:val="Compact"/>
        <w:numPr>
          <w:ilvl w:val="0"/>
          <w:numId w:val="1001"/>
        </w:numPr>
      </w:pPr>
      <w:r>
        <w:t xml:space="preserve">Validate emerging technologies before production adoption.</w:t>
      </w:r>
    </w:p>
    <w:p>
      <w:pPr>
        <w:pStyle w:val="Compact"/>
        <w:numPr>
          <w:ilvl w:val="0"/>
          <w:numId w:val="1001"/>
        </w:numPr>
      </w:pPr>
      <w:r>
        <w:t xml:space="preserve">Strengthen Cameroon’s educational innovation ecosystem.</w:t>
      </w:r>
    </w:p>
    <w:p>
      <w:pPr>
        <w:pStyle w:val="FirstParagraph"/>
      </w:pPr>
      <w:r>
        <w:t xml:space="preserve">Innovation shall occur within governed and secure environments.</w:t>
      </w:r>
    </w:p>
    <w:p>
      <w:r>
        <w:pict>
          <v:rect style="width:0;height:1.5pt" o:hralign="center" o:hrstd="t" o:hr="t"/>
        </w:pict>
      </w:r>
    </w:p>
    <w:bookmarkEnd w:id="26"/>
    <w:bookmarkStart w:id="32" w:name="innovation-principles"/>
    <w:p>
      <w:pPr>
        <w:pStyle w:val="Heading1"/>
      </w:pPr>
      <w:r>
        <w:t xml:space="preserve">5.3 Innovation Principles</w:t>
      </w:r>
    </w:p>
    <w:p>
      <w:pPr>
        <w:pStyle w:val="FirstParagraph"/>
      </w:pPr>
      <w:r>
        <w:t xml:space="preserve">Research and innovation shall follow these principles.</w:t>
      </w:r>
    </w:p>
    <w:bookmarkStart w:id="27" w:name="innov-001-educational-value"/>
    <w:p>
      <w:pPr>
        <w:pStyle w:val="Heading3"/>
      </w:pPr>
      <w:r>
        <w:t xml:space="preserve">INNOV-001 Educational Value</w:t>
      </w:r>
    </w:p>
    <w:p>
      <w:pPr>
        <w:pStyle w:val="FirstParagraph"/>
      </w:pPr>
      <w:r>
        <w:t xml:space="preserve">Innovation initiatives shall demonstrate potential educational or operational benefits.</w:t>
      </w:r>
    </w:p>
    <w:p>
      <w:r>
        <w:pict>
          <v:rect style="width:0;height:1.5pt" o:hralign="center" o:hrstd="t" o:hr="t"/>
        </w:pict>
      </w:r>
    </w:p>
    <w:bookmarkEnd w:id="27"/>
    <w:bookmarkStart w:id="28" w:name="innov-002-evidence-based-evaluation"/>
    <w:p>
      <w:pPr>
        <w:pStyle w:val="Heading3"/>
      </w:pPr>
      <w:r>
        <w:t xml:space="preserve">INNOV-002 Evidence-Based Evaluation</w:t>
      </w:r>
    </w:p>
    <w:p>
      <w:pPr>
        <w:pStyle w:val="FirstParagraph"/>
      </w:pPr>
      <w:r>
        <w:t xml:space="preserve">Research findings shall be supported by documented methodologies, measurable outcomes, and peer review where appropriate.</w:t>
      </w:r>
    </w:p>
    <w:p>
      <w:r>
        <w:pict>
          <v:rect style="width:0;height:1.5pt" o:hralign="center" o:hrstd="t" o:hr="t"/>
        </w:pict>
      </w:r>
    </w:p>
    <w:bookmarkEnd w:id="28"/>
    <w:bookmarkStart w:id="29" w:name="innov-003-safe-experimentation"/>
    <w:p>
      <w:pPr>
        <w:pStyle w:val="Heading3"/>
      </w:pPr>
      <w:r>
        <w:t xml:space="preserve">INNOV-003 Safe Experimentation</w:t>
      </w:r>
    </w:p>
    <w:p>
      <w:pPr>
        <w:pStyle w:val="FirstParagraph"/>
      </w:pPr>
      <w:r>
        <w:t xml:space="preserve">Experimental technologies shall operate within isolated environments without affecting production education services.</w:t>
      </w:r>
    </w:p>
    <w:p>
      <w:r>
        <w:pict>
          <v:rect style="width:0;height:1.5pt" o:hralign="center" o:hrstd="t" o:hr="t"/>
        </w:pict>
      </w:r>
    </w:p>
    <w:bookmarkEnd w:id="29"/>
    <w:bookmarkStart w:id="30" w:name="innov-004-ethical-conduct"/>
    <w:p>
      <w:pPr>
        <w:pStyle w:val="Heading3"/>
      </w:pPr>
      <w:r>
        <w:t xml:space="preserve">INNOV-004 Ethical Conduct</w:t>
      </w:r>
    </w:p>
    <w:p>
      <w:pPr>
        <w:pStyle w:val="FirstParagraph"/>
      </w:pPr>
      <w:r>
        <w:t xml:space="preserve">Research involving learners, educators, or institutional data shall comply with applicable ethical, legal, and governance requirements.</w:t>
      </w:r>
    </w:p>
    <w:p>
      <w:r>
        <w:pict>
          <v:rect style="width:0;height:1.5pt" o:hralign="center" o:hrstd="t" o:hr="t"/>
        </w:pict>
      </w:r>
    </w:p>
    <w:bookmarkEnd w:id="30"/>
    <w:bookmarkStart w:id="31" w:name="innov-005-knowledge-sharing"/>
    <w:p>
      <w:pPr>
        <w:pStyle w:val="Heading3"/>
      </w:pPr>
      <w:r>
        <w:t xml:space="preserve">INNOV-005 Knowledge Sharing</w:t>
      </w:r>
    </w:p>
    <w:p>
      <w:pPr>
        <w:pStyle w:val="FirstParagraph"/>
      </w:pPr>
      <w:r>
        <w:t xml:space="preserve">Approved research outcomes shall contribute to national educational knowledge and continuous improvement.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nnovation-ecosystem"/>
    <w:p>
      <w:pPr>
        <w:pStyle w:val="Heading1"/>
      </w:pPr>
      <w:r>
        <w:t xml:space="preserve">5.4 Innovation Ecosystem</w:t>
      </w:r>
    </w:p>
    <w:p>
      <w:pPr>
        <w:pStyle w:val="FirstParagraph"/>
      </w:pPr>
      <w:r>
        <w:t xml:space="preserve">The ecosystem may include:</w:t>
      </w:r>
    </w:p>
    <w:p>
      <w:pPr>
        <w:pStyle w:val="Compact"/>
        <w:numPr>
          <w:ilvl w:val="0"/>
          <w:numId w:val="1002"/>
        </w:numPr>
      </w:pPr>
      <w:r>
        <w:t xml:space="preserve">Universities.</w:t>
      </w:r>
    </w:p>
    <w:p>
      <w:pPr>
        <w:pStyle w:val="Compact"/>
        <w:numPr>
          <w:ilvl w:val="0"/>
          <w:numId w:val="1002"/>
        </w:numPr>
      </w:pPr>
      <w:r>
        <w:t xml:space="preserve">Teacher training institutions.</w:t>
      </w:r>
    </w:p>
    <w:p>
      <w:pPr>
        <w:pStyle w:val="Compact"/>
        <w:numPr>
          <w:ilvl w:val="0"/>
          <w:numId w:val="1002"/>
        </w:numPr>
      </w:pPr>
      <w:r>
        <w:t xml:space="preserve">Research centres.</w:t>
      </w:r>
    </w:p>
    <w:p>
      <w:pPr>
        <w:pStyle w:val="Compact"/>
        <w:numPr>
          <w:ilvl w:val="0"/>
          <w:numId w:val="1002"/>
        </w:numPr>
      </w:pPr>
      <w:r>
        <w:t xml:space="preserve">Government agencies.</w:t>
      </w:r>
    </w:p>
    <w:p>
      <w:pPr>
        <w:pStyle w:val="Compact"/>
        <w:numPr>
          <w:ilvl w:val="0"/>
          <w:numId w:val="1002"/>
        </w:numPr>
      </w:pPr>
      <w:r>
        <w:t xml:space="preserve">EdTech companies.</w:t>
      </w:r>
    </w:p>
    <w:p>
      <w:pPr>
        <w:pStyle w:val="Compact"/>
        <w:numPr>
          <w:ilvl w:val="0"/>
          <w:numId w:val="1002"/>
        </w:numPr>
      </w:pPr>
      <w:r>
        <w:t xml:space="preserve">Innovation hubs.</w:t>
      </w:r>
    </w:p>
    <w:p>
      <w:pPr>
        <w:pStyle w:val="Compact"/>
        <w:numPr>
          <w:ilvl w:val="0"/>
          <w:numId w:val="1002"/>
        </w:numPr>
      </w:pPr>
      <w:r>
        <w:t xml:space="preserve">Startups.</w:t>
      </w:r>
    </w:p>
    <w:p>
      <w:pPr>
        <w:pStyle w:val="Compact"/>
        <w:numPr>
          <w:ilvl w:val="0"/>
          <w:numId w:val="1002"/>
        </w:numPr>
      </w:pPr>
      <w:r>
        <w:t xml:space="preserve">International development partners.</w:t>
      </w:r>
    </w:p>
    <w:p>
      <w:pPr>
        <w:pStyle w:val="Compact"/>
        <w:numPr>
          <w:ilvl w:val="0"/>
          <w:numId w:val="1002"/>
        </w:numPr>
      </w:pPr>
      <w:r>
        <w:t xml:space="preserve">Civil society organizations.</w:t>
      </w:r>
    </w:p>
    <w:p>
      <w:pPr>
        <w:pStyle w:val="Compact"/>
        <w:numPr>
          <w:ilvl w:val="0"/>
          <w:numId w:val="1002"/>
        </w:numPr>
      </w:pPr>
      <w:r>
        <w:t xml:space="preserve">Standards bodies.</w:t>
      </w:r>
    </w:p>
    <w:p>
      <w:pPr>
        <w:pStyle w:val="FirstParagraph"/>
      </w:pPr>
      <w:r>
        <w:t xml:space="preserve">Participation shall follow approved governance agreements.</w:t>
      </w:r>
    </w:p>
    <w:p>
      <w:r>
        <w:pict>
          <v:rect style="width:0;height:1.5pt" o:hralign="center" o:hrstd="t" o:hr="t"/>
        </w:pict>
      </w:r>
    </w:p>
    <w:bookmarkEnd w:id="33"/>
    <w:bookmarkStart w:id="34" w:name="edtech-sandbox"/>
    <w:p>
      <w:pPr>
        <w:pStyle w:val="Heading1"/>
      </w:pPr>
      <w:r>
        <w:t xml:space="preserve">5.5 EdTech Sandbox</w:t>
      </w:r>
    </w:p>
    <w:p>
      <w:pPr>
        <w:pStyle w:val="FirstParagraph"/>
      </w:pPr>
      <w:r>
        <w:t xml:space="preserve">The sandbox shall provide:</w:t>
      </w:r>
    </w:p>
    <w:p>
      <w:pPr>
        <w:pStyle w:val="Compact"/>
        <w:numPr>
          <w:ilvl w:val="0"/>
          <w:numId w:val="1003"/>
        </w:numPr>
      </w:pPr>
      <w:r>
        <w:t xml:space="preserve">Isolated testing environments.</w:t>
      </w:r>
    </w:p>
    <w:p>
      <w:pPr>
        <w:pStyle w:val="Compact"/>
        <w:numPr>
          <w:ilvl w:val="0"/>
          <w:numId w:val="1003"/>
        </w:numPr>
      </w:pPr>
      <w:r>
        <w:t xml:space="preserve">Synthetic and anonymized datasets.</w:t>
      </w:r>
    </w:p>
    <w:p>
      <w:pPr>
        <w:pStyle w:val="Compact"/>
        <w:numPr>
          <w:ilvl w:val="0"/>
          <w:numId w:val="1003"/>
        </w:numPr>
      </w:pPr>
      <w:r>
        <w:t xml:space="preserve">Test APIs.</w:t>
      </w:r>
    </w:p>
    <w:p>
      <w:pPr>
        <w:pStyle w:val="Compact"/>
        <w:numPr>
          <w:ilvl w:val="0"/>
          <w:numId w:val="1003"/>
        </w:numPr>
      </w:pPr>
      <w:r>
        <w:t xml:space="preserve">AI experimentation environments.</w:t>
      </w:r>
    </w:p>
    <w:p>
      <w:pPr>
        <w:pStyle w:val="Compact"/>
        <w:numPr>
          <w:ilvl w:val="0"/>
          <w:numId w:val="1003"/>
        </w:numPr>
      </w:pPr>
      <w:r>
        <w:t xml:space="preserve">Digital credential testing.</w:t>
      </w:r>
    </w:p>
    <w:p>
      <w:pPr>
        <w:pStyle w:val="Compact"/>
        <w:numPr>
          <w:ilvl w:val="0"/>
          <w:numId w:val="1003"/>
        </w:numPr>
      </w:pPr>
      <w:r>
        <w:t xml:space="preserve">Integration testing.</w:t>
      </w:r>
    </w:p>
    <w:p>
      <w:pPr>
        <w:pStyle w:val="Compact"/>
        <w:numPr>
          <w:ilvl w:val="0"/>
          <w:numId w:val="1003"/>
        </w:numPr>
      </w:pPr>
      <w:r>
        <w:t xml:space="preserve">Performance testing.</w:t>
      </w:r>
    </w:p>
    <w:p>
      <w:pPr>
        <w:pStyle w:val="Compact"/>
        <w:numPr>
          <w:ilvl w:val="0"/>
          <w:numId w:val="1003"/>
        </w:numPr>
      </w:pPr>
      <w:r>
        <w:t xml:space="preserve">Security validation.</w:t>
      </w:r>
    </w:p>
    <w:p>
      <w:pPr>
        <w:pStyle w:val="FirstParagraph"/>
      </w:pPr>
      <w:r>
        <w:t xml:space="preserve">Sandbox environments shall remain isolated from production systems.</w:t>
      </w:r>
    </w:p>
    <w:p>
      <w:r>
        <w:pict>
          <v:rect style="width:0;height:1.5pt" o:hralign="center" o:hrstd="t" o:hr="t"/>
        </w:pict>
      </w:r>
    </w:p>
    <w:bookmarkEnd w:id="34"/>
    <w:bookmarkStart w:id="35" w:name="research-data-governance"/>
    <w:p>
      <w:pPr>
        <w:pStyle w:val="Heading1"/>
      </w:pPr>
      <w:r>
        <w:t xml:space="preserve">5.6 Research Data Governance</w:t>
      </w:r>
    </w:p>
    <w:p>
      <w:pPr>
        <w:pStyle w:val="FirstParagraph"/>
      </w:pPr>
      <w:r>
        <w:t xml:space="preserve">Research activities shall support:</w:t>
      </w:r>
    </w:p>
    <w:p>
      <w:pPr>
        <w:pStyle w:val="Compact"/>
        <w:numPr>
          <w:ilvl w:val="0"/>
          <w:numId w:val="1004"/>
        </w:numPr>
      </w:pPr>
      <w:r>
        <w:t xml:space="preserve">Approved research proposals.</w:t>
      </w:r>
    </w:p>
    <w:p>
      <w:pPr>
        <w:pStyle w:val="Compact"/>
        <w:numPr>
          <w:ilvl w:val="0"/>
          <w:numId w:val="1004"/>
        </w:numPr>
      </w:pPr>
      <w:r>
        <w:t xml:space="preserve">Data access authorization.</w:t>
      </w:r>
    </w:p>
    <w:p>
      <w:pPr>
        <w:pStyle w:val="Compact"/>
        <w:numPr>
          <w:ilvl w:val="0"/>
          <w:numId w:val="1004"/>
        </w:numPr>
      </w:pPr>
      <w:r>
        <w:t xml:space="preserve">Data anonymization.</w:t>
      </w:r>
    </w:p>
    <w:p>
      <w:pPr>
        <w:pStyle w:val="Compact"/>
        <w:numPr>
          <w:ilvl w:val="0"/>
          <w:numId w:val="1004"/>
        </w:numPr>
      </w:pPr>
      <w:r>
        <w:t xml:space="preserve">Controlled dataset publication.</w:t>
      </w:r>
    </w:p>
    <w:p>
      <w:pPr>
        <w:pStyle w:val="Compact"/>
        <w:numPr>
          <w:ilvl w:val="0"/>
          <w:numId w:val="1004"/>
        </w:numPr>
      </w:pPr>
      <w:r>
        <w:t xml:space="preserve">Data quality assurance.</w:t>
      </w:r>
    </w:p>
    <w:p>
      <w:pPr>
        <w:pStyle w:val="Compact"/>
        <w:numPr>
          <w:ilvl w:val="0"/>
          <w:numId w:val="1004"/>
        </w:numPr>
      </w:pPr>
      <w:r>
        <w:t xml:space="preserve">Research audit trails.</w:t>
      </w:r>
    </w:p>
    <w:p>
      <w:pPr>
        <w:pStyle w:val="Compact"/>
        <w:numPr>
          <w:ilvl w:val="0"/>
          <w:numId w:val="1004"/>
        </w:numPr>
      </w:pPr>
      <w:r>
        <w:t xml:space="preserve">Secure archival.</w:t>
      </w:r>
    </w:p>
    <w:p>
      <w:pPr>
        <w:pStyle w:val="Compact"/>
        <w:numPr>
          <w:ilvl w:val="0"/>
          <w:numId w:val="1004"/>
        </w:numPr>
      </w:pPr>
      <w:r>
        <w:t xml:space="preserve">Responsible data sharing.</w:t>
      </w:r>
    </w:p>
    <w:p>
      <w:pPr>
        <w:pStyle w:val="FirstParagraph"/>
      </w:pPr>
      <w:r>
        <w:t xml:space="preserve">Research data shall be governed according to enterprise information management policies.</w:t>
      </w:r>
    </w:p>
    <w:p>
      <w:r>
        <w:pict>
          <v:rect style="width:0;height:1.5pt" o:hralign="center" o:hrstd="t" o:hr="t"/>
        </w:pict>
      </w:r>
    </w:p>
    <w:bookmarkEnd w:id="35"/>
    <w:bookmarkStart w:id="36" w:name="pilot-programme-framework"/>
    <w:p>
      <w:pPr>
        <w:pStyle w:val="Heading1"/>
      </w:pPr>
      <w:r>
        <w:t xml:space="preserve">5.7 Pilot Programme Framework</w:t>
      </w:r>
    </w:p>
    <w:p>
      <w:pPr>
        <w:pStyle w:val="FirstParagraph"/>
      </w:pPr>
      <w:r>
        <w:t xml:space="preserve">Pilot initiatives shall progress through:</w:t>
      </w:r>
    </w:p>
    <w:p>
      <w:pPr>
        <w:pStyle w:val="BodyText"/>
      </w:pPr>
      <w:r>
        <w:t xml:space="preserve">```text id=</w:t>
      </w:r>
      <w:r>
        <w:t xml:space="preserve">“innov001”</w:t>
      </w:r>
    </w:p>
    <w:p>
      <w:pPr>
        <w:pStyle w:val="BodyText"/>
      </w:pPr>
      <w:r>
        <w:t xml:space="preserve">Proposal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Research Review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Ethics Approval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Technical Evaluation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Sandbox Testing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Pilot Deployment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Performance Evaluation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Governance Review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National Rollout or Closure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Each stage shall produce documented outcomes.</w:t>
      </w:r>
    </w:p>
    <w:p>
      <w:r>
        <w:pict>
          <v:rect style="width:0;height:1.5pt" o:hralign="center" o:hrstd="t" o:hr="t"/>
        </w:pict>
      </w:r>
    </w:p>
    <w:bookmarkEnd w:id="36"/>
    <w:bookmarkStart w:id="37" w:name="innovation-evaluation"/>
    <w:p>
      <w:pPr>
        <w:pStyle w:val="Heading1"/>
      </w:pPr>
      <w:r>
        <w:t xml:space="preserve">5.8 Innovation Evaluation</w:t>
      </w:r>
    </w:p>
    <w:p>
      <w:pPr>
        <w:pStyle w:val="FirstParagraph"/>
      </w:pPr>
      <w:r>
        <w:t xml:space="preserve">Evaluation criteria shall include:</w:t>
      </w:r>
    </w:p>
    <w:p>
      <w:pPr>
        <w:pStyle w:val="Compact"/>
        <w:numPr>
          <w:ilvl w:val="0"/>
          <w:numId w:val="1005"/>
        </w:numPr>
      </w:pPr>
      <w:r>
        <w:t xml:space="preserve">Educational effectiveness.</w:t>
      </w:r>
    </w:p>
    <w:p>
      <w:pPr>
        <w:pStyle w:val="Compact"/>
        <w:numPr>
          <w:ilvl w:val="0"/>
          <w:numId w:val="1005"/>
        </w:numPr>
      </w:pPr>
      <w:r>
        <w:t xml:space="preserve">User satisfaction.</w:t>
      </w:r>
    </w:p>
    <w:p>
      <w:pPr>
        <w:pStyle w:val="Compact"/>
        <w:numPr>
          <w:ilvl w:val="0"/>
          <w:numId w:val="1005"/>
        </w:numPr>
      </w:pPr>
      <w:r>
        <w:t xml:space="preserve">Accessibility.</w:t>
      </w:r>
    </w:p>
    <w:p>
      <w:pPr>
        <w:pStyle w:val="Compact"/>
        <w:numPr>
          <w:ilvl w:val="0"/>
          <w:numId w:val="1005"/>
        </w:numPr>
      </w:pPr>
      <w:r>
        <w:t xml:space="preserve">Security.</w:t>
      </w:r>
    </w:p>
    <w:p>
      <w:pPr>
        <w:pStyle w:val="Compact"/>
        <w:numPr>
          <w:ilvl w:val="0"/>
          <w:numId w:val="1005"/>
        </w:numPr>
      </w:pPr>
      <w:r>
        <w:t xml:space="preserve">Privacy.</w:t>
      </w:r>
    </w:p>
    <w:p>
      <w:pPr>
        <w:pStyle w:val="Compact"/>
        <w:numPr>
          <w:ilvl w:val="0"/>
          <w:numId w:val="1005"/>
        </w:numPr>
      </w:pPr>
      <w:r>
        <w:t xml:space="preserve">Technical performance.</w:t>
      </w:r>
    </w:p>
    <w:p>
      <w:pPr>
        <w:pStyle w:val="Compact"/>
        <w:numPr>
          <w:ilvl w:val="0"/>
          <w:numId w:val="1005"/>
        </w:numPr>
      </w:pPr>
      <w:r>
        <w:t xml:space="preserve">Cost-effectiveness.</w:t>
      </w:r>
    </w:p>
    <w:p>
      <w:pPr>
        <w:pStyle w:val="Compact"/>
        <w:numPr>
          <w:ilvl w:val="0"/>
          <w:numId w:val="1005"/>
        </w:numPr>
      </w:pPr>
      <w:r>
        <w:t xml:space="preserve">Scalability.</w:t>
      </w:r>
    </w:p>
    <w:p>
      <w:pPr>
        <w:pStyle w:val="Compact"/>
        <w:numPr>
          <w:ilvl w:val="0"/>
          <w:numId w:val="1005"/>
        </w:numPr>
      </w:pPr>
      <w:r>
        <w:t xml:space="preserve">Sustainability.</w:t>
      </w:r>
    </w:p>
    <w:p>
      <w:pPr>
        <w:pStyle w:val="FirstParagraph"/>
      </w:pPr>
      <w:r>
        <w:t xml:space="preserve">Evaluation findings shall support evidence-based decisions.</w:t>
      </w:r>
    </w:p>
    <w:p>
      <w:r>
        <w:pict>
          <v:rect style="width:0;height:1.5pt" o:hralign="center" o:hrstd="t" o:hr="t"/>
        </w:pict>
      </w:r>
    </w:p>
    <w:bookmarkEnd w:id="37"/>
    <w:bookmarkStart w:id="38" w:name="knowledge-dissemination"/>
    <w:p>
      <w:pPr>
        <w:pStyle w:val="Heading1"/>
      </w:pPr>
      <w:r>
        <w:t xml:space="preserve">5.9 Knowledge Dissemination</w:t>
      </w:r>
    </w:p>
    <w:p>
      <w:pPr>
        <w:pStyle w:val="FirstParagraph"/>
      </w:pPr>
      <w:r>
        <w:t xml:space="preserve">Approved outputs may include:</w:t>
      </w:r>
    </w:p>
    <w:p>
      <w:pPr>
        <w:pStyle w:val="Compact"/>
        <w:numPr>
          <w:ilvl w:val="0"/>
          <w:numId w:val="1006"/>
        </w:numPr>
      </w:pPr>
      <w:r>
        <w:t xml:space="preserve">Research publications.</w:t>
      </w:r>
    </w:p>
    <w:p>
      <w:pPr>
        <w:pStyle w:val="Compact"/>
        <w:numPr>
          <w:ilvl w:val="0"/>
          <w:numId w:val="1006"/>
        </w:numPr>
      </w:pPr>
      <w:r>
        <w:t xml:space="preserve">Policy recommendations.</w:t>
      </w:r>
    </w:p>
    <w:p>
      <w:pPr>
        <w:pStyle w:val="Compact"/>
        <w:numPr>
          <w:ilvl w:val="0"/>
          <w:numId w:val="1006"/>
        </w:numPr>
      </w:pPr>
      <w:r>
        <w:t xml:space="preserve">Technical reports.</w:t>
      </w:r>
    </w:p>
    <w:p>
      <w:pPr>
        <w:pStyle w:val="Compact"/>
        <w:numPr>
          <w:ilvl w:val="0"/>
          <w:numId w:val="1006"/>
        </w:numPr>
      </w:pPr>
      <w:r>
        <w:t xml:space="preserve">Innovation case studies.</w:t>
      </w:r>
    </w:p>
    <w:p>
      <w:pPr>
        <w:pStyle w:val="Compact"/>
        <w:numPr>
          <w:ilvl w:val="0"/>
          <w:numId w:val="1006"/>
        </w:numPr>
      </w:pPr>
      <w:r>
        <w:t xml:space="preserve">Educational best practices.</w:t>
      </w:r>
    </w:p>
    <w:p>
      <w:pPr>
        <w:pStyle w:val="Compact"/>
        <w:numPr>
          <w:ilvl w:val="0"/>
          <w:numId w:val="1006"/>
        </w:numPr>
      </w:pPr>
      <w:r>
        <w:t xml:space="preserve">Open datasets where authorized.</w:t>
      </w:r>
    </w:p>
    <w:p>
      <w:pPr>
        <w:pStyle w:val="Compact"/>
        <w:numPr>
          <w:ilvl w:val="0"/>
          <w:numId w:val="1006"/>
        </w:numPr>
      </w:pPr>
      <w:r>
        <w:t xml:space="preserve">Conference presentations.</w:t>
      </w:r>
    </w:p>
    <w:p>
      <w:pPr>
        <w:pStyle w:val="Compact"/>
        <w:numPr>
          <w:ilvl w:val="0"/>
          <w:numId w:val="1006"/>
        </w:numPr>
      </w:pPr>
      <w:r>
        <w:t xml:space="preserve">National innovation reports.</w:t>
      </w:r>
    </w:p>
    <w:p>
      <w:pPr>
        <w:pStyle w:val="FirstParagraph"/>
      </w:pPr>
      <w:r>
        <w:t xml:space="preserve">Publication shall respect confidentiality and intellectual property requirements.</w:t>
      </w:r>
    </w:p>
    <w:p>
      <w:r>
        <w:pict>
          <v:rect style="width:0;height:1.5pt" o:hralign="center" o:hrstd="t" o:hr="t"/>
        </w:pict>
      </w:r>
    </w:p>
    <w:bookmarkEnd w:id="38"/>
    <w:bookmarkStart w:id="44" w:name="business-rules"/>
    <w:p>
      <w:pPr>
        <w:pStyle w:val="Heading1"/>
      </w:pPr>
      <w:r>
        <w:t xml:space="preserve">5.10 Business Rules</w:t>
      </w:r>
    </w:p>
    <w:bookmarkStart w:id="39" w:name="br-innov-001"/>
    <w:p>
      <w:pPr>
        <w:pStyle w:val="Heading3"/>
      </w:pPr>
      <w:r>
        <w:t xml:space="preserve">BR-INNOV-001</w:t>
      </w:r>
    </w:p>
    <w:p>
      <w:pPr>
        <w:pStyle w:val="FirstParagraph"/>
      </w:pPr>
      <w:r>
        <w:t xml:space="preserve">All innovation projects involving production education data shall receive appropriate governance and ethics approval before commencement.</w:t>
      </w:r>
    </w:p>
    <w:p>
      <w:r>
        <w:pict>
          <v:rect style="width:0;height:1.5pt" o:hralign="center" o:hrstd="t" o:hr="t"/>
        </w:pict>
      </w:r>
    </w:p>
    <w:bookmarkEnd w:id="39"/>
    <w:bookmarkStart w:id="40" w:name="br-innov-002"/>
    <w:p>
      <w:pPr>
        <w:pStyle w:val="Heading3"/>
      </w:pPr>
      <w:r>
        <w:t xml:space="preserve">BR-INNOV-002</w:t>
      </w:r>
    </w:p>
    <w:p>
      <w:pPr>
        <w:pStyle w:val="FirstParagraph"/>
      </w:pPr>
      <w:r>
        <w:t xml:space="preserve">Experimental technologies shall be validated within approved sandbox environments before production consideration.</w:t>
      </w:r>
    </w:p>
    <w:p>
      <w:r>
        <w:pict>
          <v:rect style="width:0;height:1.5pt" o:hralign="center" o:hrstd="t" o:hr="t"/>
        </w:pict>
      </w:r>
    </w:p>
    <w:bookmarkEnd w:id="40"/>
    <w:bookmarkStart w:id="41" w:name="br-innov-003"/>
    <w:p>
      <w:pPr>
        <w:pStyle w:val="Heading3"/>
      </w:pPr>
      <w:r>
        <w:t xml:space="preserve">BR-INNOV-003</w:t>
      </w:r>
    </w:p>
    <w:p>
      <w:pPr>
        <w:pStyle w:val="FirstParagraph"/>
      </w:pPr>
      <w:r>
        <w:t xml:space="preserve">Research datasets shall be anonymized or otherwise protected where required by applicable laws and enterprise governance.</w:t>
      </w:r>
    </w:p>
    <w:p>
      <w:r>
        <w:pict>
          <v:rect style="width:0;height:1.5pt" o:hralign="center" o:hrstd="t" o:hr="t"/>
        </w:pict>
      </w:r>
    </w:p>
    <w:bookmarkEnd w:id="41"/>
    <w:bookmarkStart w:id="42" w:name="br-innov-004"/>
    <w:p>
      <w:pPr>
        <w:pStyle w:val="Heading3"/>
      </w:pPr>
      <w:r>
        <w:t xml:space="preserve">BR-INNOV-004</w:t>
      </w:r>
    </w:p>
    <w:p>
      <w:pPr>
        <w:pStyle w:val="FirstParagraph"/>
      </w:pPr>
      <w:r>
        <w:t xml:space="preserve">Pilot programmes shall define measurable success criteria before deployment.</w:t>
      </w:r>
    </w:p>
    <w:p>
      <w:r>
        <w:pict>
          <v:rect style="width:0;height:1.5pt" o:hralign="center" o:hrstd="t" o:hr="t"/>
        </w:pict>
      </w:r>
    </w:p>
    <w:bookmarkEnd w:id="42"/>
    <w:bookmarkStart w:id="43" w:name="br-innov-005"/>
    <w:p>
      <w:pPr>
        <w:pStyle w:val="Heading3"/>
      </w:pPr>
      <w:r>
        <w:t xml:space="preserve">BR-INNOV-005</w:t>
      </w:r>
    </w:p>
    <w:p>
      <w:pPr>
        <w:pStyle w:val="FirstParagraph"/>
      </w:pPr>
      <w:r>
        <w:t xml:space="preserve">Innovation outcomes shall be documented and evaluated before adoption into the national education platform.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cceptance-criteria"/>
    <w:p>
      <w:pPr>
        <w:pStyle w:val="Heading1"/>
      </w:pPr>
      <w:r>
        <w:t xml:space="preserve">5.11 Acceptance Criteria</w:t>
      </w:r>
    </w:p>
    <w:p>
      <w:pPr>
        <w:pStyle w:val="FirstParagraph"/>
      </w:pPr>
      <w:r>
        <w:t xml:space="preserve">The Research and Innovation Framework shall be considered complete when:</w:t>
      </w:r>
    </w:p>
    <w:p>
      <w:pPr>
        <w:pStyle w:val="Compact"/>
        <w:numPr>
          <w:ilvl w:val="0"/>
          <w:numId w:val="1007"/>
        </w:numPr>
      </w:pPr>
      <w:r>
        <w:t xml:space="preserve">Innovation governance is documented.</w:t>
      </w:r>
    </w:p>
    <w:p>
      <w:pPr>
        <w:pStyle w:val="Compact"/>
        <w:numPr>
          <w:ilvl w:val="0"/>
          <w:numId w:val="1007"/>
        </w:numPr>
      </w:pPr>
      <w:r>
        <w:t xml:space="preserve">EdTech Sandbox architecture is established.</w:t>
      </w:r>
    </w:p>
    <w:p>
      <w:pPr>
        <w:pStyle w:val="Compact"/>
        <w:numPr>
          <w:ilvl w:val="0"/>
          <w:numId w:val="1007"/>
        </w:numPr>
      </w:pPr>
      <w:r>
        <w:t xml:space="preserve">Research governance procedures are operational.</w:t>
      </w:r>
    </w:p>
    <w:p>
      <w:pPr>
        <w:pStyle w:val="Compact"/>
        <w:numPr>
          <w:ilvl w:val="0"/>
          <w:numId w:val="1007"/>
        </w:numPr>
      </w:pPr>
      <w:r>
        <w:t xml:space="preserve">Pilot programme methodology is defined.</w:t>
      </w:r>
    </w:p>
    <w:p>
      <w:pPr>
        <w:pStyle w:val="Compact"/>
        <w:numPr>
          <w:ilvl w:val="0"/>
          <w:numId w:val="1007"/>
        </w:numPr>
      </w:pPr>
      <w:r>
        <w:t xml:space="preserve">Evaluation framework is implemented.</w:t>
      </w:r>
    </w:p>
    <w:p>
      <w:pPr>
        <w:pStyle w:val="Compact"/>
        <w:numPr>
          <w:ilvl w:val="0"/>
          <w:numId w:val="1007"/>
        </w:numPr>
      </w:pPr>
      <w:r>
        <w:t xml:space="preserve">Knowledge dissemination procedures are documented.</w:t>
      </w:r>
    </w:p>
    <w:p>
      <w:pPr>
        <w:pStyle w:val="Compact"/>
        <w:numPr>
          <w:ilvl w:val="0"/>
          <w:numId w:val="1007"/>
        </w:numPr>
      </w:pPr>
      <w:r>
        <w:t xml:space="preserve">Collaboration mechanisms are established.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1"/>
      </w:pPr>
      <w:r>
        <w:t xml:space="preserve">5.12 Summary</w:t>
      </w:r>
    </w:p>
    <w:p>
      <w:pPr>
        <w:pStyle w:val="FirstParagraph"/>
      </w:pPr>
      <w:r>
        <w:t xml:space="preserve">The Research, Innovation and EdTech Sandbox framework establishes the controlled innovation environment for EduOS Cameroon.</w:t>
      </w:r>
    </w:p>
    <w:p>
      <w:pPr>
        <w:pStyle w:val="BodyText"/>
      </w:pPr>
      <w:r>
        <w:t xml:space="preserve">By defining research governance, secure sandbox environments, pilot methodologies, evaluation processes, collaboration frameworks, and knowledge dissemination practices, this framework enables continuous educational innovation while protecting learners, institutions, and national education services.</w:t>
      </w:r>
    </w:p>
    <w:p>
      <w:pPr>
        <w:pStyle w:val="BodyText"/>
      </w:pPr>
      <w:r>
        <w:t xml:space="preserve">It positions EduOS Cameroon as a platform that not only delivers digital education services but also drives research, experimentation, and evidence-based educational transformation.</w:t>
      </w:r>
    </w:p>
    <w:p>
      <w:r>
        <w:pict>
          <v:rect style="width:0;height:1.5pt" o:hralign="center" o:hrstd="t" o:hr="t"/>
        </w:pict>
      </w:r>
    </w:p>
    <w:bookmarkEnd w:id="46"/>
    <w:bookmarkStart w:id="47" w:name="volume-ix-progress"/>
    <w:p>
      <w:pPr>
        <w:pStyle w:val="Heading1"/>
      </w:pPr>
      <w:r>
        <w:t xml:space="preserve">VOLUME IX PROGRESS</w:t>
      </w:r>
    </w:p>
    <w:p>
      <w:pPr>
        <w:pStyle w:val="FirstParagraph"/>
      </w:pPr>
      <w:r>
        <w:t xml:space="preserve">Completed Chapters:</w:t>
      </w:r>
    </w:p>
    <w:p>
      <w:pPr>
        <w:pStyle w:val="BodyText"/>
      </w:pPr>
      <w:r>
        <w:t xml:space="preserve">✓ Chapter 1 – National Education Super App Strategy and Digital Ecosystem Vision</w:t>
      </w:r>
    </w:p>
    <w:p>
      <w:pPr>
        <w:pStyle w:val="BodyText"/>
      </w:pPr>
      <w:r>
        <w:t xml:space="preserve">✓ Chapter 2 – Open API Marketplace and Developer Ecosystem</w:t>
      </w:r>
    </w:p>
    <w:p>
      <w:pPr>
        <w:pStyle w:val="BodyText"/>
      </w:pPr>
      <w:r>
        <w:t xml:space="preserve">✓ Chapter 3 – Third-Party Applications and Plugin Framework</w:t>
      </w:r>
    </w:p>
    <w:p>
      <w:pPr>
        <w:pStyle w:val="BodyText"/>
      </w:pPr>
      <w:r>
        <w:t xml:space="preserve">✓ Chapter 4 – Digital Credentials, Digital Wallets and Verifiable Credentials</w:t>
      </w:r>
    </w:p>
    <w:p>
      <w:pPr>
        <w:pStyle w:val="BodyText"/>
      </w:pPr>
      <w:r>
        <w:t xml:space="preserve">✓ Chapter 5 – Research, Innovation and EdTech Sandbox</w:t>
      </w:r>
    </w:p>
    <w:p>
      <w:pPr>
        <w:pStyle w:val="BodyText"/>
      </w:pPr>
      <w:r>
        <w:t xml:space="preserve">Remaining Chapters:</w:t>
      </w:r>
    </w:p>
    <w:p>
      <w:pPr>
        <w:pStyle w:val="Compact"/>
        <w:numPr>
          <w:ilvl w:val="0"/>
          <w:numId w:val="1008"/>
        </w:numPr>
      </w:pPr>
      <w:r>
        <w:t xml:space="preserve">Chapter 6 – Smart Classrooms, IoT and Connected Campuses</w:t>
      </w:r>
    </w:p>
    <w:p>
      <w:pPr>
        <w:pStyle w:val="Compact"/>
        <w:numPr>
          <w:ilvl w:val="0"/>
          <w:numId w:val="1008"/>
        </w:numPr>
      </w:pPr>
      <w:r>
        <w:t xml:space="preserve">Chapter 7 – AR, VR, XR and Immersive Learning</w:t>
      </w:r>
    </w:p>
    <w:p>
      <w:pPr>
        <w:pStyle w:val="Compact"/>
        <w:numPr>
          <w:ilvl w:val="0"/>
          <w:numId w:val="1008"/>
        </w:numPr>
      </w:pPr>
      <w:r>
        <w:t xml:space="preserve">Chapter 8 – Robotics, STEM and Makerspace Integration</w:t>
      </w:r>
    </w:p>
    <w:p>
      <w:pPr>
        <w:pStyle w:val="Compact"/>
        <w:numPr>
          <w:ilvl w:val="0"/>
          <w:numId w:val="1008"/>
        </w:numPr>
      </w:pPr>
      <w:r>
        <w:t xml:space="preserve">Chapter 9 – International Interoperability and Cross-Border Education</w:t>
      </w:r>
    </w:p>
    <w:p>
      <w:pPr>
        <w:pStyle w:val="Compact"/>
        <w:numPr>
          <w:ilvl w:val="0"/>
          <w:numId w:val="1008"/>
        </w:numPr>
      </w:pPr>
      <w:r>
        <w:t xml:space="preserve">Chapter 10 – Sustainability, Green Computing and Digital Inclusion</w:t>
      </w:r>
    </w:p>
    <w:p>
      <w:pPr>
        <w:pStyle w:val="Compact"/>
        <w:numPr>
          <w:ilvl w:val="0"/>
          <w:numId w:val="1008"/>
        </w:numPr>
      </w:pPr>
      <w:r>
        <w:t xml:space="preserve">Chapter 11 – Emerging Technology Governance and Future Readiness</w:t>
      </w:r>
    </w:p>
    <w:p>
      <w:pPr>
        <w:pStyle w:val="Compact"/>
        <w:numPr>
          <w:ilvl w:val="0"/>
          <w:numId w:val="1008"/>
        </w:numPr>
      </w:pPr>
      <w:r>
        <w:t xml:space="preserve">Chapter 12 – National Education Innovation Reference Architecture and Strategic Roadmap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2026-07-10T14:51:18Z</dcterms:created>
  <dcterms:modified xsi:type="dcterms:W3CDTF">2026-07-10T14:51:18Z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