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duos-cameroon"/>
    <w:p>
      <w:pPr>
        <w:pStyle w:val="Heading1"/>
      </w:pPr>
      <w:r>
        <w:t xml:space="preserve">EDUOS CAMEROON</w:t>
      </w:r>
    </w:p>
    <w:bookmarkEnd w:id="20"/>
    <w:bookmarkStart w:id="21" w:name="volume-ix"/>
    <w:p>
      <w:pPr>
        <w:pStyle w:val="Heading1"/>
      </w:pPr>
      <w:r>
        <w:t xml:space="preserve">VOLUME IX</w:t>
      </w:r>
    </w:p>
    <w:bookmarkEnd w:id="21"/>
    <w:bookmarkStart w:id="23" w:name="Xdcfc02e57cb8d11f2441a5b8cc4c3e57d2e0628"/>
    <w:p>
      <w:pPr>
        <w:pStyle w:val="Heading1"/>
      </w:pPr>
      <w:r>
        <w:t xml:space="preserve">NATIONAL DIGITAL EDUCATION ECOSYSTEM, INNOVATION, OPEN PLATFORM AND FUTURE READINESS</w:t>
      </w:r>
    </w:p>
    <w:bookmarkStart w:id="22" w:name="chapter-4"/>
    <w:p>
      <w:pPr>
        <w:pStyle w:val="Heading2"/>
      </w:pPr>
      <w:r>
        <w:t xml:space="preserve">CHAPTER 4</w:t>
      </w:r>
    </w:p>
    <w:bookmarkEnd w:id="22"/>
    <w:bookmarkEnd w:id="23"/>
    <w:bookmarkStart w:id="24" w:name="X76c4a7539efb99b77573a8807928fb70b4362df"/>
    <w:p>
      <w:pPr>
        <w:pStyle w:val="Heading1"/>
      </w:pPr>
      <w:r>
        <w:t xml:space="preserve">DIGITAL CREDENTIALS, DIGITAL WALLETS AND VERIFIABLE CREDENTIALS</w:t>
      </w:r>
    </w:p>
    <w:p>
      <w:r>
        <w:pict>
          <v:rect style="width:0;height:1.5pt" o:hralign="center" o:hrstd="t" o:hr="t"/>
        </w:pict>
      </w:r>
    </w:p>
    <w:bookmarkEnd w:id="24"/>
    <w:bookmarkStart w:id="25" w:name="purpose"/>
    <w:p>
      <w:pPr>
        <w:pStyle w:val="Heading1"/>
      </w:pPr>
      <w:r>
        <w:t xml:space="preserve">4.1 Purpose</w:t>
      </w:r>
    </w:p>
    <w:p>
      <w:pPr>
        <w:pStyle w:val="FirstParagraph"/>
      </w:pPr>
      <w:r>
        <w:t xml:space="preserve">This chapter establishes the enterprise framework governing digital academic credentials, learner identity wallets, verifiable credentials, digital diplomas, digital transcripts, digital badges, cryptographic verification, and credential interoperability across EduOS Cameroon.</w:t>
      </w:r>
    </w:p>
    <w:p>
      <w:pPr>
        <w:pStyle w:val="BodyText"/>
      </w:pPr>
      <w:r>
        <w:t xml:space="preserve">Its objective is to provide every learner, educator, and authorized education professional with secure, portable, tamper-evident, and internationally verifiable digital credentials that remain trusted throughout their educational and professional lifetime.</w:t>
      </w:r>
    </w:p>
    <w:p>
      <w:r>
        <w:pict>
          <v:rect style="width:0;height:1.5pt" o:hralign="center" o:hrstd="t" o:hr="t"/>
        </w:pict>
      </w:r>
    </w:p>
    <w:bookmarkEnd w:id="25"/>
    <w:bookmarkStart w:id="26" w:name="vision"/>
    <w:p>
      <w:pPr>
        <w:pStyle w:val="Heading1"/>
      </w:pPr>
      <w:r>
        <w:t xml:space="preserve">4.2 Vision</w:t>
      </w:r>
    </w:p>
    <w:p>
      <w:pPr>
        <w:pStyle w:val="FirstParagraph"/>
      </w:pPr>
      <w:r>
        <w:t xml:space="preserve">EduOS Cameroon shall establish a National Digital Credential Ecosystem that enables:</w:t>
      </w:r>
    </w:p>
    <w:p>
      <w:pPr>
        <w:pStyle w:val="Compact"/>
        <w:numPr>
          <w:ilvl w:val="0"/>
          <w:numId w:val="1001"/>
        </w:numPr>
      </w:pPr>
      <w:r>
        <w:t xml:space="preserve">Lifelong ownership of educational achievements.</w:t>
      </w:r>
    </w:p>
    <w:p>
      <w:pPr>
        <w:pStyle w:val="Compact"/>
        <w:numPr>
          <w:ilvl w:val="0"/>
          <w:numId w:val="1001"/>
        </w:numPr>
      </w:pPr>
      <w:r>
        <w:t xml:space="preserve">Instant credential verification.</w:t>
      </w:r>
    </w:p>
    <w:p>
      <w:pPr>
        <w:pStyle w:val="Compact"/>
        <w:numPr>
          <w:ilvl w:val="0"/>
          <w:numId w:val="1001"/>
        </w:numPr>
      </w:pPr>
      <w:r>
        <w:t xml:space="preserve">Fraud-resistant certificates.</w:t>
      </w:r>
    </w:p>
    <w:p>
      <w:pPr>
        <w:pStyle w:val="Compact"/>
        <w:numPr>
          <w:ilvl w:val="0"/>
          <w:numId w:val="1001"/>
        </w:numPr>
      </w:pPr>
      <w:r>
        <w:t xml:space="preserve">Secure digital identity.</w:t>
      </w:r>
    </w:p>
    <w:p>
      <w:pPr>
        <w:pStyle w:val="Compact"/>
        <w:numPr>
          <w:ilvl w:val="0"/>
          <w:numId w:val="1001"/>
        </w:numPr>
      </w:pPr>
      <w:r>
        <w:t xml:space="preserve">International recognition.</w:t>
      </w:r>
    </w:p>
    <w:p>
      <w:pPr>
        <w:pStyle w:val="Compact"/>
        <w:numPr>
          <w:ilvl w:val="0"/>
          <w:numId w:val="1001"/>
        </w:numPr>
      </w:pPr>
      <w:r>
        <w:t xml:space="preserve">Portable learner records.</w:t>
      </w:r>
    </w:p>
    <w:p>
      <w:pPr>
        <w:pStyle w:val="Compact"/>
        <w:numPr>
          <w:ilvl w:val="0"/>
          <w:numId w:val="1001"/>
        </w:numPr>
      </w:pPr>
      <w:r>
        <w:t xml:space="preserve">Trusted academic exchanges.</w:t>
      </w:r>
    </w:p>
    <w:p>
      <w:pPr>
        <w:pStyle w:val="Compact"/>
        <w:numPr>
          <w:ilvl w:val="0"/>
          <w:numId w:val="1001"/>
        </w:numPr>
      </w:pPr>
      <w:r>
        <w:t xml:space="preserve">Digital employment verification.</w:t>
      </w:r>
    </w:p>
    <w:p>
      <w:pPr>
        <w:pStyle w:val="FirstParagraph"/>
      </w:pPr>
      <w:r>
        <w:t xml:space="preserve">Digital credentials shall complement official physical credentials unless national policy determines otherwise.</w:t>
      </w:r>
    </w:p>
    <w:p>
      <w:r>
        <w:pict>
          <v:rect style="width:0;height:1.5pt" o:hralign="center" o:hrstd="t" o:hr="t"/>
        </w:pict>
      </w:r>
    </w:p>
    <w:bookmarkEnd w:id="26"/>
    <w:bookmarkStart w:id="32" w:name="guiding-principles"/>
    <w:p>
      <w:pPr>
        <w:pStyle w:val="Heading1"/>
      </w:pPr>
      <w:r>
        <w:t xml:space="preserve">4.3 Guiding Principles</w:t>
      </w:r>
    </w:p>
    <w:p>
      <w:pPr>
        <w:pStyle w:val="FirstParagraph"/>
      </w:pPr>
      <w:r>
        <w:t xml:space="preserve">Digital credentials shall follow these principles.</w:t>
      </w:r>
    </w:p>
    <w:bookmarkStart w:id="27" w:name="vc-001-learner-ownership"/>
    <w:p>
      <w:pPr>
        <w:pStyle w:val="Heading3"/>
      </w:pPr>
      <w:r>
        <w:t xml:space="preserve">VC-001 Learner Ownership</w:t>
      </w:r>
    </w:p>
    <w:p>
      <w:pPr>
        <w:pStyle w:val="FirstParagraph"/>
      </w:pPr>
      <w:r>
        <w:t xml:space="preserve">Individuals shall retain lifelong access to their digital academic credentials.</w:t>
      </w:r>
    </w:p>
    <w:p>
      <w:r>
        <w:pict>
          <v:rect style="width:0;height:1.5pt" o:hralign="center" o:hrstd="t" o:hr="t"/>
        </w:pict>
      </w:r>
    </w:p>
    <w:bookmarkEnd w:id="27"/>
    <w:bookmarkStart w:id="28" w:name="vc-002-authenticity"/>
    <w:p>
      <w:pPr>
        <w:pStyle w:val="Heading3"/>
      </w:pPr>
      <w:r>
        <w:t xml:space="preserve">VC-002 Authenticity</w:t>
      </w:r>
    </w:p>
    <w:p>
      <w:pPr>
        <w:pStyle w:val="FirstParagraph"/>
      </w:pPr>
      <w:r>
        <w:t xml:space="preserve">Every credential shall be cryptographically verifiable.</w:t>
      </w:r>
    </w:p>
    <w:p>
      <w:r>
        <w:pict>
          <v:rect style="width:0;height:1.5pt" o:hralign="center" o:hrstd="t" o:hr="t"/>
        </w:pict>
      </w:r>
    </w:p>
    <w:bookmarkEnd w:id="28"/>
    <w:bookmarkStart w:id="29" w:name="vc-003-privacy"/>
    <w:p>
      <w:pPr>
        <w:pStyle w:val="Heading3"/>
      </w:pPr>
      <w:r>
        <w:t xml:space="preserve">VC-003 Privacy</w:t>
      </w:r>
    </w:p>
    <w:p>
      <w:pPr>
        <w:pStyle w:val="FirstParagraph"/>
      </w:pPr>
      <w:r>
        <w:t xml:space="preserve">Credential holders shall control the disclosure of personal information, subject to applicable laws and regulations.</w:t>
      </w:r>
    </w:p>
    <w:p>
      <w:r>
        <w:pict>
          <v:rect style="width:0;height:1.5pt" o:hralign="center" o:hrstd="t" o:hr="t"/>
        </w:pict>
      </w:r>
    </w:p>
    <w:bookmarkEnd w:id="29"/>
    <w:bookmarkStart w:id="30" w:name="vc-004-interoperability"/>
    <w:p>
      <w:pPr>
        <w:pStyle w:val="Heading3"/>
      </w:pPr>
      <w:r>
        <w:t xml:space="preserve">VC-004 Interoperability</w:t>
      </w:r>
    </w:p>
    <w:p>
      <w:pPr>
        <w:pStyle w:val="FirstParagraph"/>
      </w:pPr>
      <w:r>
        <w:t xml:space="preserve">Credentials shall conform to internationally recognized interoperability standards wherever applicable.</w:t>
      </w:r>
    </w:p>
    <w:p>
      <w:r>
        <w:pict>
          <v:rect style="width:0;height:1.5pt" o:hralign="center" o:hrstd="t" o:hr="t"/>
        </w:pict>
      </w:r>
    </w:p>
    <w:bookmarkEnd w:id="30"/>
    <w:bookmarkStart w:id="31" w:name="vc-005-longevity"/>
    <w:p>
      <w:pPr>
        <w:pStyle w:val="Heading3"/>
      </w:pPr>
      <w:r>
        <w:t xml:space="preserve">VC-005 Longevity</w:t>
      </w:r>
    </w:p>
    <w:p>
      <w:pPr>
        <w:pStyle w:val="FirstParagraph"/>
      </w:pPr>
      <w:r>
        <w:t xml:space="preserve">Credential verification shall remain available beyond institutional or technology changes through approved archival and governance mechanisms.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redential-types"/>
    <w:p>
      <w:pPr>
        <w:pStyle w:val="Heading1"/>
      </w:pPr>
      <w:r>
        <w:t xml:space="preserve">4.4 Credential Types</w:t>
      </w:r>
    </w:p>
    <w:p>
      <w:pPr>
        <w:pStyle w:val="FirstParagraph"/>
      </w:pPr>
      <w:r>
        <w:t xml:space="preserve">EduOS may issue:</w:t>
      </w:r>
    </w:p>
    <w:p>
      <w:pPr>
        <w:pStyle w:val="Compact"/>
        <w:numPr>
          <w:ilvl w:val="0"/>
          <w:numId w:val="1002"/>
        </w:numPr>
      </w:pPr>
      <w:r>
        <w:t xml:space="preserve">Student Identity Cards.</w:t>
      </w:r>
    </w:p>
    <w:p>
      <w:pPr>
        <w:pStyle w:val="Compact"/>
        <w:numPr>
          <w:ilvl w:val="0"/>
          <w:numId w:val="1002"/>
        </w:numPr>
      </w:pPr>
      <w:r>
        <w:t xml:space="preserve">Digital Enrollment Certificates.</w:t>
      </w:r>
    </w:p>
    <w:p>
      <w:pPr>
        <w:pStyle w:val="Compact"/>
        <w:numPr>
          <w:ilvl w:val="0"/>
          <w:numId w:val="1002"/>
        </w:numPr>
      </w:pPr>
      <w:r>
        <w:t xml:space="preserve">Attendance Certificates.</w:t>
      </w:r>
    </w:p>
    <w:p>
      <w:pPr>
        <w:pStyle w:val="Compact"/>
        <w:numPr>
          <w:ilvl w:val="0"/>
          <w:numId w:val="1002"/>
        </w:numPr>
      </w:pPr>
      <w:r>
        <w:t xml:space="preserve">Examination Results.</w:t>
      </w:r>
    </w:p>
    <w:p>
      <w:pPr>
        <w:pStyle w:val="Compact"/>
        <w:numPr>
          <w:ilvl w:val="0"/>
          <w:numId w:val="1002"/>
        </w:numPr>
      </w:pPr>
      <w:r>
        <w:t xml:space="preserve">Report Cards.</w:t>
      </w:r>
    </w:p>
    <w:p>
      <w:pPr>
        <w:pStyle w:val="Compact"/>
        <w:numPr>
          <w:ilvl w:val="0"/>
          <w:numId w:val="1002"/>
        </w:numPr>
      </w:pPr>
      <w:r>
        <w:t xml:space="preserve">Competency Certificates.</w:t>
      </w:r>
    </w:p>
    <w:p>
      <w:pPr>
        <w:pStyle w:val="Compact"/>
        <w:numPr>
          <w:ilvl w:val="0"/>
          <w:numId w:val="1002"/>
        </w:numPr>
      </w:pPr>
      <w:r>
        <w:t xml:space="preserve">Skills Badges.</w:t>
      </w:r>
    </w:p>
    <w:p>
      <w:pPr>
        <w:pStyle w:val="Compact"/>
        <w:numPr>
          <w:ilvl w:val="0"/>
          <w:numId w:val="1002"/>
        </w:numPr>
      </w:pPr>
      <w:r>
        <w:t xml:space="preserve">Vocational Certifications.</w:t>
      </w:r>
    </w:p>
    <w:p>
      <w:pPr>
        <w:pStyle w:val="Compact"/>
        <w:numPr>
          <w:ilvl w:val="0"/>
          <w:numId w:val="1002"/>
        </w:numPr>
      </w:pPr>
      <w:r>
        <w:t xml:space="preserve">Diplomas.</w:t>
      </w:r>
    </w:p>
    <w:p>
      <w:pPr>
        <w:pStyle w:val="Compact"/>
        <w:numPr>
          <w:ilvl w:val="0"/>
          <w:numId w:val="1002"/>
        </w:numPr>
      </w:pPr>
      <w:r>
        <w:t xml:space="preserve">Degrees.</w:t>
      </w:r>
    </w:p>
    <w:p>
      <w:pPr>
        <w:pStyle w:val="Compact"/>
        <w:numPr>
          <w:ilvl w:val="0"/>
          <w:numId w:val="1002"/>
        </w:numPr>
      </w:pPr>
      <w:r>
        <w:t xml:space="preserve">Professional Development Certificates.</w:t>
      </w:r>
    </w:p>
    <w:p>
      <w:pPr>
        <w:pStyle w:val="Compact"/>
        <w:numPr>
          <w:ilvl w:val="0"/>
          <w:numId w:val="1002"/>
        </w:numPr>
      </w:pPr>
      <w:r>
        <w:t xml:space="preserve">Teacher Licenses.</w:t>
      </w:r>
    </w:p>
    <w:p>
      <w:pPr>
        <w:pStyle w:val="Compact"/>
        <w:numPr>
          <w:ilvl w:val="0"/>
          <w:numId w:val="1002"/>
        </w:numPr>
      </w:pPr>
      <w:r>
        <w:t xml:space="preserve">Administrative Certifications.</w:t>
      </w:r>
    </w:p>
    <w:p>
      <w:pPr>
        <w:pStyle w:val="FirstParagraph"/>
      </w:pPr>
      <w:r>
        <w:t xml:space="preserve">Credential definitions shall be governed nationally.</w:t>
      </w:r>
    </w:p>
    <w:p>
      <w:r>
        <w:pict>
          <v:rect style="width:0;height:1.5pt" o:hralign="center" o:hrstd="t" o:hr="t"/>
        </w:pict>
      </w:r>
    </w:p>
    <w:bookmarkEnd w:id="33"/>
    <w:bookmarkStart w:id="34" w:name="digital-wallet"/>
    <w:p>
      <w:pPr>
        <w:pStyle w:val="Heading1"/>
      </w:pPr>
      <w:r>
        <w:t xml:space="preserve">4.5 Digital Wallet</w:t>
      </w:r>
    </w:p>
    <w:p>
      <w:pPr>
        <w:pStyle w:val="FirstParagraph"/>
      </w:pPr>
      <w:r>
        <w:t xml:space="preserve">Every authorized credential holder may possess an EduOS Digital Education Wallet supporting:</w:t>
      </w:r>
    </w:p>
    <w:p>
      <w:pPr>
        <w:pStyle w:val="Compact"/>
        <w:numPr>
          <w:ilvl w:val="0"/>
          <w:numId w:val="1003"/>
        </w:numPr>
      </w:pPr>
      <w:r>
        <w:t xml:space="preserve">Academic credentials.</w:t>
      </w:r>
    </w:p>
    <w:p>
      <w:pPr>
        <w:pStyle w:val="Compact"/>
        <w:numPr>
          <w:ilvl w:val="0"/>
          <w:numId w:val="1003"/>
        </w:numPr>
      </w:pPr>
      <w:r>
        <w:t xml:space="preserve">Learning achievements.</w:t>
      </w:r>
    </w:p>
    <w:p>
      <w:pPr>
        <w:pStyle w:val="Compact"/>
        <w:numPr>
          <w:ilvl w:val="0"/>
          <w:numId w:val="1003"/>
        </w:numPr>
      </w:pPr>
      <w:r>
        <w:t xml:space="preserve">Competency badges.</w:t>
      </w:r>
    </w:p>
    <w:p>
      <w:pPr>
        <w:pStyle w:val="Compact"/>
        <w:numPr>
          <w:ilvl w:val="0"/>
          <w:numId w:val="1003"/>
        </w:numPr>
      </w:pPr>
      <w:r>
        <w:t xml:space="preserve">Examination certificates.</w:t>
      </w:r>
    </w:p>
    <w:p>
      <w:pPr>
        <w:pStyle w:val="Compact"/>
        <w:numPr>
          <w:ilvl w:val="0"/>
          <w:numId w:val="1003"/>
        </w:numPr>
      </w:pPr>
      <w:r>
        <w:t xml:space="preserve">Professional certifications.</w:t>
      </w:r>
    </w:p>
    <w:p>
      <w:pPr>
        <w:pStyle w:val="Compact"/>
        <w:numPr>
          <w:ilvl w:val="0"/>
          <w:numId w:val="1003"/>
        </w:numPr>
      </w:pPr>
      <w:r>
        <w:t xml:space="preserve">Teacher qualifications.</w:t>
      </w:r>
    </w:p>
    <w:p>
      <w:pPr>
        <w:pStyle w:val="Compact"/>
        <w:numPr>
          <w:ilvl w:val="0"/>
          <w:numId w:val="1003"/>
        </w:numPr>
      </w:pPr>
      <w:r>
        <w:t xml:space="preserve">Digital identity attributes.</w:t>
      </w:r>
    </w:p>
    <w:p>
      <w:pPr>
        <w:pStyle w:val="Compact"/>
        <w:numPr>
          <w:ilvl w:val="0"/>
          <w:numId w:val="1003"/>
        </w:numPr>
      </w:pPr>
      <w:r>
        <w:t xml:space="preserve">Consent management.</w:t>
      </w:r>
    </w:p>
    <w:p>
      <w:pPr>
        <w:pStyle w:val="FirstParagraph"/>
      </w:pPr>
      <w:r>
        <w:t xml:space="preserve">The wallet shall remain secure and portable.</w:t>
      </w:r>
    </w:p>
    <w:p>
      <w:r>
        <w:pict>
          <v:rect style="width:0;height:1.5pt" o:hralign="center" o:hrstd="t" o:hr="t"/>
        </w:pict>
      </w:r>
    </w:p>
    <w:bookmarkEnd w:id="34"/>
    <w:bookmarkStart w:id="35" w:name="verifiable-credential-framework"/>
    <w:p>
      <w:pPr>
        <w:pStyle w:val="Heading1"/>
      </w:pPr>
      <w:r>
        <w:t xml:space="preserve">4.6 Verifiable Credential Framework</w:t>
      </w:r>
    </w:p>
    <w:p>
      <w:pPr>
        <w:pStyle w:val="FirstParagraph"/>
      </w:pPr>
      <w:r>
        <w:t xml:space="preserve">The framework shall support:</w:t>
      </w:r>
    </w:p>
    <w:p>
      <w:pPr>
        <w:pStyle w:val="Compact"/>
        <w:numPr>
          <w:ilvl w:val="0"/>
          <w:numId w:val="1004"/>
        </w:numPr>
      </w:pPr>
      <w:r>
        <w:t xml:space="preserve">Credential issuance.</w:t>
      </w:r>
    </w:p>
    <w:p>
      <w:pPr>
        <w:pStyle w:val="Compact"/>
        <w:numPr>
          <w:ilvl w:val="0"/>
          <w:numId w:val="1004"/>
        </w:numPr>
      </w:pPr>
      <w:r>
        <w:t xml:space="preserve">Digital signing.</w:t>
      </w:r>
    </w:p>
    <w:p>
      <w:pPr>
        <w:pStyle w:val="Compact"/>
        <w:numPr>
          <w:ilvl w:val="0"/>
          <w:numId w:val="1004"/>
        </w:numPr>
      </w:pPr>
      <w:r>
        <w:t xml:space="preserve">Secure storage.</w:t>
      </w:r>
    </w:p>
    <w:p>
      <w:pPr>
        <w:pStyle w:val="Compact"/>
        <w:numPr>
          <w:ilvl w:val="0"/>
          <w:numId w:val="1004"/>
        </w:numPr>
      </w:pPr>
      <w:r>
        <w:t xml:space="preserve">Credential presentation.</w:t>
      </w:r>
    </w:p>
    <w:p>
      <w:pPr>
        <w:pStyle w:val="Compact"/>
        <w:numPr>
          <w:ilvl w:val="0"/>
          <w:numId w:val="1004"/>
        </w:numPr>
      </w:pPr>
      <w:r>
        <w:t xml:space="preserve">Verification.</w:t>
      </w:r>
    </w:p>
    <w:p>
      <w:pPr>
        <w:pStyle w:val="Compact"/>
        <w:numPr>
          <w:ilvl w:val="0"/>
          <w:numId w:val="1004"/>
        </w:numPr>
      </w:pPr>
      <w:r>
        <w:t xml:space="preserve">Revocation.</w:t>
      </w:r>
    </w:p>
    <w:p>
      <w:pPr>
        <w:pStyle w:val="Compact"/>
        <w:numPr>
          <w:ilvl w:val="0"/>
          <w:numId w:val="1004"/>
        </w:numPr>
      </w:pPr>
      <w:r>
        <w:t xml:space="preserve">Renewal.</w:t>
      </w:r>
    </w:p>
    <w:p>
      <w:pPr>
        <w:pStyle w:val="Compact"/>
        <w:numPr>
          <w:ilvl w:val="0"/>
          <w:numId w:val="1004"/>
        </w:numPr>
      </w:pPr>
      <w:r>
        <w:t xml:space="preserve">Expiration management.</w:t>
      </w:r>
    </w:p>
    <w:p>
      <w:pPr>
        <w:pStyle w:val="Compact"/>
        <w:numPr>
          <w:ilvl w:val="0"/>
          <w:numId w:val="1004"/>
        </w:numPr>
      </w:pPr>
      <w:r>
        <w:t xml:space="preserve">Audit history.</w:t>
      </w:r>
    </w:p>
    <w:p>
      <w:pPr>
        <w:pStyle w:val="FirstParagraph"/>
      </w:pPr>
      <w:r>
        <w:t xml:space="preserve">Every credential shall maintain a complete lifecycle.</w:t>
      </w:r>
    </w:p>
    <w:p>
      <w:r>
        <w:pict>
          <v:rect style="width:0;height:1.5pt" o:hralign="center" o:hrstd="t" o:hr="t"/>
        </w:pict>
      </w:r>
    </w:p>
    <w:bookmarkEnd w:id="35"/>
    <w:bookmarkStart w:id="36" w:name="credential-verification"/>
    <w:p>
      <w:pPr>
        <w:pStyle w:val="Heading1"/>
      </w:pPr>
      <w:r>
        <w:t xml:space="preserve">4.7 Credential Verification</w:t>
      </w:r>
    </w:p>
    <w:p>
      <w:pPr>
        <w:pStyle w:val="FirstParagraph"/>
      </w:pPr>
      <w:r>
        <w:t xml:space="preserve">Verification services shall support:</w:t>
      </w:r>
    </w:p>
    <w:p>
      <w:pPr>
        <w:pStyle w:val="Compact"/>
        <w:numPr>
          <w:ilvl w:val="0"/>
          <w:numId w:val="1005"/>
        </w:numPr>
      </w:pPr>
      <w:r>
        <w:t xml:space="preserve">QR code verification.</w:t>
      </w:r>
    </w:p>
    <w:p>
      <w:pPr>
        <w:pStyle w:val="Compact"/>
        <w:numPr>
          <w:ilvl w:val="0"/>
          <w:numId w:val="1005"/>
        </w:numPr>
      </w:pPr>
      <w:r>
        <w:t xml:space="preserve">Secure online verification.</w:t>
      </w:r>
    </w:p>
    <w:p>
      <w:pPr>
        <w:pStyle w:val="Compact"/>
        <w:numPr>
          <w:ilvl w:val="0"/>
          <w:numId w:val="1005"/>
        </w:numPr>
      </w:pPr>
      <w:r>
        <w:t xml:space="preserve">API verification.</w:t>
      </w:r>
    </w:p>
    <w:p>
      <w:pPr>
        <w:pStyle w:val="Compact"/>
        <w:numPr>
          <w:ilvl w:val="0"/>
          <w:numId w:val="1005"/>
        </w:numPr>
      </w:pPr>
      <w:r>
        <w:t xml:space="preserve">Institutional verification.</w:t>
      </w:r>
    </w:p>
    <w:p>
      <w:pPr>
        <w:pStyle w:val="Compact"/>
        <w:numPr>
          <w:ilvl w:val="0"/>
          <w:numId w:val="1005"/>
        </w:numPr>
      </w:pPr>
      <w:r>
        <w:t xml:space="preserve">Employer verification.</w:t>
      </w:r>
    </w:p>
    <w:p>
      <w:pPr>
        <w:pStyle w:val="Compact"/>
        <w:numPr>
          <w:ilvl w:val="0"/>
          <w:numId w:val="1005"/>
        </w:numPr>
      </w:pPr>
      <w:r>
        <w:t xml:space="preserve">Cross-border verification where authorized.</w:t>
      </w:r>
    </w:p>
    <w:p>
      <w:pPr>
        <w:pStyle w:val="FirstParagraph"/>
      </w:pPr>
      <w:r>
        <w:t xml:space="preserve">Verification shall not require modification of the credential.</w:t>
      </w:r>
    </w:p>
    <w:p>
      <w:r>
        <w:pict>
          <v:rect style="width:0;height:1.5pt" o:hralign="center" o:hrstd="t" o:hr="t"/>
        </w:pict>
      </w:r>
    </w:p>
    <w:bookmarkEnd w:id="36"/>
    <w:bookmarkStart w:id="37" w:name="trust-framework"/>
    <w:p>
      <w:pPr>
        <w:pStyle w:val="Heading1"/>
      </w:pPr>
      <w:r>
        <w:t xml:space="preserve">4.8 Trust Framework</w:t>
      </w:r>
    </w:p>
    <w:p>
      <w:pPr>
        <w:pStyle w:val="FirstParagraph"/>
      </w:pPr>
      <w:r>
        <w:t xml:space="preserve">The National Education Trust Framework shall define:</w:t>
      </w:r>
    </w:p>
    <w:p>
      <w:pPr>
        <w:pStyle w:val="Compact"/>
        <w:numPr>
          <w:ilvl w:val="0"/>
          <w:numId w:val="1006"/>
        </w:numPr>
      </w:pPr>
      <w:r>
        <w:t xml:space="preserve">Issuing authorities.</w:t>
      </w:r>
    </w:p>
    <w:p>
      <w:pPr>
        <w:pStyle w:val="Compact"/>
        <w:numPr>
          <w:ilvl w:val="0"/>
          <w:numId w:val="1006"/>
        </w:numPr>
      </w:pPr>
      <w:r>
        <w:t xml:space="preserve">Trust registries.</w:t>
      </w:r>
    </w:p>
    <w:p>
      <w:pPr>
        <w:pStyle w:val="Compact"/>
        <w:numPr>
          <w:ilvl w:val="0"/>
          <w:numId w:val="1006"/>
        </w:numPr>
      </w:pPr>
      <w:r>
        <w:t xml:space="preserve">Verification authorities.</w:t>
      </w:r>
    </w:p>
    <w:p>
      <w:pPr>
        <w:pStyle w:val="Compact"/>
        <w:numPr>
          <w:ilvl w:val="0"/>
          <w:numId w:val="1006"/>
        </w:numPr>
      </w:pPr>
      <w:r>
        <w:t xml:space="preserve">Cryptographic key management.</w:t>
      </w:r>
    </w:p>
    <w:p>
      <w:pPr>
        <w:pStyle w:val="Compact"/>
        <w:numPr>
          <w:ilvl w:val="0"/>
          <w:numId w:val="1006"/>
        </w:numPr>
      </w:pPr>
      <w:r>
        <w:t xml:space="preserve">Certificate authorities.</w:t>
      </w:r>
    </w:p>
    <w:p>
      <w:pPr>
        <w:pStyle w:val="Compact"/>
        <w:numPr>
          <w:ilvl w:val="0"/>
          <w:numId w:val="1006"/>
        </w:numPr>
      </w:pPr>
      <w:r>
        <w:t xml:space="preserve">Revocation services.</w:t>
      </w:r>
    </w:p>
    <w:p>
      <w:pPr>
        <w:pStyle w:val="Compact"/>
        <w:numPr>
          <w:ilvl w:val="0"/>
          <w:numId w:val="1006"/>
        </w:numPr>
      </w:pPr>
      <w:r>
        <w:t xml:space="preserve">Governance responsibilities.</w:t>
      </w:r>
    </w:p>
    <w:p>
      <w:pPr>
        <w:pStyle w:val="FirstParagraph"/>
      </w:pPr>
      <w:r>
        <w:t xml:space="preserve">Trust relationships shall be centrally governed.</w:t>
      </w:r>
    </w:p>
    <w:p>
      <w:r>
        <w:pict>
          <v:rect style="width:0;height:1.5pt" o:hralign="center" o:hrstd="t" o:hr="t"/>
        </w:pict>
      </w:r>
    </w:p>
    <w:bookmarkEnd w:id="37"/>
    <w:bookmarkStart w:id="38" w:name="security-requirements"/>
    <w:p>
      <w:pPr>
        <w:pStyle w:val="Heading1"/>
      </w:pPr>
      <w:r>
        <w:t xml:space="preserve">4.9 Security Requirements</w:t>
      </w:r>
    </w:p>
    <w:p>
      <w:pPr>
        <w:pStyle w:val="FirstParagraph"/>
      </w:pPr>
      <w:r>
        <w:t xml:space="preserve">Credential security shall include:</w:t>
      </w:r>
    </w:p>
    <w:p>
      <w:pPr>
        <w:pStyle w:val="Compact"/>
        <w:numPr>
          <w:ilvl w:val="0"/>
          <w:numId w:val="1007"/>
        </w:numPr>
      </w:pPr>
      <w:r>
        <w:t xml:space="preserve">Digital signatures.</w:t>
      </w:r>
    </w:p>
    <w:p>
      <w:pPr>
        <w:pStyle w:val="Compact"/>
        <w:numPr>
          <w:ilvl w:val="0"/>
          <w:numId w:val="1007"/>
        </w:numPr>
      </w:pPr>
      <w:r>
        <w:t xml:space="preserve">Encryption.</w:t>
      </w:r>
    </w:p>
    <w:p>
      <w:pPr>
        <w:pStyle w:val="Compact"/>
        <w:numPr>
          <w:ilvl w:val="0"/>
          <w:numId w:val="1007"/>
        </w:numPr>
      </w:pPr>
      <w:r>
        <w:t xml:space="preserve">Tamper detection.</w:t>
      </w:r>
    </w:p>
    <w:p>
      <w:pPr>
        <w:pStyle w:val="Compact"/>
        <w:numPr>
          <w:ilvl w:val="0"/>
          <w:numId w:val="1007"/>
        </w:numPr>
      </w:pPr>
      <w:r>
        <w:t xml:space="preserve">Key rotation.</w:t>
      </w:r>
    </w:p>
    <w:p>
      <w:pPr>
        <w:pStyle w:val="Compact"/>
        <w:numPr>
          <w:ilvl w:val="0"/>
          <w:numId w:val="1007"/>
        </w:numPr>
      </w:pPr>
      <w:r>
        <w:t xml:space="preserve">Identity verification.</w:t>
      </w:r>
    </w:p>
    <w:p>
      <w:pPr>
        <w:pStyle w:val="Compact"/>
        <w:numPr>
          <w:ilvl w:val="0"/>
          <w:numId w:val="1007"/>
        </w:numPr>
      </w:pPr>
      <w:r>
        <w:t xml:space="preserve">Fraud monitoring.</w:t>
      </w:r>
    </w:p>
    <w:p>
      <w:pPr>
        <w:pStyle w:val="Compact"/>
        <w:numPr>
          <w:ilvl w:val="0"/>
          <w:numId w:val="1007"/>
        </w:numPr>
      </w:pPr>
      <w:r>
        <w:t xml:space="preserve">Audit logging.</w:t>
      </w:r>
    </w:p>
    <w:p>
      <w:pPr>
        <w:pStyle w:val="Compact"/>
        <w:numPr>
          <w:ilvl w:val="0"/>
          <w:numId w:val="1007"/>
        </w:numPr>
      </w:pPr>
      <w:r>
        <w:t xml:space="preserve">Secure archival.</w:t>
      </w:r>
    </w:p>
    <w:p>
      <w:pPr>
        <w:pStyle w:val="FirstParagraph"/>
      </w:pPr>
      <w:r>
        <w:t xml:space="preserve">Security shall align with national cybersecurity policies.</w:t>
      </w:r>
    </w:p>
    <w:p>
      <w:r>
        <w:pict>
          <v:rect style="width:0;height:1.5pt" o:hralign="center" o:hrstd="t" o:hr="t"/>
        </w:pict>
      </w:r>
    </w:p>
    <w:bookmarkEnd w:id="38"/>
    <w:bookmarkStart w:id="44" w:name="business-rules"/>
    <w:p>
      <w:pPr>
        <w:pStyle w:val="Heading1"/>
      </w:pPr>
      <w:r>
        <w:t xml:space="preserve">4.10 Business Rules</w:t>
      </w:r>
    </w:p>
    <w:bookmarkStart w:id="39" w:name="br-vc-001"/>
    <w:p>
      <w:pPr>
        <w:pStyle w:val="Heading3"/>
      </w:pPr>
      <w:r>
        <w:t xml:space="preserve">BR-VC-001</w:t>
      </w:r>
    </w:p>
    <w:p>
      <w:pPr>
        <w:pStyle w:val="FirstParagraph"/>
      </w:pPr>
      <w:r>
        <w:t xml:space="preserve">Only authorized education institutions shall issue official EduOS digital credentials.</w:t>
      </w:r>
    </w:p>
    <w:p>
      <w:r>
        <w:pict>
          <v:rect style="width:0;height:1.5pt" o:hralign="center" o:hrstd="t" o:hr="t"/>
        </w:pict>
      </w:r>
    </w:p>
    <w:bookmarkEnd w:id="39"/>
    <w:bookmarkStart w:id="40" w:name="br-vc-002"/>
    <w:p>
      <w:pPr>
        <w:pStyle w:val="Heading3"/>
      </w:pPr>
      <w:r>
        <w:t xml:space="preserve">BR-VC-002</w:t>
      </w:r>
    </w:p>
    <w:p>
      <w:pPr>
        <w:pStyle w:val="FirstParagraph"/>
      </w:pPr>
      <w:r>
        <w:t xml:space="preserve">Every production credential shall contain cryptographic proof of authenticity.</w:t>
      </w:r>
    </w:p>
    <w:p>
      <w:r>
        <w:pict>
          <v:rect style="width:0;height:1.5pt" o:hralign="center" o:hrstd="t" o:hr="t"/>
        </w:pict>
      </w:r>
    </w:p>
    <w:bookmarkEnd w:id="40"/>
    <w:bookmarkStart w:id="41" w:name="br-vc-003"/>
    <w:p>
      <w:pPr>
        <w:pStyle w:val="Heading3"/>
      </w:pPr>
      <w:r>
        <w:t xml:space="preserve">BR-VC-003</w:t>
      </w:r>
    </w:p>
    <w:p>
      <w:pPr>
        <w:pStyle w:val="FirstParagraph"/>
      </w:pPr>
      <w:r>
        <w:t xml:space="preserve">Revoked credentials shall remain historically traceable while clearly indicating their revocation status.</w:t>
      </w:r>
    </w:p>
    <w:p>
      <w:r>
        <w:pict>
          <v:rect style="width:0;height:1.5pt" o:hralign="center" o:hrstd="t" o:hr="t"/>
        </w:pict>
      </w:r>
    </w:p>
    <w:bookmarkEnd w:id="41"/>
    <w:bookmarkStart w:id="42" w:name="br-vc-004"/>
    <w:p>
      <w:pPr>
        <w:pStyle w:val="Heading3"/>
      </w:pPr>
      <w:r>
        <w:t xml:space="preserve">BR-VC-004</w:t>
      </w:r>
    </w:p>
    <w:p>
      <w:pPr>
        <w:pStyle w:val="FirstParagraph"/>
      </w:pPr>
      <w:r>
        <w:t xml:space="preserve">Verification services shall remain available to authorized relying parties throughout the credential lifecycle.</w:t>
      </w:r>
    </w:p>
    <w:p>
      <w:r>
        <w:pict>
          <v:rect style="width:0;height:1.5pt" o:hralign="center" o:hrstd="t" o:hr="t"/>
        </w:pict>
      </w:r>
    </w:p>
    <w:bookmarkEnd w:id="42"/>
    <w:bookmarkStart w:id="43" w:name="br-vc-005"/>
    <w:p>
      <w:pPr>
        <w:pStyle w:val="Heading3"/>
      </w:pPr>
      <w:r>
        <w:t xml:space="preserve">BR-VC-005</w:t>
      </w:r>
    </w:p>
    <w:p>
      <w:pPr>
        <w:pStyle w:val="FirstParagraph"/>
      </w:pPr>
      <w:r>
        <w:t xml:space="preserve">Digital credential standards shall remain interoperable with internationally recognized credential frameworks where approved by national policy.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acceptance-criteria"/>
    <w:p>
      <w:pPr>
        <w:pStyle w:val="Heading1"/>
      </w:pPr>
      <w:r>
        <w:t xml:space="preserve">4.11 Acceptance Criteria</w:t>
      </w:r>
    </w:p>
    <w:p>
      <w:pPr>
        <w:pStyle w:val="FirstParagraph"/>
      </w:pPr>
      <w:r>
        <w:t xml:space="preserve">The Digital Credential Framework shall be considered complete when:</w:t>
      </w:r>
    </w:p>
    <w:p>
      <w:pPr>
        <w:pStyle w:val="Compact"/>
        <w:numPr>
          <w:ilvl w:val="0"/>
          <w:numId w:val="1008"/>
        </w:numPr>
      </w:pPr>
      <w:r>
        <w:t xml:space="preserve">Credential taxonomy is defined.</w:t>
      </w:r>
    </w:p>
    <w:p>
      <w:pPr>
        <w:pStyle w:val="Compact"/>
        <w:numPr>
          <w:ilvl w:val="0"/>
          <w:numId w:val="1008"/>
        </w:numPr>
      </w:pPr>
      <w:r>
        <w:t xml:space="preserve">Digital wallet architecture is established.</w:t>
      </w:r>
    </w:p>
    <w:p>
      <w:pPr>
        <w:pStyle w:val="Compact"/>
        <w:numPr>
          <w:ilvl w:val="0"/>
          <w:numId w:val="1008"/>
        </w:numPr>
      </w:pPr>
      <w:r>
        <w:t xml:space="preserve">Verification services are operational.</w:t>
      </w:r>
    </w:p>
    <w:p>
      <w:pPr>
        <w:pStyle w:val="Compact"/>
        <w:numPr>
          <w:ilvl w:val="0"/>
          <w:numId w:val="1008"/>
        </w:numPr>
      </w:pPr>
      <w:r>
        <w:t xml:space="preserve">Trust framework is documented.</w:t>
      </w:r>
    </w:p>
    <w:p>
      <w:pPr>
        <w:pStyle w:val="Compact"/>
        <w:numPr>
          <w:ilvl w:val="0"/>
          <w:numId w:val="1008"/>
        </w:numPr>
      </w:pPr>
      <w:r>
        <w:t xml:space="preserve">Security requirements are implemented.</w:t>
      </w:r>
    </w:p>
    <w:p>
      <w:pPr>
        <w:pStyle w:val="Compact"/>
        <w:numPr>
          <w:ilvl w:val="0"/>
          <w:numId w:val="1008"/>
        </w:numPr>
      </w:pPr>
      <w:r>
        <w:t xml:space="preserve">Lifecycle governance is established.</w:t>
      </w:r>
    </w:p>
    <w:p>
      <w:pPr>
        <w:pStyle w:val="Compact"/>
        <w:numPr>
          <w:ilvl w:val="0"/>
          <w:numId w:val="1008"/>
        </w:numPr>
      </w:pPr>
      <w:r>
        <w:t xml:space="preserve">Interoperability standards are documented.</w:t>
      </w:r>
    </w:p>
    <w:p>
      <w:r>
        <w:pict>
          <v:rect style="width:0;height:1.5pt" o:hralign="center" o:hrstd="t" o:hr="t"/>
        </w:pict>
      </w:r>
    </w:p>
    <w:bookmarkEnd w:id="45"/>
    <w:bookmarkStart w:id="46" w:name="summary"/>
    <w:p>
      <w:pPr>
        <w:pStyle w:val="Heading1"/>
      </w:pPr>
      <w:r>
        <w:t xml:space="preserve">4.12 Summary</w:t>
      </w:r>
    </w:p>
    <w:p>
      <w:pPr>
        <w:pStyle w:val="FirstParagraph"/>
      </w:pPr>
      <w:r>
        <w:t xml:space="preserve">The Digital Credentials, Digital Wallets and Verifiable Credentials framework establishes the national trust infrastructure for lifelong educational achievements within EduOS Cameroon.</w:t>
      </w:r>
    </w:p>
    <w:p>
      <w:pPr>
        <w:pStyle w:val="BodyText"/>
      </w:pPr>
      <w:r>
        <w:t xml:space="preserve">By defining secure digital credentials, learner-controlled wallets, trusted verification services, cryptographic authenticity, lifecycle governance, and interoperability standards, this framework enables trusted academic recognition, reduces credential fraud, and strengthens learner mobility nationally and internationally.</w:t>
      </w:r>
    </w:p>
    <w:p>
      <w:r>
        <w:pict>
          <v:rect style="width:0;height:1.5pt" o:hralign="center" o:hrstd="t" o:hr="t"/>
        </w:pict>
      </w:r>
    </w:p>
    <w:bookmarkEnd w:id="46"/>
    <w:bookmarkStart w:id="47" w:name="volume-ix-progress"/>
    <w:p>
      <w:pPr>
        <w:pStyle w:val="Heading1"/>
      </w:pPr>
      <w:r>
        <w:t xml:space="preserve">VOLUME IX PROGRESS</w:t>
      </w:r>
    </w:p>
    <w:p>
      <w:pPr>
        <w:pStyle w:val="FirstParagraph"/>
      </w:pPr>
      <w:r>
        <w:t xml:space="preserve">Completed Chapters:</w:t>
      </w:r>
    </w:p>
    <w:p>
      <w:pPr>
        <w:pStyle w:val="BodyText"/>
      </w:pPr>
      <w:r>
        <w:t xml:space="preserve">✓ Chapter 1 – National Education Super App Strategy and Digital Ecosystem Vision</w:t>
      </w:r>
    </w:p>
    <w:p>
      <w:pPr>
        <w:pStyle w:val="BodyText"/>
      </w:pPr>
      <w:r>
        <w:t xml:space="preserve">✓ Chapter 2 – Open API Marketplace and Developer Ecosystem</w:t>
      </w:r>
    </w:p>
    <w:p>
      <w:pPr>
        <w:pStyle w:val="BodyText"/>
      </w:pPr>
      <w:r>
        <w:t xml:space="preserve">✓ Chapter 3 – Third-Party Applications and Plugin Framework</w:t>
      </w:r>
    </w:p>
    <w:p>
      <w:pPr>
        <w:pStyle w:val="BodyText"/>
      </w:pPr>
      <w:r>
        <w:t xml:space="preserve">✓ Chapter 4 – Digital Credentials, Digital Wallets and Verifiable Credentials</w:t>
      </w:r>
    </w:p>
    <w:p>
      <w:pPr>
        <w:pStyle w:val="BodyText"/>
      </w:pPr>
      <w:r>
        <w:t xml:space="preserve">Remaining Chapters:</w:t>
      </w:r>
    </w:p>
    <w:p>
      <w:pPr>
        <w:pStyle w:val="Compact"/>
        <w:numPr>
          <w:ilvl w:val="0"/>
          <w:numId w:val="1009"/>
        </w:numPr>
      </w:pPr>
      <w:r>
        <w:t xml:space="preserve">Chapter 5 – Research, Innovation and EdTech Sandbox</w:t>
      </w:r>
    </w:p>
    <w:p>
      <w:pPr>
        <w:pStyle w:val="Compact"/>
        <w:numPr>
          <w:ilvl w:val="0"/>
          <w:numId w:val="1009"/>
        </w:numPr>
      </w:pPr>
      <w:r>
        <w:t xml:space="preserve">Chapter 6 – Smart Classrooms, IoT and Connected Campuses</w:t>
      </w:r>
    </w:p>
    <w:p>
      <w:pPr>
        <w:pStyle w:val="Compact"/>
        <w:numPr>
          <w:ilvl w:val="0"/>
          <w:numId w:val="1009"/>
        </w:numPr>
      </w:pPr>
      <w:r>
        <w:t xml:space="preserve">Chapter 7 – AR, VR, XR and Immersive Learning</w:t>
      </w:r>
    </w:p>
    <w:p>
      <w:pPr>
        <w:pStyle w:val="Compact"/>
        <w:numPr>
          <w:ilvl w:val="0"/>
          <w:numId w:val="1009"/>
        </w:numPr>
      </w:pPr>
      <w:r>
        <w:t xml:space="preserve">Chapter 8 – Robotics, STEM and Makerspace Integration</w:t>
      </w:r>
    </w:p>
    <w:p>
      <w:pPr>
        <w:pStyle w:val="Compact"/>
        <w:numPr>
          <w:ilvl w:val="0"/>
          <w:numId w:val="1009"/>
        </w:numPr>
      </w:pPr>
      <w:r>
        <w:t xml:space="preserve">Chapter 9 – International Interoperability and Cross-Border Education</w:t>
      </w:r>
    </w:p>
    <w:p>
      <w:pPr>
        <w:pStyle w:val="Compact"/>
        <w:numPr>
          <w:ilvl w:val="0"/>
          <w:numId w:val="1009"/>
        </w:numPr>
      </w:pPr>
      <w:r>
        <w:t xml:space="preserve">Chapter 10 – Sustainability, Green Computing and Digital Inclusion</w:t>
      </w:r>
    </w:p>
    <w:p>
      <w:pPr>
        <w:pStyle w:val="Compact"/>
        <w:numPr>
          <w:ilvl w:val="0"/>
          <w:numId w:val="1009"/>
        </w:numPr>
      </w:pPr>
      <w:r>
        <w:t xml:space="preserve">Chapter 11 – Emerging Technology Governance and Future Readiness</w:t>
      </w:r>
    </w:p>
    <w:p>
      <w:pPr>
        <w:pStyle w:val="Compact"/>
        <w:numPr>
          <w:ilvl w:val="0"/>
          <w:numId w:val="1009"/>
        </w:numPr>
      </w:pPr>
      <w:r>
        <w:t xml:space="preserve">Chapter 12 – National Education Innovation Reference Architecture and Strategic Roadmap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2026-07-10T14:52:31Z</dcterms:created>
  <dcterms:modified xsi:type="dcterms:W3CDTF">2026-07-10T14:52:31Z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