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eduos-cameroon"/>
    <w:p>
      <w:pPr>
        <w:pStyle w:val="Heading1"/>
      </w:pPr>
      <w:r>
        <w:t xml:space="preserve">EDUOS CAMEROON</w:t>
      </w:r>
    </w:p>
    <w:bookmarkEnd w:id="20"/>
    <w:bookmarkStart w:id="21" w:name="volume-ix"/>
    <w:p>
      <w:pPr>
        <w:pStyle w:val="Heading1"/>
      </w:pPr>
      <w:r>
        <w:t xml:space="preserve">VOLUME IX</w:t>
      </w:r>
    </w:p>
    <w:bookmarkEnd w:id="21"/>
    <w:bookmarkStart w:id="23" w:name="Xdcfc02e57cb8d11f2441a5b8cc4c3e57d2e0628"/>
    <w:p>
      <w:pPr>
        <w:pStyle w:val="Heading1"/>
      </w:pPr>
      <w:r>
        <w:t xml:space="preserve">NATIONAL DIGITAL EDUCATION ECOSYSTEM, INNOVATION, OPEN PLATFORM AND FUTURE READINESS</w:t>
      </w:r>
    </w:p>
    <w:bookmarkStart w:id="22" w:name="chapter-11"/>
    <w:p>
      <w:pPr>
        <w:pStyle w:val="Heading2"/>
      </w:pPr>
      <w:r>
        <w:t xml:space="preserve">CHAPTER 11</w:t>
      </w:r>
    </w:p>
    <w:bookmarkEnd w:id="22"/>
    <w:bookmarkEnd w:id="23"/>
    <w:bookmarkStart w:id="24" w:name="X79a56a330f1fe790b9936b4dc437ad32d465275"/>
    <w:p>
      <w:pPr>
        <w:pStyle w:val="Heading1"/>
      </w:pPr>
      <w:r>
        <w:t xml:space="preserve">EMERGING TECHNOLOGY GOVERNANCE AND FUTURE READINESS</w:t>
      </w:r>
    </w:p>
    <w:p>
      <w:r>
        <w:pict>
          <v:rect style="width:0;height:1.5pt" o:hralign="center" o:hrstd="t" o:hr="t"/>
        </w:pict>
      </w:r>
    </w:p>
    <w:bookmarkEnd w:id="24"/>
    <w:bookmarkStart w:id="25" w:name="purpose"/>
    <w:p>
      <w:pPr>
        <w:pStyle w:val="Heading1"/>
      </w:pPr>
      <w:r>
        <w:t xml:space="preserve">11.1 Purpose</w:t>
      </w:r>
    </w:p>
    <w:p>
      <w:pPr>
        <w:pStyle w:val="FirstParagraph"/>
      </w:pPr>
      <w:r>
        <w:t xml:space="preserve">This chapter establishes the enterprise framework governing the evaluation, adoption, governance, monitoring, and retirement of emerging technologies within the EduOS Cameroon ecosystem.</w:t>
      </w:r>
    </w:p>
    <w:p>
      <w:pPr>
        <w:pStyle w:val="BodyText"/>
      </w:pPr>
      <w:r>
        <w:t xml:space="preserve">Its objective is to ensure that new technologies are introduced in a controlled, secure, ethical, and sustainable manner while maintaining platform stability, educational value, regulatory compliance, and long-term architectural integrity.</w:t>
      </w:r>
    </w:p>
    <w:p>
      <w:r>
        <w:pict>
          <v:rect style="width:0;height:1.5pt" o:hralign="center" o:hrstd="t" o:hr="t"/>
        </w:pict>
      </w:r>
    </w:p>
    <w:bookmarkEnd w:id="25"/>
    <w:bookmarkStart w:id="26" w:name="vision"/>
    <w:p>
      <w:pPr>
        <w:pStyle w:val="Heading1"/>
      </w:pPr>
      <w:r>
        <w:t xml:space="preserve">11.2 Vision</w:t>
      </w:r>
    </w:p>
    <w:p>
      <w:pPr>
        <w:pStyle w:val="FirstParagraph"/>
      </w:pPr>
      <w:r>
        <w:t xml:space="preserve">EduOS Cameroon shall remain a continuously evolving national education platform capable of responsibly adopting technological innovations without compromising security, interoperability, educational quality, or public trust.</w:t>
      </w:r>
    </w:p>
    <w:p>
      <w:pPr>
        <w:pStyle w:val="BodyText"/>
      </w:pPr>
      <w:r>
        <w:t xml:space="preserve">The platform shall anticipate technological change rather than react to it.</w:t>
      </w:r>
    </w:p>
    <w:p>
      <w:r>
        <w:pict>
          <v:rect style="width:0;height:1.5pt" o:hralign="center" o:hrstd="t" o:hr="t"/>
        </w:pict>
      </w:r>
    </w:p>
    <w:bookmarkEnd w:id="26"/>
    <w:bookmarkStart w:id="32" w:name="future-readiness-principles"/>
    <w:p>
      <w:pPr>
        <w:pStyle w:val="Heading1"/>
      </w:pPr>
      <w:r>
        <w:t xml:space="preserve">11.3 Future Readiness Principles</w:t>
      </w:r>
    </w:p>
    <w:p>
      <w:pPr>
        <w:pStyle w:val="FirstParagraph"/>
      </w:pPr>
      <w:r>
        <w:t xml:space="preserve">Technology governance shall follow these principles.</w:t>
      </w:r>
    </w:p>
    <w:bookmarkStart w:id="27" w:name="future-001-strategic-alignment"/>
    <w:p>
      <w:pPr>
        <w:pStyle w:val="Heading3"/>
      </w:pPr>
      <w:r>
        <w:t xml:space="preserve">FUTURE-001 Strategic Alignment</w:t>
      </w:r>
    </w:p>
    <w:p>
      <w:pPr>
        <w:pStyle w:val="FirstParagraph"/>
      </w:pPr>
      <w:r>
        <w:t xml:space="preserve">Emerging technologies shall support approved national education strategies and measurable educational outcomes.</w:t>
      </w:r>
    </w:p>
    <w:p>
      <w:r>
        <w:pict>
          <v:rect style="width:0;height:1.5pt" o:hralign="center" o:hrstd="t" o:hr="t"/>
        </w:pict>
      </w:r>
    </w:p>
    <w:bookmarkEnd w:id="27"/>
    <w:bookmarkStart w:id="28" w:name="future-002-incremental-adoption"/>
    <w:p>
      <w:pPr>
        <w:pStyle w:val="Heading3"/>
      </w:pPr>
      <w:r>
        <w:t xml:space="preserve">FUTURE-002 Incremental Adoption</w:t>
      </w:r>
    </w:p>
    <w:p>
      <w:pPr>
        <w:pStyle w:val="FirstParagraph"/>
      </w:pPr>
      <w:r>
        <w:t xml:space="preserve">Technologies shall be introduced progressively through pilots, evaluations, and controlled deployment.</w:t>
      </w:r>
    </w:p>
    <w:p>
      <w:r>
        <w:pict>
          <v:rect style="width:0;height:1.5pt" o:hralign="center" o:hrstd="t" o:hr="t"/>
        </w:pict>
      </w:r>
    </w:p>
    <w:bookmarkEnd w:id="28"/>
    <w:bookmarkStart w:id="29" w:name="future-003-open-standards"/>
    <w:p>
      <w:pPr>
        <w:pStyle w:val="Heading3"/>
      </w:pPr>
      <w:r>
        <w:t xml:space="preserve">FUTURE-003 Open Standards</w:t>
      </w:r>
    </w:p>
    <w:p>
      <w:pPr>
        <w:pStyle w:val="FirstParagraph"/>
      </w:pPr>
      <w:r>
        <w:t xml:space="preserve">Where practical, solutions shall prioritize open standards and avoid unnecessary vendor lock-in.</w:t>
      </w:r>
    </w:p>
    <w:p>
      <w:r>
        <w:pict>
          <v:rect style="width:0;height:1.5pt" o:hralign="center" o:hrstd="t" o:hr="t"/>
        </w:pict>
      </w:r>
    </w:p>
    <w:bookmarkEnd w:id="29"/>
    <w:bookmarkStart w:id="30" w:name="future-004-security-and-trust"/>
    <w:p>
      <w:pPr>
        <w:pStyle w:val="Heading3"/>
      </w:pPr>
      <w:r>
        <w:t xml:space="preserve">FUTURE-004 Security and Trust</w:t>
      </w:r>
    </w:p>
    <w:p>
      <w:pPr>
        <w:pStyle w:val="FirstParagraph"/>
      </w:pPr>
      <w:r>
        <w:t xml:space="preserve">Every emerging technology shall undergo comprehensive security, privacy, resilience, and governance assessment before operational adoption.</w:t>
      </w:r>
    </w:p>
    <w:p>
      <w:r>
        <w:pict>
          <v:rect style="width:0;height:1.5pt" o:hralign="center" o:hrstd="t" o:hr="t"/>
        </w:pict>
      </w:r>
    </w:p>
    <w:bookmarkEnd w:id="30"/>
    <w:bookmarkStart w:id="31" w:name="future-005-continuous-review"/>
    <w:p>
      <w:pPr>
        <w:pStyle w:val="Heading3"/>
      </w:pPr>
      <w:r>
        <w:t xml:space="preserve">FUTURE-005 Continuous Review</w:t>
      </w:r>
    </w:p>
    <w:p>
      <w:pPr>
        <w:pStyle w:val="FirstParagraph"/>
      </w:pPr>
      <w:r>
        <w:t xml:space="preserve">Technology roadmaps shall be periodically reviewed to ensure continued relevance and effectiveness.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technology-watch-programme"/>
    <w:p>
      <w:pPr>
        <w:pStyle w:val="Heading1"/>
      </w:pPr>
      <w:r>
        <w:t xml:space="preserve">11.4 Technology Watch Programme</w:t>
      </w:r>
    </w:p>
    <w:p>
      <w:pPr>
        <w:pStyle w:val="FirstParagraph"/>
      </w:pPr>
      <w:r>
        <w:t xml:space="preserve">The enterprise Technology Watch Programme shall continuously evaluate developments in:</w:t>
      </w:r>
    </w:p>
    <w:p>
      <w:pPr>
        <w:pStyle w:val="Compact"/>
        <w:numPr>
          <w:ilvl w:val="0"/>
          <w:numId w:val="1001"/>
        </w:numPr>
      </w:pPr>
      <w:r>
        <w:t xml:space="preserve">Artificial Intelligence.</w:t>
      </w:r>
    </w:p>
    <w:p>
      <w:pPr>
        <w:pStyle w:val="Compact"/>
        <w:numPr>
          <w:ilvl w:val="0"/>
          <w:numId w:val="1001"/>
        </w:numPr>
      </w:pPr>
      <w:r>
        <w:t xml:space="preserve">Quantum Computing.</w:t>
      </w:r>
    </w:p>
    <w:p>
      <w:pPr>
        <w:pStyle w:val="Compact"/>
        <w:numPr>
          <w:ilvl w:val="0"/>
          <w:numId w:val="1001"/>
        </w:numPr>
      </w:pPr>
      <w:r>
        <w:t xml:space="preserve">Edge Computing.</w:t>
      </w:r>
    </w:p>
    <w:p>
      <w:pPr>
        <w:pStyle w:val="Compact"/>
        <w:numPr>
          <w:ilvl w:val="0"/>
          <w:numId w:val="1001"/>
        </w:numPr>
      </w:pPr>
      <w:r>
        <w:t xml:space="preserve">Digital Twins.</w:t>
      </w:r>
    </w:p>
    <w:p>
      <w:pPr>
        <w:pStyle w:val="Compact"/>
        <w:numPr>
          <w:ilvl w:val="0"/>
          <w:numId w:val="1001"/>
        </w:numPr>
      </w:pPr>
      <w:r>
        <w:t xml:space="preserve">Spatial Computing.</w:t>
      </w:r>
    </w:p>
    <w:p>
      <w:pPr>
        <w:pStyle w:val="Compact"/>
        <w:numPr>
          <w:ilvl w:val="0"/>
          <w:numId w:val="1001"/>
        </w:numPr>
      </w:pPr>
      <w:r>
        <w:t xml:space="preserve">Advanced Robotics.</w:t>
      </w:r>
    </w:p>
    <w:p>
      <w:pPr>
        <w:pStyle w:val="Compact"/>
        <w:numPr>
          <w:ilvl w:val="0"/>
          <w:numId w:val="1001"/>
        </w:numPr>
      </w:pPr>
      <w:r>
        <w:t xml:space="preserve">Next-generation Networks.</w:t>
      </w:r>
    </w:p>
    <w:p>
      <w:pPr>
        <w:pStyle w:val="Compact"/>
        <w:numPr>
          <w:ilvl w:val="0"/>
          <w:numId w:val="1001"/>
        </w:numPr>
      </w:pPr>
      <w:r>
        <w:t xml:space="preserve">Distributed Ledger Technologies.</w:t>
      </w:r>
    </w:p>
    <w:p>
      <w:pPr>
        <w:pStyle w:val="Compact"/>
        <w:numPr>
          <w:ilvl w:val="0"/>
          <w:numId w:val="1001"/>
        </w:numPr>
      </w:pPr>
      <w:r>
        <w:t xml:space="preserve">Privacy-Enhancing Technologies.</w:t>
      </w:r>
    </w:p>
    <w:p>
      <w:pPr>
        <w:pStyle w:val="Compact"/>
        <w:numPr>
          <w:ilvl w:val="0"/>
          <w:numId w:val="1001"/>
        </w:numPr>
      </w:pPr>
      <w:r>
        <w:t xml:space="preserve">Human-Computer Interaction.</w:t>
      </w:r>
    </w:p>
    <w:p>
      <w:pPr>
        <w:pStyle w:val="Compact"/>
        <w:numPr>
          <w:ilvl w:val="0"/>
          <w:numId w:val="1001"/>
        </w:numPr>
      </w:pPr>
      <w:r>
        <w:t xml:space="preserve">Advanced Learning Technologies.</w:t>
      </w:r>
    </w:p>
    <w:p>
      <w:pPr>
        <w:pStyle w:val="Compact"/>
        <w:numPr>
          <w:ilvl w:val="0"/>
          <w:numId w:val="1001"/>
        </w:numPr>
      </w:pPr>
      <w:r>
        <w:t xml:space="preserve">Future Educational Platforms.</w:t>
      </w:r>
    </w:p>
    <w:p>
      <w:pPr>
        <w:pStyle w:val="FirstParagraph"/>
      </w:pPr>
      <w:r>
        <w:t xml:space="preserve">Technology monitoring shall support strategic planning.</w:t>
      </w:r>
    </w:p>
    <w:p>
      <w:r>
        <w:pict>
          <v:rect style="width:0;height:1.5pt" o:hralign="center" o:hrstd="t" o:hr="t"/>
        </w:pict>
      </w:r>
    </w:p>
    <w:bookmarkEnd w:id="33"/>
    <w:bookmarkStart w:id="34" w:name="technology-evaluation-framework"/>
    <w:p>
      <w:pPr>
        <w:pStyle w:val="Heading1"/>
      </w:pPr>
      <w:r>
        <w:t xml:space="preserve">11.5 Technology Evaluation Framework</w:t>
      </w:r>
    </w:p>
    <w:p>
      <w:pPr>
        <w:pStyle w:val="FirstParagraph"/>
      </w:pPr>
      <w:r>
        <w:t xml:space="preserve">Candidate technologies shall be assessed against:</w:t>
      </w:r>
    </w:p>
    <w:p>
      <w:pPr>
        <w:pStyle w:val="Compact"/>
        <w:numPr>
          <w:ilvl w:val="0"/>
          <w:numId w:val="1002"/>
        </w:numPr>
      </w:pPr>
      <w:r>
        <w:t xml:space="preserve">Educational value.</w:t>
      </w:r>
    </w:p>
    <w:p>
      <w:pPr>
        <w:pStyle w:val="Compact"/>
        <w:numPr>
          <w:ilvl w:val="0"/>
          <w:numId w:val="1002"/>
        </w:numPr>
      </w:pPr>
      <w:r>
        <w:t xml:space="preserve">Strategic alignment.</w:t>
      </w:r>
    </w:p>
    <w:p>
      <w:pPr>
        <w:pStyle w:val="Compact"/>
        <w:numPr>
          <w:ilvl w:val="0"/>
          <w:numId w:val="1002"/>
        </w:numPr>
      </w:pPr>
      <w:r>
        <w:t xml:space="preserve">Security.</w:t>
      </w:r>
    </w:p>
    <w:p>
      <w:pPr>
        <w:pStyle w:val="Compact"/>
        <w:numPr>
          <w:ilvl w:val="0"/>
          <w:numId w:val="1002"/>
        </w:numPr>
      </w:pPr>
      <w:r>
        <w:t xml:space="preserve">Privacy.</w:t>
      </w:r>
    </w:p>
    <w:p>
      <w:pPr>
        <w:pStyle w:val="Compact"/>
        <w:numPr>
          <w:ilvl w:val="0"/>
          <w:numId w:val="1002"/>
        </w:numPr>
      </w:pPr>
      <w:r>
        <w:t xml:space="preserve">Accessibility.</w:t>
      </w:r>
    </w:p>
    <w:p>
      <w:pPr>
        <w:pStyle w:val="Compact"/>
        <w:numPr>
          <w:ilvl w:val="0"/>
          <w:numId w:val="1002"/>
        </w:numPr>
      </w:pPr>
      <w:r>
        <w:t xml:space="preserve">Cost-benefit analysis.</w:t>
      </w:r>
    </w:p>
    <w:p>
      <w:pPr>
        <w:pStyle w:val="Compact"/>
        <w:numPr>
          <w:ilvl w:val="0"/>
          <w:numId w:val="1002"/>
        </w:numPr>
      </w:pPr>
      <w:r>
        <w:t xml:space="preserve">Operational maturity.</w:t>
      </w:r>
    </w:p>
    <w:p>
      <w:pPr>
        <w:pStyle w:val="Compact"/>
        <w:numPr>
          <w:ilvl w:val="0"/>
          <w:numId w:val="1002"/>
        </w:numPr>
      </w:pPr>
      <w:r>
        <w:t xml:space="preserve">Sustainability.</w:t>
      </w:r>
    </w:p>
    <w:p>
      <w:pPr>
        <w:pStyle w:val="Compact"/>
        <w:numPr>
          <w:ilvl w:val="0"/>
          <w:numId w:val="1002"/>
        </w:numPr>
      </w:pPr>
      <w:r>
        <w:t xml:space="preserve">Interoperability.</w:t>
      </w:r>
    </w:p>
    <w:p>
      <w:pPr>
        <w:pStyle w:val="Compact"/>
        <w:numPr>
          <w:ilvl w:val="0"/>
          <w:numId w:val="1002"/>
        </w:numPr>
      </w:pPr>
      <w:r>
        <w:t xml:space="preserve">Scalability.</w:t>
      </w:r>
    </w:p>
    <w:p>
      <w:pPr>
        <w:pStyle w:val="FirstParagraph"/>
      </w:pPr>
      <w:r>
        <w:t xml:space="preserve">Assessment results shall be documented and reviewed.</w:t>
      </w:r>
    </w:p>
    <w:p>
      <w:r>
        <w:pict>
          <v:rect style="width:0;height:1.5pt" o:hralign="center" o:hrstd="t" o:hr="t"/>
        </w:pict>
      </w:r>
    </w:p>
    <w:bookmarkEnd w:id="34"/>
    <w:bookmarkStart w:id="35" w:name="innovation-adoption-lifecycle"/>
    <w:p>
      <w:pPr>
        <w:pStyle w:val="Heading1"/>
      </w:pPr>
      <w:r>
        <w:t xml:space="preserve">11.6 Innovation Adoption Lifecycle</w:t>
      </w:r>
    </w:p>
    <w:p>
      <w:pPr>
        <w:pStyle w:val="FirstParagraph"/>
      </w:pPr>
      <w:r>
        <w:t xml:space="preserve">Emerging technologies shall progress through:</w:t>
      </w:r>
    </w:p>
    <w:p>
      <w:pPr>
        <w:pStyle w:val="BodyText"/>
      </w:pPr>
      <w:r>
        <w:t xml:space="preserve">```text id=</w:t>
      </w:r>
      <w:r>
        <w:t xml:space="preserve">“future001”</w:t>
      </w:r>
    </w:p>
    <w:p>
      <w:pPr>
        <w:pStyle w:val="BodyText"/>
      </w:pPr>
      <w:r>
        <w:t xml:space="preserve">Technology Identification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Strategic Assessment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Research Review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Proof of Concept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Pilot Deployment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Operational Evaluation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Governance Approval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Enterprise Adoption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Continuous Monitoring</w:t>
      </w:r>
      <w:r>
        <w:t xml:space="preserve"> </w:t>
      </w:r>
      <w:r>
        <w:t xml:space="preserve">│</w:t>
      </w:r>
      <w:r>
        <w:t xml:space="preserve"> </w:t>
      </w:r>
      <w:r>
        <w:t xml:space="preserve">▼</w:t>
      </w:r>
      <w:r>
        <w:t xml:space="preserve"> </w:t>
      </w:r>
      <w:r>
        <w:t xml:space="preserve">Retirement or Evolution</w:t>
      </w:r>
      <w:r>
        <w:t xml:space="preserve"> </w:t>
      </w:r>
      <w:r>
        <w:t xml:space="preserve">```</w:t>
      </w:r>
    </w:p>
    <w:p>
      <w:pPr>
        <w:pStyle w:val="BodyText"/>
      </w:pPr>
      <w:r>
        <w:t xml:space="preserve">Each stage shall include documented decision criteria and governance records.</w:t>
      </w:r>
    </w:p>
    <w:p>
      <w:r>
        <w:pict>
          <v:rect style="width:0;height:1.5pt" o:hralign="center" o:hrstd="t" o:hr="t"/>
        </w:pict>
      </w:r>
    </w:p>
    <w:bookmarkEnd w:id="35"/>
    <w:bookmarkStart w:id="36" w:name="strategic-roadmapping"/>
    <w:p>
      <w:pPr>
        <w:pStyle w:val="Heading1"/>
      </w:pPr>
      <w:r>
        <w:t xml:space="preserve">11.7 Strategic Roadmapping</w:t>
      </w:r>
    </w:p>
    <w:p>
      <w:pPr>
        <w:pStyle w:val="FirstParagraph"/>
      </w:pPr>
      <w:r>
        <w:t xml:space="preserve">Technology roadmaps shall define:</w:t>
      </w:r>
    </w:p>
    <w:p>
      <w:pPr>
        <w:pStyle w:val="Compact"/>
        <w:numPr>
          <w:ilvl w:val="0"/>
          <w:numId w:val="1003"/>
        </w:numPr>
      </w:pPr>
      <w:r>
        <w:t xml:space="preserve">Short-term priorities (1–2 years).</w:t>
      </w:r>
    </w:p>
    <w:p>
      <w:pPr>
        <w:pStyle w:val="Compact"/>
        <w:numPr>
          <w:ilvl w:val="0"/>
          <w:numId w:val="1003"/>
        </w:numPr>
      </w:pPr>
      <w:r>
        <w:t xml:space="preserve">Medium-term priorities (3–5 years).</w:t>
      </w:r>
    </w:p>
    <w:p>
      <w:pPr>
        <w:pStyle w:val="Compact"/>
        <w:numPr>
          <w:ilvl w:val="0"/>
          <w:numId w:val="1003"/>
        </w:numPr>
      </w:pPr>
      <w:r>
        <w:t xml:space="preserve">Long-term priorities (5–10 years).</w:t>
      </w:r>
    </w:p>
    <w:p>
      <w:pPr>
        <w:pStyle w:val="Compact"/>
        <w:numPr>
          <w:ilvl w:val="0"/>
          <w:numId w:val="1003"/>
        </w:numPr>
      </w:pPr>
      <w:r>
        <w:t xml:space="preserve">Investment strategies.</w:t>
      </w:r>
    </w:p>
    <w:p>
      <w:pPr>
        <w:pStyle w:val="Compact"/>
        <w:numPr>
          <w:ilvl w:val="0"/>
          <w:numId w:val="1003"/>
        </w:numPr>
      </w:pPr>
      <w:r>
        <w:t xml:space="preserve">Skills development.</w:t>
      </w:r>
    </w:p>
    <w:p>
      <w:pPr>
        <w:pStyle w:val="Compact"/>
        <w:numPr>
          <w:ilvl w:val="0"/>
          <w:numId w:val="1003"/>
        </w:numPr>
      </w:pPr>
      <w:r>
        <w:t xml:space="preserve">Infrastructure evolution.</w:t>
      </w:r>
    </w:p>
    <w:p>
      <w:pPr>
        <w:pStyle w:val="Compact"/>
        <w:numPr>
          <w:ilvl w:val="0"/>
          <w:numId w:val="1003"/>
        </w:numPr>
      </w:pPr>
      <w:r>
        <w:t xml:space="preserve">Research priorities.</w:t>
      </w:r>
    </w:p>
    <w:p>
      <w:pPr>
        <w:pStyle w:val="Compact"/>
        <w:numPr>
          <w:ilvl w:val="0"/>
          <w:numId w:val="1003"/>
        </w:numPr>
      </w:pPr>
      <w:r>
        <w:t xml:space="preserve">Risk mitigation.</w:t>
      </w:r>
    </w:p>
    <w:p>
      <w:pPr>
        <w:pStyle w:val="FirstParagraph"/>
      </w:pPr>
      <w:r>
        <w:t xml:space="preserve">Roadmaps shall be reviewed annually.</w:t>
      </w:r>
    </w:p>
    <w:p>
      <w:r>
        <w:pict>
          <v:rect style="width:0;height:1.5pt" o:hralign="center" o:hrstd="t" o:hr="t"/>
        </w:pict>
      </w:r>
    </w:p>
    <w:bookmarkEnd w:id="36"/>
    <w:bookmarkStart w:id="37" w:name="capability-development"/>
    <w:p>
      <w:pPr>
        <w:pStyle w:val="Heading1"/>
      </w:pPr>
      <w:r>
        <w:t xml:space="preserve">11.8 Capability Development</w:t>
      </w:r>
    </w:p>
    <w:p>
      <w:pPr>
        <w:pStyle w:val="FirstParagraph"/>
      </w:pPr>
      <w:r>
        <w:t xml:space="preserve">The future readiness programme shall support:</w:t>
      </w:r>
    </w:p>
    <w:p>
      <w:pPr>
        <w:pStyle w:val="Compact"/>
        <w:numPr>
          <w:ilvl w:val="0"/>
          <w:numId w:val="1004"/>
        </w:numPr>
      </w:pPr>
      <w:r>
        <w:t xml:space="preserve">Workforce development.</w:t>
      </w:r>
    </w:p>
    <w:p>
      <w:pPr>
        <w:pStyle w:val="Compact"/>
        <w:numPr>
          <w:ilvl w:val="0"/>
          <w:numId w:val="1004"/>
        </w:numPr>
      </w:pPr>
      <w:r>
        <w:t xml:space="preserve">Technical certification.</w:t>
      </w:r>
    </w:p>
    <w:p>
      <w:pPr>
        <w:pStyle w:val="Compact"/>
        <w:numPr>
          <w:ilvl w:val="0"/>
          <w:numId w:val="1004"/>
        </w:numPr>
      </w:pPr>
      <w:r>
        <w:t xml:space="preserve">Research collaboration.</w:t>
      </w:r>
    </w:p>
    <w:p>
      <w:pPr>
        <w:pStyle w:val="Compact"/>
        <w:numPr>
          <w:ilvl w:val="0"/>
          <w:numId w:val="1004"/>
        </w:numPr>
      </w:pPr>
      <w:r>
        <w:t xml:space="preserve">Innovation funding.</w:t>
      </w:r>
    </w:p>
    <w:p>
      <w:pPr>
        <w:pStyle w:val="Compact"/>
        <w:numPr>
          <w:ilvl w:val="0"/>
          <w:numId w:val="1004"/>
        </w:numPr>
      </w:pPr>
      <w:r>
        <w:t xml:space="preserve">Academic partnerships.</w:t>
      </w:r>
    </w:p>
    <w:p>
      <w:pPr>
        <w:pStyle w:val="Compact"/>
        <w:numPr>
          <w:ilvl w:val="0"/>
          <w:numId w:val="1004"/>
        </w:numPr>
      </w:pPr>
      <w:r>
        <w:t xml:space="preserve">Knowledge transfer.</w:t>
      </w:r>
    </w:p>
    <w:p>
      <w:pPr>
        <w:pStyle w:val="Compact"/>
        <w:numPr>
          <w:ilvl w:val="0"/>
          <w:numId w:val="1004"/>
        </w:numPr>
      </w:pPr>
      <w:r>
        <w:t xml:space="preserve">Leadership development.</w:t>
      </w:r>
    </w:p>
    <w:p>
      <w:pPr>
        <w:pStyle w:val="Compact"/>
        <w:numPr>
          <w:ilvl w:val="0"/>
          <w:numId w:val="1004"/>
        </w:numPr>
      </w:pPr>
      <w:r>
        <w:t xml:space="preserve">Continuous professional learning.</w:t>
      </w:r>
    </w:p>
    <w:p>
      <w:pPr>
        <w:pStyle w:val="FirstParagraph"/>
      </w:pPr>
      <w:r>
        <w:t xml:space="preserve">Capability development shall strengthen national digital education capacity.</w:t>
      </w:r>
    </w:p>
    <w:p>
      <w:r>
        <w:pict>
          <v:rect style="width:0;height:1.5pt" o:hralign="center" o:hrstd="t" o:hr="t"/>
        </w:pict>
      </w:r>
    </w:p>
    <w:bookmarkEnd w:id="37"/>
    <w:bookmarkStart w:id="38" w:name="governance-structure"/>
    <w:p>
      <w:pPr>
        <w:pStyle w:val="Heading1"/>
      </w:pPr>
      <w:r>
        <w:t xml:space="preserve">11.9 Governance Structure</w:t>
      </w:r>
    </w:p>
    <w:p>
      <w:pPr>
        <w:pStyle w:val="FirstParagraph"/>
      </w:pPr>
      <w:r>
        <w:t xml:space="preserve">Governance shall include:</w:t>
      </w:r>
    </w:p>
    <w:p>
      <w:pPr>
        <w:pStyle w:val="Compact"/>
        <w:numPr>
          <w:ilvl w:val="0"/>
          <w:numId w:val="1005"/>
        </w:numPr>
      </w:pPr>
      <w:r>
        <w:t xml:space="preserve">Emerging Technology Council.</w:t>
      </w:r>
    </w:p>
    <w:p>
      <w:pPr>
        <w:pStyle w:val="Compact"/>
        <w:numPr>
          <w:ilvl w:val="0"/>
          <w:numId w:val="1005"/>
        </w:numPr>
      </w:pPr>
      <w:r>
        <w:t xml:space="preserve">Enterprise Architecture Review Board.</w:t>
      </w:r>
    </w:p>
    <w:p>
      <w:pPr>
        <w:pStyle w:val="Compact"/>
        <w:numPr>
          <w:ilvl w:val="0"/>
          <w:numId w:val="1005"/>
        </w:numPr>
      </w:pPr>
      <w:r>
        <w:t xml:space="preserve">AI Governance Board.</w:t>
      </w:r>
    </w:p>
    <w:p>
      <w:pPr>
        <w:pStyle w:val="Compact"/>
        <w:numPr>
          <w:ilvl w:val="0"/>
          <w:numId w:val="1005"/>
        </w:numPr>
      </w:pPr>
      <w:r>
        <w:t xml:space="preserve">Cybersecurity Steering Committee.</w:t>
      </w:r>
    </w:p>
    <w:p>
      <w:pPr>
        <w:pStyle w:val="Compact"/>
        <w:numPr>
          <w:ilvl w:val="0"/>
          <w:numId w:val="1005"/>
        </w:numPr>
      </w:pPr>
      <w:r>
        <w:t xml:space="preserve">Research and Innovation Committee.</w:t>
      </w:r>
    </w:p>
    <w:p>
      <w:pPr>
        <w:pStyle w:val="Compact"/>
        <w:numPr>
          <w:ilvl w:val="0"/>
          <w:numId w:val="1005"/>
        </w:numPr>
      </w:pPr>
      <w:r>
        <w:t xml:space="preserve">Standards Review Committee.</w:t>
      </w:r>
    </w:p>
    <w:p>
      <w:pPr>
        <w:pStyle w:val="Compact"/>
        <w:numPr>
          <w:ilvl w:val="0"/>
          <w:numId w:val="1005"/>
        </w:numPr>
      </w:pPr>
      <w:r>
        <w:t xml:space="preserve">Strategic Investment Committee.</w:t>
      </w:r>
    </w:p>
    <w:p>
      <w:pPr>
        <w:pStyle w:val="FirstParagraph"/>
      </w:pPr>
      <w:r>
        <w:t xml:space="preserve">These bodies shall coordinate technology adoption decisions across the EduOS ecosystem.</w:t>
      </w:r>
    </w:p>
    <w:p>
      <w:r>
        <w:pict>
          <v:rect style="width:0;height:1.5pt" o:hralign="center" o:hrstd="t" o:hr="t"/>
        </w:pict>
      </w:r>
    </w:p>
    <w:bookmarkEnd w:id="38"/>
    <w:bookmarkStart w:id="44" w:name="business-rules"/>
    <w:p>
      <w:pPr>
        <w:pStyle w:val="Heading1"/>
      </w:pPr>
      <w:r>
        <w:t xml:space="preserve">11.10 Business Rules</w:t>
      </w:r>
    </w:p>
    <w:bookmarkStart w:id="39" w:name="br-future-001"/>
    <w:p>
      <w:pPr>
        <w:pStyle w:val="Heading3"/>
      </w:pPr>
      <w:r>
        <w:t xml:space="preserve">BR-FUTURE-001</w:t>
      </w:r>
    </w:p>
    <w:p>
      <w:pPr>
        <w:pStyle w:val="FirstParagraph"/>
      </w:pPr>
      <w:r>
        <w:t xml:space="preserve">Emerging technologies shall not be deployed in production without completing the approved evaluation and governance process.</w:t>
      </w:r>
    </w:p>
    <w:p>
      <w:r>
        <w:pict>
          <v:rect style="width:0;height:1.5pt" o:hralign="center" o:hrstd="t" o:hr="t"/>
        </w:pict>
      </w:r>
    </w:p>
    <w:bookmarkEnd w:id="39"/>
    <w:bookmarkStart w:id="40" w:name="br-future-002"/>
    <w:p>
      <w:pPr>
        <w:pStyle w:val="Heading3"/>
      </w:pPr>
      <w:r>
        <w:t xml:space="preserve">BR-FUTURE-002</w:t>
      </w:r>
    </w:p>
    <w:p>
      <w:pPr>
        <w:pStyle w:val="FirstParagraph"/>
      </w:pPr>
      <w:r>
        <w:t xml:space="preserve">Technology adoption decisions shall consider educational value, operational maturity, cybersecurity, privacy, interoperability, sustainability, and total cost of ownership.</w:t>
      </w:r>
    </w:p>
    <w:p>
      <w:r>
        <w:pict>
          <v:rect style="width:0;height:1.5pt" o:hralign="center" o:hrstd="t" o:hr="t"/>
        </w:pict>
      </w:r>
    </w:p>
    <w:bookmarkEnd w:id="40"/>
    <w:bookmarkStart w:id="41" w:name="br-future-003"/>
    <w:p>
      <w:pPr>
        <w:pStyle w:val="Heading3"/>
      </w:pPr>
      <w:r>
        <w:t xml:space="preserve">BR-FUTURE-003</w:t>
      </w:r>
    </w:p>
    <w:p>
      <w:pPr>
        <w:pStyle w:val="FirstParagraph"/>
      </w:pPr>
      <w:r>
        <w:t xml:space="preserve">Strategic technology roadmaps shall be reviewed and updated at least annually.</w:t>
      </w:r>
    </w:p>
    <w:p>
      <w:r>
        <w:pict>
          <v:rect style="width:0;height:1.5pt" o:hralign="center" o:hrstd="t" o:hr="t"/>
        </w:pict>
      </w:r>
    </w:p>
    <w:bookmarkEnd w:id="41"/>
    <w:bookmarkStart w:id="42" w:name="br-future-004"/>
    <w:p>
      <w:pPr>
        <w:pStyle w:val="Heading3"/>
      </w:pPr>
      <w:r>
        <w:t xml:space="preserve">BR-FUTURE-004</w:t>
      </w:r>
    </w:p>
    <w:p>
      <w:pPr>
        <w:pStyle w:val="FirstParagraph"/>
      </w:pPr>
      <w:r>
        <w:t xml:space="preserve">Proof-of-concept and pilot environments shall remain isolated from production services unless formally approved for transition.</w:t>
      </w:r>
    </w:p>
    <w:p>
      <w:r>
        <w:pict>
          <v:rect style="width:0;height:1.5pt" o:hralign="center" o:hrstd="t" o:hr="t"/>
        </w:pict>
      </w:r>
    </w:p>
    <w:bookmarkEnd w:id="42"/>
    <w:bookmarkStart w:id="43" w:name="br-future-005"/>
    <w:p>
      <w:pPr>
        <w:pStyle w:val="Heading3"/>
      </w:pPr>
      <w:r>
        <w:t xml:space="preserve">BR-FUTURE-005</w:t>
      </w:r>
    </w:p>
    <w:p>
      <w:pPr>
        <w:pStyle w:val="FirstParagraph"/>
      </w:pPr>
      <w:r>
        <w:t xml:space="preserve">Technology governance decisions shall be documented, retained, and available for audit.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5" w:name="acceptance-criteria"/>
    <w:p>
      <w:pPr>
        <w:pStyle w:val="Heading1"/>
      </w:pPr>
      <w:r>
        <w:t xml:space="preserve">11.11 Acceptance Criteria</w:t>
      </w:r>
    </w:p>
    <w:p>
      <w:pPr>
        <w:pStyle w:val="FirstParagraph"/>
      </w:pPr>
      <w:r>
        <w:t xml:space="preserve">The Emerging Technology Governance Framework shall be considered complete when:</w:t>
      </w:r>
    </w:p>
    <w:p>
      <w:pPr>
        <w:pStyle w:val="Compact"/>
        <w:numPr>
          <w:ilvl w:val="0"/>
          <w:numId w:val="1006"/>
        </w:numPr>
      </w:pPr>
      <w:r>
        <w:t xml:space="preserve">Technology watch programme is established.</w:t>
      </w:r>
    </w:p>
    <w:p>
      <w:pPr>
        <w:pStyle w:val="Compact"/>
        <w:numPr>
          <w:ilvl w:val="0"/>
          <w:numId w:val="1006"/>
        </w:numPr>
      </w:pPr>
      <w:r>
        <w:t xml:space="preserve">Evaluation framework is documented.</w:t>
      </w:r>
    </w:p>
    <w:p>
      <w:pPr>
        <w:pStyle w:val="Compact"/>
        <w:numPr>
          <w:ilvl w:val="0"/>
          <w:numId w:val="1006"/>
        </w:numPr>
      </w:pPr>
      <w:r>
        <w:t xml:space="preserve">Adoption lifecycle is approved.</w:t>
      </w:r>
    </w:p>
    <w:p>
      <w:pPr>
        <w:pStyle w:val="Compact"/>
        <w:numPr>
          <w:ilvl w:val="0"/>
          <w:numId w:val="1006"/>
        </w:numPr>
      </w:pPr>
      <w:r>
        <w:t xml:space="preserve">Strategic roadmaps are defined.</w:t>
      </w:r>
    </w:p>
    <w:p>
      <w:pPr>
        <w:pStyle w:val="Compact"/>
        <w:numPr>
          <w:ilvl w:val="0"/>
          <w:numId w:val="1006"/>
        </w:numPr>
      </w:pPr>
      <w:r>
        <w:t xml:space="preserve">Governance committees are assigned.</w:t>
      </w:r>
    </w:p>
    <w:p>
      <w:pPr>
        <w:pStyle w:val="Compact"/>
        <w:numPr>
          <w:ilvl w:val="0"/>
          <w:numId w:val="1006"/>
        </w:numPr>
      </w:pPr>
      <w:r>
        <w:t xml:space="preserve">Capability development programme is documented.</w:t>
      </w:r>
    </w:p>
    <w:p>
      <w:pPr>
        <w:pStyle w:val="Compact"/>
        <w:numPr>
          <w:ilvl w:val="0"/>
          <w:numId w:val="1006"/>
        </w:numPr>
      </w:pPr>
      <w:r>
        <w:t xml:space="preserve">Continuous review procedures are operational.</w:t>
      </w:r>
    </w:p>
    <w:p>
      <w:r>
        <w:pict>
          <v:rect style="width:0;height:1.5pt" o:hralign="center" o:hrstd="t" o:hr="t"/>
        </w:pict>
      </w:r>
    </w:p>
    <w:bookmarkEnd w:id="45"/>
    <w:bookmarkStart w:id="46" w:name="summary"/>
    <w:p>
      <w:pPr>
        <w:pStyle w:val="Heading1"/>
      </w:pPr>
      <w:r>
        <w:t xml:space="preserve">11.12 Summary</w:t>
      </w:r>
    </w:p>
    <w:p>
      <w:pPr>
        <w:pStyle w:val="FirstParagraph"/>
      </w:pPr>
      <w:r>
        <w:t xml:space="preserve">The Emerging Technology Governance and Future Readiness framework establishes the strategic governance model that enables EduOS Cameroon to evolve responsibly in response to technological innovation.</w:t>
      </w:r>
    </w:p>
    <w:p>
      <w:pPr>
        <w:pStyle w:val="BodyText"/>
      </w:pPr>
      <w:r>
        <w:t xml:space="preserve">By defining structured technology evaluation, adoption lifecycles, strategic roadmaps, capability development, governance structures, and continuous monitoring, this framework ensures that future technologies are introduced in a secure, evidence-based, and educationally valuable manner.</w:t>
      </w:r>
    </w:p>
    <w:p>
      <w:pPr>
        <w:pStyle w:val="BodyText"/>
      </w:pPr>
      <w:r>
        <w:t xml:space="preserve">It positions EduOS Cameroon to remain resilient, innovative, and technologically relevant while preserving national priorities, public trust, and long-term sustainability.</w:t>
      </w:r>
    </w:p>
    <w:p>
      <w:r>
        <w:pict>
          <v:rect style="width:0;height:1.5pt" o:hralign="center" o:hrstd="t" o:hr="t"/>
        </w:pict>
      </w:r>
    </w:p>
    <w:bookmarkEnd w:id="46"/>
    <w:bookmarkStart w:id="47" w:name="volume-ix-progress"/>
    <w:p>
      <w:pPr>
        <w:pStyle w:val="Heading1"/>
      </w:pPr>
      <w:r>
        <w:t xml:space="preserve">VOLUME IX PROGRESS</w:t>
      </w:r>
    </w:p>
    <w:p>
      <w:pPr>
        <w:pStyle w:val="FirstParagraph"/>
      </w:pPr>
      <w:r>
        <w:t xml:space="preserve">Completed Chapters:</w:t>
      </w:r>
    </w:p>
    <w:p>
      <w:pPr>
        <w:pStyle w:val="BodyText"/>
      </w:pPr>
      <w:r>
        <w:t xml:space="preserve">✓ Chapter 1 – National Education Super App Strategy and Digital Ecosystem Vision</w:t>
      </w:r>
    </w:p>
    <w:p>
      <w:pPr>
        <w:pStyle w:val="BodyText"/>
      </w:pPr>
      <w:r>
        <w:t xml:space="preserve">✓ Chapter 2 – Open API Marketplace and Developer Ecosystem</w:t>
      </w:r>
    </w:p>
    <w:p>
      <w:pPr>
        <w:pStyle w:val="BodyText"/>
      </w:pPr>
      <w:r>
        <w:t xml:space="preserve">✓ Chapter 3 – Third-Party Applications and Plugin Framework</w:t>
      </w:r>
    </w:p>
    <w:p>
      <w:pPr>
        <w:pStyle w:val="BodyText"/>
      </w:pPr>
      <w:r>
        <w:t xml:space="preserve">✓ Chapter 4 – Digital Credentials, Digital Wallets and Verifiable Credentials</w:t>
      </w:r>
    </w:p>
    <w:p>
      <w:pPr>
        <w:pStyle w:val="BodyText"/>
      </w:pPr>
      <w:r>
        <w:t xml:space="preserve">✓ Chapter 5 – Research, Innovation and EdTech Sandbox</w:t>
      </w:r>
    </w:p>
    <w:p>
      <w:pPr>
        <w:pStyle w:val="BodyText"/>
      </w:pPr>
      <w:r>
        <w:t xml:space="preserve">✓ Chapter 6 – Smart Classrooms, Internet of Things (IoT) and Connected Campuses</w:t>
      </w:r>
    </w:p>
    <w:p>
      <w:pPr>
        <w:pStyle w:val="BodyText"/>
      </w:pPr>
      <w:r>
        <w:t xml:space="preserve">✓ Chapter 7 – Augmented Reality (AR), Virtual Reality (VR), Extended Reality (XR) and Immersive Learning</w:t>
      </w:r>
    </w:p>
    <w:p>
      <w:pPr>
        <w:pStyle w:val="BodyText"/>
      </w:pPr>
      <w:r>
        <w:t xml:space="preserve">✓ Chapter 8 – Robotics, STEM and Makerspace Integration</w:t>
      </w:r>
    </w:p>
    <w:p>
      <w:pPr>
        <w:pStyle w:val="BodyText"/>
      </w:pPr>
      <w:r>
        <w:t xml:space="preserve">✓ Chapter 9 – International Interoperability, Cross-Border Education and Global Recognition</w:t>
      </w:r>
    </w:p>
    <w:p>
      <w:pPr>
        <w:pStyle w:val="BodyText"/>
      </w:pPr>
      <w:r>
        <w:t xml:space="preserve">✓ Chapter 10 – Sustainability, Green Computing and Digital Inclusion</w:t>
      </w:r>
    </w:p>
    <w:p>
      <w:pPr>
        <w:pStyle w:val="BodyText"/>
      </w:pPr>
      <w:r>
        <w:t xml:space="preserve">✓ Chapter 11 – Emerging Technology Governance and Future Readiness</w:t>
      </w:r>
    </w:p>
    <w:p>
      <w:pPr>
        <w:pStyle w:val="BodyText"/>
      </w:pPr>
      <w:r>
        <w:t xml:space="preserve">Remaining Chapters:</w:t>
      </w:r>
    </w:p>
    <w:p>
      <w:pPr>
        <w:pStyle w:val="Compact"/>
        <w:numPr>
          <w:ilvl w:val="0"/>
          <w:numId w:val="1007"/>
        </w:numPr>
      </w:pPr>
      <w:r>
        <w:t xml:space="preserve">Chapter 12 – National Education Innovation Reference Architecture and Strategic Roadmap</w:t>
      </w:r>
    </w:p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2026-07-10T14:47:59Z</dcterms:created>
  <dcterms:modified xsi:type="dcterms:W3CDTF">2026-07-10T14:47:59Z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