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volume-ix"/>
    <w:p>
      <w:pPr>
        <w:pStyle w:val="Heading1"/>
      </w:pPr>
      <w:r>
        <w:t xml:space="preserve">VOLUME IX</w:t>
      </w:r>
    </w:p>
    <w:bookmarkEnd w:id="21"/>
    <w:bookmarkStart w:id="23" w:name="Xdcfc02e57cb8d11f2441a5b8cc4c3e57d2e0628"/>
    <w:p>
      <w:pPr>
        <w:pStyle w:val="Heading1"/>
      </w:pPr>
      <w:r>
        <w:t xml:space="preserve">NATIONAL DIGITAL EDUCATION ECOSYSTEM, INNOVATION, OPEN PLATFORM AND FUTURE READINESS</w:t>
      </w:r>
    </w:p>
    <w:bookmarkStart w:id="22" w:name="chapter-1"/>
    <w:p>
      <w:pPr>
        <w:pStyle w:val="Heading2"/>
      </w:pPr>
      <w:r>
        <w:t xml:space="preserve">CHAPTER 1</w:t>
      </w:r>
    </w:p>
    <w:bookmarkEnd w:id="22"/>
    <w:bookmarkEnd w:id="23"/>
    <w:bookmarkStart w:id="24" w:name="X9c860552a91ee9374051d5e93c0f26e9725a8c7"/>
    <w:p>
      <w:pPr>
        <w:pStyle w:val="Heading1"/>
      </w:pPr>
      <w:r>
        <w:t xml:space="preserve">NATIONAL EDUCATION SUPER APP STRATEGY AND DIGITAL ECOSYSTEM VISION</w:t>
      </w:r>
    </w:p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1.1 Purpose</w:t>
      </w:r>
    </w:p>
    <w:p>
      <w:pPr>
        <w:pStyle w:val="FirstParagraph"/>
      </w:pPr>
      <w:r>
        <w:t xml:space="preserve">This volume establishes the long-term strategy for transforming EduOS Cameroon into the national digital education ecosystem.</w:t>
      </w:r>
    </w:p>
    <w:p>
      <w:pPr>
        <w:pStyle w:val="BodyText"/>
      </w:pPr>
      <w:r>
        <w:t xml:space="preserve">It defines the Super App strategy, ecosystem governance, innovation framework, digital public infrastructure integration, open platform architecture, and future technology roadmap supporting lifelong learning and national educational transformation.</w:t>
      </w:r>
    </w:p>
    <w:p>
      <w:pPr>
        <w:pStyle w:val="BodyText"/>
      </w:pPr>
      <w:r>
        <w:t xml:space="preserve">Its objective is to create a unified digital ecosystem connecting learners, educators, institutions, government agencies, innovators, researchers, and education service providers through a secure, interoperable, and extensible platform.</w:t>
      </w:r>
    </w:p>
    <w:p>
      <w:r>
        <w:pict>
          <v:rect style="width:0;height:1.5pt" o:hralign="center" o:hrstd="t" o:hr="t"/>
        </w:pict>
      </w:r>
    </w:p>
    <w:bookmarkEnd w:id="25"/>
    <w:bookmarkStart w:id="26" w:name="vision"/>
    <w:p>
      <w:pPr>
        <w:pStyle w:val="Heading1"/>
      </w:pPr>
      <w:r>
        <w:t xml:space="preserve">1.2 Vision</w:t>
      </w:r>
    </w:p>
    <w:p>
      <w:pPr>
        <w:pStyle w:val="FirstParagraph"/>
      </w:pPr>
      <w:r>
        <w:t xml:space="preserve">EduOS Cameroon shall become:</w:t>
      </w:r>
    </w:p>
    <w:p>
      <w:pPr>
        <w:pStyle w:val="Compact"/>
        <w:numPr>
          <w:ilvl w:val="0"/>
          <w:numId w:val="1001"/>
        </w:numPr>
      </w:pPr>
      <w:r>
        <w:t xml:space="preserve">The national education digital platform.</w:t>
      </w:r>
    </w:p>
    <w:p>
      <w:pPr>
        <w:pStyle w:val="Compact"/>
        <w:numPr>
          <w:ilvl w:val="0"/>
          <w:numId w:val="1001"/>
        </w:numPr>
      </w:pPr>
      <w:r>
        <w:t xml:space="preserve">The trusted education identity provider.</w:t>
      </w:r>
    </w:p>
    <w:p>
      <w:pPr>
        <w:pStyle w:val="Compact"/>
        <w:numPr>
          <w:ilvl w:val="0"/>
          <w:numId w:val="1001"/>
        </w:numPr>
      </w:pPr>
      <w:r>
        <w:t xml:space="preserve">The official education knowledge platform.</w:t>
      </w:r>
    </w:p>
    <w:p>
      <w:pPr>
        <w:pStyle w:val="Compact"/>
        <w:numPr>
          <w:ilvl w:val="0"/>
          <w:numId w:val="1001"/>
        </w:numPr>
      </w:pPr>
      <w:r>
        <w:t xml:space="preserve">The national learning ecosystem.</w:t>
      </w:r>
    </w:p>
    <w:p>
      <w:pPr>
        <w:pStyle w:val="Compact"/>
        <w:numPr>
          <w:ilvl w:val="0"/>
          <w:numId w:val="1001"/>
        </w:numPr>
      </w:pPr>
      <w:r>
        <w:t xml:space="preserve">The foundation for lifelong learning.</w:t>
      </w:r>
    </w:p>
    <w:p>
      <w:pPr>
        <w:pStyle w:val="Compact"/>
        <w:numPr>
          <w:ilvl w:val="0"/>
          <w:numId w:val="1001"/>
        </w:numPr>
      </w:pPr>
      <w:r>
        <w:t xml:space="preserve">A platform supporting educational innovation.</w:t>
      </w:r>
    </w:p>
    <w:p>
      <w:pPr>
        <w:pStyle w:val="Compact"/>
        <w:numPr>
          <w:ilvl w:val="0"/>
          <w:numId w:val="1001"/>
        </w:numPr>
      </w:pPr>
      <w:r>
        <w:t xml:space="preserve">A digital public infrastructure for education.</w:t>
      </w:r>
    </w:p>
    <w:p>
      <w:pPr>
        <w:pStyle w:val="FirstParagraph"/>
      </w:pPr>
      <w:r>
        <w:t xml:space="preserve">The ecosystem shall evolve continuously while preserving security, interoperability, and public trust.</w:t>
      </w:r>
    </w:p>
    <w:p>
      <w:r>
        <w:pict>
          <v:rect style="width:0;height:1.5pt" o:hralign="center" o:hrstd="t" o:hr="t"/>
        </w:pict>
      </w:r>
    </w:p>
    <w:bookmarkEnd w:id="26"/>
    <w:bookmarkStart w:id="27" w:name="strategic-objectives"/>
    <w:p>
      <w:pPr>
        <w:pStyle w:val="Heading1"/>
      </w:pPr>
      <w:r>
        <w:t xml:space="preserve">1.3 Strategic Objectives</w:t>
      </w:r>
    </w:p>
    <w:p>
      <w:pPr>
        <w:pStyle w:val="FirstParagraph"/>
      </w:pPr>
      <w:r>
        <w:t xml:space="preserve">The ecosystem shall:</w:t>
      </w:r>
    </w:p>
    <w:p>
      <w:pPr>
        <w:pStyle w:val="Compact"/>
        <w:numPr>
          <w:ilvl w:val="0"/>
          <w:numId w:val="1002"/>
        </w:numPr>
      </w:pPr>
      <w:r>
        <w:t xml:space="preserve">Connect education stakeholders.</w:t>
      </w:r>
    </w:p>
    <w:p>
      <w:pPr>
        <w:pStyle w:val="Compact"/>
        <w:numPr>
          <w:ilvl w:val="0"/>
          <w:numId w:val="1002"/>
        </w:numPr>
      </w:pPr>
      <w:r>
        <w:t xml:space="preserve">Enable digital innovation.</w:t>
      </w:r>
    </w:p>
    <w:p>
      <w:pPr>
        <w:pStyle w:val="Compact"/>
        <w:numPr>
          <w:ilvl w:val="0"/>
          <w:numId w:val="1002"/>
        </w:numPr>
      </w:pPr>
      <w:r>
        <w:t xml:space="preserve">Support lifelong learning.</w:t>
      </w:r>
    </w:p>
    <w:p>
      <w:pPr>
        <w:pStyle w:val="Compact"/>
        <w:numPr>
          <w:ilvl w:val="0"/>
          <w:numId w:val="1002"/>
        </w:numPr>
      </w:pPr>
      <w:r>
        <w:t xml:space="preserve">Promote equitable educational access.</w:t>
      </w:r>
    </w:p>
    <w:p>
      <w:pPr>
        <w:pStyle w:val="Compact"/>
        <w:numPr>
          <w:ilvl w:val="0"/>
          <w:numId w:val="1002"/>
        </w:numPr>
      </w:pPr>
      <w:r>
        <w:t xml:space="preserve">Strengthen digital inclusion.</w:t>
      </w:r>
    </w:p>
    <w:p>
      <w:pPr>
        <w:pStyle w:val="Compact"/>
        <w:numPr>
          <w:ilvl w:val="0"/>
          <w:numId w:val="1002"/>
        </w:numPr>
      </w:pPr>
      <w:r>
        <w:t xml:space="preserve">Encourage public-private collaboration.</w:t>
      </w:r>
    </w:p>
    <w:p>
      <w:pPr>
        <w:pStyle w:val="Compact"/>
        <w:numPr>
          <w:ilvl w:val="0"/>
          <w:numId w:val="1002"/>
        </w:numPr>
      </w:pPr>
      <w:r>
        <w:t xml:space="preserve">Enable evidence-based policymaking.</w:t>
      </w:r>
    </w:p>
    <w:p>
      <w:pPr>
        <w:pStyle w:val="Compact"/>
        <w:numPr>
          <w:ilvl w:val="0"/>
          <w:numId w:val="1002"/>
        </w:numPr>
      </w:pPr>
      <w:r>
        <w:t xml:space="preserve">Foster educational excellence.</w:t>
      </w:r>
    </w:p>
    <w:p>
      <w:pPr>
        <w:pStyle w:val="FirstParagraph"/>
      </w:pPr>
      <w:r>
        <w:t xml:space="preserve">Strategic initiatives shall align with national education priorities.</w:t>
      </w:r>
    </w:p>
    <w:p>
      <w:r>
        <w:pict>
          <v:rect style="width:0;height:1.5pt" o:hralign="center" o:hrstd="t" o:hr="t"/>
        </w:pict>
      </w:r>
    </w:p>
    <w:bookmarkEnd w:id="27"/>
    <w:bookmarkStart w:id="33" w:name="super-app-principles"/>
    <w:p>
      <w:pPr>
        <w:pStyle w:val="Heading1"/>
      </w:pPr>
      <w:r>
        <w:t xml:space="preserve">1.4 Super App Principles</w:t>
      </w:r>
    </w:p>
    <w:p>
      <w:pPr>
        <w:pStyle w:val="FirstParagraph"/>
      </w:pPr>
      <w:r>
        <w:t xml:space="preserve">The EduOS Super App shall follow these principles.</w:t>
      </w:r>
    </w:p>
    <w:bookmarkStart w:id="28" w:name="super-001-one-platform"/>
    <w:p>
      <w:pPr>
        <w:pStyle w:val="Heading3"/>
      </w:pPr>
      <w:r>
        <w:t xml:space="preserve">SUPER-001 One Platform</w:t>
      </w:r>
    </w:p>
    <w:p>
      <w:pPr>
        <w:pStyle w:val="FirstParagraph"/>
      </w:pPr>
      <w:r>
        <w:t xml:space="preserve">Users shall access multiple education services through a unified digital experience.</w:t>
      </w:r>
    </w:p>
    <w:p>
      <w:r>
        <w:pict>
          <v:rect style="width:0;height:1.5pt" o:hralign="center" o:hrstd="t" o:hr="t"/>
        </w:pict>
      </w:r>
    </w:p>
    <w:bookmarkEnd w:id="28"/>
    <w:bookmarkStart w:id="29" w:name="super-002-modular-services"/>
    <w:p>
      <w:pPr>
        <w:pStyle w:val="Heading3"/>
      </w:pPr>
      <w:r>
        <w:t xml:space="preserve">SUPER-002 Modular Services</w:t>
      </w:r>
    </w:p>
    <w:p>
      <w:pPr>
        <w:pStyle w:val="FirstParagraph"/>
      </w:pPr>
      <w:r>
        <w:t xml:space="preserve">Services shall be independently deployable while presenting a unified interface.</w:t>
      </w:r>
    </w:p>
    <w:p>
      <w:r>
        <w:pict>
          <v:rect style="width:0;height:1.5pt" o:hralign="center" o:hrstd="t" o:hr="t"/>
        </w:pict>
      </w:r>
    </w:p>
    <w:bookmarkEnd w:id="29"/>
    <w:bookmarkStart w:id="30" w:name="super-003-open-ecosystem"/>
    <w:p>
      <w:pPr>
        <w:pStyle w:val="Heading3"/>
      </w:pPr>
      <w:r>
        <w:t xml:space="preserve">SUPER-003 Open Ecosystem</w:t>
      </w:r>
    </w:p>
    <w:p>
      <w:pPr>
        <w:pStyle w:val="FirstParagraph"/>
      </w:pPr>
      <w:r>
        <w:t xml:space="preserve">Approved third-party services may integrate through governed interfaces.</w:t>
      </w:r>
    </w:p>
    <w:p>
      <w:r>
        <w:pict>
          <v:rect style="width:0;height:1.5pt" o:hralign="center" o:hrstd="t" o:hr="t"/>
        </w:pict>
      </w:r>
    </w:p>
    <w:bookmarkEnd w:id="30"/>
    <w:bookmarkStart w:id="31" w:name="super-004-user-centred-experience"/>
    <w:p>
      <w:pPr>
        <w:pStyle w:val="Heading3"/>
      </w:pPr>
      <w:r>
        <w:t xml:space="preserve">SUPER-004 User-Centred Experience</w:t>
      </w:r>
    </w:p>
    <w:p>
      <w:pPr>
        <w:pStyle w:val="FirstParagraph"/>
      </w:pPr>
      <w:r>
        <w:t xml:space="preserve">Services shall be organized around user journeys rather than organizational structures.</w:t>
      </w:r>
    </w:p>
    <w:p>
      <w:r>
        <w:pict>
          <v:rect style="width:0;height:1.5pt" o:hralign="center" o:hrstd="t" o:hr="t"/>
        </w:pict>
      </w:r>
    </w:p>
    <w:bookmarkEnd w:id="31"/>
    <w:bookmarkStart w:id="32" w:name="super-005-future-readiness"/>
    <w:p>
      <w:pPr>
        <w:pStyle w:val="Heading3"/>
      </w:pPr>
      <w:r>
        <w:t xml:space="preserve">SUPER-005 Future Readiness</w:t>
      </w:r>
    </w:p>
    <w:p>
      <w:pPr>
        <w:pStyle w:val="FirstParagraph"/>
      </w:pPr>
      <w:r>
        <w:t xml:space="preserve">The platform shall support continuous expansion without fundamental architectural redesign.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cosystem-participants"/>
    <w:p>
      <w:pPr>
        <w:pStyle w:val="Heading1"/>
      </w:pPr>
      <w:r>
        <w:t xml:space="preserve">1.5 Ecosystem Participants</w:t>
      </w:r>
    </w:p>
    <w:p>
      <w:pPr>
        <w:pStyle w:val="FirstParagraph"/>
      </w:pPr>
      <w:r>
        <w:t xml:space="preserve">The ecosystem may include:</w:t>
      </w:r>
    </w:p>
    <w:p>
      <w:pPr>
        <w:pStyle w:val="Compact"/>
        <w:numPr>
          <w:ilvl w:val="0"/>
          <w:numId w:val="1003"/>
        </w:numPr>
      </w:pPr>
      <w:r>
        <w:t xml:space="preserve">Learners.</w:t>
      </w:r>
    </w:p>
    <w:p>
      <w:pPr>
        <w:pStyle w:val="Compact"/>
        <w:numPr>
          <w:ilvl w:val="0"/>
          <w:numId w:val="1003"/>
        </w:numPr>
      </w:pPr>
      <w:r>
        <w:t xml:space="preserve">Parents and Guardians.</w:t>
      </w:r>
    </w:p>
    <w:p>
      <w:pPr>
        <w:pStyle w:val="Compact"/>
        <w:numPr>
          <w:ilvl w:val="0"/>
          <w:numId w:val="1003"/>
        </w:numPr>
      </w:pPr>
      <w:r>
        <w:t xml:space="preserve">Teachers.</w:t>
      </w:r>
    </w:p>
    <w:p>
      <w:pPr>
        <w:pStyle w:val="Compact"/>
        <w:numPr>
          <w:ilvl w:val="0"/>
          <w:numId w:val="1003"/>
        </w:numPr>
      </w:pPr>
      <w:r>
        <w:t xml:space="preserve">Schools.</w:t>
      </w:r>
    </w:p>
    <w:p>
      <w:pPr>
        <w:pStyle w:val="Compact"/>
        <w:numPr>
          <w:ilvl w:val="0"/>
          <w:numId w:val="1003"/>
        </w:numPr>
      </w:pPr>
      <w:r>
        <w:t xml:space="preserve">Universities.</w:t>
      </w:r>
    </w:p>
    <w:p>
      <w:pPr>
        <w:pStyle w:val="Compact"/>
        <w:numPr>
          <w:ilvl w:val="0"/>
          <w:numId w:val="1003"/>
        </w:numPr>
      </w:pPr>
      <w:r>
        <w:t xml:space="preserve">Technical and vocational institutions.</w:t>
      </w:r>
    </w:p>
    <w:p>
      <w:pPr>
        <w:pStyle w:val="Compact"/>
        <w:numPr>
          <w:ilvl w:val="0"/>
          <w:numId w:val="1003"/>
        </w:numPr>
      </w:pPr>
      <w:r>
        <w:t xml:space="preserve">Examination authorities.</w:t>
      </w:r>
    </w:p>
    <w:p>
      <w:pPr>
        <w:pStyle w:val="Compact"/>
        <w:numPr>
          <w:ilvl w:val="0"/>
          <w:numId w:val="1003"/>
        </w:numPr>
      </w:pPr>
      <w:r>
        <w:t xml:space="preserve">Publishers.</w:t>
      </w:r>
    </w:p>
    <w:p>
      <w:pPr>
        <w:pStyle w:val="Compact"/>
        <w:numPr>
          <w:ilvl w:val="0"/>
          <w:numId w:val="1003"/>
        </w:numPr>
      </w:pPr>
      <w:r>
        <w:t xml:space="preserve">Educational content providers.</w:t>
      </w:r>
    </w:p>
    <w:p>
      <w:pPr>
        <w:pStyle w:val="Compact"/>
        <w:numPr>
          <w:ilvl w:val="0"/>
          <w:numId w:val="1003"/>
        </w:numPr>
      </w:pPr>
      <w:r>
        <w:t xml:space="preserve">Research institutions.</w:t>
      </w:r>
    </w:p>
    <w:p>
      <w:pPr>
        <w:pStyle w:val="Compact"/>
        <w:numPr>
          <w:ilvl w:val="0"/>
          <w:numId w:val="1003"/>
        </w:numPr>
      </w:pPr>
      <w:r>
        <w:t xml:space="preserve">EdTech companies.</w:t>
      </w:r>
    </w:p>
    <w:p>
      <w:pPr>
        <w:pStyle w:val="Compact"/>
        <w:numPr>
          <w:ilvl w:val="0"/>
          <w:numId w:val="1003"/>
        </w:numPr>
      </w:pPr>
      <w:r>
        <w:t xml:space="preserve">Government agencies.</w:t>
      </w:r>
    </w:p>
    <w:p>
      <w:pPr>
        <w:pStyle w:val="Compact"/>
        <w:numPr>
          <w:ilvl w:val="0"/>
          <w:numId w:val="1003"/>
        </w:numPr>
      </w:pPr>
      <w:r>
        <w:t xml:space="preserve">Development partners.</w:t>
      </w:r>
    </w:p>
    <w:p>
      <w:pPr>
        <w:pStyle w:val="FirstParagraph"/>
      </w:pPr>
      <w:r>
        <w:t xml:space="preserve">Participation shall follow approved governance arrangements.</w:t>
      </w:r>
    </w:p>
    <w:p>
      <w:r>
        <w:pict>
          <v:rect style="width:0;height:1.5pt" o:hralign="center" o:hrstd="t" o:hr="t"/>
        </w:pict>
      </w:r>
    </w:p>
    <w:bookmarkEnd w:id="34"/>
    <w:bookmarkStart w:id="35" w:name="digital-services"/>
    <w:p>
      <w:pPr>
        <w:pStyle w:val="Heading1"/>
      </w:pPr>
      <w:r>
        <w:t xml:space="preserve">1.6 Digital Services</w:t>
      </w:r>
    </w:p>
    <w:p>
      <w:pPr>
        <w:pStyle w:val="FirstParagraph"/>
      </w:pPr>
      <w:r>
        <w:t xml:space="preserve">The ecosystem may provide:</w:t>
      </w:r>
    </w:p>
    <w:p>
      <w:pPr>
        <w:pStyle w:val="Compact"/>
        <w:numPr>
          <w:ilvl w:val="0"/>
          <w:numId w:val="1004"/>
        </w:numPr>
      </w:pPr>
      <w:r>
        <w:t xml:space="preserve">Student services.</w:t>
      </w:r>
    </w:p>
    <w:p>
      <w:pPr>
        <w:pStyle w:val="Compact"/>
        <w:numPr>
          <w:ilvl w:val="0"/>
          <w:numId w:val="1004"/>
        </w:numPr>
      </w:pPr>
      <w:r>
        <w:t xml:space="preserve">Teacher services.</w:t>
      </w:r>
    </w:p>
    <w:p>
      <w:pPr>
        <w:pStyle w:val="Compact"/>
        <w:numPr>
          <w:ilvl w:val="0"/>
          <w:numId w:val="1004"/>
        </w:numPr>
      </w:pPr>
      <w:r>
        <w:t xml:space="preserve">Parent services.</w:t>
      </w:r>
    </w:p>
    <w:p>
      <w:pPr>
        <w:pStyle w:val="Compact"/>
        <w:numPr>
          <w:ilvl w:val="0"/>
          <w:numId w:val="1004"/>
        </w:numPr>
      </w:pPr>
      <w:r>
        <w:t xml:space="preserve">Learning resources.</w:t>
      </w:r>
    </w:p>
    <w:p>
      <w:pPr>
        <w:pStyle w:val="Compact"/>
        <w:numPr>
          <w:ilvl w:val="0"/>
          <w:numId w:val="1004"/>
        </w:numPr>
      </w:pPr>
      <w:r>
        <w:t xml:space="preserve">Assessment services.</w:t>
      </w:r>
    </w:p>
    <w:p>
      <w:pPr>
        <w:pStyle w:val="Compact"/>
        <w:numPr>
          <w:ilvl w:val="0"/>
          <w:numId w:val="1004"/>
        </w:numPr>
      </w:pPr>
      <w:r>
        <w:t xml:space="preserve">Certification services.</w:t>
      </w:r>
    </w:p>
    <w:p>
      <w:pPr>
        <w:pStyle w:val="Compact"/>
        <w:numPr>
          <w:ilvl w:val="0"/>
          <w:numId w:val="1004"/>
        </w:numPr>
      </w:pPr>
      <w:r>
        <w:t xml:space="preserve">AI assistance.</w:t>
      </w:r>
    </w:p>
    <w:p>
      <w:pPr>
        <w:pStyle w:val="Compact"/>
        <w:numPr>
          <w:ilvl w:val="0"/>
          <w:numId w:val="1004"/>
        </w:numPr>
      </w:pPr>
      <w:r>
        <w:t xml:space="preserve">Career guidance.</w:t>
      </w:r>
    </w:p>
    <w:p>
      <w:pPr>
        <w:pStyle w:val="Compact"/>
        <w:numPr>
          <w:ilvl w:val="0"/>
          <w:numId w:val="1004"/>
        </w:numPr>
      </w:pPr>
      <w:r>
        <w:t xml:space="preserve">Scholarship information.</w:t>
      </w:r>
    </w:p>
    <w:p>
      <w:pPr>
        <w:pStyle w:val="Compact"/>
        <w:numPr>
          <w:ilvl w:val="0"/>
          <w:numId w:val="1004"/>
        </w:numPr>
      </w:pPr>
      <w:r>
        <w:t xml:space="preserve">Professional development.</w:t>
      </w:r>
    </w:p>
    <w:p>
      <w:pPr>
        <w:pStyle w:val="Compact"/>
        <w:numPr>
          <w:ilvl w:val="0"/>
          <w:numId w:val="1004"/>
        </w:numPr>
      </w:pPr>
      <w:r>
        <w:t xml:space="preserve">Research services.</w:t>
      </w:r>
    </w:p>
    <w:p>
      <w:pPr>
        <w:pStyle w:val="Compact"/>
        <w:numPr>
          <w:ilvl w:val="0"/>
          <w:numId w:val="1004"/>
        </w:numPr>
      </w:pPr>
      <w:r>
        <w:t xml:space="preserve">Innovation services.</w:t>
      </w:r>
    </w:p>
    <w:p>
      <w:pPr>
        <w:pStyle w:val="FirstParagraph"/>
      </w:pPr>
      <w:r>
        <w:t xml:space="preserve">Services shall be discoverable through a unified platform.</w:t>
      </w:r>
    </w:p>
    <w:p>
      <w:r>
        <w:pict>
          <v:rect style="width:0;height:1.5pt" o:hralign="center" o:hrstd="t" o:hr="t"/>
        </w:pict>
      </w:r>
    </w:p>
    <w:bookmarkEnd w:id="35"/>
    <w:bookmarkStart w:id="36" w:name="platform-architecture"/>
    <w:p>
      <w:pPr>
        <w:pStyle w:val="Heading1"/>
      </w:pPr>
      <w:r>
        <w:t xml:space="preserve">1.7 Platform Architecture</w:t>
      </w:r>
    </w:p>
    <w:p>
      <w:pPr>
        <w:pStyle w:val="FirstParagraph"/>
      </w:pPr>
      <w:r>
        <w:t xml:space="preserve">The ecosystem architecture shall include:</w:t>
      </w:r>
    </w:p>
    <w:p>
      <w:pPr>
        <w:pStyle w:val="Compact"/>
        <w:numPr>
          <w:ilvl w:val="0"/>
          <w:numId w:val="1005"/>
        </w:numPr>
      </w:pPr>
      <w:r>
        <w:t xml:space="preserve">Identity platform.</w:t>
      </w:r>
    </w:p>
    <w:p>
      <w:pPr>
        <w:pStyle w:val="Compact"/>
        <w:numPr>
          <w:ilvl w:val="0"/>
          <w:numId w:val="1005"/>
        </w:numPr>
      </w:pPr>
      <w:r>
        <w:t xml:space="preserve">Payment integration layer where authorized.</w:t>
      </w:r>
    </w:p>
    <w:p>
      <w:pPr>
        <w:pStyle w:val="Compact"/>
        <w:numPr>
          <w:ilvl w:val="0"/>
          <w:numId w:val="1005"/>
        </w:numPr>
      </w:pPr>
      <w:r>
        <w:t xml:space="preserve">Notification platform.</w:t>
      </w:r>
    </w:p>
    <w:p>
      <w:pPr>
        <w:pStyle w:val="Compact"/>
        <w:numPr>
          <w:ilvl w:val="0"/>
          <w:numId w:val="1005"/>
        </w:numPr>
      </w:pPr>
      <w:r>
        <w:t xml:space="preserve">AI platform.</w:t>
      </w:r>
    </w:p>
    <w:p>
      <w:pPr>
        <w:pStyle w:val="Compact"/>
        <w:numPr>
          <w:ilvl w:val="0"/>
          <w:numId w:val="1005"/>
        </w:numPr>
      </w:pPr>
      <w:r>
        <w:t xml:space="preserve">Knowledge platform.</w:t>
      </w:r>
    </w:p>
    <w:p>
      <w:pPr>
        <w:pStyle w:val="Compact"/>
        <w:numPr>
          <w:ilvl w:val="0"/>
          <w:numId w:val="1005"/>
        </w:numPr>
      </w:pPr>
      <w:r>
        <w:t xml:space="preserve">API gateway.</w:t>
      </w:r>
    </w:p>
    <w:p>
      <w:pPr>
        <w:pStyle w:val="Compact"/>
        <w:numPr>
          <w:ilvl w:val="0"/>
          <w:numId w:val="1005"/>
        </w:numPr>
      </w:pPr>
      <w:r>
        <w:t xml:space="preserve">Event platform.</w:t>
      </w:r>
    </w:p>
    <w:p>
      <w:pPr>
        <w:pStyle w:val="Compact"/>
        <w:numPr>
          <w:ilvl w:val="0"/>
          <w:numId w:val="1005"/>
        </w:numPr>
      </w:pPr>
      <w:r>
        <w:t xml:space="preserve">Analytics platform.</w:t>
      </w:r>
    </w:p>
    <w:p>
      <w:pPr>
        <w:pStyle w:val="Compact"/>
        <w:numPr>
          <w:ilvl w:val="0"/>
          <w:numId w:val="1005"/>
        </w:numPr>
      </w:pPr>
      <w:r>
        <w:t xml:space="preserve">Marketplace platform.</w:t>
      </w:r>
    </w:p>
    <w:p>
      <w:pPr>
        <w:pStyle w:val="Compact"/>
        <w:numPr>
          <w:ilvl w:val="0"/>
          <w:numId w:val="1005"/>
        </w:numPr>
      </w:pPr>
      <w:r>
        <w:t xml:space="preserve">Developer portal.</w:t>
      </w:r>
    </w:p>
    <w:p>
      <w:pPr>
        <w:pStyle w:val="FirstParagraph"/>
      </w:pPr>
      <w:r>
        <w:t xml:space="preserve">Architecture shall remain modular and scalable.</w:t>
      </w:r>
    </w:p>
    <w:p>
      <w:r>
        <w:pict>
          <v:rect style="width:0;height:1.5pt" o:hralign="center" o:hrstd="t" o:hr="t"/>
        </w:pict>
      </w:r>
    </w:p>
    <w:bookmarkEnd w:id="36"/>
    <w:bookmarkStart w:id="37" w:name="innovation-framework"/>
    <w:p>
      <w:pPr>
        <w:pStyle w:val="Heading1"/>
      </w:pPr>
      <w:r>
        <w:t xml:space="preserve">1.8 Innovation Framework</w:t>
      </w:r>
    </w:p>
    <w:p>
      <w:pPr>
        <w:pStyle w:val="FirstParagraph"/>
      </w:pPr>
      <w:r>
        <w:t xml:space="preserve">Innovation activities shall support:</w:t>
      </w:r>
    </w:p>
    <w:p>
      <w:pPr>
        <w:pStyle w:val="Compact"/>
        <w:numPr>
          <w:ilvl w:val="0"/>
          <w:numId w:val="1006"/>
        </w:numPr>
      </w:pPr>
      <w:r>
        <w:t xml:space="preserve">Pilot programmes.</w:t>
      </w:r>
    </w:p>
    <w:p>
      <w:pPr>
        <w:pStyle w:val="Compact"/>
        <w:numPr>
          <w:ilvl w:val="0"/>
          <w:numId w:val="1006"/>
        </w:numPr>
      </w:pPr>
      <w:r>
        <w:t xml:space="preserve">Research collaboration.</w:t>
      </w:r>
    </w:p>
    <w:p>
      <w:pPr>
        <w:pStyle w:val="Compact"/>
        <w:numPr>
          <w:ilvl w:val="0"/>
          <w:numId w:val="1006"/>
        </w:numPr>
      </w:pPr>
      <w:r>
        <w:t xml:space="preserve">Technology evaluation.</w:t>
      </w:r>
    </w:p>
    <w:p>
      <w:pPr>
        <w:pStyle w:val="Compact"/>
        <w:numPr>
          <w:ilvl w:val="0"/>
          <w:numId w:val="1006"/>
        </w:numPr>
      </w:pPr>
      <w:r>
        <w:t xml:space="preserve">Educational experimentation.</w:t>
      </w:r>
    </w:p>
    <w:p>
      <w:pPr>
        <w:pStyle w:val="Compact"/>
        <w:numPr>
          <w:ilvl w:val="0"/>
          <w:numId w:val="1006"/>
        </w:numPr>
      </w:pPr>
      <w:r>
        <w:t xml:space="preserve">Digital transformation initiatives.</w:t>
      </w:r>
    </w:p>
    <w:p>
      <w:pPr>
        <w:pStyle w:val="Compact"/>
        <w:numPr>
          <w:ilvl w:val="0"/>
          <w:numId w:val="1006"/>
        </w:numPr>
      </w:pPr>
      <w:r>
        <w:t xml:space="preserve">Public-private partnerships.</w:t>
      </w:r>
    </w:p>
    <w:p>
      <w:pPr>
        <w:pStyle w:val="Compact"/>
        <w:numPr>
          <w:ilvl w:val="0"/>
          <w:numId w:val="1006"/>
        </w:numPr>
      </w:pPr>
      <w:r>
        <w:t xml:space="preserve">Academic research.</w:t>
      </w:r>
    </w:p>
    <w:p>
      <w:pPr>
        <w:pStyle w:val="Compact"/>
        <w:numPr>
          <w:ilvl w:val="0"/>
          <w:numId w:val="1006"/>
        </w:numPr>
      </w:pPr>
      <w:r>
        <w:t xml:space="preserve">Emerging technology assessment.</w:t>
      </w:r>
    </w:p>
    <w:p>
      <w:pPr>
        <w:pStyle w:val="FirstParagraph"/>
      </w:pPr>
      <w:r>
        <w:t xml:space="preserve">Innovation shall be governed and evidence-based.</w:t>
      </w:r>
    </w:p>
    <w:p>
      <w:r>
        <w:pict>
          <v:rect style="width:0;height:1.5pt" o:hralign="center" o:hrstd="t" o:hr="t"/>
        </w:pict>
      </w:r>
    </w:p>
    <w:bookmarkEnd w:id="37"/>
    <w:bookmarkStart w:id="38" w:name="ecosystem-governance"/>
    <w:p>
      <w:pPr>
        <w:pStyle w:val="Heading1"/>
      </w:pPr>
      <w:r>
        <w:t xml:space="preserve">1.9 Ecosystem Governance</w:t>
      </w:r>
    </w:p>
    <w:p>
      <w:pPr>
        <w:pStyle w:val="FirstParagraph"/>
      </w:pPr>
      <w:r>
        <w:t xml:space="preserve">Governance shall include:</w:t>
      </w:r>
    </w:p>
    <w:p>
      <w:pPr>
        <w:pStyle w:val="Compact"/>
        <w:numPr>
          <w:ilvl w:val="0"/>
          <w:numId w:val="1007"/>
        </w:numPr>
      </w:pPr>
      <w:r>
        <w:t xml:space="preserve">National Education Digital Council.</w:t>
      </w:r>
    </w:p>
    <w:p>
      <w:pPr>
        <w:pStyle w:val="Compact"/>
        <w:numPr>
          <w:ilvl w:val="0"/>
          <w:numId w:val="1007"/>
        </w:numPr>
      </w:pPr>
      <w:r>
        <w:t xml:space="preserve">Ecosystem Steering Committee.</w:t>
      </w:r>
    </w:p>
    <w:p>
      <w:pPr>
        <w:pStyle w:val="Compact"/>
        <w:numPr>
          <w:ilvl w:val="0"/>
          <w:numId w:val="1007"/>
        </w:numPr>
      </w:pPr>
      <w:r>
        <w:t xml:space="preserve">Innovation Review Board.</w:t>
      </w:r>
    </w:p>
    <w:p>
      <w:pPr>
        <w:pStyle w:val="Compact"/>
        <w:numPr>
          <w:ilvl w:val="0"/>
          <w:numId w:val="1007"/>
        </w:numPr>
      </w:pPr>
      <w:r>
        <w:t xml:space="preserve">Technical Architecture Board.</w:t>
      </w:r>
    </w:p>
    <w:p>
      <w:pPr>
        <w:pStyle w:val="Compact"/>
        <w:numPr>
          <w:ilvl w:val="0"/>
          <w:numId w:val="1007"/>
        </w:numPr>
      </w:pPr>
      <w:r>
        <w:t xml:space="preserve">Security Governance Committee.</w:t>
      </w:r>
    </w:p>
    <w:p>
      <w:pPr>
        <w:pStyle w:val="Compact"/>
        <w:numPr>
          <w:ilvl w:val="0"/>
          <w:numId w:val="1007"/>
        </w:numPr>
      </w:pPr>
      <w:r>
        <w:t xml:space="preserve">Data Governance Committee.</w:t>
      </w:r>
    </w:p>
    <w:p>
      <w:pPr>
        <w:pStyle w:val="Compact"/>
        <w:numPr>
          <w:ilvl w:val="0"/>
          <w:numId w:val="1007"/>
        </w:numPr>
      </w:pPr>
      <w:r>
        <w:t xml:space="preserve">AI Governance Board.</w:t>
      </w:r>
    </w:p>
    <w:p>
      <w:pPr>
        <w:pStyle w:val="FirstParagraph"/>
      </w:pPr>
      <w:r>
        <w:t xml:space="preserve">Governance responsibilities shall be documented.</w:t>
      </w:r>
    </w:p>
    <w:p>
      <w:r>
        <w:pict>
          <v:rect style="width:0;height:1.5pt" o:hralign="center" o:hrstd="t" o:hr="t"/>
        </w:pict>
      </w:r>
    </w:p>
    <w:bookmarkEnd w:id="38"/>
    <w:bookmarkStart w:id="44" w:name="business-rules"/>
    <w:p>
      <w:pPr>
        <w:pStyle w:val="Heading1"/>
      </w:pPr>
      <w:r>
        <w:t xml:space="preserve">1.10 Business Rules</w:t>
      </w:r>
    </w:p>
    <w:bookmarkStart w:id="39" w:name="br-super-001"/>
    <w:p>
      <w:pPr>
        <w:pStyle w:val="Heading3"/>
      </w:pPr>
      <w:r>
        <w:t xml:space="preserve">BR-SUPER-001</w:t>
      </w:r>
    </w:p>
    <w:p>
      <w:pPr>
        <w:pStyle w:val="FirstParagraph"/>
      </w:pPr>
      <w:r>
        <w:t xml:space="preserve">All ecosystem services shall integrate through approved enterprise interoperability standards.</w:t>
      </w:r>
    </w:p>
    <w:p>
      <w:r>
        <w:pict>
          <v:rect style="width:0;height:1.5pt" o:hralign="center" o:hrstd="t" o:hr="t"/>
        </w:pict>
      </w:r>
    </w:p>
    <w:bookmarkEnd w:id="39"/>
    <w:bookmarkStart w:id="40" w:name="br-super-002"/>
    <w:p>
      <w:pPr>
        <w:pStyle w:val="Heading3"/>
      </w:pPr>
      <w:r>
        <w:t xml:space="preserve">BR-SUPER-002</w:t>
      </w:r>
    </w:p>
    <w:p>
      <w:pPr>
        <w:pStyle w:val="FirstParagraph"/>
      </w:pPr>
      <w:r>
        <w:t xml:space="preserve">Third-party participation shall require security, privacy, and governance approval before production integration.</w:t>
      </w:r>
    </w:p>
    <w:p>
      <w:r>
        <w:pict>
          <v:rect style="width:0;height:1.5pt" o:hralign="center" o:hrstd="t" o:hr="t"/>
        </w:pict>
      </w:r>
    </w:p>
    <w:bookmarkEnd w:id="40"/>
    <w:bookmarkStart w:id="41" w:name="br-super-003"/>
    <w:p>
      <w:pPr>
        <w:pStyle w:val="Heading3"/>
      </w:pPr>
      <w:r>
        <w:t xml:space="preserve">BR-SUPER-003</w:t>
      </w:r>
    </w:p>
    <w:p>
      <w:pPr>
        <w:pStyle w:val="FirstParagraph"/>
      </w:pPr>
      <w:r>
        <w:t xml:space="preserve">The Super App shall provide a consistent user experience across all approved services.</w:t>
      </w:r>
    </w:p>
    <w:p>
      <w:r>
        <w:pict>
          <v:rect style="width:0;height:1.5pt" o:hralign="center" o:hrstd="t" o:hr="t"/>
        </w:pict>
      </w:r>
    </w:p>
    <w:bookmarkEnd w:id="41"/>
    <w:bookmarkStart w:id="42" w:name="br-super-004"/>
    <w:p>
      <w:pPr>
        <w:pStyle w:val="Heading3"/>
      </w:pPr>
      <w:r>
        <w:t xml:space="preserve">BR-SUPER-004</w:t>
      </w:r>
    </w:p>
    <w:p>
      <w:pPr>
        <w:pStyle w:val="FirstParagraph"/>
      </w:pPr>
      <w:r>
        <w:t xml:space="preserve">Innovation initiatives shall undergo governance review before operational deployment.</w:t>
      </w:r>
    </w:p>
    <w:p>
      <w:r>
        <w:pict>
          <v:rect style="width:0;height:1.5pt" o:hralign="center" o:hrstd="t" o:hr="t"/>
        </w:pict>
      </w:r>
    </w:p>
    <w:bookmarkEnd w:id="42"/>
    <w:bookmarkStart w:id="43" w:name="br-super-005"/>
    <w:p>
      <w:pPr>
        <w:pStyle w:val="Heading3"/>
      </w:pPr>
      <w:r>
        <w:t xml:space="preserve">BR-SUPER-005</w:t>
      </w:r>
    </w:p>
    <w:p>
      <w:pPr>
        <w:pStyle w:val="FirstParagraph"/>
      </w:pPr>
      <w:r>
        <w:t xml:space="preserve">The ecosystem architecture shall remain modular to support future expansion.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cceptance-criteria"/>
    <w:p>
      <w:pPr>
        <w:pStyle w:val="Heading1"/>
      </w:pPr>
      <w:r>
        <w:t xml:space="preserve">1.11 Acceptance Criteria</w:t>
      </w:r>
    </w:p>
    <w:p>
      <w:pPr>
        <w:pStyle w:val="FirstParagraph"/>
      </w:pPr>
      <w:r>
        <w:t xml:space="preserve">The Super App strategy shall be considered complete when:</w:t>
      </w:r>
    </w:p>
    <w:p>
      <w:pPr>
        <w:pStyle w:val="Compact"/>
        <w:numPr>
          <w:ilvl w:val="0"/>
          <w:numId w:val="1008"/>
        </w:numPr>
      </w:pPr>
      <w:r>
        <w:t xml:space="preserve">Strategic vision is documented.</w:t>
      </w:r>
    </w:p>
    <w:p>
      <w:pPr>
        <w:pStyle w:val="Compact"/>
        <w:numPr>
          <w:ilvl w:val="0"/>
          <w:numId w:val="1008"/>
        </w:numPr>
      </w:pPr>
      <w:r>
        <w:t xml:space="preserve">Ecosystem participants are identified.</w:t>
      </w:r>
    </w:p>
    <w:p>
      <w:pPr>
        <w:pStyle w:val="Compact"/>
        <w:numPr>
          <w:ilvl w:val="0"/>
          <w:numId w:val="1008"/>
        </w:numPr>
      </w:pPr>
      <w:r>
        <w:t xml:space="preserve">Digital service catalogue is defined.</w:t>
      </w:r>
    </w:p>
    <w:p>
      <w:pPr>
        <w:pStyle w:val="Compact"/>
        <w:numPr>
          <w:ilvl w:val="0"/>
          <w:numId w:val="1008"/>
        </w:numPr>
      </w:pPr>
      <w:r>
        <w:t xml:space="preserve">Platform architecture is established.</w:t>
      </w:r>
    </w:p>
    <w:p>
      <w:pPr>
        <w:pStyle w:val="Compact"/>
        <w:numPr>
          <w:ilvl w:val="0"/>
          <w:numId w:val="1008"/>
        </w:numPr>
      </w:pPr>
      <w:r>
        <w:t xml:space="preserve">Innovation framework is documented.</w:t>
      </w:r>
    </w:p>
    <w:p>
      <w:pPr>
        <w:pStyle w:val="Compact"/>
        <w:numPr>
          <w:ilvl w:val="0"/>
          <w:numId w:val="1008"/>
        </w:numPr>
      </w:pPr>
      <w:r>
        <w:t xml:space="preserve">Governance structure is approved.</w:t>
      </w:r>
    </w:p>
    <w:p>
      <w:pPr>
        <w:pStyle w:val="Compact"/>
        <w:numPr>
          <w:ilvl w:val="0"/>
          <w:numId w:val="1008"/>
        </w:numPr>
      </w:pPr>
      <w:r>
        <w:t xml:space="preserve">Future expansion principles are defined.</w:t>
      </w:r>
    </w:p>
    <w:p>
      <w:r>
        <w:pict>
          <v:rect style="width:0;height:1.5pt" o:hralign="center" o:hrstd="t" o:hr="t"/>
        </w:pict>
      </w:r>
    </w:p>
    <w:bookmarkEnd w:id="45"/>
    <w:bookmarkStart w:id="46" w:name="summary"/>
    <w:p>
      <w:pPr>
        <w:pStyle w:val="Heading1"/>
      </w:pPr>
      <w:r>
        <w:t xml:space="preserve">1.12 Summary</w:t>
      </w:r>
    </w:p>
    <w:p>
      <w:pPr>
        <w:pStyle w:val="FirstParagraph"/>
      </w:pPr>
      <w:r>
        <w:t xml:space="preserve">The National Education Super App Strategy and Digital Ecosystem Vision establish the long-term direction for EduOS Cameroon.</w:t>
      </w:r>
    </w:p>
    <w:p>
      <w:pPr>
        <w:pStyle w:val="BodyText"/>
      </w:pPr>
      <w:r>
        <w:t xml:space="preserve">By defining a unified digital platform, an open ecosystem, modular services, innovation governance, and future-ready architecture, this framework positions EduOS as the digital foundation supporting learners, educators, institutions, researchers, innovators, and policymakers throughout the national education lifecycle.</w:t>
      </w:r>
    </w:p>
    <w:p>
      <w:r>
        <w:pict>
          <v:rect style="width:0;height:1.5pt" o:hralign="center" o:hrstd="t" o:hr="t"/>
        </w:pict>
      </w:r>
    </w:p>
    <w:bookmarkEnd w:id="46"/>
    <w:bookmarkStart w:id="47" w:name="volume-ix-roadmap"/>
    <w:p>
      <w:pPr>
        <w:pStyle w:val="Heading1"/>
      </w:pPr>
      <w:r>
        <w:t xml:space="preserve">VOLUME IX ROADMAP</w:t>
      </w:r>
    </w:p>
    <w:p>
      <w:pPr>
        <w:pStyle w:val="FirstParagraph"/>
      </w:pPr>
      <w:r>
        <w:t xml:space="preserve">Volume IX will continue with:</w:t>
      </w:r>
    </w:p>
    <w:p>
      <w:pPr>
        <w:pStyle w:val="Compact"/>
        <w:numPr>
          <w:ilvl w:val="0"/>
          <w:numId w:val="1009"/>
        </w:numPr>
      </w:pPr>
      <w:r>
        <w:t xml:space="preserve">National Education Super App Strategy &amp; Digital Ecosystem Vision.</w:t>
      </w:r>
    </w:p>
    <w:p>
      <w:pPr>
        <w:pStyle w:val="Compact"/>
        <w:numPr>
          <w:ilvl w:val="0"/>
          <w:numId w:val="1009"/>
        </w:numPr>
      </w:pPr>
      <w:r>
        <w:t xml:space="preserve">Open API Marketplace &amp; Developer Ecosystem.</w:t>
      </w:r>
    </w:p>
    <w:p>
      <w:pPr>
        <w:pStyle w:val="Compact"/>
        <w:numPr>
          <w:ilvl w:val="0"/>
          <w:numId w:val="1009"/>
        </w:numPr>
      </w:pPr>
      <w:r>
        <w:t xml:space="preserve">Third-Party Applications &amp; Plugin Framework.</w:t>
      </w:r>
    </w:p>
    <w:p>
      <w:pPr>
        <w:pStyle w:val="Compact"/>
        <w:numPr>
          <w:ilvl w:val="0"/>
          <w:numId w:val="1009"/>
        </w:numPr>
      </w:pPr>
      <w:r>
        <w:t xml:space="preserve">Digital Credentials, Wallets &amp; Verifiable Credentials.</w:t>
      </w:r>
    </w:p>
    <w:p>
      <w:pPr>
        <w:pStyle w:val="Compact"/>
        <w:numPr>
          <w:ilvl w:val="0"/>
          <w:numId w:val="1009"/>
        </w:numPr>
      </w:pPr>
      <w:r>
        <w:t xml:space="preserve">Research, Innovation &amp; EdTech Sandbox.</w:t>
      </w:r>
    </w:p>
    <w:p>
      <w:pPr>
        <w:pStyle w:val="Compact"/>
        <w:numPr>
          <w:ilvl w:val="0"/>
          <w:numId w:val="1009"/>
        </w:numPr>
      </w:pPr>
      <w:r>
        <w:t xml:space="preserve">Smart Classrooms, IoT &amp; Connected Campuses.</w:t>
      </w:r>
    </w:p>
    <w:p>
      <w:pPr>
        <w:pStyle w:val="Compact"/>
        <w:numPr>
          <w:ilvl w:val="0"/>
          <w:numId w:val="1009"/>
        </w:numPr>
      </w:pPr>
      <w:r>
        <w:t xml:space="preserve">AR, VR, XR &amp; Immersive Learning.</w:t>
      </w:r>
    </w:p>
    <w:p>
      <w:pPr>
        <w:pStyle w:val="Compact"/>
        <w:numPr>
          <w:ilvl w:val="0"/>
          <w:numId w:val="1009"/>
        </w:numPr>
      </w:pPr>
      <w:r>
        <w:t xml:space="preserve">Robotics, STEM &amp; Makerspace Integration.</w:t>
      </w:r>
    </w:p>
    <w:p>
      <w:pPr>
        <w:pStyle w:val="Compact"/>
        <w:numPr>
          <w:ilvl w:val="0"/>
          <w:numId w:val="1009"/>
        </w:numPr>
      </w:pPr>
      <w:r>
        <w:t xml:space="preserve">International Interoperability &amp; Cross-Border Education.</w:t>
      </w:r>
    </w:p>
    <w:p>
      <w:pPr>
        <w:pStyle w:val="Compact"/>
        <w:numPr>
          <w:ilvl w:val="0"/>
          <w:numId w:val="1009"/>
        </w:numPr>
      </w:pPr>
      <w:r>
        <w:t xml:space="preserve">Sustainability, Green Computing &amp; Digital Inclusion.</w:t>
      </w:r>
    </w:p>
    <w:p>
      <w:pPr>
        <w:pStyle w:val="Compact"/>
        <w:numPr>
          <w:ilvl w:val="0"/>
          <w:numId w:val="1009"/>
        </w:numPr>
      </w:pPr>
      <w:r>
        <w:t xml:space="preserve">Emerging Technology Governance &amp; Future Readiness.</w:t>
      </w:r>
    </w:p>
    <w:p>
      <w:pPr>
        <w:pStyle w:val="Compact"/>
        <w:numPr>
          <w:ilvl w:val="0"/>
          <w:numId w:val="1009"/>
        </w:numPr>
      </w:pPr>
      <w:r>
        <w:t xml:space="preserve">National Education Innovation Reference Architecture &amp; Strategic Roadmap.</w:t>
      </w:r>
    </w:p>
    <w:p>
      <w:pPr>
        <w:pStyle w:val="FirstParagraph"/>
      </w:pPr>
      <w:r>
        <w:t xml:space="preserve">This volume will define how EduOS Cameroon evolves into a sustainable, innovation-driven national education ecosystem capable of supporting future technologies, open collaboration, and lifelong learning while maintaining strong governance, security, and public trust.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2026-07-10T14:53:11Z</dcterms:created>
  <dcterms:modified xsi:type="dcterms:W3CDTF">2026-07-10T14:53:11Z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