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X7353a8f7c7c55d424b8bf10f86120b90262313f"/>
    <w:p>
      <w:pPr>
        <w:pStyle w:val="Heading1"/>
      </w:pPr>
      <w:r>
        <w:t xml:space="preserve">VOLUME II – FUNCTIONAL REQUIREMENTS SPECIFICATION (FRS)</w:t>
      </w:r>
    </w:p>
    <w:bookmarkEnd w:id="21"/>
    <w:bookmarkStart w:id="22" w:name="chapter-10"/>
    <w:p>
      <w:pPr>
        <w:pStyle w:val="Heading1"/>
      </w:pPr>
      <w:r>
        <w:t xml:space="preserve">CHAPTER 10</w:t>
      </w:r>
    </w:p>
    <w:bookmarkEnd w:id="22"/>
    <w:bookmarkStart w:id="54" w:name="X16c519378bc636d95dc3acfcacb0ce9bfdf90c3"/>
    <w:p>
      <w:pPr>
        <w:pStyle w:val="Heading1"/>
      </w:pPr>
      <w:r>
        <w:t xml:space="preserve">NATIONAL PROCUREMENT AND SUPPLIER MANAGEMENT MODULE</w:t>
      </w:r>
    </w:p>
    <w:bookmarkStart w:id="23" w:name="module-overview"/>
    <w:p>
      <w:pPr>
        <w:pStyle w:val="Heading2"/>
      </w:pPr>
      <w:r>
        <w:t xml:space="preserve">10.1 Module Overview</w:t>
      </w:r>
    </w:p>
    <w:p>
      <w:pPr>
        <w:pStyle w:val="FirstParagraph"/>
      </w:pPr>
      <w:r>
        <w:t xml:space="preserve">The National Procurement and Supplier Management Module provides a comprehensive framework for planning, managing, monitoring, and reporting the procurement of textbooks, learning resources, educational assets, ICT equipment, infrastructure materials, and other approved goods and services.</w:t>
      </w:r>
    </w:p>
    <w:p>
      <w:pPr>
        <w:pStyle w:val="BodyText"/>
      </w:pPr>
      <w:r>
        <w:t xml:space="preserve">The module supports procurement planning, supplier registration, tender administration, contract management, purchase orders, goods receipt coordination, supplier performance evaluation, and integration with warehouse, inventory, and Digital Passport modules.</w:t>
      </w:r>
    </w:p>
    <w:p>
      <w:pPr>
        <w:pStyle w:val="BodyText"/>
      </w:pPr>
      <w:r>
        <w:t xml:space="preserve">The module is designed to support institutional procurement workflows and can be configured to align with applicable procurement legislation, regulations, and government procedures.</w:t>
      </w:r>
    </w:p>
    <w:p>
      <w:r>
        <w:pict>
          <v:rect style="width:0;height:1.5pt" o:hralign="center" o:hrstd="t" o:hr="t"/>
        </w:pict>
      </w:r>
    </w:p>
    <w:bookmarkEnd w:id="23"/>
    <w:bookmarkStart w:id="24" w:name="module-objectives"/>
    <w:p>
      <w:pPr>
        <w:pStyle w:val="Heading2"/>
      </w:pPr>
      <w:r>
        <w:t xml:space="preserve">10.2 Module Objectives</w:t>
      </w:r>
    </w:p>
    <w:p>
      <w:pPr>
        <w:pStyle w:val="FirstParagraph"/>
      </w:pPr>
      <w:r>
        <w:t xml:space="preserve">The module shall:</w:t>
      </w:r>
    </w:p>
    <w:p>
      <w:pPr>
        <w:pStyle w:val="Compact"/>
        <w:numPr>
          <w:ilvl w:val="0"/>
          <w:numId w:val="1001"/>
        </w:numPr>
      </w:pPr>
      <w:r>
        <w:t xml:space="preserve">Support annual procurement planning.</w:t>
      </w:r>
    </w:p>
    <w:p>
      <w:pPr>
        <w:pStyle w:val="Compact"/>
        <w:numPr>
          <w:ilvl w:val="0"/>
          <w:numId w:val="1001"/>
        </w:numPr>
      </w:pPr>
      <w:r>
        <w:t xml:space="preserve">Manage supplier registration.</w:t>
      </w:r>
    </w:p>
    <w:p>
      <w:pPr>
        <w:pStyle w:val="Compact"/>
        <w:numPr>
          <w:ilvl w:val="0"/>
          <w:numId w:val="1001"/>
        </w:numPr>
      </w:pPr>
      <w:r>
        <w:t xml:space="preserve">Manage tender processes.</w:t>
      </w:r>
    </w:p>
    <w:p>
      <w:pPr>
        <w:pStyle w:val="Compact"/>
        <w:numPr>
          <w:ilvl w:val="0"/>
          <w:numId w:val="1001"/>
        </w:numPr>
      </w:pPr>
      <w:r>
        <w:t xml:space="preserve">Support bid evaluation workflows.</w:t>
      </w:r>
    </w:p>
    <w:p>
      <w:pPr>
        <w:pStyle w:val="Compact"/>
        <w:numPr>
          <w:ilvl w:val="0"/>
          <w:numId w:val="1001"/>
        </w:numPr>
      </w:pPr>
      <w:r>
        <w:t xml:space="preserve">Manage contracts.</w:t>
      </w:r>
    </w:p>
    <w:p>
      <w:pPr>
        <w:pStyle w:val="Compact"/>
        <w:numPr>
          <w:ilvl w:val="0"/>
          <w:numId w:val="1001"/>
        </w:numPr>
      </w:pPr>
      <w:r>
        <w:t xml:space="preserve">Generate purchase orders.</w:t>
      </w:r>
    </w:p>
    <w:p>
      <w:pPr>
        <w:pStyle w:val="Compact"/>
        <w:numPr>
          <w:ilvl w:val="0"/>
          <w:numId w:val="1001"/>
        </w:numPr>
      </w:pPr>
      <w:r>
        <w:t xml:space="preserve">Coordinate goods receipt.</w:t>
      </w:r>
    </w:p>
    <w:p>
      <w:pPr>
        <w:pStyle w:val="Compact"/>
        <w:numPr>
          <w:ilvl w:val="0"/>
          <w:numId w:val="1001"/>
        </w:numPr>
      </w:pPr>
      <w:r>
        <w:t xml:space="preserve">Monitor supplier performance.</w:t>
      </w:r>
    </w:p>
    <w:p>
      <w:pPr>
        <w:pStyle w:val="Compact"/>
        <w:numPr>
          <w:ilvl w:val="0"/>
          <w:numId w:val="1001"/>
        </w:numPr>
      </w:pPr>
      <w:r>
        <w:t xml:space="preserve">Generate procurement reports.</w:t>
      </w:r>
    </w:p>
    <w:p>
      <w:pPr>
        <w:pStyle w:val="Compact"/>
        <w:numPr>
          <w:ilvl w:val="0"/>
          <w:numId w:val="1001"/>
        </w:numPr>
      </w:pPr>
      <w:r>
        <w:t xml:space="preserve">Integrate with warehouse and inventory management.</w:t>
      </w:r>
    </w:p>
    <w:p>
      <w:r>
        <w:pict>
          <v:rect style="width:0;height:1.5pt" o:hralign="center" o:hrstd="t" o:hr="t"/>
        </w:pict>
      </w:r>
    </w:p>
    <w:bookmarkEnd w:id="24"/>
    <w:bookmarkStart w:id="25" w:name="primary-actors"/>
    <w:p>
      <w:pPr>
        <w:pStyle w:val="Heading2"/>
      </w:pPr>
      <w:r>
        <w:t xml:space="preserve">10.3 Primary 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Responsibilities</w:t>
            </w:r>
          </w:p>
        </w:tc>
      </w:tr>
      <w:tr>
        <w:tc>
          <w:tcPr/>
          <w:p>
            <w:pPr>
              <w:pStyle w:val="Compact"/>
            </w:pPr>
            <w:r>
              <w:t xml:space="preserve">Procurement Director</w:t>
            </w:r>
          </w:p>
        </w:tc>
        <w:tc>
          <w:tcPr/>
          <w:p>
            <w:pPr>
              <w:pStyle w:val="Compact"/>
            </w:pPr>
            <w:r>
              <w:t xml:space="preserve">Strategic oversight</w:t>
            </w:r>
          </w:p>
        </w:tc>
      </w:tr>
      <w:tr>
        <w:tc>
          <w:tcPr/>
          <w:p>
            <w:pPr>
              <w:pStyle w:val="Compact"/>
            </w:pPr>
            <w:r>
              <w:t xml:space="preserve">Procurement Officer</w:t>
            </w:r>
          </w:p>
        </w:tc>
        <w:tc>
          <w:tcPr/>
          <w:p>
            <w:pPr>
              <w:pStyle w:val="Compact"/>
            </w:pPr>
            <w:r>
              <w:t xml:space="preserve">Procurement operations</w:t>
            </w:r>
          </w:p>
        </w:tc>
      </w:tr>
      <w:tr>
        <w:tc>
          <w:tcPr/>
          <w:p>
            <w:pPr>
              <w:pStyle w:val="Compact"/>
            </w:pPr>
            <w:r>
              <w:t xml:space="preserve">Evaluation Committee Member</w:t>
            </w:r>
          </w:p>
        </w:tc>
        <w:tc>
          <w:tcPr/>
          <w:p>
            <w:pPr>
              <w:pStyle w:val="Compact"/>
            </w:pPr>
            <w:r>
              <w:t xml:space="preserve">Bid evaluation</w:t>
            </w:r>
          </w:p>
        </w:tc>
      </w:tr>
      <w:tr>
        <w:tc>
          <w:tcPr/>
          <w:p>
            <w:pPr>
              <w:pStyle w:val="Compact"/>
            </w:pPr>
            <w:r>
              <w:t xml:space="preserve">Finance Representative</w:t>
            </w:r>
          </w:p>
        </w:tc>
        <w:tc>
          <w:tcPr/>
          <w:p>
            <w:pPr>
              <w:pStyle w:val="Compact"/>
            </w:pPr>
            <w:r>
              <w:t xml:space="preserve">Financial review (where applicable)</w:t>
            </w:r>
          </w:p>
        </w:tc>
      </w:tr>
      <w:tr>
        <w:tc>
          <w:tcPr/>
          <w:p>
            <w:pPr>
              <w:pStyle w:val="Compact"/>
            </w:pPr>
            <w:r>
              <w:t xml:space="preserve">Warehouse Officer</w:t>
            </w:r>
          </w:p>
        </w:tc>
        <w:tc>
          <w:tcPr/>
          <w:p>
            <w:pPr>
              <w:pStyle w:val="Compact"/>
            </w:pPr>
            <w:r>
              <w:t xml:space="preserve">Goods receipt</w:t>
            </w:r>
          </w:p>
        </w:tc>
      </w:tr>
      <w:tr>
        <w:tc>
          <w:tcPr/>
          <w:p>
            <w:pPr>
              <w:pStyle w:val="Compact"/>
            </w:pPr>
            <w:r>
              <w:t xml:space="preserve">Supplier</w:t>
            </w:r>
          </w:p>
        </w:tc>
        <w:tc>
          <w:tcPr/>
          <w:p>
            <w:pPr>
              <w:pStyle w:val="Compact"/>
            </w:pPr>
            <w:r>
              <w:t xml:space="preserve">Bid submission and order fulfilment</w:t>
            </w:r>
          </w:p>
        </w:tc>
      </w:tr>
      <w:tr>
        <w:tc>
          <w:tcPr/>
          <w:p>
            <w:pPr>
              <w:pStyle w:val="Compact"/>
            </w:pPr>
            <w:r>
              <w:t xml:space="preserve">Auditor</w:t>
            </w:r>
          </w:p>
        </w:tc>
        <w:tc>
          <w:tcPr/>
          <w:p>
            <w:pPr>
              <w:pStyle w:val="Compact"/>
            </w:pPr>
            <w:r>
              <w:t xml:space="preserve">Procurement audit</w:t>
            </w:r>
          </w:p>
        </w:tc>
      </w:tr>
      <w:tr>
        <w:tc>
          <w:tcPr/>
          <w:p>
            <w:pPr>
              <w:pStyle w:val="Compact"/>
            </w:pPr>
            <w:r>
              <w:t xml:space="preserve">System Administrator</w:t>
            </w:r>
          </w:p>
        </w:tc>
        <w:tc>
          <w:tcPr/>
          <w:p>
            <w:pPr>
              <w:pStyle w:val="Compact"/>
            </w:pPr>
            <w:r>
              <w:t xml:space="preserve">Technical administration</w:t>
            </w:r>
          </w:p>
        </w:tc>
      </w:tr>
    </w:tbl>
    <w:p>
      <w:r>
        <w:pict>
          <v:rect style="width:0;height:1.5pt" o:hralign="center" o:hrstd="t" o:hr="t"/>
        </w:pict>
      </w:r>
    </w:p>
    <w:bookmarkEnd w:id="25"/>
    <w:bookmarkStart w:id="26" w:name="procurement-lifecycle"/>
    <w:p>
      <w:pPr>
        <w:pStyle w:val="Heading2"/>
      </w:pPr>
      <w:r>
        <w:t xml:space="preserve">10.4 Procurement Lifecycle</w:t>
      </w:r>
    </w:p>
    <w:p>
      <w:pPr>
        <w:pStyle w:val="FirstParagraph"/>
      </w:pPr>
      <w:r>
        <w:rPr>
          <w:rStyle w:val="VerbatimChar"/>
        </w:rPr>
        <w:t xml:space="preserve">text id="proc001" Needs Assessment         │         ▼ Procurement Plan         │         ▼ Tender Preparation         │         ▼ Supplier Participation         │         ▼ Bid Evaluation         │         ▼ Award Decision         │         ▼ Contract Management         │         ▼ Purchase Order         │         ▼ Goods Delivery         │         ▼ Warehouse Receipt         │         ▼ Supplier Performance Review</w:t>
      </w:r>
    </w:p>
    <w:p>
      <w:pPr>
        <w:pStyle w:val="BodyText"/>
      </w:pPr>
      <w:r>
        <w:t xml:space="preserve">Every procurement stage shall be auditable.</w:t>
      </w:r>
    </w:p>
    <w:p>
      <w:r>
        <w:pict>
          <v:rect style="width:0;height:1.5pt" o:hralign="center" o:hrstd="t" o:hr="t"/>
        </w:pict>
      </w:r>
    </w:p>
    <w:bookmarkEnd w:id="26"/>
    <w:bookmarkStart w:id="37" w:name="functional-requirements"/>
    <w:p>
      <w:pPr>
        <w:pStyle w:val="Heading2"/>
      </w:pPr>
      <w:r>
        <w:t xml:space="preserve">10.5 Functional Requirements</w:t>
      </w:r>
    </w:p>
    <w:bookmarkStart w:id="27" w:name="fr-proc-001-procurement-planning"/>
    <w:p>
      <w:pPr>
        <w:pStyle w:val="Heading3"/>
      </w:pPr>
      <w:r>
        <w:t xml:space="preserve">FR-PROC-001 – Procurement Planning</w:t>
      </w:r>
    </w:p>
    <w:p>
      <w:pPr>
        <w:pStyle w:val="FirstParagraph"/>
      </w:pPr>
      <w:r>
        <w:t xml:space="preserve">The system shall support annual and supplementary procurement plans.</w:t>
      </w:r>
    </w:p>
    <w:p>
      <w:pPr>
        <w:pStyle w:val="BodyText"/>
      </w:pPr>
      <w:r>
        <w:t xml:space="preserve">Plans shall include:</w:t>
      </w:r>
    </w:p>
    <w:p>
      <w:pPr>
        <w:pStyle w:val="Compact"/>
        <w:numPr>
          <w:ilvl w:val="0"/>
          <w:numId w:val="1002"/>
        </w:numPr>
      </w:pPr>
      <w:r>
        <w:t xml:space="preserve">Item category.</w:t>
      </w:r>
    </w:p>
    <w:p>
      <w:pPr>
        <w:pStyle w:val="Compact"/>
        <w:numPr>
          <w:ilvl w:val="0"/>
          <w:numId w:val="1002"/>
        </w:numPr>
      </w:pPr>
      <w:r>
        <w:t xml:space="preserve">Quantity.</w:t>
      </w:r>
    </w:p>
    <w:p>
      <w:pPr>
        <w:pStyle w:val="Compact"/>
        <w:numPr>
          <w:ilvl w:val="0"/>
          <w:numId w:val="1002"/>
        </w:numPr>
      </w:pPr>
      <w:r>
        <w:t xml:space="preserve">Estimated budget.</w:t>
      </w:r>
    </w:p>
    <w:p>
      <w:pPr>
        <w:pStyle w:val="Compact"/>
        <w:numPr>
          <w:ilvl w:val="0"/>
          <w:numId w:val="1002"/>
        </w:numPr>
      </w:pPr>
      <w:r>
        <w:t xml:space="preserve">Funding source.</w:t>
      </w:r>
    </w:p>
    <w:p>
      <w:pPr>
        <w:pStyle w:val="Compact"/>
        <w:numPr>
          <w:ilvl w:val="0"/>
          <w:numId w:val="1002"/>
        </w:numPr>
      </w:pPr>
      <w:r>
        <w:t xml:space="preserve">Procurement method.</w:t>
      </w:r>
    </w:p>
    <w:p>
      <w:pPr>
        <w:pStyle w:val="Compact"/>
        <w:numPr>
          <w:ilvl w:val="0"/>
          <w:numId w:val="1002"/>
        </w:numPr>
      </w:pPr>
      <w:r>
        <w:t xml:space="preserve">Planned procurement period.</w:t>
      </w:r>
    </w:p>
    <w:p>
      <w:pPr>
        <w:pStyle w:val="Compact"/>
        <w:numPr>
          <w:ilvl w:val="0"/>
          <w:numId w:val="1002"/>
        </w:numPr>
      </w:pPr>
      <w:r>
        <w:t xml:space="preserve">Responsible department.</w:t>
      </w:r>
    </w:p>
    <w:p>
      <w:r>
        <w:pict>
          <v:rect style="width:0;height:1.5pt" o:hralign="center" o:hrstd="t" o:hr="t"/>
        </w:pict>
      </w:r>
    </w:p>
    <w:bookmarkEnd w:id="27"/>
    <w:bookmarkStart w:id="28" w:name="fr-proc-002-supplier-registration"/>
    <w:p>
      <w:pPr>
        <w:pStyle w:val="Heading3"/>
      </w:pPr>
      <w:r>
        <w:t xml:space="preserve">FR-PROC-002 – Supplier Registration</w:t>
      </w:r>
    </w:p>
    <w:p>
      <w:pPr>
        <w:pStyle w:val="FirstParagraph"/>
      </w:pPr>
      <w:r>
        <w:t xml:space="preserve">The system shall maintain a supplier registry containing:</w:t>
      </w:r>
    </w:p>
    <w:p>
      <w:pPr>
        <w:pStyle w:val="Compact"/>
        <w:numPr>
          <w:ilvl w:val="0"/>
          <w:numId w:val="1003"/>
        </w:numPr>
      </w:pPr>
      <w:r>
        <w:t xml:space="preserve">Supplier identifier.</w:t>
      </w:r>
    </w:p>
    <w:p>
      <w:pPr>
        <w:pStyle w:val="Compact"/>
        <w:numPr>
          <w:ilvl w:val="0"/>
          <w:numId w:val="1003"/>
        </w:numPr>
      </w:pPr>
      <w:r>
        <w:t xml:space="preserve">Legal name.</w:t>
      </w:r>
    </w:p>
    <w:p>
      <w:pPr>
        <w:pStyle w:val="Compact"/>
        <w:numPr>
          <w:ilvl w:val="0"/>
          <w:numId w:val="1003"/>
        </w:numPr>
      </w:pPr>
      <w:r>
        <w:t xml:space="preserve">Contact information.</w:t>
      </w:r>
    </w:p>
    <w:p>
      <w:pPr>
        <w:pStyle w:val="Compact"/>
        <w:numPr>
          <w:ilvl w:val="0"/>
          <w:numId w:val="1003"/>
        </w:numPr>
      </w:pPr>
      <w:r>
        <w:t xml:space="preserve">Registration details.</w:t>
      </w:r>
    </w:p>
    <w:p>
      <w:pPr>
        <w:pStyle w:val="Compact"/>
        <w:numPr>
          <w:ilvl w:val="0"/>
          <w:numId w:val="1003"/>
        </w:numPr>
      </w:pPr>
      <w:r>
        <w:t xml:space="preserve">Approved categories.</w:t>
      </w:r>
    </w:p>
    <w:p>
      <w:pPr>
        <w:pStyle w:val="Compact"/>
        <w:numPr>
          <w:ilvl w:val="0"/>
          <w:numId w:val="1003"/>
        </w:numPr>
      </w:pPr>
      <w:r>
        <w:t xml:space="preserve">Tax information (where applicable).</w:t>
      </w:r>
    </w:p>
    <w:p>
      <w:pPr>
        <w:pStyle w:val="Compact"/>
        <w:numPr>
          <w:ilvl w:val="0"/>
          <w:numId w:val="1003"/>
        </w:numPr>
      </w:pPr>
      <w:r>
        <w:t xml:space="preserve">Operational status.</w:t>
      </w:r>
    </w:p>
    <w:p>
      <w:pPr>
        <w:pStyle w:val="FirstParagraph"/>
      </w:pPr>
      <w:r>
        <w:t xml:space="preserve">Supplier documentation shall support secure upload and version control.</w:t>
      </w:r>
    </w:p>
    <w:p>
      <w:r>
        <w:pict>
          <v:rect style="width:0;height:1.5pt" o:hralign="center" o:hrstd="t" o:hr="t"/>
        </w:pict>
      </w:r>
    </w:p>
    <w:bookmarkEnd w:id="28"/>
    <w:bookmarkStart w:id="29" w:name="fr-proc-003-tender-management"/>
    <w:p>
      <w:pPr>
        <w:pStyle w:val="Heading3"/>
      </w:pPr>
      <w:r>
        <w:t xml:space="preserve">FR-PROC-003 – Tender Management</w:t>
      </w:r>
    </w:p>
    <w:p>
      <w:pPr>
        <w:pStyle w:val="FirstParagraph"/>
      </w:pPr>
      <w:r>
        <w:t xml:space="preserve">Support:</w:t>
      </w:r>
    </w:p>
    <w:p>
      <w:pPr>
        <w:pStyle w:val="Compact"/>
        <w:numPr>
          <w:ilvl w:val="0"/>
          <w:numId w:val="1004"/>
        </w:numPr>
      </w:pPr>
      <w:r>
        <w:t xml:space="preserve">Tender creation.</w:t>
      </w:r>
    </w:p>
    <w:p>
      <w:pPr>
        <w:pStyle w:val="Compact"/>
        <w:numPr>
          <w:ilvl w:val="0"/>
          <w:numId w:val="1004"/>
        </w:numPr>
      </w:pPr>
      <w:r>
        <w:t xml:space="preserve">Publication.</w:t>
      </w:r>
    </w:p>
    <w:p>
      <w:pPr>
        <w:pStyle w:val="Compact"/>
        <w:numPr>
          <w:ilvl w:val="0"/>
          <w:numId w:val="1004"/>
        </w:numPr>
      </w:pPr>
      <w:r>
        <w:t xml:space="preserve">Clarifications.</w:t>
      </w:r>
    </w:p>
    <w:p>
      <w:pPr>
        <w:pStyle w:val="Compact"/>
        <w:numPr>
          <w:ilvl w:val="0"/>
          <w:numId w:val="1004"/>
        </w:numPr>
      </w:pPr>
      <w:r>
        <w:t xml:space="preserve">Bid submission.</w:t>
      </w:r>
    </w:p>
    <w:p>
      <w:pPr>
        <w:pStyle w:val="Compact"/>
        <w:numPr>
          <w:ilvl w:val="0"/>
          <w:numId w:val="1004"/>
        </w:numPr>
      </w:pPr>
      <w:r>
        <w:t xml:space="preserve">Bid closing.</w:t>
      </w:r>
    </w:p>
    <w:p>
      <w:pPr>
        <w:pStyle w:val="Compact"/>
        <w:numPr>
          <w:ilvl w:val="0"/>
          <w:numId w:val="1004"/>
        </w:numPr>
      </w:pPr>
      <w:r>
        <w:t xml:space="preserve">Tender cancellation (where authorized).</w:t>
      </w:r>
    </w:p>
    <w:p>
      <w:pPr>
        <w:pStyle w:val="FirstParagraph"/>
      </w:pPr>
      <w:r>
        <w:t xml:space="preserve">Tender timelines shall be configurable.</w:t>
      </w:r>
    </w:p>
    <w:p>
      <w:r>
        <w:pict>
          <v:rect style="width:0;height:1.5pt" o:hralign="center" o:hrstd="t" o:hr="t"/>
        </w:pict>
      </w:r>
    </w:p>
    <w:bookmarkEnd w:id="29"/>
    <w:bookmarkStart w:id="30" w:name="fr-proc-004-bid-evaluation"/>
    <w:p>
      <w:pPr>
        <w:pStyle w:val="Heading3"/>
      </w:pPr>
      <w:r>
        <w:t xml:space="preserve">FR-PROC-004 – Bid Evaluation</w:t>
      </w:r>
    </w:p>
    <w:p>
      <w:pPr>
        <w:pStyle w:val="FirstParagraph"/>
      </w:pPr>
      <w:r>
        <w:t xml:space="preserve">Support structured evaluation workflows including:</w:t>
      </w:r>
    </w:p>
    <w:p>
      <w:pPr>
        <w:pStyle w:val="Compact"/>
        <w:numPr>
          <w:ilvl w:val="0"/>
          <w:numId w:val="1005"/>
        </w:numPr>
      </w:pPr>
      <w:r>
        <w:t xml:space="preserve">Technical evaluation.</w:t>
      </w:r>
    </w:p>
    <w:p>
      <w:pPr>
        <w:pStyle w:val="Compact"/>
        <w:numPr>
          <w:ilvl w:val="0"/>
          <w:numId w:val="1005"/>
        </w:numPr>
      </w:pPr>
      <w:r>
        <w:t xml:space="preserve">Financial evaluation.</w:t>
      </w:r>
    </w:p>
    <w:p>
      <w:pPr>
        <w:pStyle w:val="Compact"/>
        <w:numPr>
          <w:ilvl w:val="0"/>
          <w:numId w:val="1005"/>
        </w:numPr>
      </w:pPr>
      <w:r>
        <w:t xml:space="preserve">Compliance verification.</w:t>
      </w:r>
    </w:p>
    <w:p>
      <w:pPr>
        <w:pStyle w:val="Compact"/>
        <w:numPr>
          <w:ilvl w:val="0"/>
          <w:numId w:val="1005"/>
        </w:numPr>
      </w:pPr>
      <w:r>
        <w:t xml:space="preserve">Evaluation scoring.</w:t>
      </w:r>
    </w:p>
    <w:p>
      <w:pPr>
        <w:pStyle w:val="Compact"/>
        <w:numPr>
          <w:ilvl w:val="0"/>
          <w:numId w:val="1005"/>
        </w:numPr>
      </w:pPr>
      <w:r>
        <w:t xml:space="preserve">Committee recommendations.</w:t>
      </w:r>
    </w:p>
    <w:p>
      <w:pPr>
        <w:pStyle w:val="FirstParagraph"/>
      </w:pPr>
      <w:r>
        <w:t xml:space="preserve">Evaluation records shall be retained for audit purposes.</w:t>
      </w:r>
    </w:p>
    <w:p>
      <w:r>
        <w:pict>
          <v:rect style="width:0;height:1.5pt" o:hralign="center" o:hrstd="t" o:hr="t"/>
        </w:pict>
      </w:r>
    </w:p>
    <w:bookmarkEnd w:id="30"/>
    <w:bookmarkStart w:id="31" w:name="fr-proc-005-contract-management"/>
    <w:p>
      <w:pPr>
        <w:pStyle w:val="Heading3"/>
      </w:pPr>
      <w:r>
        <w:t xml:space="preserve">FR-PROC-005 – Contract Management</w:t>
      </w:r>
    </w:p>
    <w:p>
      <w:pPr>
        <w:pStyle w:val="FirstParagraph"/>
      </w:pPr>
      <w:r>
        <w:t xml:space="preserve">Maintain:</w:t>
      </w:r>
    </w:p>
    <w:p>
      <w:pPr>
        <w:pStyle w:val="Compact"/>
        <w:numPr>
          <w:ilvl w:val="0"/>
          <w:numId w:val="1006"/>
        </w:numPr>
      </w:pPr>
      <w:r>
        <w:t xml:space="preserve">Contract number.</w:t>
      </w:r>
    </w:p>
    <w:p>
      <w:pPr>
        <w:pStyle w:val="Compact"/>
        <w:numPr>
          <w:ilvl w:val="0"/>
          <w:numId w:val="1006"/>
        </w:numPr>
      </w:pPr>
      <w:r>
        <w:t xml:space="preserve">Supplier.</w:t>
      </w:r>
    </w:p>
    <w:p>
      <w:pPr>
        <w:pStyle w:val="Compact"/>
        <w:numPr>
          <w:ilvl w:val="0"/>
          <w:numId w:val="1006"/>
        </w:numPr>
      </w:pPr>
      <w:r>
        <w:t xml:space="preserve">Contract value.</w:t>
      </w:r>
    </w:p>
    <w:p>
      <w:pPr>
        <w:pStyle w:val="Compact"/>
        <w:numPr>
          <w:ilvl w:val="0"/>
          <w:numId w:val="1006"/>
        </w:numPr>
      </w:pPr>
      <w:r>
        <w:t xml:space="preserve">Award date.</w:t>
      </w:r>
    </w:p>
    <w:p>
      <w:pPr>
        <w:pStyle w:val="Compact"/>
        <w:numPr>
          <w:ilvl w:val="0"/>
          <w:numId w:val="1006"/>
        </w:numPr>
      </w:pPr>
      <w:r>
        <w:t xml:space="preserve">Contract period.</w:t>
      </w:r>
    </w:p>
    <w:p>
      <w:pPr>
        <w:pStyle w:val="Compact"/>
        <w:numPr>
          <w:ilvl w:val="0"/>
          <w:numId w:val="1006"/>
        </w:numPr>
      </w:pPr>
      <w:r>
        <w:t xml:space="preserve">Deliverables.</w:t>
      </w:r>
    </w:p>
    <w:p>
      <w:pPr>
        <w:pStyle w:val="Compact"/>
        <w:numPr>
          <w:ilvl w:val="0"/>
          <w:numId w:val="1006"/>
        </w:numPr>
      </w:pPr>
      <w:r>
        <w:t xml:space="preserve">Milestones.</w:t>
      </w:r>
    </w:p>
    <w:p>
      <w:pPr>
        <w:pStyle w:val="Compact"/>
        <w:numPr>
          <w:ilvl w:val="0"/>
          <w:numId w:val="1006"/>
        </w:numPr>
      </w:pPr>
      <w:r>
        <w:t xml:space="preserve">Amendments.</w:t>
      </w:r>
    </w:p>
    <w:p>
      <w:pPr>
        <w:pStyle w:val="Compact"/>
        <w:numPr>
          <w:ilvl w:val="0"/>
          <w:numId w:val="1006"/>
        </w:numPr>
      </w:pPr>
      <w:r>
        <w:t xml:space="preserve">Contract status.</w:t>
      </w:r>
    </w:p>
    <w:p>
      <w:pPr>
        <w:pStyle w:val="FirstParagraph"/>
      </w:pPr>
      <w:r>
        <w:t xml:space="preserve">All contract amendments shall be auditable.</w:t>
      </w:r>
    </w:p>
    <w:p>
      <w:r>
        <w:pict>
          <v:rect style="width:0;height:1.5pt" o:hralign="center" o:hrstd="t" o:hr="t"/>
        </w:pict>
      </w:r>
    </w:p>
    <w:bookmarkEnd w:id="31"/>
    <w:bookmarkStart w:id="32" w:name="fr-proc-006-purchase-orders"/>
    <w:p>
      <w:pPr>
        <w:pStyle w:val="Heading3"/>
      </w:pPr>
      <w:r>
        <w:t xml:space="preserve">FR-PROC-006 – Purchase Orders</w:t>
      </w:r>
    </w:p>
    <w:p>
      <w:pPr>
        <w:pStyle w:val="FirstParagraph"/>
      </w:pPr>
      <w:r>
        <w:t xml:space="preserve">Generate purchase orders including:</w:t>
      </w:r>
    </w:p>
    <w:p>
      <w:pPr>
        <w:pStyle w:val="Compact"/>
        <w:numPr>
          <w:ilvl w:val="0"/>
          <w:numId w:val="1007"/>
        </w:numPr>
      </w:pPr>
      <w:r>
        <w:t xml:space="preserve">Purchase Order Number.</w:t>
      </w:r>
    </w:p>
    <w:p>
      <w:pPr>
        <w:pStyle w:val="Compact"/>
        <w:numPr>
          <w:ilvl w:val="0"/>
          <w:numId w:val="1007"/>
        </w:numPr>
      </w:pPr>
      <w:r>
        <w:t xml:space="preserve">Supplier.</w:t>
      </w:r>
    </w:p>
    <w:p>
      <w:pPr>
        <w:pStyle w:val="Compact"/>
        <w:numPr>
          <w:ilvl w:val="0"/>
          <w:numId w:val="1007"/>
        </w:numPr>
      </w:pPr>
      <w:r>
        <w:t xml:space="preserve">Ordered items.</w:t>
      </w:r>
    </w:p>
    <w:p>
      <w:pPr>
        <w:pStyle w:val="Compact"/>
        <w:numPr>
          <w:ilvl w:val="0"/>
          <w:numId w:val="1007"/>
        </w:numPr>
      </w:pPr>
      <w:r>
        <w:t xml:space="preserve">Quantities.</w:t>
      </w:r>
    </w:p>
    <w:p>
      <w:pPr>
        <w:pStyle w:val="Compact"/>
        <w:numPr>
          <w:ilvl w:val="0"/>
          <w:numId w:val="1007"/>
        </w:numPr>
      </w:pPr>
      <w:r>
        <w:t xml:space="preserve">Unit prices.</w:t>
      </w:r>
    </w:p>
    <w:p>
      <w:pPr>
        <w:pStyle w:val="Compact"/>
        <w:numPr>
          <w:ilvl w:val="0"/>
          <w:numId w:val="1007"/>
        </w:numPr>
      </w:pPr>
      <w:r>
        <w:t xml:space="preserve">Delivery locations.</w:t>
      </w:r>
    </w:p>
    <w:p>
      <w:pPr>
        <w:pStyle w:val="Compact"/>
        <w:numPr>
          <w:ilvl w:val="0"/>
          <w:numId w:val="1007"/>
        </w:numPr>
      </w:pPr>
      <w:r>
        <w:t xml:space="preserve">Delivery schedules.</w:t>
      </w:r>
    </w:p>
    <w:p>
      <w:pPr>
        <w:pStyle w:val="Compact"/>
        <w:numPr>
          <w:ilvl w:val="0"/>
          <w:numId w:val="1007"/>
        </w:numPr>
      </w:pPr>
      <w:r>
        <w:t xml:space="preserve">Approval status.</w:t>
      </w:r>
    </w:p>
    <w:p>
      <w:r>
        <w:pict>
          <v:rect style="width:0;height:1.5pt" o:hralign="center" o:hrstd="t" o:hr="t"/>
        </w:pict>
      </w:r>
    </w:p>
    <w:bookmarkEnd w:id="32"/>
    <w:bookmarkStart w:id="33" w:name="fr-proc-007-delivery-monitoring"/>
    <w:p>
      <w:pPr>
        <w:pStyle w:val="Heading3"/>
      </w:pPr>
      <w:r>
        <w:t xml:space="preserve">FR-PROC-007 – Delivery Monitoring</w:t>
      </w:r>
    </w:p>
    <w:p>
      <w:pPr>
        <w:pStyle w:val="FirstParagraph"/>
      </w:pPr>
      <w:r>
        <w:t xml:space="preserve">Track:</w:t>
      </w:r>
    </w:p>
    <w:p>
      <w:pPr>
        <w:pStyle w:val="Compact"/>
        <w:numPr>
          <w:ilvl w:val="0"/>
          <w:numId w:val="1008"/>
        </w:numPr>
      </w:pPr>
      <w:r>
        <w:t xml:space="preserve">Delivery schedules.</w:t>
      </w:r>
    </w:p>
    <w:p>
      <w:pPr>
        <w:pStyle w:val="Compact"/>
        <w:numPr>
          <w:ilvl w:val="0"/>
          <w:numId w:val="1008"/>
        </w:numPr>
      </w:pPr>
      <w:r>
        <w:t xml:space="preserve">Partial deliveries.</w:t>
      </w:r>
    </w:p>
    <w:p>
      <w:pPr>
        <w:pStyle w:val="Compact"/>
        <w:numPr>
          <w:ilvl w:val="0"/>
          <w:numId w:val="1008"/>
        </w:numPr>
      </w:pPr>
      <w:r>
        <w:t xml:space="preserve">Outstanding deliveries.</w:t>
      </w:r>
    </w:p>
    <w:p>
      <w:pPr>
        <w:pStyle w:val="Compact"/>
        <w:numPr>
          <w:ilvl w:val="0"/>
          <w:numId w:val="1008"/>
        </w:numPr>
      </w:pPr>
      <w:r>
        <w:t xml:space="preserve">Delayed deliveries.</w:t>
      </w:r>
    </w:p>
    <w:p>
      <w:pPr>
        <w:pStyle w:val="Compact"/>
        <w:numPr>
          <w:ilvl w:val="0"/>
          <w:numId w:val="1008"/>
        </w:numPr>
      </w:pPr>
      <w:r>
        <w:t xml:space="preserve">Delivery confirmations.</w:t>
      </w:r>
    </w:p>
    <w:p>
      <w:pPr>
        <w:pStyle w:val="FirstParagraph"/>
      </w:pPr>
      <w:r>
        <w:t xml:space="preserve">Delivery status shall integrate with warehouse receipt workflows.</w:t>
      </w:r>
    </w:p>
    <w:p>
      <w:r>
        <w:pict>
          <v:rect style="width:0;height:1.5pt" o:hralign="center" o:hrstd="t" o:hr="t"/>
        </w:pict>
      </w:r>
    </w:p>
    <w:bookmarkEnd w:id="33"/>
    <w:bookmarkStart w:id="34" w:name="fr-proc-008-goods-acceptance"/>
    <w:p>
      <w:pPr>
        <w:pStyle w:val="Heading3"/>
      </w:pPr>
      <w:r>
        <w:t xml:space="preserve">FR-PROC-008 – Goods Acceptance</w:t>
      </w:r>
    </w:p>
    <w:p>
      <w:pPr>
        <w:pStyle w:val="FirstParagraph"/>
      </w:pPr>
      <w:r>
        <w:t xml:space="preserve">Coordinate with warehouse operations to record:</w:t>
      </w:r>
    </w:p>
    <w:p>
      <w:pPr>
        <w:pStyle w:val="Compact"/>
        <w:numPr>
          <w:ilvl w:val="0"/>
          <w:numId w:val="1009"/>
        </w:numPr>
      </w:pPr>
      <w:r>
        <w:t xml:space="preserve">Accepted quantities.</w:t>
      </w:r>
    </w:p>
    <w:p>
      <w:pPr>
        <w:pStyle w:val="Compact"/>
        <w:numPr>
          <w:ilvl w:val="0"/>
          <w:numId w:val="1009"/>
        </w:numPr>
      </w:pPr>
      <w:r>
        <w:t xml:space="preserve">Rejected quantities.</w:t>
      </w:r>
    </w:p>
    <w:p>
      <w:pPr>
        <w:pStyle w:val="Compact"/>
        <w:numPr>
          <w:ilvl w:val="0"/>
          <w:numId w:val="1009"/>
        </w:numPr>
      </w:pPr>
      <w:r>
        <w:t xml:space="preserve">Damaged items.</w:t>
      </w:r>
    </w:p>
    <w:p>
      <w:pPr>
        <w:pStyle w:val="Compact"/>
        <w:numPr>
          <w:ilvl w:val="0"/>
          <w:numId w:val="1009"/>
        </w:numPr>
      </w:pPr>
      <w:r>
        <w:t xml:space="preserve">Inspection findings.</w:t>
      </w:r>
    </w:p>
    <w:p>
      <w:pPr>
        <w:pStyle w:val="Compact"/>
        <w:numPr>
          <w:ilvl w:val="0"/>
          <w:numId w:val="1009"/>
        </w:numPr>
      </w:pPr>
      <w:r>
        <w:t xml:space="preserve">Acceptance approvals.</w:t>
      </w:r>
    </w:p>
    <w:p>
      <w:pPr>
        <w:pStyle w:val="FirstParagraph"/>
      </w:pPr>
      <w:r>
        <w:t xml:space="preserve">Accepted items shall trigger inventory updates and, where applicable, Digital Passport generation.</w:t>
      </w:r>
    </w:p>
    <w:p>
      <w:r>
        <w:pict>
          <v:rect style="width:0;height:1.5pt" o:hralign="center" o:hrstd="t" o:hr="t"/>
        </w:pict>
      </w:r>
    </w:p>
    <w:bookmarkEnd w:id="34"/>
    <w:bookmarkStart w:id="35" w:name="fr-proc-009-supplier-performance"/>
    <w:p>
      <w:pPr>
        <w:pStyle w:val="Heading3"/>
      </w:pPr>
      <w:r>
        <w:t xml:space="preserve">FR-PROC-009 – Supplier Performance</w:t>
      </w:r>
    </w:p>
    <w:p>
      <w:pPr>
        <w:pStyle w:val="FirstParagraph"/>
      </w:pPr>
      <w:r>
        <w:t xml:space="preserve">Evaluate suppliers using configurable indicators, including:</w:t>
      </w:r>
    </w:p>
    <w:p>
      <w:pPr>
        <w:pStyle w:val="Compact"/>
        <w:numPr>
          <w:ilvl w:val="0"/>
          <w:numId w:val="1010"/>
        </w:numPr>
      </w:pPr>
      <w:r>
        <w:t xml:space="preserve">Delivery timeliness.</w:t>
      </w:r>
    </w:p>
    <w:p>
      <w:pPr>
        <w:pStyle w:val="Compact"/>
        <w:numPr>
          <w:ilvl w:val="0"/>
          <w:numId w:val="1010"/>
        </w:numPr>
      </w:pPr>
      <w:r>
        <w:t xml:space="preserve">Quantity accuracy.</w:t>
      </w:r>
    </w:p>
    <w:p>
      <w:pPr>
        <w:pStyle w:val="Compact"/>
        <w:numPr>
          <w:ilvl w:val="0"/>
          <w:numId w:val="1010"/>
        </w:numPr>
      </w:pPr>
      <w:r>
        <w:t xml:space="preserve">Product quality.</w:t>
      </w:r>
    </w:p>
    <w:p>
      <w:pPr>
        <w:pStyle w:val="Compact"/>
        <w:numPr>
          <w:ilvl w:val="0"/>
          <w:numId w:val="1010"/>
        </w:numPr>
      </w:pPr>
      <w:r>
        <w:t xml:space="preserve">Contract compliance.</w:t>
      </w:r>
    </w:p>
    <w:p>
      <w:pPr>
        <w:pStyle w:val="Compact"/>
        <w:numPr>
          <w:ilvl w:val="0"/>
          <w:numId w:val="1010"/>
        </w:numPr>
      </w:pPr>
      <w:r>
        <w:t xml:space="preserve">Responsiveness.</w:t>
      </w:r>
    </w:p>
    <w:p>
      <w:pPr>
        <w:pStyle w:val="FirstParagraph"/>
      </w:pPr>
      <w:r>
        <w:t xml:space="preserve">Performance history shall support future procurement decisions.</w:t>
      </w:r>
    </w:p>
    <w:p>
      <w:r>
        <w:pict>
          <v:rect style="width:0;height:1.5pt" o:hralign="center" o:hrstd="t" o:hr="t"/>
        </w:pict>
      </w:r>
    </w:p>
    <w:bookmarkEnd w:id="35"/>
    <w:bookmarkStart w:id="36" w:name="fr-proc-010-procurement-dashboard"/>
    <w:p>
      <w:pPr>
        <w:pStyle w:val="Heading3"/>
      </w:pPr>
      <w:r>
        <w:t xml:space="preserve">FR-PROC-010 – Procurement Dashboard</w:t>
      </w:r>
    </w:p>
    <w:p>
      <w:pPr>
        <w:pStyle w:val="FirstParagraph"/>
      </w:pPr>
      <w:r>
        <w:t xml:space="preserve">Display:</w:t>
      </w:r>
    </w:p>
    <w:p>
      <w:pPr>
        <w:pStyle w:val="Compact"/>
        <w:numPr>
          <w:ilvl w:val="0"/>
          <w:numId w:val="1011"/>
        </w:numPr>
      </w:pPr>
      <w:r>
        <w:t xml:space="preserve">Procurement plans.</w:t>
      </w:r>
    </w:p>
    <w:p>
      <w:pPr>
        <w:pStyle w:val="Compact"/>
        <w:numPr>
          <w:ilvl w:val="0"/>
          <w:numId w:val="1011"/>
        </w:numPr>
      </w:pPr>
      <w:r>
        <w:t xml:space="preserve">Active tenders.</w:t>
      </w:r>
    </w:p>
    <w:p>
      <w:pPr>
        <w:pStyle w:val="Compact"/>
        <w:numPr>
          <w:ilvl w:val="0"/>
          <w:numId w:val="1011"/>
        </w:numPr>
      </w:pPr>
      <w:r>
        <w:t xml:space="preserve">Contracts.</w:t>
      </w:r>
    </w:p>
    <w:p>
      <w:pPr>
        <w:pStyle w:val="Compact"/>
        <w:numPr>
          <w:ilvl w:val="0"/>
          <w:numId w:val="1011"/>
        </w:numPr>
      </w:pPr>
      <w:r>
        <w:t xml:space="preserve">Purchase orders.</w:t>
      </w:r>
    </w:p>
    <w:p>
      <w:pPr>
        <w:pStyle w:val="Compact"/>
        <w:numPr>
          <w:ilvl w:val="0"/>
          <w:numId w:val="1011"/>
        </w:numPr>
      </w:pPr>
      <w:r>
        <w:t xml:space="preserve">Delivery status.</w:t>
      </w:r>
    </w:p>
    <w:p>
      <w:pPr>
        <w:pStyle w:val="Compact"/>
        <w:numPr>
          <w:ilvl w:val="0"/>
          <w:numId w:val="1011"/>
        </w:numPr>
      </w:pPr>
      <w:r>
        <w:t xml:space="preserve">Supplier performance.</w:t>
      </w:r>
    </w:p>
    <w:p>
      <w:pPr>
        <w:pStyle w:val="Compact"/>
        <w:numPr>
          <w:ilvl w:val="0"/>
          <w:numId w:val="1011"/>
        </w:numPr>
      </w:pPr>
      <w:r>
        <w:t xml:space="preserve">Procurement timelines.</w:t>
      </w:r>
    </w:p>
    <w:p>
      <w:pPr>
        <w:pStyle w:val="Compact"/>
        <w:numPr>
          <w:ilvl w:val="0"/>
          <w:numId w:val="1011"/>
        </w:numPr>
      </w:pPr>
      <w:r>
        <w:t xml:space="preserve">Outstanding approvals.</w:t>
      </w:r>
    </w:p>
    <w:p>
      <w:r>
        <w:pict>
          <v:rect style="width:0;height:1.5pt" o:hralign="center" o:hrstd="t" o:hr="t"/>
        </w:pict>
      </w:r>
    </w:p>
    <w:bookmarkEnd w:id="36"/>
    <w:bookmarkEnd w:id="37"/>
    <w:bookmarkStart w:id="43" w:name="business-rules"/>
    <w:p>
      <w:pPr>
        <w:pStyle w:val="Heading2"/>
      </w:pPr>
      <w:r>
        <w:t xml:space="preserve">10.6 Business Rules</w:t>
      </w:r>
    </w:p>
    <w:bookmarkStart w:id="38" w:name="br-proc-001"/>
    <w:p>
      <w:pPr>
        <w:pStyle w:val="Heading3"/>
      </w:pPr>
      <w:r>
        <w:t xml:space="preserve">BR-PROC-001</w:t>
      </w:r>
    </w:p>
    <w:p>
      <w:pPr>
        <w:pStyle w:val="FirstParagraph"/>
      </w:pPr>
      <w:r>
        <w:t xml:space="preserve">Procurement activities shall follow configured approval workflows before progressing to subsequent stages.</w:t>
      </w:r>
    </w:p>
    <w:p>
      <w:r>
        <w:pict>
          <v:rect style="width:0;height:1.5pt" o:hralign="center" o:hrstd="t" o:hr="t"/>
        </w:pict>
      </w:r>
    </w:p>
    <w:bookmarkEnd w:id="38"/>
    <w:bookmarkStart w:id="39" w:name="br-proc-002"/>
    <w:p>
      <w:pPr>
        <w:pStyle w:val="Heading3"/>
      </w:pPr>
      <w:r>
        <w:t xml:space="preserve">BR-PROC-002</w:t>
      </w:r>
    </w:p>
    <w:p>
      <w:pPr>
        <w:pStyle w:val="FirstParagraph"/>
      </w:pPr>
      <w:r>
        <w:t xml:space="preserve">Purchase orders shall reference approved procurement plans where required.</w:t>
      </w:r>
    </w:p>
    <w:p>
      <w:r>
        <w:pict>
          <v:rect style="width:0;height:1.5pt" o:hralign="center" o:hrstd="t" o:hr="t"/>
        </w:pict>
      </w:r>
    </w:p>
    <w:bookmarkEnd w:id="39"/>
    <w:bookmarkStart w:id="40" w:name="br-proc-003"/>
    <w:p>
      <w:pPr>
        <w:pStyle w:val="Heading3"/>
      </w:pPr>
      <w:r>
        <w:t xml:space="preserve">BR-PROC-003</w:t>
      </w:r>
    </w:p>
    <w:p>
      <w:pPr>
        <w:pStyle w:val="FirstParagraph"/>
      </w:pPr>
      <w:r>
        <w:t xml:space="preserve">Goods receipt shall not exceed quantities authorized by the relevant purchase order unless an approved exception process exists.</w:t>
      </w:r>
    </w:p>
    <w:p>
      <w:r>
        <w:pict>
          <v:rect style="width:0;height:1.5pt" o:hralign="center" o:hrstd="t" o:hr="t"/>
        </w:pict>
      </w:r>
    </w:p>
    <w:bookmarkEnd w:id="40"/>
    <w:bookmarkStart w:id="41" w:name="br-proc-004"/>
    <w:p>
      <w:pPr>
        <w:pStyle w:val="Heading3"/>
      </w:pPr>
      <w:r>
        <w:t xml:space="preserve">BR-PROC-004</w:t>
      </w:r>
    </w:p>
    <w:p>
      <w:pPr>
        <w:pStyle w:val="FirstParagraph"/>
      </w:pPr>
      <w:r>
        <w:t xml:space="preserve">Every procurement action shall generate an audit record.</w:t>
      </w:r>
    </w:p>
    <w:p>
      <w:r>
        <w:pict>
          <v:rect style="width:0;height:1.5pt" o:hralign="center" o:hrstd="t" o:hr="t"/>
        </w:pict>
      </w:r>
    </w:p>
    <w:bookmarkEnd w:id="41"/>
    <w:bookmarkStart w:id="42" w:name="br-proc-005"/>
    <w:p>
      <w:pPr>
        <w:pStyle w:val="Heading3"/>
      </w:pPr>
      <w:r>
        <w:t xml:space="preserve">BR-PROC-005</w:t>
      </w:r>
    </w:p>
    <w:p>
      <w:pPr>
        <w:pStyle w:val="FirstParagraph"/>
      </w:pPr>
      <w:r>
        <w:t xml:space="preserve">Supplier performance records shall be retained throughout the supplier lifecycle.</w:t>
      </w:r>
    </w:p>
    <w:p>
      <w:r>
        <w:pict>
          <v:rect style="width:0;height:1.5pt" o:hralign="center" o:hrstd="t" o:hr="t"/>
        </w:pict>
      </w:r>
    </w:p>
    <w:bookmarkEnd w:id="42"/>
    <w:bookmarkEnd w:id="43"/>
    <w:bookmarkStart w:id="48" w:name="user-stories"/>
    <w:p>
      <w:pPr>
        <w:pStyle w:val="Heading2"/>
      </w:pPr>
      <w:r>
        <w:t xml:space="preserve">10.7 User Stories</w:t>
      </w:r>
    </w:p>
    <w:bookmarkStart w:id="44" w:name="us-proc-001"/>
    <w:p>
      <w:pPr>
        <w:pStyle w:val="Heading3"/>
      </w:pPr>
      <w:r>
        <w:t xml:space="preserve">US-PROC-001</w:t>
      </w:r>
    </w:p>
    <w:p>
      <w:pPr>
        <w:pStyle w:val="FirstParagraph"/>
      </w:pPr>
      <w:r>
        <w:t xml:space="preserve">As a Procurement Officer,</w:t>
      </w:r>
    </w:p>
    <w:p>
      <w:pPr>
        <w:pStyle w:val="BodyText"/>
      </w:pPr>
      <w:r>
        <w:t xml:space="preserve">I want to prepare procurement plans,</w:t>
      </w:r>
    </w:p>
    <w:p>
      <w:pPr>
        <w:pStyle w:val="BodyText"/>
      </w:pPr>
      <w:r>
        <w:t xml:space="preserve">So that acquisition activities are organized and monitored.</w:t>
      </w:r>
    </w:p>
    <w:p>
      <w:r>
        <w:pict>
          <v:rect style="width:0;height:1.5pt" o:hralign="center" o:hrstd="t" o:hr="t"/>
        </w:pict>
      </w:r>
    </w:p>
    <w:bookmarkEnd w:id="44"/>
    <w:bookmarkStart w:id="45" w:name="us-proc-002"/>
    <w:p>
      <w:pPr>
        <w:pStyle w:val="Heading3"/>
      </w:pPr>
      <w:r>
        <w:t xml:space="preserve">US-PROC-002</w:t>
      </w:r>
    </w:p>
    <w:p>
      <w:pPr>
        <w:pStyle w:val="FirstParagraph"/>
      </w:pPr>
      <w:r>
        <w:t xml:space="preserve">As an Evaluation Committee Member,</w:t>
      </w:r>
    </w:p>
    <w:p>
      <w:pPr>
        <w:pStyle w:val="BodyText"/>
      </w:pPr>
      <w:r>
        <w:t xml:space="preserve">I want to record bid evaluation results,</w:t>
      </w:r>
    </w:p>
    <w:p>
      <w:pPr>
        <w:pStyle w:val="BodyText"/>
      </w:pPr>
      <w:r>
        <w:t xml:space="preserve">So that procurement decisions are transparent and well documented.</w:t>
      </w:r>
    </w:p>
    <w:p>
      <w:r>
        <w:pict>
          <v:rect style="width:0;height:1.5pt" o:hralign="center" o:hrstd="t" o:hr="t"/>
        </w:pict>
      </w:r>
    </w:p>
    <w:bookmarkEnd w:id="45"/>
    <w:bookmarkStart w:id="46" w:name="us-proc-003"/>
    <w:p>
      <w:pPr>
        <w:pStyle w:val="Heading3"/>
      </w:pPr>
      <w:r>
        <w:t xml:space="preserve">US-PROC-003</w:t>
      </w:r>
    </w:p>
    <w:p>
      <w:pPr>
        <w:pStyle w:val="FirstParagraph"/>
      </w:pPr>
      <w:r>
        <w:t xml:space="preserve">As a Warehouse Officer,</w:t>
      </w:r>
    </w:p>
    <w:p>
      <w:pPr>
        <w:pStyle w:val="BodyText"/>
      </w:pPr>
      <w:r>
        <w:t xml:space="preserve">I want accepted deliveries to update inventory automatically,</w:t>
      </w:r>
    </w:p>
    <w:p>
      <w:pPr>
        <w:pStyle w:val="BodyText"/>
      </w:pPr>
      <w:r>
        <w:t xml:space="preserve">So that warehouse records remain accurate.</w:t>
      </w:r>
    </w:p>
    <w:p>
      <w:r>
        <w:pict>
          <v:rect style="width:0;height:1.5pt" o:hralign="center" o:hrstd="t" o:hr="t"/>
        </w:pict>
      </w:r>
    </w:p>
    <w:bookmarkEnd w:id="46"/>
    <w:bookmarkStart w:id="47" w:name="us-proc-004"/>
    <w:p>
      <w:pPr>
        <w:pStyle w:val="Heading3"/>
      </w:pPr>
      <w:r>
        <w:t xml:space="preserve">US-PROC-004</w:t>
      </w:r>
    </w:p>
    <w:p>
      <w:pPr>
        <w:pStyle w:val="FirstParagraph"/>
      </w:pPr>
      <w:r>
        <w:t xml:space="preserve">As a Procurement Director,</w:t>
      </w:r>
    </w:p>
    <w:p>
      <w:pPr>
        <w:pStyle w:val="BodyText"/>
      </w:pPr>
      <w:r>
        <w:t xml:space="preserve">I want to review supplier performance,</w:t>
      </w:r>
    </w:p>
    <w:p>
      <w:pPr>
        <w:pStyle w:val="BodyText"/>
      </w:pPr>
      <w:r>
        <w:t xml:space="preserve">So that future procurement decisions are supported by objective operational information.</w:t>
      </w:r>
    </w:p>
    <w:p>
      <w:r>
        <w:pict>
          <v:rect style="width:0;height:1.5pt" o:hralign="center" o:hrstd="t" o:hr="t"/>
        </w:pict>
      </w:r>
    </w:p>
    <w:bookmarkEnd w:id="47"/>
    <w:bookmarkEnd w:id="48"/>
    <w:bookmarkStart w:id="49" w:name="acceptance-criteria"/>
    <w:p>
      <w:pPr>
        <w:pStyle w:val="Heading2"/>
      </w:pPr>
      <w:r>
        <w:t xml:space="preserve">10.8 Acceptance Criteria</w:t>
      </w:r>
    </w:p>
    <w:p>
      <w:pPr>
        <w:pStyle w:val="FirstParagraph"/>
      </w:pPr>
      <w:r>
        <w:t xml:space="preserve">The module shall be considered complete when:</w:t>
      </w:r>
    </w:p>
    <w:p>
      <w:pPr>
        <w:pStyle w:val="Compact"/>
        <w:numPr>
          <w:ilvl w:val="0"/>
          <w:numId w:val="1012"/>
        </w:numPr>
      </w:pPr>
      <w:r>
        <w:t xml:space="preserve">Procurement plans can be created and approved.</w:t>
      </w:r>
    </w:p>
    <w:p>
      <w:pPr>
        <w:pStyle w:val="Compact"/>
        <w:numPr>
          <w:ilvl w:val="0"/>
          <w:numId w:val="1012"/>
        </w:numPr>
      </w:pPr>
      <w:r>
        <w:t xml:space="preserve">Suppliers can be registered and managed.</w:t>
      </w:r>
    </w:p>
    <w:p>
      <w:pPr>
        <w:pStyle w:val="Compact"/>
        <w:numPr>
          <w:ilvl w:val="0"/>
          <w:numId w:val="1012"/>
        </w:numPr>
      </w:pPr>
      <w:r>
        <w:t xml:space="preserve">Tender workflows function correctly.</w:t>
      </w:r>
    </w:p>
    <w:p>
      <w:pPr>
        <w:pStyle w:val="Compact"/>
        <w:numPr>
          <w:ilvl w:val="0"/>
          <w:numId w:val="1012"/>
        </w:numPr>
      </w:pPr>
      <w:r>
        <w:t xml:space="preserve">Bid evaluations are recorded.</w:t>
      </w:r>
    </w:p>
    <w:p>
      <w:pPr>
        <w:pStyle w:val="Compact"/>
        <w:numPr>
          <w:ilvl w:val="0"/>
          <w:numId w:val="1012"/>
        </w:numPr>
      </w:pPr>
      <w:r>
        <w:t xml:space="preserve">Contracts and purchase orders are managed.</w:t>
      </w:r>
    </w:p>
    <w:p>
      <w:pPr>
        <w:pStyle w:val="Compact"/>
        <w:numPr>
          <w:ilvl w:val="0"/>
          <w:numId w:val="1012"/>
        </w:numPr>
      </w:pPr>
      <w:r>
        <w:t xml:space="preserve">Deliveries are tracked through to warehouse receipt.</w:t>
      </w:r>
    </w:p>
    <w:p>
      <w:pPr>
        <w:pStyle w:val="Compact"/>
        <w:numPr>
          <w:ilvl w:val="0"/>
          <w:numId w:val="1012"/>
        </w:numPr>
      </w:pPr>
      <w:r>
        <w:t xml:space="preserve">Supplier performance is evaluated.</w:t>
      </w:r>
    </w:p>
    <w:p>
      <w:pPr>
        <w:pStyle w:val="Compact"/>
        <w:numPr>
          <w:ilvl w:val="0"/>
          <w:numId w:val="1012"/>
        </w:numPr>
      </w:pPr>
      <w:r>
        <w:t xml:space="preserve">Procurement dashboards provide accurate operational information.</w:t>
      </w:r>
    </w:p>
    <w:p>
      <w:r>
        <w:pict>
          <v:rect style="width:0;height:1.5pt" o:hralign="center" o:hrstd="t" o:hr="t"/>
        </w:pict>
      </w:r>
    </w:p>
    <w:bookmarkEnd w:id="49"/>
    <w:bookmarkStart w:id="50" w:name="module-integrations"/>
    <w:p>
      <w:pPr>
        <w:pStyle w:val="Heading2"/>
      </w:pPr>
      <w:r>
        <w:t xml:space="preserve">10.9 Module Integrations</w:t>
      </w:r>
    </w:p>
    <w:p>
      <w:pPr>
        <w:pStyle w:val="FirstParagraph"/>
      </w:pPr>
      <w:r>
        <w:t xml:space="preserve">The Procurement and Supplier Management Module integrates with:</w:t>
      </w:r>
    </w:p>
    <w:p>
      <w:pPr>
        <w:pStyle w:val="Compact"/>
        <w:numPr>
          <w:ilvl w:val="0"/>
          <w:numId w:val="1013"/>
        </w:numPr>
      </w:pPr>
      <w:r>
        <w:t xml:space="preserve">Warehouse and Inventory Management.</w:t>
      </w:r>
    </w:p>
    <w:p>
      <w:pPr>
        <w:pStyle w:val="Compact"/>
        <w:numPr>
          <w:ilvl w:val="0"/>
          <w:numId w:val="1013"/>
        </w:numPr>
      </w:pPr>
      <w:r>
        <w:t xml:space="preserve">National Textbook and Learning Resource Management.</w:t>
      </w:r>
    </w:p>
    <w:p>
      <w:pPr>
        <w:pStyle w:val="Compact"/>
        <w:numPr>
          <w:ilvl w:val="0"/>
          <w:numId w:val="1013"/>
        </w:numPr>
      </w:pPr>
      <w:r>
        <w:t xml:space="preserve">National Education Asset Passport.</w:t>
      </w:r>
    </w:p>
    <w:p>
      <w:pPr>
        <w:pStyle w:val="Compact"/>
        <w:numPr>
          <w:ilvl w:val="0"/>
          <w:numId w:val="1013"/>
        </w:numPr>
      </w:pPr>
      <w:r>
        <w:t xml:space="preserve">Logistics Management.</w:t>
      </w:r>
    </w:p>
    <w:p>
      <w:pPr>
        <w:pStyle w:val="Compact"/>
        <w:numPr>
          <w:ilvl w:val="0"/>
          <w:numId w:val="1013"/>
        </w:numPr>
      </w:pPr>
      <w:r>
        <w:t xml:space="preserve">Financial Management systems (where integrated).</w:t>
      </w:r>
    </w:p>
    <w:p>
      <w:pPr>
        <w:pStyle w:val="Compact"/>
        <w:numPr>
          <w:ilvl w:val="0"/>
          <w:numId w:val="1013"/>
        </w:numPr>
      </w:pPr>
      <w:r>
        <w:t xml:space="preserve">Inspection Management.</w:t>
      </w:r>
    </w:p>
    <w:p>
      <w:pPr>
        <w:pStyle w:val="Compact"/>
        <w:numPr>
          <w:ilvl w:val="0"/>
          <w:numId w:val="1013"/>
        </w:numPr>
      </w:pPr>
      <w:r>
        <w:t xml:space="preserve">National Education Command Centre.</w:t>
      </w:r>
    </w:p>
    <w:p>
      <w:pPr>
        <w:pStyle w:val="Compact"/>
        <w:numPr>
          <w:ilvl w:val="0"/>
          <w:numId w:val="1013"/>
        </w:numPr>
      </w:pPr>
      <w:r>
        <w:t xml:space="preserve">National Education Operations Centre.</w:t>
      </w:r>
    </w:p>
    <w:p>
      <w:pPr>
        <w:pStyle w:val="Compact"/>
        <w:numPr>
          <w:ilvl w:val="0"/>
          <w:numId w:val="1013"/>
        </w:numPr>
      </w:pPr>
      <w:r>
        <w:t xml:space="preserve">Analytics Platform.</w:t>
      </w:r>
    </w:p>
    <w:p>
      <w:pPr>
        <w:pStyle w:val="Compact"/>
        <w:numPr>
          <w:ilvl w:val="0"/>
          <w:numId w:val="1013"/>
        </w:numPr>
      </w:pPr>
      <w:r>
        <w:t xml:space="preserve">National Education Digital Advisor.</w:t>
      </w:r>
    </w:p>
    <w:p>
      <w:r>
        <w:pict>
          <v:rect style="width:0;height:1.5pt" o:hralign="center" o:hrstd="t" o:hr="t"/>
        </w:pict>
      </w:r>
    </w:p>
    <w:bookmarkEnd w:id="50"/>
    <w:bookmarkStart w:id="51" w:name="database-entities"/>
    <w:p>
      <w:pPr>
        <w:pStyle w:val="Heading2"/>
      </w:pPr>
      <w:r>
        <w:t xml:space="preserve">10.10 Database Entities</w:t>
      </w:r>
    </w:p>
    <w:p>
      <w:pPr>
        <w:pStyle w:val="FirstParagraph"/>
      </w:pPr>
      <w:r>
        <w:t xml:space="preserve">Illustrative entities include:</w:t>
      </w:r>
    </w:p>
    <w:p>
      <w:pPr>
        <w:pStyle w:val="Compact"/>
        <w:numPr>
          <w:ilvl w:val="0"/>
          <w:numId w:val="1014"/>
        </w:numPr>
      </w:pPr>
      <w:r>
        <w:t xml:space="preserve">ProcurementPlan</w:t>
      </w:r>
    </w:p>
    <w:p>
      <w:pPr>
        <w:pStyle w:val="Compact"/>
        <w:numPr>
          <w:ilvl w:val="0"/>
          <w:numId w:val="1014"/>
        </w:numPr>
      </w:pPr>
      <w:r>
        <w:t xml:space="preserve">Supplier</w:t>
      </w:r>
    </w:p>
    <w:p>
      <w:pPr>
        <w:pStyle w:val="Compact"/>
        <w:numPr>
          <w:ilvl w:val="0"/>
          <w:numId w:val="1014"/>
        </w:numPr>
      </w:pPr>
      <w:r>
        <w:t xml:space="preserve">Tender</w:t>
      </w:r>
    </w:p>
    <w:p>
      <w:pPr>
        <w:pStyle w:val="Compact"/>
        <w:numPr>
          <w:ilvl w:val="0"/>
          <w:numId w:val="1014"/>
        </w:numPr>
      </w:pPr>
      <w:r>
        <w:t xml:space="preserve">Bid</w:t>
      </w:r>
    </w:p>
    <w:p>
      <w:pPr>
        <w:pStyle w:val="Compact"/>
        <w:numPr>
          <w:ilvl w:val="0"/>
          <w:numId w:val="1014"/>
        </w:numPr>
      </w:pPr>
      <w:r>
        <w:t xml:space="preserve">Evaluation</w:t>
      </w:r>
    </w:p>
    <w:p>
      <w:pPr>
        <w:pStyle w:val="Compact"/>
        <w:numPr>
          <w:ilvl w:val="0"/>
          <w:numId w:val="1014"/>
        </w:numPr>
      </w:pPr>
      <w:r>
        <w:t xml:space="preserve">Contract</w:t>
      </w:r>
    </w:p>
    <w:p>
      <w:pPr>
        <w:pStyle w:val="Compact"/>
        <w:numPr>
          <w:ilvl w:val="0"/>
          <w:numId w:val="1014"/>
        </w:numPr>
      </w:pPr>
      <w:r>
        <w:t xml:space="preserve">PurchaseOrder</w:t>
      </w:r>
    </w:p>
    <w:p>
      <w:pPr>
        <w:pStyle w:val="Compact"/>
        <w:numPr>
          <w:ilvl w:val="0"/>
          <w:numId w:val="1014"/>
        </w:numPr>
      </w:pPr>
      <w:r>
        <w:t xml:space="preserve">Delivery</w:t>
      </w:r>
    </w:p>
    <w:p>
      <w:pPr>
        <w:pStyle w:val="Compact"/>
        <w:numPr>
          <w:ilvl w:val="0"/>
          <w:numId w:val="1014"/>
        </w:numPr>
      </w:pPr>
      <w:r>
        <w:t xml:space="preserve">SupplierPerformance</w:t>
      </w:r>
    </w:p>
    <w:p>
      <w:pPr>
        <w:pStyle w:val="Compact"/>
        <w:numPr>
          <w:ilvl w:val="0"/>
          <w:numId w:val="1014"/>
        </w:numPr>
      </w:pPr>
      <w:r>
        <w:t xml:space="preserve">ProcurementAuditLog</w:t>
      </w:r>
    </w:p>
    <w:p>
      <w:r>
        <w:pict>
          <v:rect style="width:0;height:1.5pt" o:hralign="center" o:hrstd="t" o:hr="t"/>
        </w:pict>
      </w:r>
    </w:p>
    <w:bookmarkEnd w:id="51"/>
    <w:bookmarkStart w:id="52" w:name="apis"/>
    <w:p>
      <w:pPr>
        <w:pStyle w:val="Heading2"/>
      </w:pPr>
      <w:r>
        <w:t xml:space="preserve">10.11 APIs</w:t>
      </w:r>
    </w:p>
    <w:p>
      <w:pPr>
        <w:pStyle w:val="FirstParagraph"/>
      </w:pPr>
      <w:r>
        <w:t xml:space="preserve">Illustrative endpoints include:</w:t>
      </w:r>
    </w:p>
    <w:p>
      <w:pPr>
        <w:pStyle w:val="Compact"/>
        <w:numPr>
          <w:ilvl w:val="0"/>
          <w:numId w:val="1015"/>
        </w:numPr>
      </w:pPr>
      <w:r>
        <w:rPr>
          <w:rStyle w:val="VerbatimChar"/>
        </w:rPr>
        <w:t xml:space="preserve">POST /procurement/plans</w:t>
      </w:r>
    </w:p>
    <w:p>
      <w:pPr>
        <w:pStyle w:val="Compact"/>
        <w:numPr>
          <w:ilvl w:val="0"/>
          <w:numId w:val="1015"/>
        </w:numPr>
      </w:pPr>
      <w:r>
        <w:rPr>
          <w:rStyle w:val="VerbatimChar"/>
        </w:rPr>
        <w:t xml:space="preserve">GET /procurement/plans</w:t>
      </w:r>
    </w:p>
    <w:p>
      <w:pPr>
        <w:pStyle w:val="Compact"/>
        <w:numPr>
          <w:ilvl w:val="0"/>
          <w:numId w:val="1015"/>
        </w:numPr>
      </w:pPr>
      <w:r>
        <w:rPr>
          <w:rStyle w:val="VerbatimChar"/>
        </w:rPr>
        <w:t xml:space="preserve">POST /suppliers</w:t>
      </w:r>
    </w:p>
    <w:p>
      <w:pPr>
        <w:pStyle w:val="Compact"/>
        <w:numPr>
          <w:ilvl w:val="0"/>
          <w:numId w:val="1015"/>
        </w:numPr>
      </w:pPr>
      <w:r>
        <w:rPr>
          <w:rStyle w:val="VerbatimChar"/>
        </w:rPr>
        <w:t xml:space="preserve">GET /suppliers</w:t>
      </w:r>
    </w:p>
    <w:p>
      <w:pPr>
        <w:pStyle w:val="Compact"/>
        <w:numPr>
          <w:ilvl w:val="0"/>
          <w:numId w:val="1015"/>
        </w:numPr>
      </w:pPr>
      <w:r>
        <w:rPr>
          <w:rStyle w:val="VerbatimChar"/>
        </w:rPr>
        <w:t xml:space="preserve">POST /tenders</w:t>
      </w:r>
    </w:p>
    <w:p>
      <w:pPr>
        <w:pStyle w:val="Compact"/>
        <w:numPr>
          <w:ilvl w:val="0"/>
          <w:numId w:val="1015"/>
        </w:numPr>
      </w:pPr>
      <w:r>
        <w:rPr>
          <w:rStyle w:val="VerbatimChar"/>
        </w:rPr>
        <w:t xml:space="preserve">POST /bids</w:t>
      </w:r>
    </w:p>
    <w:p>
      <w:pPr>
        <w:pStyle w:val="Compact"/>
        <w:numPr>
          <w:ilvl w:val="0"/>
          <w:numId w:val="1015"/>
        </w:numPr>
      </w:pPr>
      <w:r>
        <w:rPr>
          <w:rStyle w:val="VerbatimChar"/>
        </w:rPr>
        <w:t xml:space="preserve">POST /contracts</w:t>
      </w:r>
    </w:p>
    <w:p>
      <w:pPr>
        <w:pStyle w:val="Compact"/>
        <w:numPr>
          <w:ilvl w:val="0"/>
          <w:numId w:val="1015"/>
        </w:numPr>
      </w:pPr>
      <w:r>
        <w:rPr>
          <w:rStyle w:val="VerbatimChar"/>
        </w:rPr>
        <w:t xml:space="preserve">POST /purchase-orders</w:t>
      </w:r>
    </w:p>
    <w:p>
      <w:pPr>
        <w:pStyle w:val="Compact"/>
        <w:numPr>
          <w:ilvl w:val="0"/>
          <w:numId w:val="1015"/>
        </w:numPr>
      </w:pPr>
      <w:r>
        <w:rPr>
          <w:rStyle w:val="VerbatimChar"/>
        </w:rPr>
        <w:t xml:space="preserve">POST /deliveries</w:t>
      </w:r>
    </w:p>
    <w:p>
      <w:pPr>
        <w:pStyle w:val="Compact"/>
        <w:numPr>
          <w:ilvl w:val="0"/>
          <w:numId w:val="1015"/>
        </w:numPr>
      </w:pPr>
      <w:r>
        <w:rPr>
          <w:rStyle w:val="VerbatimChar"/>
        </w:rPr>
        <w:t xml:space="preserve">GET /procurement/dashboard</w:t>
      </w:r>
    </w:p>
    <w:p>
      <w:pPr>
        <w:pStyle w:val="FirstParagraph"/>
      </w:pPr>
      <w:r>
        <w:t xml:space="preserve">All endpoints shall implement authentication, authorization, validation, audit logging, and integration with the warehouse and inventory workflows.</w:t>
      </w:r>
    </w:p>
    <w:p>
      <w:r>
        <w:pict>
          <v:rect style="width:0;height:1.5pt" o:hralign="center" o:hrstd="t" o:hr="t"/>
        </w:pict>
      </w:r>
    </w:p>
    <w:bookmarkEnd w:id="52"/>
    <w:bookmarkStart w:id="53" w:name="summary"/>
    <w:p>
      <w:pPr>
        <w:pStyle w:val="Heading2"/>
      </w:pPr>
      <w:r>
        <w:t xml:space="preserve">10.12 Summary</w:t>
      </w:r>
    </w:p>
    <w:p>
      <w:pPr>
        <w:pStyle w:val="FirstParagraph"/>
      </w:pPr>
      <w:r>
        <w:t xml:space="preserve">The National Procurement and Supplier Management Module establishes a transparent and auditable framework for acquiring educational resources and assets.</w:t>
      </w:r>
    </w:p>
    <w:p>
      <w:pPr>
        <w:pStyle w:val="BodyText"/>
      </w:pPr>
      <w:r>
        <w:t xml:space="preserve">By integrating procurement planning, supplier management, tender administration, contract management, purchase orders, delivery monitoring, and goods acceptance with downstream inventory and Digital Passport processes, the module provides complete traceability from procurement planning to operational use.</w:t>
      </w:r>
    </w:p>
    <w:p>
      <w:pPr>
        <w:pStyle w:val="BodyText"/>
      </w:pPr>
      <w:r>
        <w:t xml:space="preserve">This integration strengthens governance, improves planning, and enhances accountability across the education supply chain.</w:t>
      </w:r>
    </w:p>
    <w:p>
      <w:pPr>
        <w:pStyle w:val="BodyText"/>
      </w:pPr>
      <w:r>
        <w:rPr>
          <w:b/>
          <w:bCs/>
        </w:rPr>
        <w:t xml:space="preserve">Next Chapter:</w:t>
      </w:r>
      <w:r>
        <w:t xml:space="preserve"> </w:t>
      </w:r>
      <w:r>
        <w:rPr>
          <w:b/>
          <w:bCs/>
        </w:rPr>
        <w:t xml:space="preserve">National Logistics, Distribution and Fleet Management Module</w:t>
      </w:r>
      <w:r>
        <w:t xml:space="preserve">, which specifies the functional requirements for transport planning, shipment management, route optimization, vehicle management, proof of delivery, distribution tracking, emergency redistribution, and integration with warehouses, schools, and the National Education Operations Centre.</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2026-07-10T14:44:29Z</dcterms:created>
  <dcterms:modified xsi:type="dcterms:W3CDTF">2026-07-10T14:44:29Z</dcterms:modified>
</cp:coreProperties>
</file>

<file path=docProps/custom.xml><?xml version="1.0" encoding="utf-8"?>
<Properties xmlns="http://schemas.openxmlformats.org/officeDocument/2006/custom-properties" xmlns:vt="http://schemas.openxmlformats.org/officeDocument/2006/docPropsVTypes"/>
</file>