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uos-cameroon"/>
    <w:p>
      <w:pPr>
        <w:pStyle w:val="Heading1"/>
      </w:pPr>
      <w:r>
        <w:t xml:space="preserve">EDUOS CAMEROON</w:t>
      </w:r>
    </w:p>
    <w:bookmarkEnd w:id="20"/>
    <w:bookmarkStart w:id="21" w:name="volume-ix"/>
    <w:p>
      <w:pPr>
        <w:pStyle w:val="Heading1"/>
      </w:pPr>
      <w:r>
        <w:t xml:space="preserve">VOLUME IX</w:t>
      </w:r>
    </w:p>
    <w:bookmarkEnd w:id="21"/>
    <w:bookmarkStart w:id="23" w:name="Xdcfc02e57cb8d11f2441a5b8cc4c3e57d2e0628"/>
    <w:p>
      <w:pPr>
        <w:pStyle w:val="Heading1"/>
      </w:pPr>
      <w:r>
        <w:t xml:space="preserve">NATIONAL DIGITAL EDUCATION ECOSYSTEM, INNOVATION, OPEN PLATFORM AND FUTURE READINESS</w:t>
      </w:r>
    </w:p>
    <w:bookmarkStart w:id="22" w:name="chapter-12"/>
    <w:p>
      <w:pPr>
        <w:pStyle w:val="Heading2"/>
      </w:pPr>
      <w:r>
        <w:t xml:space="preserve">CHAPTER 12</w:t>
      </w:r>
    </w:p>
    <w:bookmarkEnd w:id="22"/>
    <w:bookmarkEnd w:id="23"/>
    <w:bookmarkStart w:id="24" w:name="X37ff5daf26f1206510dc3e5857b26ac7c083f53"/>
    <w:p>
      <w:pPr>
        <w:pStyle w:val="Heading1"/>
      </w:pPr>
      <w:r>
        <w:t xml:space="preserve">NATIONAL EDUCATION INNOVATION REFERENCE ARCHITECTURE AND STRATEGIC ROADMAP</w:t>
      </w:r>
    </w:p>
    <w:p>
      <w:r>
        <w:pict>
          <v:rect style="width:0;height:1.5pt" o:hralign="center" o:hrstd="t" o:hr="t"/>
        </w:pict>
      </w:r>
    </w:p>
    <w:bookmarkEnd w:id="24"/>
    <w:bookmarkStart w:id="25" w:name="purpose"/>
    <w:p>
      <w:pPr>
        <w:pStyle w:val="Heading1"/>
      </w:pPr>
      <w:r>
        <w:t xml:space="preserve">12.1 Purpose</w:t>
      </w:r>
    </w:p>
    <w:p>
      <w:pPr>
        <w:pStyle w:val="FirstParagraph"/>
      </w:pPr>
      <w:r>
        <w:t xml:space="preserve">This chapter establishes the long-term reference architecture and strategic roadmap for the continued evolution of EduOS Cameroon as the national digital education platform.</w:t>
      </w:r>
    </w:p>
    <w:p>
      <w:pPr>
        <w:pStyle w:val="BodyText"/>
      </w:pPr>
      <w:r>
        <w:t xml:space="preserve">It consolidates the architectural principles, governance structures, innovation programmes, technology roadmaps, implementation phases, investment priorities, and operational models required to guide EduOS over the next decade and beyond.</w:t>
      </w:r>
    </w:p>
    <w:p>
      <w:pPr>
        <w:pStyle w:val="BodyText"/>
      </w:pPr>
      <w:r>
        <w:t xml:space="preserve">This chapter serves as the strategic reference for government decision-makers, education authorities, enterprise architects, implementation partners, and future platform custodians.</w:t>
      </w:r>
    </w:p>
    <w:p>
      <w:r>
        <w:pict>
          <v:rect style="width:0;height:1.5pt" o:hralign="center" o:hrstd="t" o:hr="t"/>
        </w:pict>
      </w:r>
    </w:p>
    <w:bookmarkEnd w:id="25"/>
    <w:bookmarkStart w:id="26" w:name="vision"/>
    <w:p>
      <w:pPr>
        <w:pStyle w:val="Heading1"/>
      </w:pPr>
      <w:r>
        <w:t xml:space="preserve">12.2 Vision</w:t>
      </w:r>
    </w:p>
    <w:p>
      <w:pPr>
        <w:pStyle w:val="FirstParagraph"/>
      </w:pPr>
      <w:r>
        <w:t xml:space="preserve">EduOS Cameroon shall serve as the permanent digital foundation for the nation’s education ecosystem by providing secure, interoperable, intelligent, inclusive, and sustainable digital services that support every learner, educator, institution, and policymaker.</w:t>
      </w:r>
    </w:p>
    <w:p>
      <w:pPr>
        <w:pStyle w:val="BodyText"/>
      </w:pPr>
      <w:r>
        <w:t xml:space="preserve">The platform shall continuously evolve while preserving architectural integrity, public trust, and national educational priorities.</w:t>
      </w:r>
    </w:p>
    <w:p>
      <w:r>
        <w:pict>
          <v:rect style="width:0;height:1.5pt" o:hralign="center" o:hrstd="t" o:hr="t"/>
        </w:pict>
      </w:r>
    </w:p>
    <w:bookmarkEnd w:id="26"/>
    <w:bookmarkStart w:id="27" w:name="strategic-objectives"/>
    <w:p>
      <w:pPr>
        <w:pStyle w:val="Heading1"/>
      </w:pPr>
      <w:r>
        <w:t xml:space="preserve">12.3 Strategic Objectives</w:t>
      </w:r>
    </w:p>
    <w:p>
      <w:pPr>
        <w:pStyle w:val="FirstParagraph"/>
      </w:pPr>
      <w:r>
        <w:t xml:space="preserve">The long-term roadmap shall pursue the following objectives:</w:t>
      </w:r>
    </w:p>
    <w:p>
      <w:pPr>
        <w:pStyle w:val="Compact"/>
        <w:numPr>
          <w:ilvl w:val="0"/>
          <w:numId w:val="1001"/>
        </w:numPr>
      </w:pPr>
      <w:r>
        <w:t xml:space="preserve">Universal digital education access.</w:t>
      </w:r>
    </w:p>
    <w:p>
      <w:pPr>
        <w:pStyle w:val="Compact"/>
        <w:numPr>
          <w:ilvl w:val="0"/>
          <w:numId w:val="1001"/>
        </w:numPr>
      </w:pPr>
      <w:r>
        <w:t xml:space="preserve">National education interoperability.</w:t>
      </w:r>
    </w:p>
    <w:p>
      <w:pPr>
        <w:pStyle w:val="Compact"/>
        <w:numPr>
          <w:ilvl w:val="0"/>
          <w:numId w:val="1001"/>
        </w:numPr>
      </w:pPr>
      <w:r>
        <w:t xml:space="preserve">AI-enabled educational excellence.</w:t>
      </w:r>
    </w:p>
    <w:p>
      <w:pPr>
        <w:pStyle w:val="Compact"/>
        <w:numPr>
          <w:ilvl w:val="0"/>
          <w:numId w:val="1001"/>
        </w:numPr>
      </w:pPr>
      <w:r>
        <w:t xml:space="preserve">Lifelong learner services.</w:t>
      </w:r>
    </w:p>
    <w:p>
      <w:pPr>
        <w:pStyle w:val="Compact"/>
        <w:numPr>
          <w:ilvl w:val="0"/>
          <w:numId w:val="1001"/>
        </w:numPr>
      </w:pPr>
      <w:r>
        <w:t xml:space="preserve">Digital credential portability.</w:t>
      </w:r>
    </w:p>
    <w:p>
      <w:pPr>
        <w:pStyle w:val="Compact"/>
        <w:numPr>
          <w:ilvl w:val="0"/>
          <w:numId w:val="1001"/>
        </w:numPr>
      </w:pPr>
      <w:r>
        <w:t xml:space="preserve">Open innovation.</w:t>
      </w:r>
    </w:p>
    <w:p>
      <w:pPr>
        <w:pStyle w:val="Compact"/>
        <w:numPr>
          <w:ilvl w:val="0"/>
          <w:numId w:val="1001"/>
        </w:numPr>
      </w:pPr>
      <w:r>
        <w:t xml:space="preserve">Educational research leadership.</w:t>
      </w:r>
    </w:p>
    <w:p>
      <w:pPr>
        <w:pStyle w:val="Compact"/>
        <w:numPr>
          <w:ilvl w:val="0"/>
          <w:numId w:val="1001"/>
        </w:numPr>
      </w:pPr>
      <w:r>
        <w:t xml:space="preserve">Sustainable digital infrastructure.</w:t>
      </w:r>
    </w:p>
    <w:p>
      <w:pPr>
        <w:pStyle w:val="Compact"/>
        <w:numPr>
          <w:ilvl w:val="0"/>
          <w:numId w:val="1001"/>
        </w:numPr>
      </w:pPr>
      <w:r>
        <w:t xml:space="preserve">International collaboration.</w:t>
      </w:r>
    </w:p>
    <w:p>
      <w:pPr>
        <w:pStyle w:val="Compact"/>
        <w:numPr>
          <w:ilvl w:val="0"/>
          <w:numId w:val="1001"/>
        </w:numPr>
      </w:pPr>
      <w:r>
        <w:t xml:space="preserve">Continuous modernization.</w:t>
      </w:r>
    </w:p>
    <w:p>
      <w:pPr>
        <w:pStyle w:val="FirstParagraph"/>
      </w:pPr>
      <w:r>
        <w:t xml:space="preserve">These objectives shall guide investment and governance decisions.</w:t>
      </w:r>
    </w:p>
    <w:p>
      <w:r>
        <w:pict>
          <v:rect style="width:0;height:1.5pt" o:hralign="center" o:hrstd="t" o:hr="t"/>
        </w:pict>
      </w:r>
    </w:p>
    <w:bookmarkEnd w:id="27"/>
    <w:bookmarkStart w:id="34" w:name="enterprise-reference-architecture"/>
    <w:p>
      <w:pPr>
        <w:pStyle w:val="Heading1"/>
      </w:pPr>
      <w:r>
        <w:t xml:space="preserve">12.4 Enterprise Reference Architecture</w:t>
      </w:r>
    </w:p>
    <w:p>
      <w:pPr>
        <w:pStyle w:val="FirstParagraph"/>
      </w:pPr>
      <w:r>
        <w:t xml:space="preserve">The National Education Innovation Reference Architecture shall comprise:</w:t>
      </w:r>
    </w:p>
    <w:bookmarkStart w:id="28" w:name="experience-layer"/>
    <w:p>
      <w:pPr>
        <w:pStyle w:val="Heading3"/>
      </w:pPr>
      <w:r>
        <w:t xml:space="preserve">Experience Layer</w:t>
      </w:r>
    </w:p>
    <w:p>
      <w:pPr>
        <w:pStyle w:val="Compact"/>
        <w:numPr>
          <w:ilvl w:val="0"/>
          <w:numId w:val="1002"/>
        </w:numPr>
      </w:pPr>
      <w:r>
        <w:t xml:space="preserve">Web portals.</w:t>
      </w:r>
    </w:p>
    <w:p>
      <w:pPr>
        <w:pStyle w:val="Compact"/>
        <w:numPr>
          <w:ilvl w:val="0"/>
          <w:numId w:val="1002"/>
        </w:numPr>
      </w:pPr>
      <w:r>
        <w:t xml:space="preserve">Mobile applications.</w:t>
      </w:r>
    </w:p>
    <w:p>
      <w:pPr>
        <w:pStyle w:val="Compact"/>
        <w:numPr>
          <w:ilvl w:val="0"/>
          <w:numId w:val="1002"/>
        </w:numPr>
      </w:pPr>
      <w:r>
        <w:t xml:space="preserve">Super App.</w:t>
      </w:r>
    </w:p>
    <w:p>
      <w:pPr>
        <w:pStyle w:val="Compact"/>
        <w:numPr>
          <w:ilvl w:val="0"/>
          <w:numId w:val="1002"/>
        </w:numPr>
      </w:pPr>
      <w:r>
        <w:t xml:space="preserve">AI conversational services.</w:t>
      </w:r>
    </w:p>
    <w:p>
      <w:pPr>
        <w:pStyle w:val="Compact"/>
        <w:numPr>
          <w:ilvl w:val="0"/>
          <w:numId w:val="1002"/>
        </w:numPr>
      </w:pPr>
      <w:r>
        <w:t xml:space="preserve">Accessibility services.</w:t>
      </w:r>
    </w:p>
    <w:p>
      <w:r>
        <w:pict>
          <v:rect style="width:0;height:1.5pt" o:hralign="center" o:hrstd="t" o:hr="t"/>
        </w:pict>
      </w:r>
    </w:p>
    <w:bookmarkEnd w:id="28"/>
    <w:bookmarkStart w:id="29" w:name="business-services-layer"/>
    <w:p>
      <w:pPr>
        <w:pStyle w:val="Heading3"/>
      </w:pPr>
      <w:r>
        <w:t xml:space="preserve">Business Services Layer</w:t>
      </w:r>
    </w:p>
    <w:p>
      <w:pPr>
        <w:pStyle w:val="Compact"/>
        <w:numPr>
          <w:ilvl w:val="0"/>
          <w:numId w:val="1003"/>
        </w:numPr>
      </w:pPr>
      <w:r>
        <w:t xml:space="preserve">Student Management.</w:t>
      </w:r>
    </w:p>
    <w:p>
      <w:pPr>
        <w:pStyle w:val="Compact"/>
        <w:numPr>
          <w:ilvl w:val="0"/>
          <w:numId w:val="1003"/>
        </w:numPr>
      </w:pPr>
      <w:r>
        <w:t xml:space="preserve">Teacher Management.</w:t>
      </w:r>
    </w:p>
    <w:p>
      <w:pPr>
        <w:pStyle w:val="Compact"/>
        <w:numPr>
          <w:ilvl w:val="0"/>
          <w:numId w:val="1003"/>
        </w:numPr>
      </w:pPr>
      <w:r>
        <w:t xml:space="preserve">School Administration.</w:t>
      </w:r>
    </w:p>
    <w:p>
      <w:pPr>
        <w:pStyle w:val="Compact"/>
        <w:numPr>
          <w:ilvl w:val="0"/>
          <w:numId w:val="1003"/>
        </w:numPr>
      </w:pPr>
      <w:r>
        <w:t xml:space="preserve">Assessments.</w:t>
      </w:r>
    </w:p>
    <w:p>
      <w:pPr>
        <w:pStyle w:val="Compact"/>
        <w:numPr>
          <w:ilvl w:val="0"/>
          <w:numId w:val="1003"/>
        </w:numPr>
      </w:pPr>
      <w:r>
        <w:t xml:space="preserve">Curriculum Management.</w:t>
      </w:r>
    </w:p>
    <w:p>
      <w:pPr>
        <w:pStyle w:val="Compact"/>
        <w:numPr>
          <w:ilvl w:val="0"/>
          <w:numId w:val="1003"/>
        </w:numPr>
      </w:pPr>
      <w:r>
        <w:t xml:space="preserve">Financial Services.</w:t>
      </w:r>
    </w:p>
    <w:p>
      <w:pPr>
        <w:pStyle w:val="Compact"/>
        <w:numPr>
          <w:ilvl w:val="0"/>
          <w:numId w:val="1003"/>
        </w:numPr>
      </w:pPr>
      <w:r>
        <w:t xml:space="preserve">Human Resources.</w:t>
      </w:r>
    </w:p>
    <w:p>
      <w:pPr>
        <w:pStyle w:val="Compact"/>
        <w:numPr>
          <w:ilvl w:val="0"/>
          <w:numId w:val="1003"/>
        </w:numPr>
      </w:pPr>
      <w:r>
        <w:t xml:space="preserve">Learning Management.</w:t>
      </w:r>
    </w:p>
    <w:p>
      <w:pPr>
        <w:pStyle w:val="Compact"/>
        <w:numPr>
          <w:ilvl w:val="0"/>
          <w:numId w:val="1003"/>
        </w:numPr>
      </w:pPr>
      <w:r>
        <w:t xml:space="preserve">Analytics.</w:t>
      </w:r>
    </w:p>
    <w:p>
      <w:pPr>
        <w:pStyle w:val="Compact"/>
        <w:numPr>
          <w:ilvl w:val="0"/>
          <w:numId w:val="1003"/>
        </w:numPr>
      </w:pPr>
      <w:r>
        <w:t xml:space="preserve">Digital Credentials.</w:t>
      </w:r>
    </w:p>
    <w:p>
      <w:r>
        <w:pict>
          <v:rect style="width:0;height:1.5pt" o:hralign="center" o:hrstd="t" o:hr="t"/>
        </w:pict>
      </w:r>
    </w:p>
    <w:bookmarkEnd w:id="29"/>
    <w:bookmarkStart w:id="30" w:name="integration-layer"/>
    <w:p>
      <w:pPr>
        <w:pStyle w:val="Heading3"/>
      </w:pPr>
      <w:r>
        <w:t xml:space="preserve">Integration Layer</w:t>
      </w:r>
    </w:p>
    <w:p>
      <w:pPr>
        <w:pStyle w:val="Compact"/>
        <w:numPr>
          <w:ilvl w:val="0"/>
          <w:numId w:val="1004"/>
        </w:numPr>
      </w:pPr>
      <w:r>
        <w:t xml:space="preserve">API Gateway.</w:t>
      </w:r>
    </w:p>
    <w:p>
      <w:pPr>
        <w:pStyle w:val="Compact"/>
        <w:numPr>
          <w:ilvl w:val="0"/>
          <w:numId w:val="1004"/>
        </w:numPr>
      </w:pPr>
      <w:r>
        <w:t xml:space="preserve">Event Streaming.</w:t>
      </w:r>
    </w:p>
    <w:p>
      <w:pPr>
        <w:pStyle w:val="Compact"/>
        <w:numPr>
          <w:ilvl w:val="0"/>
          <w:numId w:val="1004"/>
        </w:numPr>
      </w:pPr>
      <w:r>
        <w:t xml:space="preserve">Enterprise Service Bus.</w:t>
      </w:r>
    </w:p>
    <w:p>
      <w:pPr>
        <w:pStyle w:val="Compact"/>
        <w:numPr>
          <w:ilvl w:val="0"/>
          <w:numId w:val="1004"/>
        </w:numPr>
      </w:pPr>
      <w:r>
        <w:t xml:space="preserve">Identity Federation.</w:t>
      </w:r>
    </w:p>
    <w:p>
      <w:pPr>
        <w:pStyle w:val="Compact"/>
        <w:numPr>
          <w:ilvl w:val="0"/>
          <w:numId w:val="1004"/>
        </w:numPr>
      </w:pPr>
      <w:r>
        <w:t xml:space="preserve">Notification Services.</w:t>
      </w:r>
    </w:p>
    <w:p>
      <w:r>
        <w:pict>
          <v:rect style="width:0;height:1.5pt" o:hralign="center" o:hrstd="t" o:hr="t"/>
        </w:pict>
      </w:r>
    </w:p>
    <w:bookmarkEnd w:id="30"/>
    <w:bookmarkStart w:id="31" w:name="intelligence-layer"/>
    <w:p>
      <w:pPr>
        <w:pStyle w:val="Heading3"/>
      </w:pPr>
      <w:r>
        <w:t xml:space="preserve">Intelligence Layer</w:t>
      </w:r>
    </w:p>
    <w:p>
      <w:pPr>
        <w:pStyle w:val="Compact"/>
        <w:numPr>
          <w:ilvl w:val="0"/>
          <w:numId w:val="1005"/>
        </w:numPr>
      </w:pPr>
      <w:r>
        <w:t xml:space="preserve">Artificial Intelligence.</w:t>
      </w:r>
    </w:p>
    <w:p>
      <w:pPr>
        <w:pStyle w:val="Compact"/>
        <w:numPr>
          <w:ilvl w:val="0"/>
          <w:numId w:val="1005"/>
        </w:numPr>
      </w:pPr>
      <w:r>
        <w:t xml:space="preserve">Knowledge Graph.</w:t>
      </w:r>
    </w:p>
    <w:p>
      <w:pPr>
        <w:pStyle w:val="Compact"/>
        <w:numPr>
          <w:ilvl w:val="0"/>
          <w:numId w:val="1005"/>
        </w:numPr>
      </w:pPr>
      <w:r>
        <w:t xml:space="preserve">RAG Platform.</w:t>
      </w:r>
    </w:p>
    <w:p>
      <w:pPr>
        <w:pStyle w:val="Compact"/>
        <w:numPr>
          <w:ilvl w:val="0"/>
          <w:numId w:val="1005"/>
        </w:numPr>
      </w:pPr>
      <w:r>
        <w:t xml:space="preserve">Learning Analytics.</w:t>
      </w:r>
    </w:p>
    <w:p>
      <w:pPr>
        <w:pStyle w:val="Compact"/>
        <w:numPr>
          <w:ilvl w:val="0"/>
          <w:numId w:val="1005"/>
        </w:numPr>
      </w:pPr>
      <w:r>
        <w:t xml:space="preserve">Decision Intelligence.</w:t>
      </w:r>
    </w:p>
    <w:p>
      <w:pPr>
        <w:pStyle w:val="Compact"/>
        <w:numPr>
          <w:ilvl w:val="0"/>
          <w:numId w:val="1005"/>
        </w:numPr>
      </w:pPr>
      <w:r>
        <w:t xml:space="preserve">Predictive Analytics.</w:t>
      </w:r>
    </w:p>
    <w:p>
      <w:r>
        <w:pict>
          <v:rect style="width:0;height:1.5pt" o:hralign="center" o:hrstd="t" o:hr="t"/>
        </w:pict>
      </w:r>
    </w:p>
    <w:bookmarkEnd w:id="31"/>
    <w:bookmarkStart w:id="32" w:name="data-layer"/>
    <w:p>
      <w:pPr>
        <w:pStyle w:val="Heading3"/>
      </w:pPr>
      <w:r>
        <w:t xml:space="preserve">Data Layer</w:t>
      </w:r>
    </w:p>
    <w:p>
      <w:pPr>
        <w:pStyle w:val="Compact"/>
        <w:numPr>
          <w:ilvl w:val="0"/>
          <w:numId w:val="1006"/>
        </w:numPr>
      </w:pPr>
      <w:r>
        <w:t xml:space="preserve">Operational databases.</w:t>
      </w:r>
    </w:p>
    <w:p>
      <w:pPr>
        <w:pStyle w:val="Compact"/>
        <w:numPr>
          <w:ilvl w:val="0"/>
          <w:numId w:val="1006"/>
        </w:numPr>
      </w:pPr>
      <w:r>
        <w:t xml:space="preserve">Enterprise Data Warehouse.</w:t>
      </w:r>
    </w:p>
    <w:p>
      <w:pPr>
        <w:pStyle w:val="Compact"/>
        <w:numPr>
          <w:ilvl w:val="0"/>
          <w:numId w:val="1006"/>
        </w:numPr>
      </w:pPr>
      <w:r>
        <w:t xml:space="preserve">Data Lake.</w:t>
      </w:r>
    </w:p>
    <w:p>
      <w:pPr>
        <w:pStyle w:val="Compact"/>
        <w:numPr>
          <w:ilvl w:val="0"/>
          <w:numId w:val="1006"/>
        </w:numPr>
      </w:pPr>
      <w:r>
        <w:t xml:space="preserve">Feature Store.</w:t>
      </w:r>
    </w:p>
    <w:p>
      <w:pPr>
        <w:pStyle w:val="Compact"/>
        <w:numPr>
          <w:ilvl w:val="0"/>
          <w:numId w:val="1006"/>
        </w:numPr>
      </w:pPr>
      <w:r>
        <w:t xml:space="preserve">Metadata Repository.</w:t>
      </w:r>
    </w:p>
    <w:p>
      <w:pPr>
        <w:pStyle w:val="Compact"/>
        <w:numPr>
          <w:ilvl w:val="0"/>
          <w:numId w:val="1006"/>
        </w:numPr>
      </w:pPr>
      <w:r>
        <w:t xml:space="preserve">Master Data Management.</w:t>
      </w:r>
    </w:p>
    <w:p>
      <w:r>
        <w:pict>
          <v:rect style="width:0;height:1.5pt" o:hralign="center" o:hrstd="t" o:hr="t"/>
        </w:pict>
      </w:r>
    </w:p>
    <w:bookmarkEnd w:id="32"/>
    <w:bookmarkStart w:id="33" w:name="infrastructure-layer"/>
    <w:p>
      <w:pPr>
        <w:pStyle w:val="Heading3"/>
      </w:pPr>
      <w:r>
        <w:t xml:space="preserve">Infrastructure Layer</w:t>
      </w:r>
    </w:p>
    <w:p>
      <w:pPr>
        <w:pStyle w:val="Compact"/>
        <w:numPr>
          <w:ilvl w:val="0"/>
          <w:numId w:val="1007"/>
        </w:numPr>
      </w:pPr>
      <w:r>
        <w:t xml:space="preserve">Cloud infrastructure.</w:t>
      </w:r>
    </w:p>
    <w:p>
      <w:pPr>
        <w:pStyle w:val="Compact"/>
        <w:numPr>
          <w:ilvl w:val="0"/>
          <w:numId w:val="1007"/>
        </w:numPr>
      </w:pPr>
      <w:r>
        <w:t xml:space="preserve">Regional edge nodes.</w:t>
      </w:r>
    </w:p>
    <w:p>
      <w:pPr>
        <w:pStyle w:val="Compact"/>
        <w:numPr>
          <w:ilvl w:val="0"/>
          <w:numId w:val="1007"/>
        </w:numPr>
      </w:pPr>
      <w:r>
        <w:t xml:space="preserve">Disaster recovery.</w:t>
      </w:r>
    </w:p>
    <w:p>
      <w:pPr>
        <w:pStyle w:val="Compact"/>
        <w:numPr>
          <w:ilvl w:val="0"/>
          <w:numId w:val="1007"/>
        </w:numPr>
      </w:pPr>
      <w:r>
        <w:t xml:space="preserve">Cybersecurity services.</w:t>
      </w:r>
    </w:p>
    <w:p>
      <w:pPr>
        <w:pStyle w:val="Compact"/>
        <w:numPr>
          <w:ilvl w:val="0"/>
          <w:numId w:val="1007"/>
        </w:numPr>
      </w:pPr>
      <w:r>
        <w:t xml:space="preserve">Monitoring platform.</w:t>
      </w:r>
    </w:p>
    <w:p>
      <w:pPr>
        <w:pStyle w:val="Compact"/>
        <w:numPr>
          <w:ilvl w:val="0"/>
          <w:numId w:val="1007"/>
        </w:numPr>
      </w:pPr>
      <w:r>
        <w:t xml:space="preserve">Device management.</w:t>
      </w:r>
    </w:p>
    <w:p>
      <w:r>
        <w:pict>
          <v:rect style="width:0;height:1.5pt" o:hralign="center" o:hrstd="t" o:hr="t"/>
        </w:pict>
      </w:r>
    </w:p>
    <w:bookmarkEnd w:id="33"/>
    <w:bookmarkEnd w:id="34"/>
    <w:bookmarkStart w:id="39" w:name="strategic-implementation-roadmap"/>
    <w:p>
      <w:pPr>
        <w:pStyle w:val="Heading1"/>
      </w:pPr>
      <w:r>
        <w:t xml:space="preserve">12.5 Strategic Implementation Roadmap</w:t>
      </w:r>
    </w:p>
    <w:bookmarkStart w:id="35" w:name="phase-i-years-12"/>
    <w:p>
      <w:pPr>
        <w:pStyle w:val="Heading3"/>
      </w:pPr>
      <w:r>
        <w:t xml:space="preserve">Phase I (Years 1–2)</w:t>
      </w:r>
    </w:p>
    <w:p>
      <w:pPr>
        <w:pStyle w:val="Compact"/>
        <w:numPr>
          <w:ilvl w:val="0"/>
          <w:numId w:val="1008"/>
        </w:numPr>
      </w:pPr>
      <w:r>
        <w:t xml:space="preserve">National platform foundation.</w:t>
      </w:r>
    </w:p>
    <w:p>
      <w:pPr>
        <w:pStyle w:val="Compact"/>
        <w:numPr>
          <w:ilvl w:val="0"/>
          <w:numId w:val="1008"/>
        </w:numPr>
      </w:pPr>
      <w:r>
        <w:t xml:space="preserve">Identity services.</w:t>
      </w:r>
    </w:p>
    <w:p>
      <w:pPr>
        <w:pStyle w:val="Compact"/>
        <w:numPr>
          <w:ilvl w:val="0"/>
          <w:numId w:val="1008"/>
        </w:numPr>
      </w:pPr>
      <w:r>
        <w:t xml:space="preserve">Core student and school management.</w:t>
      </w:r>
    </w:p>
    <w:p>
      <w:pPr>
        <w:pStyle w:val="Compact"/>
        <w:numPr>
          <w:ilvl w:val="0"/>
          <w:numId w:val="1008"/>
        </w:numPr>
      </w:pPr>
      <w:r>
        <w:t xml:space="preserve">National data standards.</w:t>
      </w:r>
    </w:p>
    <w:p>
      <w:pPr>
        <w:pStyle w:val="Compact"/>
        <w:numPr>
          <w:ilvl w:val="0"/>
          <w:numId w:val="1008"/>
        </w:numPr>
      </w:pPr>
      <w:r>
        <w:t xml:space="preserve">Initial interoperability.</w:t>
      </w:r>
    </w:p>
    <w:p>
      <w:pPr>
        <w:pStyle w:val="Compact"/>
        <w:numPr>
          <w:ilvl w:val="0"/>
          <w:numId w:val="1008"/>
        </w:numPr>
      </w:pPr>
      <w:r>
        <w:t xml:space="preserve">Basic analytics.</w:t>
      </w:r>
    </w:p>
    <w:p>
      <w:r>
        <w:pict>
          <v:rect style="width:0;height:1.5pt" o:hralign="center" o:hrstd="t" o:hr="t"/>
        </w:pict>
      </w:r>
    </w:p>
    <w:bookmarkEnd w:id="35"/>
    <w:bookmarkStart w:id="36" w:name="phase-ii-years-35"/>
    <w:p>
      <w:pPr>
        <w:pStyle w:val="Heading3"/>
      </w:pPr>
      <w:r>
        <w:t xml:space="preserve">Phase II (Years 3–5)</w:t>
      </w:r>
    </w:p>
    <w:p>
      <w:pPr>
        <w:pStyle w:val="Compact"/>
        <w:numPr>
          <w:ilvl w:val="0"/>
          <w:numId w:val="1009"/>
        </w:numPr>
      </w:pPr>
      <w:r>
        <w:t xml:space="preserve">AI integration.</w:t>
      </w:r>
    </w:p>
    <w:p>
      <w:pPr>
        <w:pStyle w:val="Compact"/>
        <w:numPr>
          <w:ilvl w:val="0"/>
          <w:numId w:val="1009"/>
        </w:numPr>
      </w:pPr>
      <w:r>
        <w:t xml:space="preserve">Learning analytics.</w:t>
      </w:r>
    </w:p>
    <w:p>
      <w:pPr>
        <w:pStyle w:val="Compact"/>
        <w:numPr>
          <w:ilvl w:val="0"/>
          <w:numId w:val="1009"/>
        </w:numPr>
      </w:pPr>
      <w:r>
        <w:t xml:space="preserve">Digital credentials.</w:t>
      </w:r>
    </w:p>
    <w:p>
      <w:pPr>
        <w:pStyle w:val="Compact"/>
        <w:numPr>
          <w:ilvl w:val="0"/>
          <w:numId w:val="1009"/>
        </w:numPr>
      </w:pPr>
      <w:r>
        <w:t xml:space="preserve">National API ecosystem.</w:t>
      </w:r>
    </w:p>
    <w:p>
      <w:pPr>
        <w:pStyle w:val="Compact"/>
        <w:numPr>
          <w:ilvl w:val="0"/>
          <w:numId w:val="1009"/>
        </w:numPr>
      </w:pPr>
      <w:r>
        <w:t xml:space="preserve">Mobile-first services.</w:t>
      </w:r>
    </w:p>
    <w:p>
      <w:pPr>
        <w:pStyle w:val="Compact"/>
        <w:numPr>
          <w:ilvl w:val="0"/>
          <w:numId w:val="1009"/>
        </w:numPr>
      </w:pPr>
      <w:r>
        <w:t xml:space="preserve">Smart classrooms.</w:t>
      </w:r>
    </w:p>
    <w:p>
      <w:r>
        <w:pict>
          <v:rect style="width:0;height:1.5pt" o:hralign="center" o:hrstd="t" o:hr="t"/>
        </w:pict>
      </w:r>
    </w:p>
    <w:bookmarkEnd w:id="36"/>
    <w:bookmarkStart w:id="37" w:name="phase-iii-years-68"/>
    <w:p>
      <w:pPr>
        <w:pStyle w:val="Heading3"/>
      </w:pPr>
      <w:r>
        <w:t xml:space="preserve">Phase III (Years 6–8)</w:t>
      </w:r>
    </w:p>
    <w:p>
      <w:pPr>
        <w:pStyle w:val="Compact"/>
        <w:numPr>
          <w:ilvl w:val="0"/>
          <w:numId w:val="1010"/>
        </w:numPr>
      </w:pPr>
      <w:r>
        <w:t xml:space="preserve">Advanced AI agents.</w:t>
      </w:r>
    </w:p>
    <w:p>
      <w:pPr>
        <w:pStyle w:val="Compact"/>
        <w:numPr>
          <w:ilvl w:val="0"/>
          <w:numId w:val="1010"/>
        </w:numPr>
      </w:pPr>
      <w:r>
        <w:t xml:space="preserve">Immersive learning.</w:t>
      </w:r>
    </w:p>
    <w:p>
      <w:pPr>
        <w:pStyle w:val="Compact"/>
        <w:numPr>
          <w:ilvl w:val="0"/>
          <w:numId w:val="1010"/>
        </w:numPr>
      </w:pPr>
      <w:r>
        <w:t xml:space="preserve">Robotics ecosystem.</w:t>
      </w:r>
    </w:p>
    <w:p>
      <w:pPr>
        <w:pStyle w:val="Compact"/>
        <w:numPr>
          <w:ilvl w:val="0"/>
          <w:numId w:val="1010"/>
        </w:numPr>
      </w:pPr>
      <w:r>
        <w:t xml:space="preserve">Cross-border interoperability.</w:t>
      </w:r>
    </w:p>
    <w:p>
      <w:pPr>
        <w:pStyle w:val="Compact"/>
        <w:numPr>
          <w:ilvl w:val="0"/>
          <w:numId w:val="1010"/>
        </w:numPr>
      </w:pPr>
      <w:r>
        <w:t xml:space="preserve">National research platform.</w:t>
      </w:r>
    </w:p>
    <w:p>
      <w:pPr>
        <w:pStyle w:val="Compact"/>
        <w:numPr>
          <w:ilvl w:val="0"/>
          <w:numId w:val="1010"/>
        </w:numPr>
      </w:pPr>
      <w:r>
        <w:t xml:space="preserve">Intelligent automation.</w:t>
      </w:r>
    </w:p>
    <w:p>
      <w:r>
        <w:pict>
          <v:rect style="width:0;height:1.5pt" o:hralign="center" o:hrstd="t" o:hr="t"/>
        </w:pict>
      </w:r>
    </w:p>
    <w:bookmarkEnd w:id="37"/>
    <w:bookmarkStart w:id="38" w:name="phase-iv-years-910"/>
    <w:p>
      <w:pPr>
        <w:pStyle w:val="Heading3"/>
      </w:pPr>
      <w:r>
        <w:t xml:space="preserve">Phase IV (Years 9–10)</w:t>
      </w:r>
    </w:p>
    <w:p>
      <w:pPr>
        <w:pStyle w:val="Compact"/>
        <w:numPr>
          <w:ilvl w:val="0"/>
          <w:numId w:val="1011"/>
        </w:numPr>
      </w:pPr>
      <w:r>
        <w:t xml:space="preserve">Adaptive national education ecosystem.</w:t>
      </w:r>
    </w:p>
    <w:p>
      <w:pPr>
        <w:pStyle w:val="Compact"/>
        <w:numPr>
          <w:ilvl w:val="0"/>
          <w:numId w:val="1011"/>
        </w:numPr>
      </w:pPr>
      <w:r>
        <w:t xml:space="preserve">Autonomous operational intelligence.</w:t>
      </w:r>
    </w:p>
    <w:p>
      <w:pPr>
        <w:pStyle w:val="Compact"/>
        <w:numPr>
          <w:ilvl w:val="0"/>
          <w:numId w:val="1011"/>
        </w:numPr>
      </w:pPr>
      <w:r>
        <w:t xml:space="preserve">Emerging technology integration.</w:t>
      </w:r>
    </w:p>
    <w:p>
      <w:pPr>
        <w:pStyle w:val="Compact"/>
        <w:numPr>
          <w:ilvl w:val="0"/>
          <w:numId w:val="1011"/>
        </w:numPr>
      </w:pPr>
      <w:r>
        <w:t xml:space="preserve">Continuous innovation platform.</w:t>
      </w:r>
    </w:p>
    <w:p>
      <w:pPr>
        <w:pStyle w:val="Compact"/>
        <w:numPr>
          <w:ilvl w:val="0"/>
          <w:numId w:val="1011"/>
        </w:numPr>
      </w:pPr>
      <w:r>
        <w:t xml:space="preserve">Global interoperability expansion.</w:t>
      </w:r>
    </w:p>
    <w:p>
      <w:pPr>
        <w:pStyle w:val="FirstParagraph"/>
      </w:pPr>
      <w:r>
        <w:t xml:space="preserve">Roadmaps shall be reviewed periodically to reflect evolving educational priorities.</w:t>
      </w:r>
    </w:p>
    <w:p>
      <w:r>
        <w:pict>
          <v:rect style="width:0;height:1.5pt" o:hralign="center" o:hrstd="t" o:hr="t"/>
        </w:pict>
      </w:r>
    </w:p>
    <w:bookmarkEnd w:id="38"/>
    <w:bookmarkEnd w:id="39"/>
    <w:bookmarkStart w:id="40" w:name="strategic-investment-priorities"/>
    <w:p>
      <w:pPr>
        <w:pStyle w:val="Heading1"/>
      </w:pPr>
      <w:r>
        <w:t xml:space="preserve">12.6 Strategic Investment Priorities</w:t>
      </w:r>
    </w:p>
    <w:p>
      <w:pPr>
        <w:pStyle w:val="FirstParagraph"/>
      </w:pPr>
      <w:r>
        <w:t xml:space="preserve">Investment shall prioritize:</w:t>
      </w:r>
    </w:p>
    <w:p>
      <w:pPr>
        <w:pStyle w:val="Compact"/>
        <w:numPr>
          <w:ilvl w:val="0"/>
          <w:numId w:val="1012"/>
        </w:numPr>
      </w:pPr>
      <w:r>
        <w:t xml:space="preserve">National digital infrastructure.</w:t>
      </w:r>
    </w:p>
    <w:p>
      <w:pPr>
        <w:pStyle w:val="Compact"/>
        <w:numPr>
          <w:ilvl w:val="0"/>
          <w:numId w:val="1012"/>
        </w:numPr>
      </w:pPr>
      <w:r>
        <w:t xml:space="preserve">Cybersecurity.</w:t>
      </w:r>
    </w:p>
    <w:p>
      <w:pPr>
        <w:pStyle w:val="Compact"/>
        <w:numPr>
          <w:ilvl w:val="0"/>
          <w:numId w:val="1012"/>
        </w:numPr>
      </w:pPr>
      <w:r>
        <w:t xml:space="preserve">Teacher digital capacity.</w:t>
      </w:r>
    </w:p>
    <w:p>
      <w:pPr>
        <w:pStyle w:val="Compact"/>
        <w:numPr>
          <w:ilvl w:val="0"/>
          <w:numId w:val="1012"/>
        </w:numPr>
      </w:pPr>
      <w:r>
        <w:t xml:space="preserve">Rural connectivity.</w:t>
      </w:r>
    </w:p>
    <w:p>
      <w:pPr>
        <w:pStyle w:val="Compact"/>
        <w:numPr>
          <w:ilvl w:val="0"/>
          <w:numId w:val="1012"/>
        </w:numPr>
      </w:pPr>
      <w:r>
        <w:t xml:space="preserve">Educational devices.</w:t>
      </w:r>
    </w:p>
    <w:p>
      <w:pPr>
        <w:pStyle w:val="Compact"/>
        <w:numPr>
          <w:ilvl w:val="0"/>
          <w:numId w:val="1012"/>
        </w:numPr>
      </w:pPr>
      <w:r>
        <w:t xml:space="preserve">Artificial intelligence.</w:t>
      </w:r>
    </w:p>
    <w:p>
      <w:pPr>
        <w:pStyle w:val="Compact"/>
        <w:numPr>
          <w:ilvl w:val="0"/>
          <w:numId w:val="1012"/>
        </w:numPr>
      </w:pPr>
      <w:r>
        <w:t xml:space="preserve">Research and innovation.</w:t>
      </w:r>
    </w:p>
    <w:p>
      <w:pPr>
        <w:pStyle w:val="Compact"/>
        <w:numPr>
          <w:ilvl w:val="0"/>
          <w:numId w:val="1012"/>
        </w:numPr>
      </w:pPr>
      <w:r>
        <w:t xml:space="preserve">Digital inclusion.</w:t>
      </w:r>
    </w:p>
    <w:p>
      <w:pPr>
        <w:pStyle w:val="Compact"/>
        <w:numPr>
          <w:ilvl w:val="0"/>
          <w:numId w:val="1012"/>
        </w:numPr>
      </w:pPr>
      <w:r>
        <w:t xml:space="preserve">Sustainability.</w:t>
      </w:r>
    </w:p>
    <w:p>
      <w:pPr>
        <w:pStyle w:val="Compact"/>
        <w:numPr>
          <w:ilvl w:val="0"/>
          <w:numId w:val="1012"/>
        </w:numPr>
      </w:pPr>
      <w:r>
        <w:t xml:space="preserve">Operational resilience.</w:t>
      </w:r>
    </w:p>
    <w:p>
      <w:pPr>
        <w:pStyle w:val="FirstParagraph"/>
      </w:pPr>
      <w:r>
        <w:t xml:space="preserve">Investment decisions shall be evidence-based.</w:t>
      </w:r>
    </w:p>
    <w:p>
      <w:r>
        <w:pict>
          <v:rect style="width:0;height:1.5pt" o:hralign="center" o:hrstd="t" o:hr="t"/>
        </w:pict>
      </w:r>
    </w:p>
    <w:bookmarkEnd w:id="40"/>
    <w:bookmarkStart w:id="41" w:name="performance-framework"/>
    <w:p>
      <w:pPr>
        <w:pStyle w:val="Heading1"/>
      </w:pPr>
      <w:r>
        <w:t xml:space="preserve">12.7 Performance Framework</w:t>
      </w:r>
    </w:p>
    <w:p>
      <w:pPr>
        <w:pStyle w:val="FirstParagraph"/>
      </w:pPr>
      <w:r>
        <w:t xml:space="preserve">Strategic performance shall be evaluated using indicators such as:</w:t>
      </w:r>
    </w:p>
    <w:p>
      <w:pPr>
        <w:pStyle w:val="Compact"/>
        <w:numPr>
          <w:ilvl w:val="0"/>
          <w:numId w:val="1013"/>
        </w:numPr>
      </w:pPr>
      <w:r>
        <w:t xml:space="preserve">Learner participation.</w:t>
      </w:r>
    </w:p>
    <w:p>
      <w:pPr>
        <w:pStyle w:val="Compact"/>
        <w:numPr>
          <w:ilvl w:val="0"/>
          <w:numId w:val="1013"/>
        </w:numPr>
      </w:pPr>
      <w:r>
        <w:t xml:space="preserve">Educational outcomes.</w:t>
      </w:r>
    </w:p>
    <w:p>
      <w:pPr>
        <w:pStyle w:val="Compact"/>
        <w:numPr>
          <w:ilvl w:val="0"/>
          <w:numId w:val="1013"/>
        </w:numPr>
      </w:pPr>
      <w:r>
        <w:t xml:space="preserve">Teacher adoption.</w:t>
      </w:r>
    </w:p>
    <w:p>
      <w:pPr>
        <w:pStyle w:val="Compact"/>
        <w:numPr>
          <w:ilvl w:val="0"/>
          <w:numId w:val="1013"/>
        </w:numPr>
      </w:pPr>
      <w:r>
        <w:t xml:space="preserve">Digital service availability.</w:t>
      </w:r>
    </w:p>
    <w:p>
      <w:pPr>
        <w:pStyle w:val="Compact"/>
        <w:numPr>
          <w:ilvl w:val="0"/>
          <w:numId w:val="1013"/>
        </w:numPr>
      </w:pPr>
      <w:r>
        <w:t xml:space="preserve">AI effectiveness.</w:t>
      </w:r>
    </w:p>
    <w:p>
      <w:pPr>
        <w:pStyle w:val="Compact"/>
        <w:numPr>
          <w:ilvl w:val="0"/>
          <w:numId w:val="1013"/>
        </w:numPr>
      </w:pPr>
      <w:r>
        <w:t xml:space="preserve">Cybersecurity maturity.</w:t>
      </w:r>
    </w:p>
    <w:p>
      <w:pPr>
        <w:pStyle w:val="Compact"/>
        <w:numPr>
          <w:ilvl w:val="0"/>
          <w:numId w:val="1013"/>
        </w:numPr>
      </w:pPr>
      <w:r>
        <w:t xml:space="preserve">Platform interoperability.</w:t>
      </w:r>
    </w:p>
    <w:p>
      <w:pPr>
        <w:pStyle w:val="Compact"/>
        <w:numPr>
          <w:ilvl w:val="0"/>
          <w:numId w:val="1013"/>
        </w:numPr>
      </w:pPr>
      <w:r>
        <w:t xml:space="preserve">Accessibility compliance.</w:t>
      </w:r>
    </w:p>
    <w:p>
      <w:pPr>
        <w:pStyle w:val="Compact"/>
        <w:numPr>
          <w:ilvl w:val="0"/>
          <w:numId w:val="1013"/>
        </w:numPr>
      </w:pPr>
      <w:r>
        <w:t xml:space="preserve">User satisfaction.</w:t>
      </w:r>
    </w:p>
    <w:p>
      <w:pPr>
        <w:pStyle w:val="Compact"/>
        <w:numPr>
          <w:ilvl w:val="0"/>
          <w:numId w:val="1013"/>
        </w:numPr>
      </w:pPr>
      <w:r>
        <w:t xml:space="preserve">Innovation adoption.</w:t>
      </w:r>
    </w:p>
    <w:p>
      <w:pPr>
        <w:pStyle w:val="FirstParagraph"/>
      </w:pPr>
      <w:r>
        <w:t xml:space="preserve">Indicators shall support continuous strategic improvement.</w:t>
      </w:r>
    </w:p>
    <w:p>
      <w:r>
        <w:pict>
          <v:rect style="width:0;height:1.5pt" o:hralign="center" o:hrstd="t" o:hr="t"/>
        </w:pict>
      </w:r>
    </w:p>
    <w:bookmarkEnd w:id="41"/>
    <w:bookmarkStart w:id="42" w:name="governance-model"/>
    <w:p>
      <w:pPr>
        <w:pStyle w:val="Heading1"/>
      </w:pPr>
      <w:r>
        <w:t xml:space="preserve">12.8 Governance Model</w:t>
      </w:r>
    </w:p>
    <w:p>
      <w:pPr>
        <w:pStyle w:val="FirstParagraph"/>
      </w:pPr>
      <w:r>
        <w:t xml:space="preserve">Strategic governance shall include:</w:t>
      </w:r>
    </w:p>
    <w:p>
      <w:pPr>
        <w:pStyle w:val="Compact"/>
        <w:numPr>
          <w:ilvl w:val="0"/>
          <w:numId w:val="1014"/>
        </w:numPr>
      </w:pPr>
      <w:r>
        <w:t xml:space="preserve">Ministry executive leadership.</w:t>
      </w:r>
    </w:p>
    <w:p>
      <w:pPr>
        <w:pStyle w:val="Compact"/>
        <w:numPr>
          <w:ilvl w:val="0"/>
          <w:numId w:val="1014"/>
        </w:numPr>
      </w:pPr>
      <w:r>
        <w:t xml:space="preserve">National Education Digital Council.</w:t>
      </w:r>
    </w:p>
    <w:p>
      <w:pPr>
        <w:pStyle w:val="Compact"/>
        <w:numPr>
          <w:ilvl w:val="0"/>
          <w:numId w:val="1014"/>
        </w:numPr>
      </w:pPr>
      <w:r>
        <w:t xml:space="preserve">Enterprise Architecture Board.</w:t>
      </w:r>
    </w:p>
    <w:p>
      <w:pPr>
        <w:pStyle w:val="Compact"/>
        <w:numPr>
          <w:ilvl w:val="0"/>
          <w:numId w:val="1014"/>
        </w:numPr>
      </w:pPr>
      <w:r>
        <w:t xml:space="preserve">Information Governance Council.</w:t>
      </w:r>
    </w:p>
    <w:p>
      <w:pPr>
        <w:pStyle w:val="Compact"/>
        <w:numPr>
          <w:ilvl w:val="0"/>
          <w:numId w:val="1014"/>
        </w:numPr>
      </w:pPr>
      <w:r>
        <w:t xml:space="preserve">Cybersecurity Steering Committee.</w:t>
      </w:r>
    </w:p>
    <w:p>
      <w:pPr>
        <w:pStyle w:val="Compact"/>
        <w:numPr>
          <w:ilvl w:val="0"/>
          <w:numId w:val="1014"/>
        </w:numPr>
      </w:pPr>
      <w:r>
        <w:t xml:space="preserve">AI Governance Board.</w:t>
      </w:r>
    </w:p>
    <w:p>
      <w:pPr>
        <w:pStyle w:val="Compact"/>
        <w:numPr>
          <w:ilvl w:val="0"/>
          <w:numId w:val="1014"/>
        </w:numPr>
      </w:pPr>
      <w:r>
        <w:t xml:space="preserve">Research and Innovation Council.</w:t>
      </w:r>
    </w:p>
    <w:p>
      <w:pPr>
        <w:pStyle w:val="Compact"/>
        <w:numPr>
          <w:ilvl w:val="0"/>
          <w:numId w:val="1014"/>
        </w:numPr>
      </w:pPr>
      <w:r>
        <w:t xml:space="preserve">Regional implementation committees.</w:t>
      </w:r>
    </w:p>
    <w:p>
      <w:pPr>
        <w:pStyle w:val="FirstParagraph"/>
      </w:pPr>
      <w:r>
        <w:t xml:space="preserve">Governance shall ensure coordinated national implementation.</w:t>
      </w:r>
    </w:p>
    <w:p>
      <w:r>
        <w:pict>
          <v:rect style="width:0;height:1.5pt" o:hralign="center" o:hrstd="t" o:hr="t"/>
        </w:pict>
      </w:r>
    </w:p>
    <w:bookmarkEnd w:id="42"/>
    <w:bookmarkStart w:id="43" w:name="continuous-evolution"/>
    <w:p>
      <w:pPr>
        <w:pStyle w:val="Heading1"/>
      </w:pPr>
      <w:r>
        <w:t xml:space="preserve">12.9 Continuous Evolution</w:t>
      </w:r>
    </w:p>
    <w:p>
      <w:pPr>
        <w:pStyle w:val="FirstParagraph"/>
      </w:pPr>
      <w:r>
        <w:t xml:space="preserve">The innovation programme shall support:</w:t>
      </w:r>
    </w:p>
    <w:p>
      <w:pPr>
        <w:pStyle w:val="Compact"/>
        <w:numPr>
          <w:ilvl w:val="0"/>
          <w:numId w:val="1015"/>
        </w:numPr>
      </w:pPr>
      <w:r>
        <w:t xml:space="preserve">Annual strategy reviews.</w:t>
      </w:r>
    </w:p>
    <w:p>
      <w:pPr>
        <w:pStyle w:val="Compact"/>
        <w:numPr>
          <w:ilvl w:val="0"/>
          <w:numId w:val="1015"/>
        </w:numPr>
      </w:pPr>
      <w:r>
        <w:t xml:space="preserve">Enterprise architecture reviews.</w:t>
      </w:r>
    </w:p>
    <w:p>
      <w:pPr>
        <w:pStyle w:val="Compact"/>
        <w:numPr>
          <w:ilvl w:val="0"/>
          <w:numId w:val="1015"/>
        </w:numPr>
      </w:pPr>
      <w:r>
        <w:t xml:space="preserve">Technology refresh cycles.</w:t>
      </w:r>
    </w:p>
    <w:p>
      <w:pPr>
        <w:pStyle w:val="Compact"/>
        <w:numPr>
          <w:ilvl w:val="0"/>
          <w:numId w:val="1015"/>
        </w:numPr>
      </w:pPr>
      <w:r>
        <w:t xml:space="preserve">Research integration.</w:t>
      </w:r>
    </w:p>
    <w:p>
      <w:pPr>
        <w:pStyle w:val="Compact"/>
        <w:numPr>
          <w:ilvl w:val="0"/>
          <w:numId w:val="1015"/>
        </w:numPr>
      </w:pPr>
      <w:r>
        <w:t xml:space="preserve">International benchmarking.</w:t>
      </w:r>
    </w:p>
    <w:p>
      <w:pPr>
        <w:pStyle w:val="Compact"/>
        <w:numPr>
          <w:ilvl w:val="0"/>
          <w:numId w:val="1015"/>
        </w:numPr>
      </w:pPr>
      <w:r>
        <w:t xml:space="preserve">Standards evolution.</w:t>
      </w:r>
    </w:p>
    <w:p>
      <w:pPr>
        <w:pStyle w:val="Compact"/>
        <w:numPr>
          <w:ilvl w:val="0"/>
          <w:numId w:val="1015"/>
        </w:numPr>
      </w:pPr>
      <w:r>
        <w:t xml:space="preserve">Stakeholder consultation.</w:t>
      </w:r>
    </w:p>
    <w:p>
      <w:pPr>
        <w:pStyle w:val="Compact"/>
        <w:numPr>
          <w:ilvl w:val="0"/>
          <w:numId w:val="1015"/>
        </w:numPr>
      </w:pPr>
      <w:r>
        <w:t xml:space="preserve">Continuous improvement.</w:t>
      </w:r>
    </w:p>
    <w:p>
      <w:pPr>
        <w:pStyle w:val="FirstParagraph"/>
      </w:pPr>
      <w:r>
        <w:t xml:space="preserve">The platform shall evolve through controlled and measurable transformation.</w:t>
      </w:r>
    </w:p>
    <w:p>
      <w:r>
        <w:pict>
          <v:rect style="width:0;height:1.5pt" o:hralign="center" o:hrstd="t" o:hr="t"/>
        </w:pict>
      </w:r>
    </w:p>
    <w:bookmarkEnd w:id="43"/>
    <w:bookmarkStart w:id="49" w:name="business-rules"/>
    <w:p>
      <w:pPr>
        <w:pStyle w:val="Heading1"/>
      </w:pPr>
      <w:r>
        <w:t xml:space="preserve">12.10 Business Rules</w:t>
      </w:r>
    </w:p>
    <w:bookmarkStart w:id="44" w:name="br-roadmap-001"/>
    <w:p>
      <w:pPr>
        <w:pStyle w:val="Heading3"/>
      </w:pPr>
      <w:r>
        <w:t xml:space="preserve">BR-ROADMAP-001</w:t>
      </w:r>
    </w:p>
    <w:p>
      <w:pPr>
        <w:pStyle w:val="FirstParagraph"/>
      </w:pPr>
      <w:r>
        <w:t xml:space="preserve">Major architectural changes shall remain aligned with the approved Enterprise Reference Architecture.</w:t>
      </w:r>
    </w:p>
    <w:p>
      <w:r>
        <w:pict>
          <v:rect style="width:0;height:1.5pt" o:hralign="center" o:hrstd="t" o:hr="t"/>
        </w:pict>
      </w:r>
    </w:p>
    <w:bookmarkEnd w:id="44"/>
    <w:bookmarkStart w:id="45" w:name="br-roadmap-002"/>
    <w:p>
      <w:pPr>
        <w:pStyle w:val="Heading3"/>
      </w:pPr>
      <w:r>
        <w:t xml:space="preserve">BR-ROADMAP-002</w:t>
      </w:r>
    </w:p>
    <w:p>
      <w:pPr>
        <w:pStyle w:val="FirstParagraph"/>
      </w:pPr>
      <w:r>
        <w:t xml:space="preserve">Strategic roadmaps shall be reviewed and updated periodically by the appropriate national governance bodies.</w:t>
      </w:r>
    </w:p>
    <w:p>
      <w:r>
        <w:pict>
          <v:rect style="width:0;height:1.5pt" o:hralign="center" o:hrstd="t" o:hr="t"/>
        </w:pict>
      </w:r>
    </w:p>
    <w:bookmarkEnd w:id="45"/>
    <w:bookmarkStart w:id="46" w:name="br-roadmap-003"/>
    <w:p>
      <w:pPr>
        <w:pStyle w:val="Heading3"/>
      </w:pPr>
      <w:r>
        <w:t xml:space="preserve">BR-ROADMAP-003</w:t>
      </w:r>
    </w:p>
    <w:p>
      <w:pPr>
        <w:pStyle w:val="FirstParagraph"/>
      </w:pPr>
      <w:r>
        <w:t xml:space="preserve">National investments shall prioritize interoperability, cybersecurity, scalability, accessibility, and sustainability.</w:t>
      </w:r>
    </w:p>
    <w:p>
      <w:r>
        <w:pict>
          <v:rect style="width:0;height:1.5pt" o:hralign="center" o:hrstd="t" o:hr="t"/>
        </w:pict>
      </w:r>
    </w:p>
    <w:bookmarkEnd w:id="46"/>
    <w:bookmarkStart w:id="47" w:name="br-roadmap-004"/>
    <w:p>
      <w:pPr>
        <w:pStyle w:val="Heading3"/>
      </w:pPr>
      <w:r>
        <w:t xml:space="preserve">BR-ROADMAP-004</w:t>
      </w:r>
    </w:p>
    <w:p>
      <w:pPr>
        <w:pStyle w:val="FirstParagraph"/>
      </w:pPr>
      <w:r>
        <w:t xml:space="preserve">Innovation initiatives shall demonstrate measurable educational and operational value before nationwide adoption.</w:t>
      </w:r>
    </w:p>
    <w:p>
      <w:r>
        <w:pict>
          <v:rect style="width:0;height:1.5pt" o:hralign="center" o:hrstd="t" o:hr="t"/>
        </w:pict>
      </w:r>
    </w:p>
    <w:bookmarkEnd w:id="47"/>
    <w:bookmarkStart w:id="48" w:name="br-roadmap-005"/>
    <w:p>
      <w:pPr>
        <w:pStyle w:val="Heading3"/>
      </w:pPr>
      <w:r>
        <w:t xml:space="preserve">BR-ROADMAP-005</w:t>
      </w:r>
    </w:p>
    <w:p>
      <w:pPr>
        <w:pStyle w:val="FirstParagraph"/>
      </w:pPr>
      <w:r>
        <w:t xml:space="preserve">Strategic governance decisions shall be documented, approved, and retained in accordance with enterprise governance policies.</w:t>
      </w:r>
    </w:p>
    <w:p>
      <w:r>
        <w:pict>
          <v:rect style="width:0;height:1.5pt" o:hralign="center" o:hrstd="t" o:hr="t"/>
        </w:pict>
      </w:r>
    </w:p>
    <w:bookmarkEnd w:id="48"/>
    <w:bookmarkEnd w:id="49"/>
    <w:bookmarkStart w:id="50" w:name="acceptance-criteria"/>
    <w:p>
      <w:pPr>
        <w:pStyle w:val="Heading1"/>
      </w:pPr>
      <w:r>
        <w:t xml:space="preserve">12.11 Acceptance Criteria</w:t>
      </w:r>
    </w:p>
    <w:p>
      <w:pPr>
        <w:pStyle w:val="FirstParagraph"/>
      </w:pPr>
      <w:r>
        <w:t xml:space="preserve">The National Education Innovation Reference Architecture shall be considered complete when:</w:t>
      </w:r>
    </w:p>
    <w:p>
      <w:pPr>
        <w:pStyle w:val="Compact"/>
        <w:numPr>
          <w:ilvl w:val="0"/>
          <w:numId w:val="1016"/>
        </w:numPr>
      </w:pPr>
      <w:r>
        <w:t xml:space="preserve">Enterprise reference architecture is documented.</w:t>
      </w:r>
    </w:p>
    <w:p>
      <w:pPr>
        <w:pStyle w:val="Compact"/>
        <w:numPr>
          <w:ilvl w:val="0"/>
          <w:numId w:val="1016"/>
        </w:numPr>
      </w:pPr>
      <w:r>
        <w:t xml:space="preserve">Long-term implementation roadmap is approved.</w:t>
      </w:r>
    </w:p>
    <w:p>
      <w:pPr>
        <w:pStyle w:val="Compact"/>
        <w:numPr>
          <w:ilvl w:val="0"/>
          <w:numId w:val="1016"/>
        </w:numPr>
      </w:pPr>
      <w:r>
        <w:t xml:space="preserve">Strategic investment priorities are established.</w:t>
      </w:r>
    </w:p>
    <w:p>
      <w:pPr>
        <w:pStyle w:val="Compact"/>
        <w:numPr>
          <w:ilvl w:val="0"/>
          <w:numId w:val="1016"/>
        </w:numPr>
      </w:pPr>
      <w:r>
        <w:t xml:space="preserve">Performance indicators are defined.</w:t>
      </w:r>
    </w:p>
    <w:p>
      <w:pPr>
        <w:pStyle w:val="Compact"/>
        <w:numPr>
          <w:ilvl w:val="0"/>
          <w:numId w:val="1016"/>
        </w:numPr>
      </w:pPr>
      <w:r>
        <w:t xml:space="preserve">Governance structures are operational.</w:t>
      </w:r>
    </w:p>
    <w:p>
      <w:pPr>
        <w:pStyle w:val="Compact"/>
        <w:numPr>
          <w:ilvl w:val="0"/>
          <w:numId w:val="1016"/>
        </w:numPr>
      </w:pPr>
      <w:r>
        <w:t xml:space="preserve">Continuous improvement mechanisms are implemented.</w:t>
      </w:r>
    </w:p>
    <w:p>
      <w:pPr>
        <w:pStyle w:val="Compact"/>
        <w:numPr>
          <w:ilvl w:val="0"/>
          <w:numId w:val="1016"/>
        </w:numPr>
      </w:pPr>
      <w:r>
        <w:t xml:space="preserve">National technology roadmap is maintained.</w:t>
      </w:r>
    </w:p>
    <w:p>
      <w:r>
        <w:pict>
          <v:rect style="width:0;height:1.5pt" o:hralign="center" o:hrstd="t" o:hr="t"/>
        </w:pict>
      </w:r>
    </w:p>
    <w:bookmarkEnd w:id="50"/>
    <w:bookmarkStart w:id="51" w:name="summary"/>
    <w:p>
      <w:pPr>
        <w:pStyle w:val="Heading1"/>
      </w:pPr>
      <w:r>
        <w:t xml:space="preserve">12.12 Summary</w:t>
      </w:r>
    </w:p>
    <w:p>
      <w:pPr>
        <w:pStyle w:val="FirstParagraph"/>
      </w:pPr>
      <w:r>
        <w:t xml:space="preserve">The National Education Innovation Reference Architecture and Strategic Roadmap establishes the long-term vision for EduOS Cameroon as the country’s digital education foundation.</w:t>
      </w:r>
    </w:p>
    <w:p>
      <w:pPr>
        <w:pStyle w:val="BodyText"/>
      </w:pPr>
      <w:r>
        <w:t xml:space="preserve">By defining a unified enterprise architecture, phased implementation roadmap, investment priorities, governance model, performance framework, and continuous innovation strategy, this chapter provides a sustainable blueprint for the evolution of national digital education over the coming decade.</w:t>
      </w:r>
    </w:p>
    <w:p>
      <w:pPr>
        <w:pStyle w:val="BodyText"/>
      </w:pPr>
      <w:r>
        <w:t xml:space="preserve">It ensures that EduOS remains adaptable, secure, interoperable, and capable of supporting future educational transformation while preserving architectural consistency and public trust.</w:t>
      </w:r>
    </w:p>
    <w:p>
      <w:r>
        <w:pict>
          <v:rect style="width:0;height:1.5pt" o:hralign="center" o:hrstd="t" o:hr="t"/>
        </w:pict>
      </w:r>
    </w:p>
    <w:bookmarkEnd w:id="51"/>
    <w:bookmarkStart w:id="52" w:name="volume-ix-completion-status"/>
    <w:p>
      <w:pPr>
        <w:pStyle w:val="Heading1"/>
      </w:pPr>
      <w:r>
        <w:t xml:space="preserve">VOLUME IX COMPLETION STATUS</w:t>
      </w:r>
    </w:p>
    <w:p>
      <w:pPr>
        <w:pStyle w:val="FirstParagraph"/>
      </w:pPr>
      <w:r>
        <w:t xml:space="preserve">Volume IX includes:</w:t>
      </w:r>
    </w:p>
    <w:p>
      <w:pPr>
        <w:pStyle w:val="Compact"/>
        <w:numPr>
          <w:ilvl w:val="0"/>
          <w:numId w:val="1017"/>
        </w:numPr>
      </w:pPr>
      <w:r>
        <w:t xml:space="preserve">National Education Super App Strategy and Digital Ecosystem Vision.</w:t>
      </w:r>
    </w:p>
    <w:p>
      <w:pPr>
        <w:pStyle w:val="Compact"/>
        <w:numPr>
          <w:ilvl w:val="0"/>
          <w:numId w:val="1017"/>
        </w:numPr>
      </w:pPr>
      <w:r>
        <w:t xml:space="preserve">Open API Marketplace and Developer Ecosystem.</w:t>
      </w:r>
    </w:p>
    <w:p>
      <w:pPr>
        <w:pStyle w:val="Compact"/>
        <w:numPr>
          <w:ilvl w:val="0"/>
          <w:numId w:val="1017"/>
        </w:numPr>
      </w:pPr>
      <w:r>
        <w:t xml:space="preserve">Third-Party Applications and Plugin Framework.</w:t>
      </w:r>
    </w:p>
    <w:p>
      <w:pPr>
        <w:pStyle w:val="Compact"/>
        <w:numPr>
          <w:ilvl w:val="0"/>
          <w:numId w:val="1017"/>
        </w:numPr>
      </w:pPr>
      <w:r>
        <w:t xml:space="preserve">Digital Credentials, Digital Wallets and Verifiable Credentials.</w:t>
      </w:r>
    </w:p>
    <w:p>
      <w:pPr>
        <w:pStyle w:val="Compact"/>
        <w:numPr>
          <w:ilvl w:val="0"/>
          <w:numId w:val="1017"/>
        </w:numPr>
      </w:pPr>
      <w:r>
        <w:t xml:space="preserve">Research, Innovation and EdTech Sandbox.</w:t>
      </w:r>
    </w:p>
    <w:p>
      <w:pPr>
        <w:pStyle w:val="Compact"/>
        <w:numPr>
          <w:ilvl w:val="0"/>
          <w:numId w:val="1017"/>
        </w:numPr>
      </w:pPr>
      <w:r>
        <w:t xml:space="preserve">Smart Classrooms, Internet of Things (IoT) and Connected Campuses.</w:t>
      </w:r>
    </w:p>
    <w:p>
      <w:pPr>
        <w:pStyle w:val="Compact"/>
        <w:numPr>
          <w:ilvl w:val="0"/>
          <w:numId w:val="1017"/>
        </w:numPr>
      </w:pPr>
      <w:r>
        <w:t xml:space="preserve">Augmented Reality (AR), Virtual Reality (VR), Extended Reality (XR) and Immersive Learning.</w:t>
      </w:r>
    </w:p>
    <w:p>
      <w:pPr>
        <w:pStyle w:val="Compact"/>
        <w:numPr>
          <w:ilvl w:val="0"/>
          <w:numId w:val="1017"/>
        </w:numPr>
      </w:pPr>
      <w:r>
        <w:t xml:space="preserve">Robotics, STEM and Makerspace Integration.</w:t>
      </w:r>
    </w:p>
    <w:p>
      <w:pPr>
        <w:pStyle w:val="Compact"/>
        <w:numPr>
          <w:ilvl w:val="0"/>
          <w:numId w:val="1017"/>
        </w:numPr>
      </w:pPr>
      <w:r>
        <w:t xml:space="preserve">International Interoperability, Cross-Border Education and Global Recognition.</w:t>
      </w:r>
    </w:p>
    <w:p>
      <w:pPr>
        <w:pStyle w:val="Compact"/>
        <w:numPr>
          <w:ilvl w:val="0"/>
          <w:numId w:val="1017"/>
        </w:numPr>
      </w:pPr>
      <w:r>
        <w:t xml:space="preserve">Sustainability, Green Computing and Digital Inclusion.</w:t>
      </w:r>
    </w:p>
    <w:p>
      <w:pPr>
        <w:pStyle w:val="Compact"/>
        <w:numPr>
          <w:ilvl w:val="0"/>
          <w:numId w:val="1017"/>
        </w:numPr>
      </w:pPr>
      <w:r>
        <w:t xml:space="preserve">Emerging Technology Governance and Future Readiness.</w:t>
      </w:r>
    </w:p>
    <w:p>
      <w:pPr>
        <w:pStyle w:val="Compact"/>
        <w:numPr>
          <w:ilvl w:val="0"/>
          <w:numId w:val="1017"/>
        </w:numPr>
      </w:pPr>
      <w:r>
        <w:t xml:space="preserve">National Education Innovation Reference Architecture and Strategic Roadmap.</w:t>
      </w:r>
    </w:p>
    <w:p>
      <w:r>
        <w:pict>
          <v:rect style="width:0;height:1.5pt" o:hralign="center" o:hrstd="t" o:hr="t"/>
        </w:pict>
      </w:r>
    </w:p>
    <w:bookmarkEnd w:id="52"/>
    <w:bookmarkStart w:id="55" w:name="final-programme-completion"/>
    <w:p>
      <w:pPr>
        <w:pStyle w:val="Heading1"/>
      </w:pPr>
      <w:r>
        <w:t xml:space="preserve">FINAL PROGRAMME COMPLETION</w:t>
      </w:r>
    </w:p>
    <w:p>
      <w:pPr>
        <w:pStyle w:val="FirstParagraph"/>
      </w:pPr>
      <w:r>
        <w:t xml:space="preserve">The EduOS Cameroon Enterprise Blueprint is now complete.</w:t>
      </w:r>
    </w:p>
    <w:bookmarkStart w:id="53" w:name="completed-volumes"/>
    <w:p>
      <w:pPr>
        <w:pStyle w:val="Heading3"/>
      </w:pPr>
      <w:r>
        <w:t xml:space="preserve">Completed Volumes</w:t>
      </w:r>
    </w:p>
    <w:p>
      <w:pPr>
        <w:pStyle w:val="Compact"/>
        <w:numPr>
          <w:ilvl w:val="0"/>
          <w:numId w:val="1018"/>
        </w:numPr>
      </w:pPr>
      <w:r>
        <w:rPr>
          <w:b/>
          <w:bCs/>
        </w:rPr>
        <w:t xml:space="preserve">Volume I:</w:t>
      </w:r>
      <w:r>
        <w:t xml:space="preserve"> </w:t>
      </w:r>
      <w:r>
        <w:t xml:space="preserve">Vision, Strategy, Governance and Business Requirements.</w:t>
      </w:r>
    </w:p>
    <w:p>
      <w:pPr>
        <w:pStyle w:val="Compact"/>
        <w:numPr>
          <w:ilvl w:val="0"/>
          <w:numId w:val="1018"/>
        </w:numPr>
      </w:pPr>
      <w:r>
        <w:rPr>
          <w:b/>
          <w:bCs/>
        </w:rPr>
        <w:t xml:space="preserve">Volume II:</w:t>
      </w:r>
      <w:r>
        <w:t xml:space="preserve"> </w:t>
      </w:r>
      <w:r>
        <w:t xml:space="preserve">Functional Specifications and Business Processes.</w:t>
      </w:r>
    </w:p>
    <w:p>
      <w:pPr>
        <w:pStyle w:val="Compact"/>
        <w:numPr>
          <w:ilvl w:val="0"/>
          <w:numId w:val="1018"/>
        </w:numPr>
      </w:pPr>
      <w:r>
        <w:rPr>
          <w:b/>
          <w:bCs/>
        </w:rPr>
        <w:t xml:space="preserve">Volume III:</w:t>
      </w:r>
      <w:r>
        <w:t xml:space="preserve"> </w:t>
      </w:r>
      <w:r>
        <w:t xml:space="preserve">Enterprise Architecture, Infrastructure, Cloud, Cybersecurity and Integration.</w:t>
      </w:r>
    </w:p>
    <w:p>
      <w:pPr>
        <w:pStyle w:val="Compact"/>
        <w:numPr>
          <w:ilvl w:val="0"/>
          <w:numId w:val="1018"/>
        </w:numPr>
      </w:pPr>
      <w:r>
        <w:rPr>
          <w:b/>
          <w:bCs/>
        </w:rPr>
        <w:t xml:space="preserve">Volume IV:</w:t>
      </w:r>
      <w:r>
        <w:t xml:space="preserve"> </w:t>
      </w:r>
      <w:r>
        <w:t xml:space="preserve">Software Engineering, DevSecOps, APIs, Testing and Delivery.</w:t>
      </w:r>
    </w:p>
    <w:p>
      <w:pPr>
        <w:pStyle w:val="Compact"/>
        <w:numPr>
          <w:ilvl w:val="0"/>
          <w:numId w:val="1018"/>
        </w:numPr>
      </w:pPr>
      <w:r>
        <w:rPr>
          <w:b/>
          <w:bCs/>
        </w:rPr>
        <w:t xml:space="preserve">Volume V:</w:t>
      </w:r>
      <w:r>
        <w:t xml:space="preserve"> </w:t>
      </w:r>
      <w:r>
        <w:t xml:space="preserve">Operations, IT Service Management, Security Operations, Business Continuity and Governance.</w:t>
      </w:r>
    </w:p>
    <w:p>
      <w:pPr>
        <w:pStyle w:val="Compact"/>
        <w:numPr>
          <w:ilvl w:val="0"/>
          <w:numId w:val="1018"/>
        </w:numPr>
      </w:pPr>
      <w:r>
        <w:rPr>
          <w:b/>
          <w:bCs/>
        </w:rPr>
        <w:t xml:space="preserve">Volume VI:</w:t>
      </w:r>
      <w:r>
        <w:t xml:space="preserve"> </w:t>
      </w:r>
      <w:r>
        <w:t xml:space="preserve">Enterprise Data Architecture, Master Data, Interoperability and Information Governance.</w:t>
      </w:r>
    </w:p>
    <w:p>
      <w:pPr>
        <w:pStyle w:val="Compact"/>
        <w:numPr>
          <w:ilvl w:val="0"/>
          <w:numId w:val="1018"/>
        </w:numPr>
      </w:pPr>
      <w:r>
        <w:rPr>
          <w:b/>
          <w:bCs/>
        </w:rPr>
        <w:t xml:space="preserve">Volume VII:</w:t>
      </w:r>
      <w:r>
        <w:t xml:space="preserve"> </w:t>
      </w:r>
      <w:r>
        <w:t xml:space="preserve">User Experience, Design System, Accessibility and Human-Centred Design.</w:t>
      </w:r>
    </w:p>
    <w:p>
      <w:pPr>
        <w:pStyle w:val="Compact"/>
        <w:numPr>
          <w:ilvl w:val="0"/>
          <w:numId w:val="1018"/>
        </w:numPr>
      </w:pPr>
      <w:r>
        <w:rPr>
          <w:b/>
          <w:bCs/>
        </w:rPr>
        <w:t xml:space="preserve">Volume VIII:</w:t>
      </w:r>
      <w:r>
        <w:t xml:space="preserve"> </w:t>
      </w:r>
      <w:r>
        <w:t xml:space="preserve">Artificial Intelligence, Knowledge Management, Learning Analytics, AI Governance and MLOps.</w:t>
      </w:r>
    </w:p>
    <w:p>
      <w:pPr>
        <w:pStyle w:val="Compact"/>
        <w:numPr>
          <w:ilvl w:val="0"/>
          <w:numId w:val="1018"/>
        </w:numPr>
      </w:pPr>
      <w:r>
        <w:rPr>
          <w:b/>
          <w:bCs/>
        </w:rPr>
        <w:t xml:space="preserve">Volume IX:</w:t>
      </w:r>
      <w:r>
        <w:t xml:space="preserve"> </w:t>
      </w:r>
      <w:r>
        <w:t xml:space="preserve">National Digital Education Ecosystem, Innovation, Open Platform and Future Readiness.</w:t>
      </w:r>
    </w:p>
    <w:bookmarkEnd w:id="53"/>
    <w:bookmarkStart w:id="54" w:name="overall-scope"/>
    <w:p>
      <w:pPr>
        <w:pStyle w:val="Heading3"/>
      </w:pPr>
      <w:r>
        <w:t xml:space="preserve">Overall Scope</w:t>
      </w:r>
    </w:p>
    <w:p>
      <w:pPr>
        <w:pStyle w:val="FirstParagraph"/>
      </w:pPr>
      <w:r>
        <w:t xml:space="preserve">Together, these nine volumes define:</w:t>
      </w:r>
    </w:p>
    <w:p>
      <w:pPr>
        <w:pStyle w:val="Compact"/>
        <w:numPr>
          <w:ilvl w:val="0"/>
          <w:numId w:val="1019"/>
        </w:numPr>
      </w:pPr>
      <w:r>
        <w:t xml:space="preserve">Enterprise vision and governance.</w:t>
      </w:r>
    </w:p>
    <w:p>
      <w:pPr>
        <w:pStyle w:val="Compact"/>
        <w:numPr>
          <w:ilvl w:val="0"/>
          <w:numId w:val="1019"/>
        </w:numPr>
      </w:pPr>
      <w:r>
        <w:t xml:space="preserve">Education business architecture.</w:t>
      </w:r>
    </w:p>
    <w:p>
      <w:pPr>
        <w:pStyle w:val="Compact"/>
        <w:numPr>
          <w:ilvl w:val="0"/>
          <w:numId w:val="1019"/>
        </w:numPr>
      </w:pPr>
      <w:r>
        <w:t xml:space="preserve">Functional and non-functional requirements.</w:t>
      </w:r>
    </w:p>
    <w:p>
      <w:pPr>
        <w:pStyle w:val="Compact"/>
        <w:numPr>
          <w:ilvl w:val="0"/>
          <w:numId w:val="1019"/>
        </w:numPr>
      </w:pPr>
      <w:r>
        <w:t xml:space="preserve">Enterprise solution architecture.</w:t>
      </w:r>
    </w:p>
    <w:p>
      <w:pPr>
        <w:pStyle w:val="Compact"/>
        <w:numPr>
          <w:ilvl w:val="0"/>
          <w:numId w:val="1019"/>
        </w:numPr>
      </w:pPr>
      <w:r>
        <w:t xml:space="preserve">Software engineering standards.</w:t>
      </w:r>
    </w:p>
    <w:p>
      <w:pPr>
        <w:pStyle w:val="Compact"/>
        <w:numPr>
          <w:ilvl w:val="0"/>
          <w:numId w:val="1019"/>
        </w:numPr>
      </w:pPr>
      <w:r>
        <w:t xml:space="preserve">Cybersecurity and privacy.</w:t>
      </w:r>
    </w:p>
    <w:p>
      <w:pPr>
        <w:pStyle w:val="Compact"/>
        <w:numPr>
          <w:ilvl w:val="0"/>
          <w:numId w:val="1019"/>
        </w:numPr>
      </w:pPr>
      <w:r>
        <w:t xml:space="preserve">Cloud and infrastructure architecture.</w:t>
      </w:r>
    </w:p>
    <w:p>
      <w:pPr>
        <w:pStyle w:val="Compact"/>
        <w:numPr>
          <w:ilvl w:val="0"/>
          <w:numId w:val="1019"/>
        </w:numPr>
      </w:pPr>
      <w:r>
        <w:t xml:space="preserve">Data governance and interoperability.</w:t>
      </w:r>
    </w:p>
    <w:p>
      <w:pPr>
        <w:pStyle w:val="Compact"/>
        <w:numPr>
          <w:ilvl w:val="0"/>
          <w:numId w:val="1019"/>
        </w:numPr>
      </w:pPr>
      <w:r>
        <w:t xml:space="preserve">User experience and accessibility.</w:t>
      </w:r>
    </w:p>
    <w:p>
      <w:pPr>
        <w:pStyle w:val="Compact"/>
        <w:numPr>
          <w:ilvl w:val="0"/>
          <w:numId w:val="1019"/>
        </w:numPr>
      </w:pPr>
      <w:r>
        <w:t xml:space="preserve">Artificial intelligence and analytics.</w:t>
      </w:r>
    </w:p>
    <w:p>
      <w:pPr>
        <w:pStyle w:val="Compact"/>
        <w:numPr>
          <w:ilvl w:val="0"/>
          <w:numId w:val="1019"/>
        </w:numPr>
      </w:pPr>
      <w:r>
        <w:t xml:space="preserve">Innovation and ecosystem integration.</w:t>
      </w:r>
    </w:p>
    <w:p>
      <w:pPr>
        <w:pStyle w:val="Compact"/>
        <w:numPr>
          <w:ilvl w:val="0"/>
          <w:numId w:val="1019"/>
        </w:numPr>
      </w:pPr>
      <w:r>
        <w:t xml:space="preserve">Long-term strategic evolution.</w:t>
      </w:r>
    </w:p>
    <w:p>
      <w:pPr>
        <w:pStyle w:val="FirstParagraph"/>
      </w:pPr>
      <w:r>
        <w:t xml:space="preserve">This complete blueprint provides a comprehensive foundation for planning, procuring, developing, securing, deploying, operating, governing, and continuously evolving EduOS Cameroon as a national, AI-enabled digital public infrastructure for education.</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2026-07-10T14:47:42Z</dcterms:created>
  <dcterms:modified xsi:type="dcterms:W3CDTF">2026-07-10T14:47:42Z</dcterms:modified>
</cp:coreProperties>
</file>

<file path=docProps/custom.xml><?xml version="1.0" encoding="utf-8"?>
<Properties xmlns="http://schemas.openxmlformats.org/officeDocument/2006/custom-properties" xmlns:vt="http://schemas.openxmlformats.org/officeDocument/2006/docPropsVTypes"/>
</file>