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7"/>
    <w:p>
      <w:pPr>
        <w:pStyle w:val="Heading1"/>
      </w:pPr>
      <w:r>
        <w:t xml:space="preserve">CHAPTER 27</w:t>
      </w:r>
    </w:p>
    <w:bookmarkEnd w:id="20"/>
    <w:bookmarkStart w:id="22" w:name="X1e2900ae448f18d3caa76f8cde595c54b4df106"/>
    <w:p>
      <w:pPr>
        <w:pStyle w:val="Heading1"/>
      </w:pPr>
      <w:r>
        <w:t xml:space="preserve">MICROSERVICE ARCHITECTURE AND SERVICE DECOMPOSITION</w:t>
      </w:r>
    </w:p>
    <w:bookmarkStart w:id="21" w:name="introduction"/>
    <w:p>
      <w:pPr>
        <w:pStyle w:val="Heading2"/>
      </w:pPr>
      <w:r>
        <w:t xml:space="preserve">27.1 Introduction</w:t>
      </w:r>
    </w:p>
    <w:p>
      <w:pPr>
        <w:pStyle w:val="FirstParagraph"/>
      </w:pPr>
      <w:r>
        <w:t xml:space="preserve">The National Education Digital Operating System (EduOS Cameroon) shall be implemented as a collection of interoperable services that communicate through secure APIs and asynchronous messaging where appropriate.</w:t>
      </w:r>
    </w:p>
    <w:p>
      <w:pPr>
        <w:pStyle w:val="BodyText"/>
      </w:pPr>
      <w:r>
        <w:t xml:space="preserve">Each service owns its business logic and operational data while participating in the broader platform through the National Education Data Exchange and Interoperability Hub.</w:t>
      </w:r>
    </w:p>
    <w:p>
      <w:pPr>
        <w:pStyle w:val="BodyText"/>
      </w:pPr>
      <w:r>
        <w:t xml:space="preserve">This architecture supports phased implementation, independent updates, fault isolation, and long-term scalability.</w:t>
      </w:r>
    </w:p>
    <w:p>
      <w:r>
        <w:pict>
          <v:rect style="width:0;height:1.5pt" o:hralign="center" o:hrstd="t" o:hr="t"/>
        </w:pict>
      </w:r>
    </w:p>
    <w:bookmarkEnd w:id="21"/>
    <w:bookmarkEnd w:id="22"/>
    <w:bookmarkStart w:id="23" w:name="design-principles"/>
    <w:p>
      <w:pPr>
        <w:pStyle w:val="Heading1"/>
      </w:pPr>
      <w:r>
        <w:t xml:space="preserve">27.2 Design Principles</w:t>
      </w:r>
    </w:p>
    <w:p>
      <w:pPr>
        <w:pStyle w:val="FirstParagraph"/>
      </w:pPr>
      <w:r>
        <w:t xml:space="preserve">The service architecture follows these principles:</w:t>
      </w:r>
    </w:p>
    <w:p>
      <w:pPr>
        <w:pStyle w:val="Compact"/>
        <w:numPr>
          <w:ilvl w:val="0"/>
          <w:numId w:val="1001"/>
        </w:numPr>
      </w:pPr>
      <w:r>
        <w:t xml:space="preserve">Single business responsibility.</w:t>
      </w:r>
    </w:p>
    <w:p>
      <w:pPr>
        <w:pStyle w:val="Compact"/>
        <w:numPr>
          <w:ilvl w:val="0"/>
          <w:numId w:val="1001"/>
        </w:numPr>
      </w:pPr>
      <w:r>
        <w:t xml:space="preserve">Loose coupling.</w:t>
      </w:r>
    </w:p>
    <w:p>
      <w:pPr>
        <w:pStyle w:val="Compact"/>
        <w:numPr>
          <w:ilvl w:val="0"/>
          <w:numId w:val="1001"/>
        </w:numPr>
      </w:pPr>
      <w:r>
        <w:t xml:space="preserve">High cohesion.</w:t>
      </w:r>
    </w:p>
    <w:p>
      <w:pPr>
        <w:pStyle w:val="Compact"/>
        <w:numPr>
          <w:ilvl w:val="0"/>
          <w:numId w:val="1001"/>
        </w:numPr>
      </w:pPr>
      <w:r>
        <w:t xml:space="preserve">API-first development.</w:t>
      </w:r>
    </w:p>
    <w:p>
      <w:pPr>
        <w:pStyle w:val="Compact"/>
        <w:numPr>
          <w:ilvl w:val="0"/>
          <w:numId w:val="1001"/>
        </w:numPr>
      </w:pPr>
      <w:r>
        <w:t xml:space="preserve">Event-driven communication where appropriate.</w:t>
      </w:r>
    </w:p>
    <w:p>
      <w:pPr>
        <w:pStyle w:val="Compact"/>
        <w:numPr>
          <w:ilvl w:val="0"/>
          <w:numId w:val="1001"/>
        </w:numPr>
      </w:pPr>
      <w:r>
        <w:t xml:space="preserve">Independent deployment.</w:t>
      </w:r>
    </w:p>
    <w:p>
      <w:pPr>
        <w:pStyle w:val="Compact"/>
        <w:numPr>
          <w:ilvl w:val="0"/>
          <w:numId w:val="1001"/>
        </w:numPr>
      </w:pPr>
      <w:r>
        <w:t xml:space="preserve">Secure-by-default communication.</w:t>
      </w:r>
    </w:p>
    <w:p>
      <w:pPr>
        <w:pStyle w:val="Compact"/>
        <w:numPr>
          <w:ilvl w:val="0"/>
          <w:numId w:val="1001"/>
        </w:numPr>
      </w:pPr>
      <w:r>
        <w:t xml:space="preserve">Offline-first synchronization for field operations.</w:t>
      </w:r>
    </w:p>
    <w:p>
      <w:r>
        <w:pict>
          <v:rect style="width:0;height:1.5pt" o:hralign="center" o:hrstd="t" o:hr="t"/>
        </w:pict>
      </w:r>
    </w:p>
    <w:bookmarkEnd w:id="23"/>
    <w:bookmarkStart w:id="24" w:name="enterprise-service-landscape"/>
    <w:p>
      <w:pPr>
        <w:pStyle w:val="Heading1"/>
      </w:pPr>
      <w:r>
        <w:t xml:space="preserve">27.3 Enterprise Service Landscape</w:t>
      </w:r>
    </w:p>
    <w:p>
      <w:pPr>
        <w:pStyle w:val="FirstParagraph"/>
      </w:pPr>
      <w:r>
        <w:rPr>
          <w:rStyle w:val="VerbatimChar"/>
        </w:rPr>
        <w:t xml:space="preserve">text id="msa001"                 API Gateway                      │  ┌────────────────────────────────────────────┐  │                                            │  ▼                                            ▼ Identity Service                      Notification Service  │                                            │  ├────────────────────────────────────────────┤  │  ▼ ───────────────────────────────────────────────────────────── School Service Student Service Teacher Service Textbook Service Curriculum Service Publisher Service Supplier Service Procurement Service Warehouse Service Distribution Service Inventory Service School Operations Service Inspection Service Maintenance Service Reporting Service Analytics Service Forecasting Service Document Service Audit Service Configuration Service Synchronization Service Interoperability Service ─────────────────────────────────────────────────────────────</w:t>
      </w:r>
    </w:p>
    <w:p>
      <w:pPr>
        <w:pStyle w:val="BodyText"/>
      </w:pPr>
      <w:r>
        <w:t xml:space="preserve">Each service exposes well-defined interfaces and communicates through the platform integration layer.</w:t>
      </w:r>
    </w:p>
    <w:p>
      <w:r>
        <w:pict>
          <v:rect style="width:0;height:1.5pt" o:hralign="center" o:hrstd="t" o:hr="t"/>
        </w:pict>
      </w:r>
    </w:p>
    <w:bookmarkEnd w:id="24"/>
    <w:bookmarkStart w:id="35" w:name="core-business-services"/>
    <w:p>
      <w:pPr>
        <w:pStyle w:val="Heading1"/>
      </w:pPr>
      <w:r>
        <w:t xml:space="preserve">27.4 Core Business Services</w:t>
      </w:r>
    </w:p>
    <w:bookmarkStart w:id="25" w:name="school-service"/>
    <w:p>
      <w:pPr>
        <w:pStyle w:val="Heading3"/>
      </w:pPr>
      <w:r>
        <w:t xml:space="preserve">School Service</w:t>
      </w:r>
    </w:p>
    <w:p>
      <w:pPr>
        <w:pStyle w:val="FirstParagraph"/>
      </w:pPr>
      <w:r>
        <w:t xml:space="preserve">Responsible for:</w:t>
      </w:r>
    </w:p>
    <w:p>
      <w:pPr>
        <w:pStyle w:val="Compact"/>
        <w:numPr>
          <w:ilvl w:val="0"/>
          <w:numId w:val="1002"/>
        </w:numPr>
      </w:pPr>
      <w:r>
        <w:t xml:space="preserve">School registration.</w:t>
      </w:r>
    </w:p>
    <w:p>
      <w:pPr>
        <w:pStyle w:val="Compact"/>
        <w:numPr>
          <w:ilvl w:val="0"/>
          <w:numId w:val="1002"/>
        </w:numPr>
      </w:pPr>
      <w:r>
        <w:t xml:space="preserve">School profiles.</w:t>
      </w:r>
    </w:p>
    <w:p>
      <w:pPr>
        <w:pStyle w:val="Compact"/>
        <w:numPr>
          <w:ilvl w:val="0"/>
          <w:numId w:val="1002"/>
        </w:numPr>
      </w:pPr>
      <w:r>
        <w:t xml:space="preserve">Administrative hierarchy.</w:t>
      </w:r>
    </w:p>
    <w:p>
      <w:pPr>
        <w:pStyle w:val="Compact"/>
        <w:numPr>
          <w:ilvl w:val="0"/>
          <w:numId w:val="1002"/>
        </w:numPr>
      </w:pPr>
      <w:r>
        <w:t xml:space="preserve">Infrastructure information.</w:t>
      </w:r>
    </w:p>
    <w:p>
      <w:r>
        <w:pict>
          <v:rect style="width:0;height:1.5pt" o:hralign="center" o:hrstd="t" o:hr="t"/>
        </w:pict>
      </w:r>
    </w:p>
    <w:bookmarkEnd w:id="25"/>
    <w:bookmarkStart w:id="26" w:name="student-service"/>
    <w:p>
      <w:pPr>
        <w:pStyle w:val="Heading3"/>
      </w:pPr>
      <w:r>
        <w:t xml:space="preserve">Student Service</w:t>
      </w:r>
    </w:p>
    <w:p>
      <w:pPr>
        <w:pStyle w:val="FirstParagraph"/>
      </w:pPr>
      <w:r>
        <w:t xml:space="preserve">Responsible for:</w:t>
      </w:r>
    </w:p>
    <w:p>
      <w:pPr>
        <w:pStyle w:val="Compact"/>
        <w:numPr>
          <w:ilvl w:val="0"/>
          <w:numId w:val="1003"/>
        </w:numPr>
      </w:pPr>
      <w:r>
        <w:t xml:space="preserve">Learner identity.</w:t>
      </w:r>
    </w:p>
    <w:p>
      <w:pPr>
        <w:pStyle w:val="Compact"/>
        <w:numPr>
          <w:ilvl w:val="0"/>
          <w:numId w:val="1003"/>
        </w:numPr>
      </w:pPr>
      <w:r>
        <w:t xml:space="preserve">Enrolment.</w:t>
      </w:r>
    </w:p>
    <w:p>
      <w:pPr>
        <w:pStyle w:val="Compact"/>
        <w:numPr>
          <w:ilvl w:val="0"/>
          <w:numId w:val="1003"/>
        </w:numPr>
      </w:pPr>
      <w:r>
        <w:t xml:space="preserve">Transfers.</w:t>
      </w:r>
    </w:p>
    <w:p>
      <w:pPr>
        <w:pStyle w:val="Compact"/>
        <w:numPr>
          <w:ilvl w:val="0"/>
          <w:numId w:val="1003"/>
        </w:numPr>
      </w:pPr>
      <w:r>
        <w:t xml:space="preserve">Resource assignments.</w:t>
      </w:r>
    </w:p>
    <w:p>
      <w:r>
        <w:pict>
          <v:rect style="width:0;height:1.5pt" o:hralign="center" o:hrstd="t" o:hr="t"/>
        </w:pict>
      </w:r>
    </w:p>
    <w:bookmarkEnd w:id="26"/>
    <w:bookmarkStart w:id="27" w:name="teacher-service"/>
    <w:p>
      <w:pPr>
        <w:pStyle w:val="Heading3"/>
      </w:pPr>
      <w:r>
        <w:t xml:space="preserve">Teacher Service</w:t>
      </w:r>
    </w:p>
    <w:p>
      <w:pPr>
        <w:pStyle w:val="FirstParagraph"/>
      </w:pPr>
      <w:r>
        <w:t xml:space="preserve">Responsible for:</w:t>
      </w:r>
    </w:p>
    <w:p>
      <w:pPr>
        <w:pStyle w:val="Compact"/>
        <w:numPr>
          <w:ilvl w:val="0"/>
          <w:numId w:val="1004"/>
        </w:numPr>
      </w:pPr>
      <w:r>
        <w:t xml:space="preserve">Teacher registry.</w:t>
      </w:r>
    </w:p>
    <w:p>
      <w:pPr>
        <w:pStyle w:val="Compact"/>
        <w:numPr>
          <w:ilvl w:val="0"/>
          <w:numId w:val="1004"/>
        </w:numPr>
      </w:pPr>
      <w:r>
        <w:t xml:space="preserve">School assignments.</w:t>
      </w:r>
    </w:p>
    <w:p>
      <w:pPr>
        <w:pStyle w:val="Compact"/>
        <w:numPr>
          <w:ilvl w:val="0"/>
          <w:numId w:val="1004"/>
        </w:numPr>
      </w:pPr>
      <w:r>
        <w:t xml:space="preserve">Subject assignments.</w:t>
      </w:r>
    </w:p>
    <w:p>
      <w:pPr>
        <w:pStyle w:val="Compact"/>
        <w:numPr>
          <w:ilvl w:val="0"/>
          <w:numId w:val="1004"/>
        </w:numPr>
      </w:pPr>
      <w:r>
        <w:t xml:space="preserve">Resource accountability.</w:t>
      </w:r>
    </w:p>
    <w:p>
      <w:r>
        <w:pict>
          <v:rect style="width:0;height:1.5pt" o:hralign="center" o:hrstd="t" o:hr="t"/>
        </w:pict>
      </w:r>
    </w:p>
    <w:bookmarkEnd w:id="27"/>
    <w:bookmarkStart w:id="28" w:name="textbook-service"/>
    <w:p>
      <w:pPr>
        <w:pStyle w:val="Heading3"/>
      </w:pPr>
      <w:r>
        <w:t xml:space="preserve">Textbook Service</w:t>
      </w:r>
    </w:p>
    <w:p>
      <w:pPr>
        <w:pStyle w:val="FirstParagraph"/>
      </w:pPr>
      <w:r>
        <w:t xml:space="preserve">Responsible for:</w:t>
      </w:r>
    </w:p>
    <w:p>
      <w:pPr>
        <w:pStyle w:val="Compact"/>
        <w:numPr>
          <w:ilvl w:val="0"/>
          <w:numId w:val="1005"/>
        </w:numPr>
      </w:pPr>
      <w:r>
        <w:t xml:space="preserve">National textbook catalogue.</w:t>
      </w:r>
    </w:p>
    <w:p>
      <w:pPr>
        <w:pStyle w:val="Compact"/>
        <w:numPr>
          <w:ilvl w:val="0"/>
          <w:numId w:val="1005"/>
        </w:numPr>
      </w:pPr>
      <w:r>
        <w:t xml:space="preserve">Digital textbook passports.</w:t>
      </w:r>
    </w:p>
    <w:p>
      <w:pPr>
        <w:pStyle w:val="Compact"/>
        <w:numPr>
          <w:ilvl w:val="0"/>
          <w:numId w:val="1005"/>
        </w:numPr>
      </w:pPr>
      <w:r>
        <w:t xml:space="preserve">Editions.</w:t>
      </w:r>
    </w:p>
    <w:p>
      <w:pPr>
        <w:pStyle w:val="Compact"/>
        <w:numPr>
          <w:ilvl w:val="0"/>
          <w:numId w:val="1005"/>
        </w:numPr>
      </w:pPr>
      <w:r>
        <w:t xml:space="preserve">Lifecycle management.</w:t>
      </w:r>
    </w:p>
    <w:p>
      <w:r>
        <w:pict>
          <v:rect style="width:0;height:1.5pt" o:hralign="center" o:hrstd="t" o:hr="t"/>
        </w:pict>
      </w:r>
    </w:p>
    <w:bookmarkEnd w:id="28"/>
    <w:bookmarkStart w:id="29" w:name="procurement-service"/>
    <w:p>
      <w:pPr>
        <w:pStyle w:val="Heading3"/>
      </w:pPr>
      <w:r>
        <w:t xml:space="preserve">Procurement Service</w:t>
      </w:r>
    </w:p>
    <w:p>
      <w:pPr>
        <w:pStyle w:val="FirstParagraph"/>
      </w:pPr>
      <w:r>
        <w:t xml:space="preserve">Responsible for:</w:t>
      </w:r>
    </w:p>
    <w:p>
      <w:pPr>
        <w:pStyle w:val="Compact"/>
        <w:numPr>
          <w:ilvl w:val="0"/>
          <w:numId w:val="1006"/>
        </w:numPr>
      </w:pPr>
      <w:r>
        <w:t xml:space="preserve">Procurement plans.</w:t>
      </w:r>
    </w:p>
    <w:p>
      <w:pPr>
        <w:pStyle w:val="Compact"/>
        <w:numPr>
          <w:ilvl w:val="0"/>
          <w:numId w:val="1006"/>
        </w:numPr>
      </w:pPr>
      <w:r>
        <w:t xml:space="preserve">Contracts.</w:t>
      </w:r>
    </w:p>
    <w:p>
      <w:pPr>
        <w:pStyle w:val="Compact"/>
        <w:numPr>
          <w:ilvl w:val="0"/>
          <w:numId w:val="1006"/>
        </w:numPr>
      </w:pPr>
      <w:r>
        <w:t xml:space="preserve">Supplier relationships.</w:t>
      </w:r>
    </w:p>
    <w:p>
      <w:pPr>
        <w:pStyle w:val="Compact"/>
        <w:numPr>
          <w:ilvl w:val="0"/>
          <w:numId w:val="1006"/>
        </w:numPr>
      </w:pPr>
      <w:r>
        <w:t xml:space="preserve">Delivery milestones.</w:t>
      </w:r>
    </w:p>
    <w:p>
      <w:r>
        <w:pict>
          <v:rect style="width:0;height:1.5pt" o:hralign="center" o:hrstd="t" o:hr="t"/>
        </w:pict>
      </w:r>
    </w:p>
    <w:bookmarkEnd w:id="29"/>
    <w:bookmarkStart w:id="30" w:name="warehouse-service"/>
    <w:p>
      <w:pPr>
        <w:pStyle w:val="Heading3"/>
      </w:pPr>
      <w:r>
        <w:t xml:space="preserve">Warehouse Service</w:t>
      </w:r>
    </w:p>
    <w:p>
      <w:pPr>
        <w:pStyle w:val="FirstParagraph"/>
      </w:pPr>
      <w:r>
        <w:t xml:space="preserve">Responsible for:</w:t>
      </w:r>
    </w:p>
    <w:p>
      <w:pPr>
        <w:pStyle w:val="Compact"/>
        <w:numPr>
          <w:ilvl w:val="0"/>
          <w:numId w:val="1007"/>
        </w:numPr>
      </w:pPr>
      <w:r>
        <w:t xml:space="preserve">Goods receipt.</w:t>
      </w:r>
    </w:p>
    <w:p>
      <w:pPr>
        <w:pStyle w:val="Compact"/>
        <w:numPr>
          <w:ilvl w:val="0"/>
          <w:numId w:val="1007"/>
        </w:numPr>
      </w:pPr>
      <w:r>
        <w:t xml:space="preserve">Inventory.</w:t>
      </w:r>
    </w:p>
    <w:p>
      <w:pPr>
        <w:pStyle w:val="Compact"/>
        <w:numPr>
          <w:ilvl w:val="0"/>
          <w:numId w:val="1007"/>
        </w:numPr>
      </w:pPr>
      <w:r>
        <w:t xml:space="preserve">Transfers.</w:t>
      </w:r>
    </w:p>
    <w:p>
      <w:pPr>
        <w:pStyle w:val="Compact"/>
        <w:numPr>
          <w:ilvl w:val="0"/>
          <w:numId w:val="1007"/>
        </w:numPr>
      </w:pPr>
      <w:r>
        <w:t xml:space="preserve">Warehouse operations.</w:t>
      </w:r>
    </w:p>
    <w:p>
      <w:r>
        <w:pict>
          <v:rect style="width:0;height:1.5pt" o:hralign="center" o:hrstd="t" o:hr="t"/>
        </w:pict>
      </w:r>
    </w:p>
    <w:bookmarkEnd w:id="30"/>
    <w:bookmarkStart w:id="31" w:name="distribution-service"/>
    <w:p>
      <w:pPr>
        <w:pStyle w:val="Heading3"/>
      </w:pPr>
      <w:r>
        <w:t xml:space="preserve">Distribution Service</w:t>
      </w:r>
    </w:p>
    <w:p>
      <w:pPr>
        <w:pStyle w:val="FirstParagraph"/>
      </w:pPr>
      <w:r>
        <w:t xml:space="preserve">Responsible for:</w:t>
      </w:r>
    </w:p>
    <w:p>
      <w:pPr>
        <w:pStyle w:val="Compact"/>
        <w:numPr>
          <w:ilvl w:val="0"/>
          <w:numId w:val="1008"/>
        </w:numPr>
      </w:pPr>
      <w:r>
        <w:t xml:space="preserve">Shipment planning.</w:t>
      </w:r>
    </w:p>
    <w:p>
      <w:pPr>
        <w:pStyle w:val="Compact"/>
        <w:numPr>
          <w:ilvl w:val="0"/>
          <w:numId w:val="1008"/>
        </w:numPr>
      </w:pPr>
      <w:r>
        <w:t xml:space="preserve">Delivery tracking.</w:t>
      </w:r>
    </w:p>
    <w:p>
      <w:pPr>
        <w:pStyle w:val="Compact"/>
        <w:numPr>
          <w:ilvl w:val="0"/>
          <w:numId w:val="1008"/>
        </w:numPr>
      </w:pPr>
      <w:r>
        <w:t xml:space="preserve">Proof of delivery.</w:t>
      </w:r>
    </w:p>
    <w:p>
      <w:pPr>
        <w:pStyle w:val="Compact"/>
        <w:numPr>
          <w:ilvl w:val="0"/>
          <w:numId w:val="1008"/>
        </w:numPr>
      </w:pPr>
      <w:r>
        <w:t xml:space="preserve">Redistribution.</w:t>
      </w:r>
    </w:p>
    <w:p>
      <w:r>
        <w:pict>
          <v:rect style="width:0;height:1.5pt" o:hralign="center" o:hrstd="t" o:hr="t"/>
        </w:pict>
      </w:r>
    </w:p>
    <w:bookmarkEnd w:id="31"/>
    <w:bookmarkStart w:id="32" w:name="school-operations-service"/>
    <w:p>
      <w:pPr>
        <w:pStyle w:val="Heading3"/>
      </w:pPr>
      <w:r>
        <w:t xml:space="preserve">School Operations Service</w:t>
      </w:r>
    </w:p>
    <w:p>
      <w:pPr>
        <w:pStyle w:val="FirstParagraph"/>
      </w:pPr>
      <w:r>
        <w:t xml:space="preserve">Responsible for:</w:t>
      </w:r>
    </w:p>
    <w:p>
      <w:pPr>
        <w:pStyle w:val="Compact"/>
        <w:numPr>
          <w:ilvl w:val="0"/>
          <w:numId w:val="1009"/>
        </w:numPr>
      </w:pPr>
      <w:r>
        <w:t xml:space="preserve">School inventory.</w:t>
      </w:r>
    </w:p>
    <w:p>
      <w:pPr>
        <w:pStyle w:val="Compact"/>
        <w:numPr>
          <w:ilvl w:val="0"/>
          <w:numId w:val="1009"/>
        </w:numPr>
      </w:pPr>
      <w:r>
        <w:t xml:space="preserve">Student allocations.</w:t>
      </w:r>
    </w:p>
    <w:p>
      <w:pPr>
        <w:pStyle w:val="Compact"/>
        <w:numPr>
          <w:ilvl w:val="0"/>
          <w:numId w:val="1009"/>
        </w:numPr>
      </w:pPr>
      <w:r>
        <w:t xml:space="preserve">Department resources.</w:t>
      </w:r>
    </w:p>
    <w:p>
      <w:pPr>
        <w:pStyle w:val="Compact"/>
        <w:numPr>
          <w:ilvl w:val="0"/>
          <w:numId w:val="1009"/>
        </w:numPr>
      </w:pPr>
      <w:r>
        <w:t xml:space="preserve">Annual verification.</w:t>
      </w:r>
    </w:p>
    <w:p>
      <w:r>
        <w:pict>
          <v:rect style="width:0;height:1.5pt" o:hralign="center" o:hrstd="t" o:hr="t"/>
        </w:pict>
      </w:r>
    </w:p>
    <w:bookmarkEnd w:id="32"/>
    <w:bookmarkStart w:id="33" w:name="inspection-service"/>
    <w:p>
      <w:pPr>
        <w:pStyle w:val="Heading3"/>
      </w:pPr>
      <w:r>
        <w:t xml:space="preserve">Inspection Service</w:t>
      </w:r>
    </w:p>
    <w:p>
      <w:pPr>
        <w:pStyle w:val="FirstParagraph"/>
      </w:pPr>
      <w:r>
        <w:t xml:space="preserve">Responsible for:</w:t>
      </w:r>
    </w:p>
    <w:p>
      <w:pPr>
        <w:pStyle w:val="Compact"/>
        <w:numPr>
          <w:ilvl w:val="0"/>
          <w:numId w:val="1010"/>
        </w:numPr>
      </w:pPr>
      <w:r>
        <w:t xml:space="preserve">Inspection scheduling.</w:t>
      </w:r>
    </w:p>
    <w:p>
      <w:pPr>
        <w:pStyle w:val="Compact"/>
        <w:numPr>
          <w:ilvl w:val="0"/>
          <w:numId w:val="1010"/>
        </w:numPr>
      </w:pPr>
      <w:r>
        <w:t xml:space="preserve">Digital inspections.</w:t>
      </w:r>
    </w:p>
    <w:p>
      <w:pPr>
        <w:pStyle w:val="Compact"/>
        <w:numPr>
          <w:ilvl w:val="0"/>
          <w:numId w:val="1010"/>
        </w:numPr>
      </w:pPr>
      <w:r>
        <w:t xml:space="preserve">Compliance.</w:t>
      </w:r>
    </w:p>
    <w:p>
      <w:pPr>
        <w:pStyle w:val="Compact"/>
        <w:numPr>
          <w:ilvl w:val="0"/>
          <w:numId w:val="1010"/>
        </w:numPr>
      </w:pPr>
      <w:r>
        <w:t xml:space="preserve">Corrective actions.</w:t>
      </w:r>
    </w:p>
    <w:p>
      <w:r>
        <w:pict>
          <v:rect style="width:0;height:1.5pt" o:hralign="center" o:hrstd="t" o:hr="t"/>
        </w:pict>
      </w:r>
    </w:p>
    <w:bookmarkEnd w:id="33"/>
    <w:bookmarkStart w:id="34" w:name="analytics-service"/>
    <w:p>
      <w:pPr>
        <w:pStyle w:val="Heading3"/>
      </w:pPr>
      <w:r>
        <w:t xml:space="preserve">Analytics Service</w:t>
      </w:r>
    </w:p>
    <w:p>
      <w:pPr>
        <w:pStyle w:val="FirstParagraph"/>
      </w:pPr>
      <w:r>
        <w:t xml:space="preserve">Responsible for:</w:t>
      </w:r>
    </w:p>
    <w:p>
      <w:pPr>
        <w:pStyle w:val="Compact"/>
        <w:numPr>
          <w:ilvl w:val="0"/>
          <w:numId w:val="1011"/>
        </w:numPr>
      </w:pPr>
      <w:r>
        <w:t xml:space="preserve">Dashboards.</w:t>
      </w:r>
    </w:p>
    <w:p>
      <w:pPr>
        <w:pStyle w:val="Compact"/>
        <w:numPr>
          <w:ilvl w:val="0"/>
          <w:numId w:val="1011"/>
        </w:numPr>
      </w:pPr>
      <w:r>
        <w:t xml:space="preserve">Indicators.</w:t>
      </w:r>
    </w:p>
    <w:p>
      <w:pPr>
        <w:pStyle w:val="Compact"/>
        <w:numPr>
          <w:ilvl w:val="0"/>
          <w:numId w:val="1011"/>
        </w:numPr>
      </w:pPr>
      <w:r>
        <w:t xml:space="preserve">Trend analysis.</w:t>
      </w:r>
    </w:p>
    <w:p>
      <w:pPr>
        <w:pStyle w:val="Compact"/>
        <w:numPr>
          <w:ilvl w:val="0"/>
          <w:numId w:val="1011"/>
        </w:numPr>
      </w:pPr>
      <w:r>
        <w:t xml:space="preserve">Executive reporting.</w:t>
      </w:r>
    </w:p>
    <w:p>
      <w:r>
        <w:pict>
          <v:rect style="width:0;height:1.5pt" o:hralign="center" o:hrstd="t" o:hr="t"/>
        </w:pict>
      </w:r>
    </w:p>
    <w:bookmarkEnd w:id="34"/>
    <w:bookmarkEnd w:id="35"/>
    <w:bookmarkStart w:id="43" w:name="platform-services"/>
    <w:p>
      <w:pPr>
        <w:pStyle w:val="Heading1"/>
      </w:pPr>
      <w:r>
        <w:t xml:space="preserve">27.5 Platform Services</w:t>
      </w:r>
    </w:p>
    <w:p>
      <w:pPr>
        <w:pStyle w:val="FirstParagraph"/>
      </w:pPr>
      <w:r>
        <w:t xml:space="preserve">Supporting services include:</w:t>
      </w:r>
    </w:p>
    <w:bookmarkStart w:id="36" w:name="identity-and-access-service"/>
    <w:p>
      <w:pPr>
        <w:pStyle w:val="Heading3"/>
      </w:pPr>
      <w:r>
        <w:t xml:space="preserve">Identity and Access Service</w:t>
      </w:r>
    </w:p>
    <w:p>
      <w:pPr>
        <w:pStyle w:val="FirstParagraph"/>
      </w:pPr>
      <w:r>
        <w:t xml:space="preserve">Authentication, authorization, and user management.</w:t>
      </w:r>
    </w:p>
    <w:p>
      <w:r>
        <w:pict>
          <v:rect style="width:0;height:1.5pt" o:hralign="center" o:hrstd="t" o:hr="t"/>
        </w:pict>
      </w:r>
    </w:p>
    <w:bookmarkEnd w:id="36"/>
    <w:bookmarkStart w:id="37" w:name="notification-service"/>
    <w:p>
      <w:pPr>
        <w:pStyle w:val="Heading3"/>
      </w:pPr>
      <w:r>
        <w:t xml:space="preserve">Notification Service</w:t>
      </w:r>
    </w:p>
    <w:p>
      <w:pPr>
        <w:pStyle w:val="FirstParagraph"/>
      </w:pPr>
      <w:r>
        <w:t xml:space="preserve">SMS, email, push notifications, and in-platform alerts.</w:t>
      </w:r>
    </w:p>
    <w:p>
      <w:r>
        <w:pict>
          <v:rect style="width:0;height:1.5pt" o:hralign="center" o:hrstd="t" o:hr="t"/>
        </w:pict>
      </w:r>
    </w:p>
    <w:bookmarkEnd w:id="37"/>
    <w:bookmarkStart w:id="38" w:name="document-service"/>
    <w:p>
      <w:pPr>
        <w:pStyle w:val="Heading3"/>
      </w:pPr>
      <w:r>
        <w:t xml:space="preserve">Document Service</w:t>
      </w:r>
    </w:p>
    <w:p>
      <w:pPr>
        <w:pStyle w:val="FirstParagraph"/>
      </w:pPr>
      <w:r>
        <w:t xml:space="preserve">Electronic document storage, versioning, and retrieval.</w:t>
      </w:r>
    </w:p>
    <w:p>
      <w:r>
        <w:pict>
          <v:rect style="width:0;height:1.5pt" o:hralign="center" o:hrstd="t" o:hr="t"/>
        </w:pict>
      </w:r>
    </w:p>
    <w:bookmarkEnd w:id="38"/>
    <w:bookmarkStart w:id="39" w:name="audit-service"/>
    <w:p>
      <w:pPr>
        <w:pStyle w:val="Heading3"/>
      </w:pPr>
      <w:r>
        <w:t xml:space="preserve">Audit Service</w:t>
      </w:r>
    </w:p>
    <w:p>
      <w:pPr>
        <w:pStyle w:val="FirstParagraph"/>
      </w:pPr>
      <w:r>
        <w:t xml:space="preserve">Comprehensive audit trails for all significant system activities.</w:t>
      </w:r>
    </w:p>
    <w:p>
      <w:r>
        <w:pict>
          <v:rect style="width:0;height:1.5pt" o:hralign="center" o:hrstd="t" o:hr="t"/>
        </w:pict>
      </w:r>
    </w:p>
    <w:bookmarkEnd w:id="39"/>
    <w:bookmarkStart w:id="40" w:name="configuration-service"/>
    <w:p>
      <w:pPr>
        <w:pStyle w:val="Heading3"/>
      </w:pPr>
      <w:r>
        <w:t xml:space="preserve">Configuration Service</w:t>
      </w:r>
    </w:p>
    <w:p>
      <w:pPr>
        <w:pStyle w:val="FirstParagraph"/>
      </w:pPr>
      <w:r>
        <w:t xml:space="preserve">Central management of configurable business rules, reference data, and system settings.</w:t>
      </w:r>
    </w:p>
    <w:p>
      <w:r>
        <w:pict>
          <v:rect style="width:0;height:1.5pt" o:hralign="center" o:hrstd="t" o:hr="t"/>
        </w:pict>
      </w:r>
    </w:p>
    <w:bookmarkEnd w:id="40"/>
    <w:bookmarkStart w:id="41" w:name="synchronization-service"/>
    <w:p>
      <w:pPr>
        <w:pStyle w:val="Heading3"/>
      </w:pPr>
      <w:r>
        <w:t xml:space="preserve">Synchronization Service</w:t>
      </w:r>
    </w:p>
    <w:p>
      <w:pPr>
        <w:pStyle w:val="FirstParagraph"/>
      </w:pPr>
      <w:r>
        <w:t xml:space="preserve">Offline-first synchronization between school devices and central infrastructure.</w:t>
      </w:r>
    </w:p>
    <w:p>
      <w:r>
        <w:pict>
          <v:rect style="width:0;height:1.5pt" o:hralign="center" o:hrstd="t" o:hr="t"/>
        </w:pict>
      </w:r>
    </w:p>
    <w:bookmarkEnd w:id="41"/>
    <w:bookmarkStart w:id="42" w:name="interoperability-service"/>
    <w:p>
      <w:pPr>
        <w:pStyle w:val="Heading3"/>
      </w:pPr>
      <w:r>
        <w:t xml:space="preserve">Interoperability Service</w:t>
      </w:r>
    </w:p>
    <w:p>
      <w:pPr>
        <w:pStyle w:val="FirstParagraph"/>
      </w:pPr>
      <w:r>
        <w:t xml:space="preserve">API management, data exchange, and integration with approved external systems.</w:t>
      </w:r>
    </w:p>
    <w:p>
      <w:r>
        <w:pict>
          <v:rect style="width:0;height:1.5pt" o:hralign="center" o:hrstd="t" o:hr="t"/>
        </w:pict>
      </w:r>
    </w:p>
    <w:bookmarkEnd w:id="42"/>
    <w:bookmarkEnd w:id="43"/>
    <w:bookmarkStart w:id="46" w:name="service-communication"/>
    <w:p>
      <w:pPr>
        <w:pStyle w:val="Heading1"/>
      </w:pPr>
      <w:r>
        <w:t xml:space="preserve">27.6 Service Communication</w:t>
      </w:r>
    </w:p>
    <w:p>
      <w:pPr>
        <w:pStyle w:val="FirstParagraph"/>
      </w:pPr>
      <w:r>
        <w:t xml:space="preserve">The platform supports two communication models.</w:t>
      </w:r>
    </w:p>
    <w:bookmarkStart w:id="44" w:name="synchronous-communication"/>
    <w:p>
      <w:pPr>
        <w:pStyle w:val="Heading3"/>
      </w:pPr>
      <w:r>
        <w:t xml:space="preserve">Synchronous Communication</w:t>
      </w:r>
    </w:p>
    <w:p>
      <w:pPr>
        <w:pStyle w:val="FirstParagraph"/>
      </w:pPr>
      <w:r>
        <w:t xml:space="preserve">Used for operations requiring immediate responses, such as:</w:t>
      </w:r>
    </w:p>
    <w:p>
      <w:pPr>
        <w:pStyle w:val="Compact"/>
        <w:numPr>
          <w:ilvl w:val="0"/>
          <w:numId w:val="1012"/>
        </w:numPr>
      </w:pPr>
      <w:r>
        <w:t xml:space="preserve">User authentication.</w:t>
      </w:r>
    </w:p>
    <w:p>
      <w:pPr>
        <w:pStyle w:val="Compact"/>
        <w:numPr>
          <w:ilvl w:val="0"/>
          <w:numId w:val="1012"/>
        </w:numPr>
      </w:pPr>
      <w:r>
        <w:t xml:space="preserve">School profile lookup.</w:t>
      </w:r>
    </w:p>
    <w:p>
      <w:pPr>
        <w:pStyle w:val="Compact"/>
        <w:numPr>
          <w:ilvl w:val="0"/>
          <w:numId w:val="1012"/>
        </w:numPr>
      </w:pPr>
      <w:r>
        <w:t xml:space="preserve">Inventory queries.</w:t>
      </w:r>
    </w:p>
    <w:p>
      <w:pPr>
        <w:pStyle w:val="Compact"/>
        <w:numPr>
          <w:ilvl w:val="0"/>
          <w:numId w:val="1012"/>
        </w:numPr>
      </w:pPr>
      <w:r>
        <w:t xml:space="preserve">Textbook searches.</w:t>
      </w:r>
    </w:p>
    <w:p>
      <w:r>
        <w:pict>
          <v:rect style="width:0;height:1.5pt" o:hralign="center" o:hrstd="t" o:hr="t"/>
        </w:pict>
      </w:r>
    </w:p>
    <w:bookmarkEnd w:id="44"/>
    <w:bookmarkStart w:id="45" w:name="asynchronous-communication"/>
    <w:p>
      <w:pPr>
        <w:pStyle w:val="Heading3"/>
      </w:pPr>
      <w:r>
        <w:t xml:space="preserve">Asynchronous Communication</w:t>
      </w:r>
    </w:p>
    <w:p>
      <w:pPr>
        <w:pStyle w:val="FirstParagraph"/>
      </w:pPr>
      <w:r>
        <w:t xml:space="preserve">Used for background processing, including:</w:t>
      </w:r>
    </w:p>
    <w:p>
      <w:pPr>
        <w:pStyle w:val="Compact"/>
        <w:numPr>
          <w:ilvl w:val="0"/>
          <w:numId w:val="1013"/>
        </w:numPr>
      </w:pPr>
      <w:r>
        <w:t xml:space="preserve">Synchronization.</w:t>
      </w:r>
    </w:p>
    <w:p>
      <w:pPr>
        <w:pStyle w:val="Compact"/>
        <w:numPr>
          <w:ilvl w:val="0"/>
          <w:numId w:val="1013"/>
        </w:numPr>
      </w:pPr>
      <w:r>
        <w:t xml:space="preserve">Notifications.</w:t>
      </w:r>
    </w:p>
    <w:p>
      <w:pPr>
        <w:pStyle w:val="Compact"/>
        <w:numPr>
          <w:ilvl w:val="0"/>
          <w:numId w:val="1013"/>
        </w:numPr>
      </w:pPr>
      <w:r>
        <w:t xml:space="preserve">Analytics updates.</w:t>
      </w:r>
    </w:p>
    <w:p>
      <w:pPr>
        <w:pStyle w:val="Compact"/>
        <w:numPr>
          <w:ilvl w:val="0"/>
          <w:numId w:val="1013"/>
        </w:numPr>
      </w:pPr>
      <w:r>
        <w:t xml:space="preserve">Report generation.</w:t>
      </w:r>
    </w:p>
    <w:p>
      <w:pPr>
        <w:pStyle w:val="Compact"/>
        <w:numPr>
          <w:ilvl w:val="0"/>
          <w:numId w:val="1013"/>
        </w:numPr>
      </w:pPr>
      <w:r>
        <w:t xml:space="preserve">Audit logging.</w:t>
      </w:r>
    </w:p>
    <w:p>
      <w:r>
        <w:pict>
          <v:rect style="width:0;height:1.5pt" o:hralign="center" o:hrstd="t" o:hr="t"/>
        </w:pict>
      </w:r>
    </w:p>
    <w:bookmarkEnd w:id="45"/>
    <w:bookmarkEnd w:id="46"/>
    <w:bookmarkStart w:id="47" w:name="event-catalogue"/>
    <w:p>
      <w:pPr>
        <w:pStyle w:val="Heading1"/>
      </w:pPr>
      <w:r>
        <w:t xml:space="preserve">27.7 Event Catalogue</w:t>
      </w:r>
    </w:p>
    <w:p>
      <w:pPr>
        <w:pStyle w:val="FirstParagraph"/>
      </w:pPr>
      <w:r>
        <w:t xml:space="preserve">Illustrative business events include:</w:t>
      </w:r>
    </w:p>
    <w:p>
      <w:pPr>
        <w:pStyle w:val="Compact"/>
        <w:numPr>
          <w:ilvl w:val="0"/>
          <w:numId w:val="1014"/>
        </w:numPr>
      </w:pPr>
      <w:r>
        <w:t xml:space="preserve">SchoolRegistered</w:t>
      </w:r>
    </w:p>
    <w:p>
      <w:pPr>
        <w:pStyle w:val="Compact"/>
        <w:numPr>
          <w:ilvl w:val="0"/>
          <w:numId w:val="1014"/>
        </w:numPr>
      </w:pPr>
      <w:r>
        <w:t xml:space="preserve">StudentEnrolled</w:t>
      </w:r>
    </w:p>
    <w:p>
      <w:pPr>
        <w:pStyle w:val="Compact"/>
        <w:numPr>
          <w:ilvl w:val="0"/>
          <w:numId w:val="1014"/>
        </w:numPr>
      </w:pPr>
      <w:r>
        <w:t xml:space="preserve">TeacherAssigned</w:t>
      </w:r>
    </w:p>
    <w:p>
      <w:pPr>
        <w:pStyle w:val="Compact"/>
        <w:numPr>
          <w:ilvl w:val="0"/>
          <w:numId w:val="1014"/>
        </w:numPr>
      </w:pPr>
      <w:r>
        <w:t xml:space="preserve">TextbookApproved</w:t>
      </w:r>
    </w:p>
    <w:p>
      <w:pPr>
        <w:pStyle w:val="Compact"/>
        <w:numPr>
          <w:ilvl w:val="0"/>
          <w:numId w:val="1014"/>
        </w:numPr>
      </w:pPr>
      <w:r>
        <w:t xml:space="preserve">ProcurementCreated</w:t>
      </w:r>
    </w:p>
    <w:p>
      <w:pPr>
        <w:pStyle w:val="Compact"/>
        <w:numPr>
          <w:ilvl w:val="0"/>
          <w:numId w:val="1014"/>
        </w:numPr>
      </w:pPr>
      <w:r>
        <w:t xml:space="preserve">GoodsReceived</w:t>
      </w:r>
    </w:p>
    <w:p>
      <w:pPr>
        <w:pStyle w:val="Compact"/>
        <w:numPr>
          <w:ilvl w:val="0"/>
          <w:numId w:val="1014"/>
        </w:numPr>
      </w:pPr>
      <w:r>
        <w:t xml:space="preserve">ShipmentDispatched</w:t>
      </w:r>
    </w:p>
    <w:p>
      <w:pPr>
        <w:pStyle w:val="Compact"/>
        <w:numPr>
          <w:ilvl w:val="0"/>
          <w:numId w:val="1014"/>
        </w:numPr>
      </w:pPr>
      <w:r>
        <w:t xml:space="preserve">ShipmentDelivered</w:t>
      </w:r>
    </w:p>
    <w:p>
      <w:pPr>
        <w:pStyle w:val="Compact"/>
        <w:numPr>
          <w:ilvl w:val="0"/>
          <w:numId w:val="1014"/>
        </w:numPr>
      </w:pPr>
      <w:r>
        <w:t xml:space="preserve">InventoryVerified</w:t>
      </w:r>
    </w:p>
    <w:p>
      <w:pPr>
        <w:pStyle w:val="Compact"/>
        <w:numPr>
          <w:ilvl w:val="0"/>
          <w:numId w:val="1014"/>
        </w:numPr>
      </w:pPr>
      <w:r>
        <w:t xml:space="preserve">TextbookIssued</w:t>
      </w:r>
    </w:p>
    <w:p>
      <w:pPr>
        <w:pStyle w:val="Compact"/>
        <w:numPr>
          <w:ilvl w:val="0"/>
          <w:numId w:val="1014"/>
        </w:numPr>
      </w:pPr>
      <w:r>
        <w:t xml:space="preserve">TextbookReturned</w:t>
      </w:r>
    </w:p>
    <w:p>
      <w:pPr>
        <w:pStyle w:val="Compact"/>
        <w:numPr>
          <w:ilvl w:val="0"/>
          <w:numId w:val="1014"/>
        </w:numPr>
      </w:pPr>
      <w:r>
        <w:t xml:space="preserve">InspectionCompleted</w:t>
      </w:r>
    </w:p>
    <w:p>
      <w:pPr>
        <w:pStyle w:val="Compact"/>
        <w:numPr>
          <w:ilvl w:val="0"/>
          <w:numId w:val="1014"/>
        </w:numPr>
      </w:pPr>
      <w:r>
        <w:t xml:space="preserve">MaintenanceRecorded</w:t>
      </w:r>
    </w:p>
    <w:p>
      <w:pPr>
        <w:pStyle w:val="Compact"/>
        <w:numPr>
          <w:ilvl w:val="0"/>
          <w:numId w:val="1014"/>
        </w:numPr>
      </w:pPr>
      <w:r>
        <w:t xml:space="preserve">SynchronizationCompleted</w:t>
      </w:r>
    </w:p>
    <w:p>
      <w:pPr>
        <w:pStyle w:val="FirstParagraph"/>
      </w:pPr>
      <w:r>
        <w:t xml:space="preserve">These events enable services to react without creating unnecessary dependencies.</w:t>
      </w:r>
    </w:p>
    <w:p>
      <w:r>
        <w:pict>
          <v:rect style="width:0;height:1.5pt" o:hralign="center" o:hrstd="t" o:hr="t"/>
        </w:pict>
      </w:r>
    </w:p>
    <w:bookmarkEnd w:id="47"/>
    <w:bookmarkStart w:id="48" w:name="service-security"/>
    <w:p>
      <w:pPr>
        <w:pStyle w:val="Heading1"/>
      </w:pPr>
      <w:r>
        <w:t xml:space="preserve">27.8 Service Security</w:t>
      </w:r>
    </w:p>
    <w:p>
      <w:pPr>
        <w:pStyle w:val="FirstParagraph"/>
      </w:pPr>
      <w:r>
        <w:t xml:space="preserve">Every service shall:</w:t>
      </w:r>
    </w:p>
    <w:p>
      <w:pPr>
        <w:pStyle w:val="Compact"/>
        <w:numPr>
          <w:ilvl w:val="0"/>
          <w:numId w:val="1015"/>
        </w:numPr>
      </w:pPr>
      <w:r>
        <w:t xml:space="preserve">Verify user identity.</w:t>
      </w:r>
    </w:p>
    <w:p>
      <w:pPr>
        <w:pStyle w:val="Compact"/>
        <w:numPr>
          <w:ilvl w:val="0"/>
          <w:numId w:val="1015"/>
        </w:numPr>
      </w:pPr>
      <w:r>
        <w:t xml:space="preserve">Validate authorization.</w:t>
      </w:r>
    </w:p>
    <w:p>
      <w:pPr>
        <w:pStyle w:val="Compact"/>
        <w:numPr>
          <w:ilvl w:val="0"/>
          <w:numId w:val="1015"/>
        </w:numPr>
      </w:pPr>
      <w:r>
        <w:t xml:space="preserve">Record audit logs.</w:t>
      </w:r>
    </w:p>
    <w:p>
      <w:pPr>
        <w:pStyle w:val="Compact"/>
        <w:numPr>
          <w:ilvl w:val="0"/>
          <w:numId w:val="1015"/>
        </w:numPr>
      </w:pPr>
      <w:r>
        <w:t xml:space="preserve">Encrypt sensitive communications.</w:t>
      </w:r>
    </w:p>
    <w:p>
      <w:pPr>
        <w:pStyle w:val="Compact"/>
        <w:numPr>
          <w:ilvl w:val="0"/>
          <w:numId w:val="1015"/>
        </w:numPr>
      </w:pPr>
      <w:r>
        <w:t xml:space="preserve">Validate incoming requests.</w:t>
      </w:r>
    </w:p>
    <w:p>
      <w:pPr>
        <w:pStyle w:val="Compact"/>
        <w:numPr>
          <w:ilvl w:val="0"/>
          <w:numId w:val="1015"/>
        </w:numPr>
      </w:pPr>
      <w:r>
        <w:t xml:space="preserve">Apply business rule validation.</w:t>
      </w:r>
    </w:p>
    <w:p>
      <w:pPr>
        <w:pStyle w:val="Compact"/>
        <w:numPr>
          <w:ilvl w:val="0"/>
          <w:numId w:val="1015"/>
        </w:numPr>
      </w:pPr>
      <w:r>
        <w:t xml:space="preserve">Protect against unauthorized access.</w:t>
      </w:r>
    </w:p>
    <w:p>
      <w:r>
        <w:pict>
          <v:rect style="width:0;height:1.5pt" o:hralign="center" o:hrstd="t" o:hr="t"/>
        </w:pict>
      </w:r>
    </w:p>
    <w:bookmarkEnd w:id="48"/>
    <w:bookmarkStart w:id="49" w:name="service-monitoring"/>
    <w:p>
      <w:pPr>
        <w:pStyle w:val="Heading1"/>
      </w:pPr>
      <w:r>
        <w:t xml:space="preserve">27.9 Service Monitoring</w:t>
      </w:r>
    </w:p>
    <w:p>
      <w:pPr>
        <w:pStyle w:val="FirstParagraph"/>
      </w:pPr>
      <w:r>
        <w:t xml:space="preserve">Operational monitoring includes:</w:t>
      </w:r>
    </w:p>
    <w:p>
      <w:pPr>
        <w:pStyle w:val="Compact"/>
        <w:numPr>
          <w:ilvl w:val="0"/>
          <w:numId w:val="1016"/>
        </w:numPr>
      </w:pPr>
      <w:r>
        <w:t xml:space="preserve">Service availability.</w:t>
      </w:r>
    </w:p>
    <w:p>
      <w:pPr>
        <w:pStyle w:val="Compact"/>
        <w:numPr>
          <w:ilvl w:val="0"/>
          <w:numId w:val="1016"/>
        </w:numPr>
      </w:pPr>
      <w:r>
        <w:t xml:space="preserve">Response times.</w:t>
      </w:r>
    </w:p>
    <w:p>
      <w:pPr>
        <w:pStyle w:val="Compact"/>
        <w:numPr>
          <w:ilvl w:val="0"/>
          <w:numId w:val="1016"/>
        </w:numPr>
      </w:pPr>
      <w:r>
        <w:t xml:space="preserve">Error rates.</w:t>
      </w:r>
    </w:p>
    <w:p>
      <w:pPr>
        <w:pStyle w:val="Compact"/>
        <w:numPr>
          <w:ilvl w:val="0"/>
          <w:numId w:val="1016"/>
        </w:numPr>
      </w:pPr>
      <w:r>
        <w:t xml:space="preserve">Transaction volumes.</w:t>
      </w:r>
    </w:p>
    <w:p>
      <w:pPr>
        <w:pStyle w:val="Compact"/>
        <w:numPr>
          <w:ilvl w:val="0"/>
          <w:numId w:val="1016"/>
        </w:numPr>
      </w:pPr>
      <w:r>
        <w:t xml:space="preserve">Synchronization status.</w:t>
      </w:r>
    </w:p>
    <w:p>
      <w:pPr>
        <w:pStyle w:val="Compact"/>
        <w:numPr>
          <w:ilvl w:val="0"/>
          <w:numId w:val="1016"/>
        </w:numPr>
      </w:pPr>
      <w:r>
        <w:t xml:space="preserve">Queue health.</w:t>
      </w:r>
    </w:p>
    <w:p>
      <w:pPr>
        <w:pStyle w:val="Compact"/>
        <w:numPr>
          <w:ilvl w:val="0"/>
          <w:numId w:val="1016"/>
        </w:numPr>
      </w:pPr>
      <w:r>
        <w:t xml:space="preserve">API utilization.</w:t>
      </w:r>
    </w:p>
    <w:p>
      <w:r>
        <w:pict>
          <v:rect style="width:0;height:1.5pt" o:hralign="center" o:hrstd="t" o:hr="t"/>
        </w:pict>
      </w:r>
    </w:p>
    <w:bookmarkEnd w:id="49"/>
    <w:bookmarkStart w:id="50" w:name="deployment-strategy"/>
    <w:p>
      <w:pPr>
        <w:pStyle w:val="Heading1"/>
      </w:pPr>
      <w:r>
        <w:t xml:space="preserve">27.10 Deployment Strategy</w:t>
      </w:r>
    </w:p>
    <w:p>
      <w:pPr>
        <w:pStyle w:val="FirstParagraph"/>
      </w:pPr>
      <w:r>
        <w:t xml:space="preserve">Services may be deployed independently to support:</w:t>
      </w:r>
    </w:p>
    <w:p>
      <w:pPr>
        <w:pStyle w:val="Compact"/>
        <w:numPr>
          <w:ilvl w:val="0"/>
          <w:numId w:val="1017"/>
        </w:numPr>
      </w:pPr>
      <w:r>
        <w:t xml:space="preserve">Progressive rollout.</w:t>
      </w:r>
    </w:p>
    <w:p>
      <w:pPr>
        <w:pStyle w:val="Compact"/>
        <w:numPr>
          <w:ilvl w:val="0"/>
          <w:numId w:val="1017"/>
        </w:numPr>
      </w:pPr>
      <w:r>
        <w:t xml:space="preserve">Controlled updates.</w:t>
      </w:r>
    </w:p>
    <w:p>
      <w:pPr>
        <w:pStyle w:val="Compact"/>
        <w:numPr>
          <w:ilvl w:val="0"/>
          <w:numId w:val="1017"/>
        </w:numPr>
      </w:pPr>
      <w:r>
        <w:t xml:space="preserve">Simplified maintenance.</w:t>
      </w:r>
    </w:p>
    <w:p>
      <w:pPr>
        <w:pStyle w:val="Compact"/>
        <w:numPr>
          <w:ilvl w:val="0"/>
          <w:numId w:val="1017"/>
        </w:numPr>
      </w:pPr>
      <w:r>
        <w:t xml:space="preserve">Fault isolation.</w:t>
      </w:r>
    </w:p>
    <w:p>
      <w:pPr>
        <w:pStyle w:val="Compact"/>
        <w:numPr>
          <w:ilvl w:val="0"/>
          <w:numId w:val="1017"/>
        </w:numPr>
      </w:pPr>
      <w:r>
        <w:t xml:space="preserve">Horizontal scaling of high-demand services.</w:t>
      </w:r>
    </w:p>
    <w:p>
      <w:r>
        <w:pict>
          <v:rect style="width:0;height:1.5pt" o:hralign="center" o:hrstd="t" o:hr="t"/>
        </w:pict>
      </w:r>
    </w:p>
    <w:bookmarkEnd w:id="50"/>
    <w:bookmarkStart w:id="51" w:name="success-indicators"/>
    <w:p>
      <w:pPr>
        <w:pStyle w:val="Heading1"/>
      </w:pPr>
      <w:r>
        <w:t xml:space="preserve">27.11 Success Indicators</w:t>
      </w:r>
    </w:p>
    <w:p>
      <w:pPr>
        <w:pStyle w:val="FirstParagraph"/>
      </w:pPr>
      <w:r>
        <w:t xml:space="preserve">Examples include:</w:t>
      </w:r>
    </w:p>
    <w:p>
      <w:pPr>
        <w:pStyle w:val="Compact"/>
        <w:numPr>
          <w:ilvl w:val="0"/>
          <w:numId w:val="1018"/>
        </w:numPr>
      </w:pPr>
      <w:r>
        <w:t xml:space="preserve">Service availability.</w:t>
      </w:r>
    </w:p>
    <w:p>
      <w:pPr>
        <w:pStyle w:val="Compact"/>
        <w:numPr>
          <w:ilvl w:val="0"/>
          <w:numId w:val="1018"/>
        </w:numPr>
      </w:pPr>
      <w:r>
        <w:t xml:space="preserve">Mean response time.</w:t>
      </w:r>
    </w:p>
    <w:p>
      <w:pPr>
        <w:pStyle w:val="Compact"/>
        <w:numPr>
          <w:ilvl w:val="0"/>
          <w:numId w:val="1018"/>
        </w:numPr>
      </w:pPr>
      <w:r>
        <w:t xml:space="preserve">Successful transaction rate.</w:t>
      </w:r>
    </w:p>
    <w:p>
      <w:pPr>
        <w:pStyle w:val="Compact"/>
        <w:numPr>
          <w:ilvl w:val="0"/>
          <w:numId w:val="1018"/>
        </w:numPr>
      </w:pPr>
      <w:r>
        <w:t xml:space="preserve">Synchronization reliability.</w:t>
      </w:r>
    </w:p>
    <w:p>
      <w:pPr>
        <w:pStyle w:val="Compact"/>
        <w:numPr>
          <w:ilvl w:val="0"/>
          <w:numId w:val="1018"/>
        </w:numPr>
      </w:pPr>
      <w:r>
        <w:t xml:space="preserve">Independent deployment frequency.</w:t>
      </w:r>
    </w:p>
    <w:p>
      <w:pPr>
        <w:pStyle w:val="Compact"/>
        <w:numPr>
          <w:ilvl w:val="0"/>
          <w:numId w:val="1018"/>
        </w:numPr>
      </w:pPr>
      <w:r>
        <w:t xml:space="preserve">Integration success rate.</w:t>
      </w:r>
    </w:p>
    <w:p>
      <w:pPr>
        <w:pStyle w:val="Compact"/>
        <w:numPr>
          <w:ilvl w:val="0"/>
          <w:numId w:val="1018"/>
        </w:numPr>
      </w:pPr>
      <w:r>
        <w:t xml:space="preserve">Platform resilience.</w:t>
      </w:r>
    </w:p>
    <w:p>
      <w:r>
        <w:pict>
          <v:rect style="width:0;height:1.5pt" o:hralign="center" o:hrstd="t" o:hr="t"/>
        </w:pict>
      </w:r>
    </w:p>
    <w:bookmarkEnd w:id="51"/>
    <w:bookmarkStart w:id="52" w:name="conclusion"/>
    <w:p>
      <w:pPr>
        <w:pStyle w:val="Heading1"/>
      </w:pPr>
      <w:r>
        <w:t xml:space="preserve">27.12 Conclusion</w:t>
      </w:r>
    </w:p>
    <w:p>
      <w:pPr>
        <w:pStyle w:val="FirstParagraph"/>
      </w:pPr>
      <w:r>
        <w:t xml:space="preserve">The microservice architecture enables EduOS Cameroon to evolve as a modular digital ecosystem rather than a monolithic application.</w:t>
      </w:r>
    </w:p>
    <w:p>
      <w:pPr>
        <w:pStyle w:val="BodyText"/>
      </w:pPr>
      <w:r>
        <w:t xml:space="preserve">By separating business capabilities into independently managed services connected through secure interfaces and event-driven communication, the platform can support nationwide deployment, future expansion, and continuous innovation while maintaining operational resilience and strong governance.</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2026-07-10T13:19:06Z</dcterms:created>
  <dcterms:modified xsi:type="dcterms:W3CDTF">2026-07-10T13:19:06Z</dcterms:modified>
</cp:coreProperties>
</file>

<file path=docProps/custom.xml><?xml version="1.0" encoding="utf-8"?>
<Properties xmlns="http://schemas.openxmlformats.org/officeDocument/2006/custom-properties" xmlns:vt="http://schemas.openxmlformats.org/officeDocument/2006/docPropsVTypes"/>
</file>