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hapter-30"/>
    <w:p>
      <w:pPr>
        <w:pStyle w:val="Heading1"/>
      </w:pPr>
      <w:r>
        <w:t xml:space="preserve">CHAPTER 30</w:t>
      </w:r>
    </w:p>
    <w:bookmarkEnd w:id="20"/>
    <w:bookmarkStart w:id="22" w:name="Xdd8bcff4aecf5e75461924a7a89c8153c299c71"/>
    <w:p>
      <w:pPr>
        <w:pStyle w:val="Heading1"/>
      </w:pPr>
      <w:r>
        <w:t xml:space="preserve">NATIONAL WORKFLOW, BUSINESS PROCESS AND APPROVAL ENGINE (NWBPAE)</w:t>
      </w:r>
    </w:p>
    <w:bookmarkStart w:id="21" w:name="introduction"/>
    <w:p>
      <w:pPr>
        <w:pStyle w:val="Heading2"/>
      </w:pPr>
      <w:r>
        <w:t xml:space="preserve">30.1 Introduction</w:t>
      </w:r>
    </w:p>
    <w:p>
      <w:pPr>
        <w:pStyle w:val="FirstParagraph"/>
      </w:pPr>
      <w:r>
        <w:t xml:space="preserve">The National Workflow, Business Process and Approval Engine (NWBPAE) provides the process automation layer for EduOS Cameroon.</w:t>
      </w:r>
    </w:p>
    <w:p>
      <w:pPr>
        <w:pStyle w:val="BodyText"/>
      </w:pPr>
      <w:r>
        <w:t xml:space="preserve">It enables the Ministry to design, configure, execute, monitor, and improve administrative workflows governing educational resource management.</w:t>
      </w:r>
    </w:p>
    <w:p>
      <w:pPr>
        <w:pStyle w:val="BodyText"/>
      </w:pPr>
      <w:r>
        <w:t xml:space="preserve">Rather than implementing fixed approval chains, the Workflow Engine supports configurable business processes that reflect ministry policies, delegated authorities, and operational procedures.</w:t>
      </w:r>
    </w:p>
    <w:p>
      <w:r>
        <w:pict>
          <v:rect style="width:0;height:1.5pt" o:hralign="center" o:hrstd="t" o:hr="t"/>
        </w:pict>
      </w:r>
    </w:p>
    <w:bookmarkEnd w:id="21"/>
    <w:bookmarkEnd w:id="22"/>
    <w:bookmarkStart w:id="23" w:name="strategic-objectives"/>
    <w:p>
      <w:pPr>
        <w:pStyle w:val="Heading1"/>
      </w:pPr>
      <w:r>
        <w:t xml:space="preserve">30.2 Strategic Objectives</w:t>
      </w:r>
    </w:p>
    <w:p>
      <w:pPr>
        <w:pStyle w:val="FirstParagraph"/>
      </w:pPr>
      <w:r>
        <w:t xml:space="preserve">The Workflow Engine seeks to:</w:t>
      </w:r>
    </w:p>
    <w:p>
      <w:pPr>
        <w:pStyle w:val="Compact"/>
        <w:numPr>
          <w:ilvl w:val="0"/>
          <w:numId w:val="1001"/>
        </w:numPr>
      </w:pPr>
      <w:r>
        <w:t xml:space="preserve">Standardize administrative processes.</w:t>
      </w:r>
    </w:p>
    <w:p>
      <w:pPr>
        <w:pStyle w:val="Compact"/>
        <w:numPr>
          <w:ilvl w:val="0"/>
          <w:numId w:val="1001"/>
        </w:numPr>
      </w:pPr>
      <w:r>
        <w:t xml:space="preserve">Improve transparency.</w:t>
      </w:r>
    </w:p>
    <w:p>
      <w:pPr>
        <w:pStyle w:val="Compact"/>
        <w:numPr>
          <w:ilvl w:val="0"/>
          <w:numId w:val="1001"/>
        </w:numPr>
      </w:pPr>
      <w:r>
        <w:t xml:space="preserve">Reduce processing delays.</w:t>
      </w:r>
    </w:p>
    <w:p>
      <w:pPr>
        <w:pStyle w:val="Compact"/>
        <w:numPr>
          <w:ilvl w:val="0"/>
          <w:numId w:val="1001"/>
        </w:numPr>
      </w:pPr>
      <w:r>
        <w:t xml:space="preserve">Strengthen accountability.</w:t>
      </w:r>
    </w:p>
    <w:p>
      <w:pPr>
        <w:pStyle w:val="Compact"/>
        <w:numPr>
          <w:ilvl w:val="0"/>
          <w:numId w:val="1001"/>
        </w:numPr>
      </w:pPr>
      <w:r>
        <w:t xml:space="preserve">Support policy implementation.</w:t>
      </w:r>
    </w:p>
    <w:p>
      <w:pPr>
        <w:pStyle w:val="Compact"/>
        <w:numPr>
          <w:ilvl w:val="0"/>
          <w:numId w:val="1001"/>
        </w:numPr>
      </w:pPr>
      <w:r>
        <w:t xml:space="preserve">Maintain complete audit trails.</w:t>
      </w:r>
    </w:p>
    <w:p>
      <w:pPr>
        <w:pStyle w:val="Compact"/>
        <w:numPr>
          <w:ilvl w:val="0"/>
          <w:numId w:val="1001"/>
        </w:numPr>
      </w:pPr>
      <w:r>
        <w:t xml:space="preserve">Improve operational efficiency.</w:t>
      </w:r>
    </w:p>
    <w:p>
      <w:pPr>
        <w:pStyle w:val="Compact"/>
        <w:numPr>
          <w:ilvl w:val="0"/>
          <w:numId w:val="1001"/>
        </w:numPr>
      </w:pPr>
      <w:r>
        <w:t xml:space="preserve">Allow workflows to evolve without software redevelopment.</w:t>
      </w:r>
    </w:p>
    <w:p>
      <w:r>
        <w:pict>
          <v:rect style="width:0;height:1.5pt" o:hralign="center" o:hrstd="t" o:hr="t"/>
        </w:pict>
      </w:r>
    </w:p>
    <w:bookmarkEnd w:id="23"/>
    <w:bookmarkStart w:id="24" w:name="workflow-architecture"/>
    <w:p>
      <w:pPr>
        <w:pStyle w:val="Heading1"/>
      </w:pPr>
      <w:r>
        <w:t xml:space="preserve">30.3 Workflow Architecture</w:t>
      </w:r>
    </w:p>
    <w:p>
      <w:pPr>
        <w:pStyle w:val="FirstParagraph"/>
      </w:pPr>
      <w:r>
        <w:rPr>
          <w:rStyle w:val="VerbatimChar"/>
        </w:rPr>
        <w:t xml:space="preserve">text id="workflow001" User Action       │       ▼ Business Rules       │       ▼ Workflow Engine       │  ┌────┼─────┐  ▼    ▼     ▼ Approval Validation Notifications       │       ▼ Decision       │  ┌────┼─────┐  ▼          ▼ Approved  Returned / Rejected       │       ▼ Audit Log       │       ▼ Next Process</w:t>
      </w:r>
    </w:p>
    <w:p>
      <w:pPr>
        <w:pStyle w:val="BodyText"/>
      </w:pPr>
      <w:r>
        <w:t xml:space="preserve">Every workflow instance receives a unique reference number and complete processing history.</w:t>
      </w:r>
    </w:p>
    <w:p>
      <w:r>
        <w:pict>
          <v:rect style="width:0;height:1.5pt" o:hralign="center" o:hrstd="t" o:hr="t"/>
        </w:pict>
      </w:r>
    </w:p>
    <w:bookmarkEnd w:id="24"/>
    <w:bookmarkStart w:id="31" w:name="supported-workflow-categories"/>
    <w:p>
      <w:pPr>
        <w:pStyle w:val="Heading1"/>
      </w:pPr>
      <w:r>
        <w:t xml:space="preserve">30.4 Supported Workflow Categories</w:t>
      </w:r>
    </w:p>
    <w:p>
      <w:pPr>
        <w:pStyle w:val="FirstParagraph"/>
      </w:pPr>
      <w:r>
        <w:t xml:space="preserve">The engine supports workflows including:</w:t>
      </w:r>
    </w:p>
    <w:bookmarkStart w:id="25" w:name="planning"/>
    <w:p>
      <w:pPr>
        <w:pStyle w:val="Heading3"/>
      </w:pPr>
      <w:r>
        <w:t xml:space="preserve">Planning</w:t>
      </w:r>
    </w:p>
    <w:p>
      <w:pPr>
        <w:pStyle w:val="Compact"/>
        <w:numPr>
          <w:ilvl w:val="0"/>
          <w:numId w:val="1002"/>
        </w:numPr>
      </w:pPr>
      <w:r>
        <w:t xml:space="preserve">Annual textbook demand submission.</w:t>
      </w:r>
    </w:p>
    <w:p>
      <w:pPr>
        <w:pStyle w:val="Compact"/>
        <w:numPr>
          <w:ilvl w:val="0"/>
          <w:numId w:val="1002"/>
        </w:numPr>
      </w:pPr>
      <w:r>
        <w:t xml:space="preserve">Resource forecasting.</w:t>
      </w:r>
    </w:p>
    <w:p>
      <w:pPr>
        <w:pStyle w:val="Compact"/>
        <w:numPr>
          <w:ilvl w:val="0"/>
          <w:numId w:val="1002"/>
        </w:numPr>
      </w:pPr>
      <w:r>
        <w:t xml:space="preserve">Budget requests.</w:t>
      </w:r>
    </w:p>
    <w:p>
      <w:r>
        <w:pict>
          <v:rect style="width:0;height:1.5pt" o:hralign="center" o:hrstd="t" o:hr="t"/>
        </w:pict>
      </w:r>
    </w:p>
    <w:bookmarkEnd w:id="25"/>
    <w:bookmarkStart w:id="26" w:name="procurement"/>
    <w:p>
      <w:pPr>
        <w:pStyle w:val="Heading3"/>
      </w:pPr>
      <w:r>
        <w:t xml:space="preserve">Procurement</w:t>
      </w:r>
    </w:p>
    <w:p>
      <w:pPr>
        <w:pStyle w:val="Compact"/>
        <w:numPr>
          <w:ilvl w:val="0"/>
          <w:numId w:val="1003"/>
        </w:numPr>
      </w:pPr>
      <w:r>
        <w:t xml:space="preserve">Procurement planning.</w:t>
      </w:r>
    </w:p>
    <w:p>
      <w:pPr>
        <w:pStyle w:val="Compact"/>
        <w:numPr>
          <w:ilvl w:val="0"/>
          <w:numId w:val="1003"/>
        </w:numPr>
      </w:pPr>
      <w:r>
        <w:t xml:space="preserve">Contract approval.</w:t>
      </w:r>
    </w:p>
    <w:p>
      <w:pPr>
        <w:pStyle w:val="Compact"/>
        <w:numPr>
          <w:ilvl w:val="0"/>
          <w:numId w:val="1003"/>
        </w:numPr>
      </w:pPr>
      <w:r>
        <w:t xml:space="preserve">Supplier onboarding.</w:t>
      </w:r>
    </w:p>
    <w:p>
      <w:pPr>
        <w:pStyle w:val="Compact"/>
        <w:numPr>
          <w:ilvl w:val="0"/>
          <w:numId w:val="1003"/>
        </w:numPr>
      </w:pPr>
      <w:r>
        <w:t xml:space="preserve">Contract amendments.</w:t>
      </w:r>
    </w:p>
    <w:p>
      <w:r>
        <w:pict>
          <v:rect style="width:0;height:1.5pt" o:hralign="center" o:hrstd="t" o:hr="t"/>
        </w:pict>
      </w:r>
    </w:p>
    <w:bookmarkEnd w:id="26"/>
    <w:bookmarkStart w:id="27" w:name="logistics"/>
    <w:p>
      <w:pPr>
        <w:pStyle w:val="Heading3"/>
      </w:pPr>
      <w:r>
        <w:t xml:space="preserve">Logistics</w:t>
      </w:r>
    </w:p>
    <w:p>
      <w:pPr>
        <w:pStyle w:val="Compact"/>
        <w:numPr>
          <w:ilvl w:val="0"/>
          <w:numId w:val="1004"/>
        </w:numPr>
      </w:pPr>
      <w:r>
        <w:t xml:space="preserve">Shipment authorization.</w:t>
      </w:r>
    </w:p>
    <w:p>
      <w:pPr>
        <w:pStyle w:val="Compact"/>
        <w:numPr>
          <w:ilvl w:val="0"/>
          <w:numId w:val="1004"/>
        </w:numPr>
      </w:pPr>
      <w:r>
        <w:t xml:space="preserve">Warehouse transfers.</w:t>
      </w:r>
    </w:p>
    <w:p>
      <w:pPr>
        <w:pStyle w:val="Compact"/>
        <w:numPr>
          <w:ilvl w:val="0"/>
          <w:numId w:val="1004"/>
        </w:numPr>
      </w:pPr>
      <w:r>
        <w:t xml:space="preserve">Emergency redistribution.</w:t>
      </w:r>
    </w:p>
    <w:p>
      <w:pPr>
        <w:pStyle w:val="Compact"/>
        <w:numPr>
          <w:ilvl w:val="0"/>
          <w:numId w:val="1004"/>
        </w:numPr>
      </w:pPr>
      <w:r>
        <w:t xml:space="preserve">Delivery confirmation.</w:t>
      </w:r>
    </w:p>
    <w:p>
      <w:r>
        <w:pict>
          <v:rect style="width:0;height:1.5pt" o:hralign="center" o:hrstd="t" o:hr="t"/>
        </w:pict>
      </w:r>
    </w:p>
    <w:bookmarkEnd w:id="27"/>
    <w:bookmarkStart w:id="28" w:name="school-operations"/>
    <w:p>
      <w:pPr>
        <w:pStyle w:val="Heading3"/>
      </w:pPr>
      <w:r>
        <w:t xml:space="preserve">School Operations</w:t>
      </w:r>
    </w:p>
    <w:p>
      <w:pPr>
        <w:pStyle w:val="Compact"/>
        <w:numPr>
          <w:ilvl w:val="0"/>
          <w:numId w:val="1005"/>
        </w:numPr>
      </w:pPr>
      <w:r>
        <w:t xml:space="preserve">Resource requests.</w:t>
      </w:r>
    </w:p>
    <w:p>
      <w:pPr>
        <w:pStyle w:val="Compact"/>
        <w:numPr>
          <w:ilvl w:val="0"/>
          <w:numId w:val="1005"/>
        </w:numPr>
      </w:pPr>
      <w:r>
        <w:t xml:space="preserve">Inventory adjustments.</w:t>
      </w:r>
    </w:p>
    <w:p>
      <w:pPr>
        <w:pStyle w:val="Compact"/>
        <w:numPr>
          <w:ilvl w:val="0"/>
          <w:numId w:val="1005"/>
        </w:numPr>
      </w:pPr>
      <w:r>
        <w:t xml:space="preserve">Lost textbook reports.</w:t>
      </w:r>
    </w:p>
    <w:p>
      <w:pPr>
        <w:pStyle w:val="Compact"/>
        <w:numPr>
          <w:ilvl w:val="0"/>
          <w:numId w:val="1005"/>
        </w:numPr>
      </w:pPr>
      <w:r>
        <w:t xml:space="preserve">Damage assessments.</w:t>
      </w:r>
    </w:p>
    <w:p>
      <w:pPr>
        <w:pStyle w:val="Compact"/>
        <w:numPr>
          <w:ilvl w:val="0"/>
          <w:numId w:val="1005"/>
        </w:numPr>
      </w:pPr>
      <w:r>
        <w:t xml:space="preserve">Resource disposal.</w:t>
      </w:r>
    </w:p>
    <w:p>
      <w:r>
        <w:pict>
          <v:rect style="width:0;height:1.5pt" o:hralign="center" o:hrstd="t" o:hr="t"/>
        </w:pict>
      </w:r>
    </w:p>
    <w:bookmarkEnd w:id="28"/>
    <w:bookmarkStart w:id="29" w:name="human-operations"/>
    <w:p>
      <w:pPr>
        <w:pStyle w:val="Heading3"/>
      </w:pPr>
      <w:r>
        <w:t xml:space="preserve">Human Operations</w:t>
      </w:r>
    </w:p>
    <w:p>
      <w:pPr>
        <w:pStyle w:val="Compact"/>
        <w:numPr>
          <w:ilvl w:val="0"/>
          <w:numId w:val="1006"/>
        </w:numPr>
      </w:pPr>
      <w:r>
        <w:t xml:space="preserve">User account requests.</w:t>
      </w:r>
    </w:p>
    <w:p>
      <w:pPr>
        <w:pStyle w:val="Compact"/>
        <w:numPr>
          <w:ilvl w:val="0"/>
          <w:numId w:val="1006"/>
        </w:numPr>
      </w:pPr>
      <w:r>
        <w:t xml:space="preserve">Role changes.</w:t>
      </w:r>
    </w:p>
    <w:p>
      <w:pPr>
        <w:pStyle w:val="Compact"/>
        <w:numPr>
          <w:ilvl w:val="0"/>
          <w:numId w:val="1006"/>
        </w:numPr>
      </w:pPr>
      <w:r>
        <w:t xml:space="preserve">School transfers.</w:t>
      </w:r>
    </w:p>
    <w:p>
      <w:pPr>
        <w:pStyle w:val="Compact"/>
        <w:numPr>
          <w:ilvl w:val="0"/>
          <w:numId w:val="1006"/>
        </w:numPr>
      </w:pPr>
      <w:r>
        <w:t xml:space="preserve">Delegation of authority.</w:t>
      </w:r>
    </w:p>
    <w:p>
      <w:r>
        <w:pict>
          <v:rect style="width:0;height:1.5pt" o:hralign="center" o:hrstd="t" o:hr="t"/>
        </w:pict>
      </w:r>
    </w:p>
    <w:bookmarkEnd w:id="29"/>
    <w:bookmarkStart w:id="30" w:name="inspection"/>
    <w:p>
      <w:pPr>
        <w:pStyle w:val="Heading3"/>
      </w:pPr>
      <w:r>
        <w:t xml:space="preserve">Inspection</w:t>
      </w:r>
    </w:p>
    <w:p>
      <w:pPr>
        <w:pStyle w:val="Compact"/>
        <w:numPr>
          <w:ilvl w:val="0"/>
          <w:numId w:val="1007"/>
        </w:numPr>
      </w:pPr>
      <w:r>
        <w:t xml:space="preserve">Inspection scheduling.</w:t>
      </w:r>
    </w:p>
    <w:p>
      <w:pPr>
        <w:pStyle w:val="Compact"/>
        <w:numPr>
          <w:ilvl w:val="0"/>
          <w:numId w:val="1007"/>
        </w:numPr>
      </w:pPr>
      <w:r>
        <w:t xml:space="preserve">Corrective action plans.</w:t>
      </w:r>
    </w:p>
    <w:p>
      <w:pPr>
        <w:pStyle w:val="Compact"/>
        <w:numPr>
          <w:ilvl w:val="0"/>
          <w:numId w:val="1007"/>
        </w:numPr>
      </w:pPr>
      <w:r>
        <w:t xml:space="preserve">Compliance verification.</w:t>
      </w:r>
    </w:p>
    <w:p>
      <w:pPr>
        <w:pStyle w:val="Compact"/>
        <w:numPr>
          <w:ilvl w:val="0"/>
          <w:numId w:val="1007"/>
        </w:numPr>
      </w:pPr>
      <w:r>
        <w:t xml:space="preserve">Follow-up approvals.</w:t>
      </w:r>
    </w:p>
    <w:p>
      <w:r>
        <w:pict>
          <v:rect style="width:0;height:1.5pt" o:hralign="center" o:hrstd="t" o:hr="t"/>
        </w:pict>
      </w:r>
    </w:p>
    <w:bookmarkEnd w:id="30"/>
    <w:bookmarkEnd w:id="31"/>
    <w:bookmarkStart w:id="32" w:name="workflow-components"/>
    <w:p>
      <w:pPr>
        <w:pStyle w:val="Heading1"/>
      </w:pPr>
      <w:r>
        <w:t xml:space="preserve">30.5 Workflow Components</w:t>
      </w:r>
    </w:p>
    <w:p>
      <w:pPr>
        <w:pStyle w:val="FirstParagraph"/>
      </w:pPr>
      <w:r>
        <w:t xml:space="preserve">Each workflow contains:</w:t>
      </w:r>
    </w:p>
    <w:p>
      <w:pPr>
        <w:pStyle w:val="Compact"/>
        <w:numPr>
          <w:ilvl w:val="0"/>
          <w:numId w:val="1008"/>
        </w:numPr>
      </w:pPr>
      <w:r>
        <w:t xml:space="preserve">Initiator.</w:t>
      </w:r>
    </w:p>
    <w:p>
      <w:pPr>
        <w:pStyle w:val="Compact"/>
        <w:numPr>
          <w:ilvl w:val="0"/>
          <w:numId w:val="1008"/>
        </w:numPr>
      </w:pPr>
      <w:r>
        <w:t xml:space="preserve">Workflow type.</w:t>
      </w:r>
    </w:p>
    <w:p>
      <w:pPr>
        <w:pStyle w:val="Compact"/>
        <w:numPr>
          <w:ilvl w:val="0"/>
          <w:numId w:val="1008"/>
        </w:numPr>
      </w:pPr>
      <w:r>
        <w:t xml:space="preserve">Approval stages.</w:t>
      </w:r>
    </w:p>
    <w:p>
      <w:pPr>
        <w:pStyle w:val="Compact"/>
        <w:numPr>
          <w:ilvl w:val="0"/>
          <w:numId w:val="1008"/>
        </w:numPr>
      </w:pPr>
      <w:r>
        <w:t xml:space="preserve">Responsible officers.</w:t>
      </w:r>
    </w:p>
    <w:p>
      <w:pPr>
        <w:pStyle w:val="Compact"/>
        <w:numPr>
          <w:ilvl w:val="0"/>
          <w:numId w:val="1008"/>
        </w:numPr>
      </w:pPr>
      <w:r>
        <w:t xml:space="preserve">Supporting documents.</w:t>
      </w:r>
    </w:p>
    <w:p>
      <w:pPr>
        <w:pStyle w:val="Compact"/>
        <w:numPr>
          <w:ilvl w:val="0"/>
          <w:numId w:val="1008"/>
        </w:numPr>
      </w:pPr>
      <w:r>
        <w:t xml:space="preserve">Business rules.</w:t>
      </w:r>
    </w:p>
    <w:p>
      <w:pPr>
        <w:pStyle w:val="Compact"/>
        <w:numPr>
          <w:ilvl w:val="0"/>
          <w:numId w:val="1008"/>
        </w:numPr>
      </w:pPr>
      <w:r>
        <w:t xml:space="preserve">Time limits.</w:t>
      </w:r>
    </w:p>
    <w:p>
      <w:pPr>
        <w:pStyle w:val="Compact"/>
        <w:numPr>
          <w:ilvl w:val="0"/>
          <w:numId w:val="1008"/>
        </w:numPr>
      </w:pPr>
      <w:r>
        <w:t xml:space="preserve">Escalation rules.</w:t>
      </w:r>
    </w:p>
    <w:p>
      <w:pPr>
        <w:pStyle w:val="Compact"/>
        <w:numPr>
          <w:ilvl w:val="0"/>
          <w:numId w:val="1008"/>
        </w:numPr>
      </w:pPr>
      <w:r>
        <w:t xml:space="preserve">Final outcome.</w:t>
      </w:r>
    </w:p>
    <w:p>
      <w:pPr>
        <w:pStyle w:val="Compact"/>
        <w:numPr>
          <w:ilvl w:val="0"/>
          <w:numId w:val="1008"/>
        </w:numPr>
      </w:pPr>
      <w:r>
        <w:t xml:space="preserve">Audit history.</w:t>
      </w:r>
    </w:p>
    <w:p>
      <w:r>
        <w:pict>
          <v:rect style="width:0;height:1.5pt" o:hralign="center" o:hrstd="t" o:hr="t"/>
        </w:pict>
      </w:r>
    </w:p>
    <w:bookmarkEnd w:id="32"/>
    <w:bookmarkStart w:id="39" w:name="functional-requirements"/>
    <w:p>
      <w:pPr>
        <w:pStyle w:val="Heading1"/>
      </w:pPr>
      <w:r>
        <w:t xml:space="preserve">30.6 Functional Requirements</w:t>
      </w:r>
    </w:p>
    <w:bookmarkStart w:id="33" w:name="fr-wf-001"/>
    <w:p>
      <w:pPr>
        <w:pStyle w:val="Heading3"/>
      </w:pPr>
      <w:r>
        <w:t xml:space="preserve">FR-WF-001</w:t>
      </w:r>
    </w:p>
    <w:p>
      <w:pPr>
        <w:pStyle w:val="FirstParagraph"/>
      </w:pPr>
      <w:r>
        <w:t xml:space="preserve">Create Workflow</w:t>
      </w:r>
    </w:p>
    <w:p>
      <w:pPr>
        <w:pStyle w:val="BodyText"/>
      </w:pPr>
      <w:r>
        <w:t xml:space="preserve">Authorized administrators can define new workflow templates.</w:t>
      </w:r>
    </w:p>
    <w:p>
      <w:r>
        <w:pict>
          <v:rect style="width:0;height:1.5pt" o:hralign="center" o:hrstd="t" o:hr="t"/>
        </w:pict>
      </w:r>
    </w:p>
    <w:bookmarkEnd w:id="33"/>
    <w:bookmarkStart w:id="34" w:name="fr-wf-002"/>
    <w:p>
      <w:pPr>
        <w:pStyle w:val="Heading3"/>
      </w:pPr>
      <w:r>
        <w:t xml:space="preserve">FR-WF-002</w:t>
      </w:r>
    </w:p>
    <w:p>
      <w:pPr>
        <w:pStyle w:val="FirstParagraph"/>
      </w:pPr>
      <w:r>
        <w:t xml:space="preserve">Configure Approval Chains</w:t>
      </w:r>
    </w:p>
    <w:p>
      <w:pPr>
        <w:pStyle w:val="BodyText"/>
      </w:pPr>
      <w:r>
        <w:t xml:space="preserve">Approval sequences may be configured according to ministry policies.</w:t>
      </w:r>
    </w:p>
    <w:p>
      <w:r>
        <w:pict>
          <v:rect style="width:0;height:1.5pt" o:hralign="center" o:hrstd="t" o:hr="t"/>
        </w:pict>
      </w:r>
    </w:p>
    <w:bookmarkEnd w:id="34"/>
    <w:bookmarkStart w:id="35" w:name="fr-wf-003"/>
    <w:p>
      <w:pPr>
        <w:pStyle w:val="Heading3"/>
      </w:pPr>
      <w:r>
        <w:t xml:space="preserve">FR-WF-003</w:t>
      </w:r>
    </w:p>
    <w:p>
      <w:pPr>
        <w:pStyle w:val="FirstParagraph"/>
      </w:pPr>
      <w:r>
        <w:t xml:space="preserve">Route Tasks</w:t>
      </w:r>
    </w:p>
    <w:p>
      <w:pPr>
        <w:pStyle w:val="BodyText"/>
      </w:pPr>
      <w:r>
        <w:t xml:space="preserve">Tasks are automatically assigned to the appropriate users or organizational roles.</w:t>
      </w:r>
    </w:p>
    <w:p>
      <w:r>
        <w:pict>
          <v:rect style="width:0;height:1.5pt" o:hralign="center" o:hrstd="t" o:hr="t"/>
        </w:pict>
      </w:r>
    </w:p>
    <w:bookmarkEnd w:id="35"/>
    <w:bookmarkStart w:id="36" w:name="fr-wf-004"/>
    <w:p>
      <w:pPr>
        <w:pStyle w:val="Heading3"/>
      </w:pPr>
      <w:r>
        <w:t xml:space="preserve">FR-WF-004</w:t>
      </w:r>
    </w:p>
    <w:p>
      <w:pPr>
        <w:pStyle w:val="FirstParagraph"/>
      </w:pPr>
      <w:r>
        <w:t xml:space="preserve">Escalate Delays</w:t>
      </w:r>
    </w:p>
    <w:p>
      <w:pPr>
        <w:pStyle w:val="BodyText"/>
      </w:pPr>
      <w:r>
        <w:t xml:space="preserve">Pending approvals exceeding defined service levels generate reminders and, where configured, escalation notifications.</w:t>
      </w:r>
    </w:p>
    <w:p>
      <w:r>
        <w:pict>
          <v:rect style="width:0;height:1.5pt" o:hralign="center" o:hrstd="t" o:hr="t"/>
        </w:pict>
      </w:r>
    </w:p>
    <w:bookmarkEnd w:id="36"/>
    <w:bookmarkStart w:id="37" w:name="fr-wf-005"/>
    <w:p>
      <w:pPr>
        <w:pStyle w:val="Heading3"/>
      </w:pPr>
      <w:r>
        <w:t xml:space="preserve">FR-WF-005</w:t>
      </w:r>
    </w:p>
    <w:p>
      <w:pPr>
        <w:pStyle w:val="FirstParagraph"/>
      </w:pPr>
      <w:r>
        <w:t xml:space="preserve">Record Decisions</w:t>
      </w:r>
    </w:p>
    <w:p>
      <w:pPr>
        <w:pStyle w:val="BodyText"/>
      </w:pPr>
      <w:r>
        <w:t xml:space="preserve">All approval, rejection, return, and delegation actions are recorded with timestamps and user identities.</w:t>
      </w:r>
    </w:p>
    <w:p>
      <w:r>
        <w:pict>
          <v:rect style="width:0;height:1.5pt" o:hralign="center" o:hrstd="t" o:hr="t"/>
        </w:pict>
      </w:r>
    </w:p>
    <w:bookmarkEnd w:id="37"/>
    <w:bookmarkStart w:id="38" w:name="fr-wf-006"/>
    <w:p>
      <w:pPr>
        <w:pStyle w:val="Heading3"/>
      </w:pPr>
      <w:r>
        <w:t xml:space="preserve">FR-WF-006</w:t>
      </w:r>
    </w:p>
    <w:p>
      <w:pPr>
        <w:pStyle w:val="FirstParagraph"/>
      </w:pPr>
      <w:r>
        <w:t xml:space="preserve">Track Workflow Status</w:t>
      </w:r>
    </w:p>
    <w:p>
      <w:pPr>
        <w:pStyle w:val="BodyText"/>
      </w:pPr>
      <w:r>
        <w:t xml:space="preserve">Authorized users can monitor workflow progress in real time.</w:t>
      </w:r>
    </w:p>
    <w:p>
      <w:r>
        <w:pict>
          <v:rect style="width:0;height:1.5pt" o:hralign="center" o:hrstd="t" o:hr="t"/>
        </w:pict>
      </w:r>
    </w:p>
    <w:bookmarkEnd w:id="38"/>
    <w:bookmarkEnd w:id="39"/>
    <w:bookmarkStart w:id="40" w:name="business-rules"/>
    <w:p>
      <w:pPr>
        <w:pStyle w:val="Heading1"/>
      </w:pPr>
      <w:r>
        <w:t xml:space="preserve">30.7 Business Rules</w:t>
      </w:r>
    </w:p>
    <w:p>
      <w:pPr>
        <w:pStyle w:val="FirstParagraph"/>
      </w:pPr>
      <w:r>
        <w:t xml:space="preserve">Examples include:</w:t>
      </w:r>
    </w:p>
    <w:p>
      <w:pPr>
        <w:pStyle w:val="Compact"/>
        <w:numPr>
          <w:ilvl w:val="0"/>
          <w:numId w:val="1009"/>
        </w:numPr>
      </w:pPr>
      <w:r>
        <w:t xml:space="preserve">Every workflow follows a predefined template.</w:t>
      </w:r>
    </w:p>
    <w:p>
      <w:pPr>
        <w:pStyle w:val="Compact"/>
        <w:numPr>
          <w:ilvl w:val="0"/>
          <w:numId w:val="1009"/>
        </w:numPr>
      </w:pPr>
      <w:r>
        <w:t xml:space="preserve">Mandatory approvals cannot be bypassed.</w:t>
      </w:r>
    </w:p>
    <w:p>
      <w:pPr>
        <w:pStyle w:val="Compact"/>
        <w:numPr>
          <w:ilvl w:val="0"/>
          <w:numId w:val="1009"/>
        </w:numPr>
      </w:pPr>
      <w:r>
        <w:t xml:space="preserve">Delegated authority must be formally recorded.</w:t>
      </w:r>
    </w:p>
    <w:p>
      <w:pPr>
        <w:pStyle w:val="Compact"/>
        <w:numPr>
          <w:ilvl w:val="0"/>
          <w:numId w:val="1009"/>
        </w:numPr>
      </w:pPr>
      <w:r>
        <w:t xml:space="preserve">Returned requests include documented reasons.</w:t>
      </w:r>
    </w:p>
    <w:p>
      <w:pPr>
        <w:pStyle w:val="Compact"/>
        <w:numPr>
          <w:ilvl w:val="0"/>
          <w:numId w:val="1009"/>
        </w:numPr>
      </w:pPr>
      <w:r>
        <w:t xml:space="preserve">Closed workflows cannot be modified except through authorized correction procedures.</w:t>
      </w:r>
    </w:p>
    <w:p>
      <w:r>
        <w:pict>
          <v:rect style="width:0;height:1.5pt" o:hralign="center" o:hrstd="t" o:hr="t"/>
        </w:pict>
      </w:r>
    </w:p>
    <w:bookmarkEnd w:id="40"/>
    <w:bookmarkStart w:id="41" w:name="service-level-management"/>
    <w:p>
      <w:pPr>
        <w:pStyle w:val="Heading1"/>
      </w:pPr>
      <w:r>
        <w:t xml:space="preserve">30.8 Service Level Management</w:t>
      </w:r>
    </w:p>
    <w:p>
      <w:pPr>
        <w:pStyle w:val="FirstParagraph"/>
      </w:pPr>
      <w:r>
        <w:t xml:space="preserve">Each workflow stage may have configurable service targets.</w:t>
      </w:r>
    </w:p>
    <w:p>
      <w:pPr>
        <w:pStyle w:val="BodyText"/>
      </w:pPr>
      <w:r>
        <w:t xml:space="preserve">Illustrative examples:</w:t>
      </w:r>
    </w:p>
    <w:p>
      <w:pPr>
        <w:pStyle w:val="Compact"/>
        <w:numPr>
          <w:ilvl w:val="0"/>
          <w:numId w:val="1010"/>
        </w:numPr>
      </w:pPr>
      <w:r>
        <w:t xml:space="preserve">School request acknowledgment.</w:t>
      </w:r>
    </w:p>
    <w:p>
      <w:pPr>
        <w:pStyle w:val="Compact"/>
        <w:numPr>
          <w:ilvl w:val="0"/>
          <w:numId w:val="1010"/>
        </w:numPr>
      </w:pPr>
      <w:r>
        <w:t xml:space="preserve">Regional review.</w:t>
      </w:r>
    </w:p>
    <w:p>
      <w:pPr>
        <w:pStyle w:val="Compact"/>
        <w:numPr>
          <w:ilvl w:val="0"/>
          <w:numId w:val="1010"/>
        </w:numPr>
      </w:pPr>
      <w:r>
        <w:t xml:space="preserve">National approval.</w:t>
      </w:r>
    </w:p>
    <w:p>
      <w:pPr>
        <w:pStyle w:val="Compact"/>
        <w:numPr>
          <w:ilvl w:val="0"/>
          <w:numId w:val="1010"/>
        </w:numPr>
      </w:pPr>
      <w:r>
        <w:t xml:space="preserve">Procurement authorization.</w:t>
      </w:r>
    </w:p>
    <w:p>
      <w:pPr>
        <w:pStyle w:val="Compact"/>
        <w:numPr>
          <w:ilvl w:val="0"/>
          <w:numId w:val="1010"/>
        </w:numPr>
      </w:pPr>
      <w:r>
        <w:t xml:space="preserve">Inspection follow-up.</w:t>
      </w:r>
    </w:p>
    <w:p>
      <w:pPr>
        <w:pStyle w:val="FirstParagraph"/>
      </w:pPr>
      <w:r>
        <w:t xml:space="preserve">The system monitors elapsed processing time and highlights overdue activities.</w:t>
      </w:r>
    </w:p>
    <w:p>
      <w:r>
        <w:pict>
          <v:rect style="width:0;height:1.5pt" o:hralign="center" o:hrstd="t" o:hr="t"/>
        </w:pict>
      </w:r>
    </w:p>
    <w:bookmarkEnd w:id="41"/>
    <w:bookmarkStart w:id="42" w:name="notifications"/>
    <w:p>
      <w:pPr>
        <w:pStyle w:val="Heading1"/>
      </w:pPr>
      <w:r>
        <w:t xml:space="preserve">30.9 Notifications</w:t>
      </w:r>
    </w:p>
    <w:p>
      <w:pPr>
        <w:pStyle w:val="FirstParagraph"/>
      </w:pPr>
      <w:r>
        <w:t xml:space="preserve">The Workflow Engine generates notifications for:</w:t>
      </w:r>
    </w:p>
    <w:p>
      <w:pPr>
        <w:pStyle w:val="Compact"/>
        <w:numPr>
          <w:ilvl w:val="0"/>
          <w:numId w:val="1011"/>
        </w:numPr>
      </w:pPr>
      <w:r>
        <w:t xml:space="preserve">New tasks assigned.</w:t>
      </w:r>
    </w:p>
    <w:p>
      <w:pPr>
        <w:pStyle w:val="Compact"/>
        <w:numPr>
          <w:ilvl w:val="0"/>
          <w:numId w:val="1011"/>
        </w:numPr>
      </w:pPr>
      <w:r>
        <w:t xml:space="preserve">Approval requests.</w:t>
      </w:r>
    </w:p>
    <w:p>
      <w:pPr>
        <w:pStyle w:val="Compact"/>
        <w:numPr>
          <w:ilvl w:val="0"/>
          <w:numId w:val="1011"/>
        </w:numPr>
      </w:pPr>
      <w:r>
        <w:t xml:space="preserve">Returned requests.</w:t>
      </w:r>
    </w:p>
    <w:p>
      <w:pPr>
        <w:pStyle w:val="Compact"/>
        <w:numPr>
          <w:ilvl w:val="0"/>
          <w:numId w:val="1011"/>
        </w:numPr>
      </w:pPr>
      <w:r>
        <w:t xml:space="preserve">Escalated delays.</w:t>
      </w:r>
    </w:p>
    <w:p>
      <w:pPr>
        <w:pStyle w:val="Compact"/>
        <w:numPr>
          <w:ilvl w:val="0"/>
          <w:numId w:val="1011"/>
        </w:numPr>
      </w:pPr>
      <w:r>
        <w:t xml:space="preserve">Workflow completion.</w:t>
      </w:r>
    </w:p>
    <w:p>
      <w:pPr>
        <w:pStyle w:val="Compact"/>
        <w:numPr>
          <w:ilvl w:val="0"/>
          <w:numId w:val="1011"/>
        </w:numPr>
      </w:pPr>
      <w:r>
        <w:t xml:space="preserve">Workflow cancellation.</w:t>
      </w:r>
    </w:p>
    <w:p>
      <w:pPr>
        <w:pStyle w:val="FirstParagraph"/>
      </w:pPr>
      <w:r>
        <w:t xml:space="preserve">Notifications may be delivered through the platform, email, SMS, or other ministry-approved channels.</w:t>
      </w:r>
    </w:p>
    <w:p>
      <w:r>
        <w:pict>
          <v:rect style="width:0;height:1.5pt" o:hralign="center" o:hrstd="t" o:hr="t"/>
        </w:pict>
      </w:r>
    </w:p>
    <w:bookmarkEnd w:id="42"/>
    <w:bookmarkStart w:id="45" w:name="dashboards"/>
    <w:p>
      <w:pPr>
        <w:pStyle w:val="Heading1"/>
      </w:pPr>
      <w:r>
        <w:t xml:space="preserve">30.10 Dashboards</w:t>
      </w:r>
    </w:p>
    <w:bookmarkStart w:id="43" w:name="executive-dashboard"/>
    <w:p>
      <w:pPr>
        <w:pStyle w:val="Heading3"/>
      </w:pPr>
      <w:r>
        <w:t xml:space="preserve">Executive Dashboard</w:t>
      </w:r>
    </w:p>
    <w:p>
      <w:pPr>
        <w:pStyle w:val="Compact"/>
        <w:numPr>
          <w:ilvl w:val="0"/>
          <w:numId w:val="1012"/>
        </w:numPr>
      </w:pPr>
      <w:r>
        <w:t xml:space="preserve">Workflows in progress.</w:t>
      </w:r>
    </w:p>
    <w:p>
      <w:pPr>
        <w:pStyle w:val="Compact"/>
        <w:numPr>
          <w:ilvl w:val="0"/>
          <w:numId w:val="1012"/>
        </w:numPr>
      </w:pPr>
      <w:r>
        <w:t xml:space="preserve">Completed workflows.</w:t>
      </w:r>
    </w:p>
    <w:p>
      <w:pPr>
        <w:pStyle w:val="Compact"/>
        <w:numPr>
          <w:ilvl w:val="0"/>
          <w:numId w:val="1012"/>
        </w:numPr>
      </w:pPr>
      <w:r>
        <w:t xml:space="preserve">Average processing time.</w:t>
      </w:r>
    </w:p>
    <w:p>
      <w:pPr>
        <w:pStyle w:val="Compact"/>
        <w:numPr>
          <w:ilvl w:val="0"/>
          <w:numId w:val="1012"/>
        </w:numPr>
      </w:pPr>
      <w:r>
        <w:t xml:space="preserve">Overdue approvals.</w:t>
      </w:r>
    </w:p>
    <w:p>
      <w:pPr>
        <w:pStyle w:val="Compact"/>
        <w:numPr>
          <w:ilvl w:val="0"/>
          <w:numId w:val="1012"/>
        </w:numPr>
      </w:pPr>
      <w:r>
        <w:t xml:space="preserve">Bottlenecks by administrative level.</w:t>
      </w:r>
    </w:p>
    <w:bookmarkEnd w:id="43"/>
    <w:bookmarkStart w:id="44" w:name="operational-dashboard"/>
    <w:p>
      <w:pPr>
        <w:pStyle w:val="Heading3"/>
      </w:pPr>
      <w:r>
        <w:t xml:space="preserve">Operational Dashboard</w:t>
      </w:r>
    </w:p>
    <w:p>
      <w:pPr>
        <w:pStyle w:val="Compact"/>
        <w:numPr>
          <w:ilvl w:val="0"/>
          <w:numId w:val="1013"/>
        </w:numPr>
      </w:pPr>
      <w:r>
        <w:t xml:space="preserve">Assigned tasks.</w:t>
      </w:r>
    </w:p>
    <w:p>
      <w:pPr>
        <w:pStyle w:val="Compact"/>
        <w:numPr>
          <w:ilvl w:val="0"/>
          <w:numId w:val="1013"/>
        </w:numPr>
      </w:pPr>
      <w:r>
        <w:t xml:space="preserve">Pending approvals.</w:t>
      </w:r>
    </w:p>
    <w:p>
      <w:pPr>
        <w:pStyle w:val="Compact"/>
        <w:numPr>
          <w:ilvl w:val="0"/>
          <w:numId w:val="1013"/>
        </w:numPr>
      </w:pPr>
      <w:r>
        <w:t xml:space="preserve">Recently completed workflows.</w:t>
      </w:r>
    </w:p>
    <w:p>
      <w:pPr>
        <w:pStyle w:val="Compact"/>
        <w:numPr>
          <w:ilvl w:val="0"/>
          <w:numId w:val="1013"/>
        </w:numPr>
      </w:pPr>
      <w:r>
        <w:t xml:space="preserve">Escalated cases.</w:t>
      </w:r>
    </w:p>
    <w:p>
      <w:r>
        <w:pict>
          <v:rect style="width:0;height:1.5pt" o:hralign="center" o:hrstd="t" o:hr="t"/>
        </w:pict>
      </w:r>
    </w:p>
    <w:bookmarkEnd w:id="44"/>
    <w:bookmarkEnd w:id="45"/>
    <w:bookmarkStart w:id="46" w:name="reports"/>
    <w:p>
      <w:pPr>
        <w:pStyle w:val="Heading1"/>
      </w:pPr>
      <w:r>
        <w:t xml:space="preserve">30.11 Reports</w:t>
      </w:r>
    </w:p>
    <w:p>
      <w:pPr>
        <w:pStyle w:val="FirstParagraph"/>
      </w:pPr>
      <w:r>
        <w:t xml:space="preserve">Illustrative reports include:</w:t>
      </w:r>
    </w:p>
    <w:p>
      <w:pPr>
        <w:pStyle w:val="Compact"/>
        <w:numPr>
          <w:ilvl w:val="0"/>
          <w:numId w:val="1014"/>
        </w:numPr>
      </w:pPr>
      <w:r>
        <w:t xml:space="preserve">Workflow performance.</w:t>
      </w:r>
    </w:p>
    <w:p>
      <w:pPr>
        <w:pStyle w:val="Compact"/>
        <w:numPr>
          <w:ilvl w:val="0"/>
          <w:numId w:val="1014"/>
        </w:numPr>
      </w:pPr>
      <w:r>
        <w:t xml:space="preserve">Approval turnaround times.</w:t>
      </w:r>
    </w:p>
    <w:p>
      <w:pPr>
        <w:pStyle w:val="Compact"/>
        <w:numPr>
          <w:ilvl w:val="0"/>
          <w:numId w:val="1014"/>
        </w:numPr>
      </w:pPr>
      <w:r>
        <w:t xml:space="preserve">Outstanding tasks.</w:t>
      </w:r>
    </w:p>
    <w:p>
      <w:pPr>
        <w:pStyle w:val="Compact"/>
        <w:numPr>
          <w:ilvl w:val="0"/>
          <w:numId w:val="1014"/>
        </w:numPr>
      </w:pPr>
      <w:r>
        <w:t xml:space="preserve">Escalation history.</w:t>
      </w:r>
    </w:p>
    <w:p>
      <w:pPr>
        <w:pStyle w:val="Compact"/>
        <w:numPr>
          <w:ilvl w:val="0"/>
          <w:numId w:val="1014"/>
        </w:numPr>
      </w:pPr>
      <w:r>
        <w:t xml:space="preserve">Compliance with service targets.</w:t>
      </w:r>
    </w:p>
    <w:p>
      <w:pPr>
        <w:pStyle w:val="Compact"/>
        <w:numPr>
          <w:ilvl w:val="0"/>
          <w:numId w:val="1014"/>
        </w:numPr>
      </w:pPr>
      <w:r>
        <w:t xml:space="preserve">Workflow volumes by category.</w:t>
      </w:r>
    </w:p>
    <w:p>
      <w:r>
        <w:pict>
          <v:rect style="width:0;height:1.5pt" o:hralign="center" o:hrstd="t" o:hr="t"/>
        </w:pict>
      </w:r>
    </w:p>
    <w:bookmarkEnd w:id="46"/>
    <w:bookmarkStart w:id="47" w:name="offline-behaviour"/>
    <w:p>
      <w:pPr>
        <w:pStyle w:val="Heading1"/>
      </w:pPr>
      <w:r>
        <w:t xml:space="preserve">30.12 Offline Behaviour</w:t>
      </w:r>
    </w:p>
    <w:p>
      <w:pPr>
        <w:pStyle w:val="FirstParagraph"/>
      </w:pPr>
      <w:r>
        <w:t xml:space="preserve">Where supported by the relevant business process, users may:</w:t>
      </w:r>
    </w:p>
    <w:p>
      <w:pPr>
        <w:pStyle w:val="Compact"/>
        <w:numPr>
          <w:ilvl w:val="0"/>
          <w:numId w:val="1015"/>
        </w:numPr>
      </w:pPr>
      <w:r>
        <w:t xml:space="preserve">Review assigned tasks.</w:t>
      </w:r>
    </w:p>
    <w:p>
      <w:pPr>
        <w:pStyle w:val="Compact"/>
        <w:numPr>
          <w:ilvl w:val="0"/>
          <w:numId w:val="1015"/>
        </w:numPr>
      </w:pPr>
      <w:r>
        <w:t xml:space="preserve">Prepare workflow actions.</w:t>
      </w:r>
    </w:p>
    <w:p>
      <w:pPr>
        <w:pStyle w:val="Compact"/>
        <w:numPr>
          <w:ilvl w:val="0"/>
          <w:numId w:val="1015"/>
        </w:numPr>
      </w:pPr>
      <w:r>
        <w:t xml:space="preserve">Capture supporting information.</w:t>
      </w:r>
    </w:p>
    <w:p>
      <w:pPr>
        <w:pStyle w:val="FirstParagraph"/>
      </w:pPr>
      <w:r>
        <w:t xml:space="preserve">Approval decisions requiring synchronization are securely queued and transmitted when connectivity is restored.</w:t>
      </w:r>
    </w:p>
    <w:p>
      <w:r>
        <w:pict>
          <v:rect style="width:0;height:1.5pt" o:hralign="center" o:hrstd="t" o:hr="t"/>
        </w:pict>
      </w:r>
    </w:p>
    <w:bookmarkEnd w:id="47"/>
    <w:bookmarkStart w:id="48" w:name="integration-points"/>
    <w:p>
      <w:pPr>
        <w:pStyle w:val="Heading1"/>
      </w:pPr>
      <w:r>
        <w:t xml:space="preserve">30.13 Integration Points</w:t>
      </w:r>
    </w:p>
    <w:p>
      <w:pPr>
        <w:pStyle w:val="FirstParagraph"/>
      </w:pPr>
      <w:r>
        <w:t xml:space="preserve">The Workflow Engine integrates with:</w:t>
      </w:r>
    </w:p>
    <w:p>
      <w:pPr>
        <w:pStyle w:val="Compact"/>
        <w:numPr>
          <w:ilvl w:val="0"/>
          <w:numId w:val="1016"/>
        </w:numPr>
      </w:pPr>
      <w:r>
        <w:t xml:space="preserve">Procurement.</w:t>
      </w:r>
    </w:p>
    <w:p>
      <w:pPr>
        <w:pStyle w:val="Compact"/>
        <w:numPr>
          <w:ilvl w:val="0"/>
          <w:numId w:val="1016"/>
        </w:numPr>
      </w:pPr>
      <w:r>
        <w:t xml:space="preserve">Warehouse Management.</w:t>
      </w:r>
    </w:p>
    <w:p>
      <w:pPr>
        <w:pStyle w:val="Compact"/>
        <w:numPr>
          <w:ilvl w:val="0"/>
          <w:numId w:val="1016"/>
        </w:numPr>
      </w:pPr>
      <w:r>
        <w:t xml:space="preserve">School Operations.</w:t>
      </w:r>
    </w:p>
    <w:p>
      <w:pPr>
        <w:pStyle w:val="Compact"/>
        <w:numPr>
          <w:ilvl w:val="0"/>
          <w:numId w:val="1016"/>
        </w:numPr>
      </w:pPr>
      <w:r>
        <w:t xml:space="preserve">Inspection.</w:t>
      </w:r>
    </w:p>
    <w:p>
      <w:pPr>
        <w:pStyle w:val="Compact"/>
        <w:numPr>
          <w:ilvl w:val="0"/>
          <w:numId w:val="1016"/>
        </w:numPr>
      </w:pPr>
      <w:r>
        <w:t xml:space="preserve">Security and Identity.</w:t>
      </w:r>
    </w:p>
    <w:p>
      <w:pPr>
        <w:pStyle w:val="Compact"/>
        <w:numPr>
          <w:ilvl w:val="0"/>
          <w:numId w:val="1016"/>
        </w:numPr>
      </w:pPr>
      <w:r>
        <w:t xml:space="preserve">Notification Service.</w:t>
      </w:r>
    </w:p>
    <w:p>
      <w:pPr>
        <w:pStyle w:val="Compact"/>
        <w:numPr>
          <w:ilvl w:val="0"/>
          <w:numId w:val="1016"/>
        </w:numPr>
      </w:pPr>
      <w:r>
        <w:t xml:space="preserve">Document Management.</w:t>
      </w:r>
    </w:p>
    <w:p>
      <w:pPr>
        <w:pStyle w:val="Compact"/>
        <w:numPr>
          <w:ilvl w:val="0"/>
          <w:numId w:val="1016"/>
        </w:numPr>
      </w:pPr>
      <w:r>
        <w:t xml:space="preserve">Analytics.</w:t>
      </w:r>
    </w:p>
    <w:p>
      <w:pPr>
        <w:pStyle w:val="Compact"/>
        <w:numPr>
          <w:ilvl w:val="0"/>
          <w:numId w:val="1016"/>
        </w:numPr>
      </w:pPr>
      <w:r>
        <w:t xml:space="preserve">Audit Service.</w:t>
      </w:r>
    </w:p>
    <w:p>
      <w:r>
        <w:pict>
          <v:rect style="width:0;height:1.5pt" o:hralign="center" o:hrstd="t" o:hr="t"/>
        </w:pict>
      </w:r>
    </w:p>
    <w:bookmarkEnd w:id="48"/>
    <w:bookmarkStart w:id="49" w:name="success-indicators"/>
    <w:p>
      <w:pPr>
        <w:pStyle w:val="Heading1"/>
      </w:pPr>
      <w:r>
        <w:t xml:space="preserve">30.14 Success Indicators</w:t>
      </w:r>
    </w:p>
    <w:p>
      <w:pPr>
        <w:pStyle w:val="FirstParagraph"/>
      </w:pPr>
      <w:r>
        <w:t xml:space="preserve">Examples include:</w:t>
      </w:r>
    </w:p>
    <w:p>
      <w:pPr>
        <w:pStyle w:val="Compact"/>
        <w:numPr>
          <w:ilvl w:val="0"/>
          <w:numId w:val="1017"/>
        </w:numPr>
      </w:pPr>
      <w:r>
        <w:t xml:space="preserve">Average approval time.</w:t>
      </w:r>
    </w:p>
    <w:p>
      <w:pPr>
        <w:pStyle w:val="Compact"/>
        <w:numPr>
          <w:ilvl w:val="0"/>
          <w:numId w:val="1017"/>
        </w:numPr>
      </w:pPr>
      <w:r>
        <w:t xml:space="preserve">Percentage of workflows completed within target.</w:t>
      </w:r>
    </w:p>
    <w:p>
      <w:pPr>
        <w:pStyle w:val="Compact"/>
        <w:numPr>
          <w:ilvl w:val="0"/>
          <w:numId w:val="1017"/>
        </w:numPr>
      </w:pPr>
      <w:r>
        <w:t xml:space="preserve">Number of overdue workflows.</w:t>
      </w:r>
    </w:p>
    <w:p>
      <w:pPr>
        <w:pStyle w:val="Compact"/>
        <w:numPr>
          <w:ilvl w:val="0"/>
          <w:numId w:val="1017"/>
        </w:numPr>
      </w:pPr>
      <w:r>
        <w:t xml:space="preserve">Escalation frequency.</w:t>
      </w:r>
    </w:p>
    <w:p>
      <w:pPr>
        <w:pStyle w:val="Compact"/>
        <w:numPr>
          <w:ilvl w:val="0"/>
          <w:numId w:val="1017"/>
        </w:numPr>
      </w:pPr>
      <w:r>
        <w:t xml:space="preserve">User adoption.</w:t>
      </w:r>
    </w:p>
    <w:p>
      <w:pPr>
        <w:pStyle w:val="Compact"/>
        <w:numPr>
          <w:ilvl w:val="0"/>
          <w:numId w:val="1017"/>
        </w:numPr>
      </w:pPr>
      <w:r>
        <w:t xml:space="preserve">Workflow automation rate.</w:t>
      </w:r>
    </w:p>
    <w:p>
      <w:pPr>
        <w:pStyle w:val="Compact"/>
        <w:numPr>
          <w:ilvl w:val="0"/>
          <w:numId w:val="1017"/>
        </w:numPr>
      </w:pPr>
      <w:r>
        <w:t xml:space="preserve">Reduction in paper-based approvals.</w:t>
      </w:r>
    </w:p>
    <w:p>
      <w:r>
        <w:pict>
          <v:rect style="width:0;height:1.5pt" o:hralign="center" o:hrstd="t" o:hr="t"/>
        </w:pict>
      </w:r>
    </w:p>
    <w:bookmarkEnd w:id="49"/>
    <w:bookmarkStart w:id="50" w:name="conclusion"/>
    <w:p>
      <w:pPr>
        <w:pStyle w:val="Heading1"/>
      </w:pPr>
      <w:r>
        <w:t xml:space="preserve">30.15 Conclusion</w:t>
      </w:r>
    </w:p>
    <w:p>
      <w:pPr>
        <w:pStyle w:val="FirstParagraph"/>
      </w:pPr>
      <w:r>
        <w:t xml:space="preserve">The National Workflow, Business Process and Approval Engine provides the operational governance framework for EduOS Cameroon.</w:t>
      </w:r>
    </w:p>
    <w:p>
      <w:pPr>
        <w:pStyle w:val="BodyText"/>
      </w:pPr>
      <w:r>
        <w:t xml:space="preserve">By enabling configurable, transparent, and auditable workflows, the Engine supports consistent implementation of ministry policies while improving efficiency, accountability, and responsiveness across all administrative levels. It also ensures that future policy changes can be reflected through workflow configuration rather than extensive software redevelopment.</w:t>
      </w:r>
    </w:p>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2026-07-10T13:22:47Z</dcterms:created>
  <dcterms:modified xsi:type="dcterms:W3CDTF">2026-07-10T13:22:47Z</dcterms:modified>
</cp:coreProperties>
</file>

<file path=docProps/custom.xml><?xml version="1.0" encoding="utf-8"?>
<Properties xmlns="http://schemas.openxmlformats.org/officeDocument/2006/custom-properties" xmlns:vt="http://schemas.openxmlformats.org/officeDocument/2006/docPropsVTypes"/>
</file>