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volume-iii"/>
    <w:p>
      <w:pPr>
        <w:pStyle w:val="Heading1"/>
      </w:pPr>
      <w:r>
        <w:t xml:space="preserve">VOLUME III</w:t>
      </w:r>
    </w:p>
    <w:bookmarkEnd w:id="20"/>
    <w:bookmarkStart w:id="21" w:name="enterprise-technical-architecture"/>
    <w:p>
      <w:pPr>
        <w:pStyle w:val="Heading1"/>
      </w:pPr>
      <w:r>
        <w:t xml:space="preserve">ENTERPRISE TECHNICAL ARCHITECTURE</w:t>
      </w:r>
    </w:p>
    <w:bookmarkEnd w:id="21"/>
    <w:bookmarkStart w:id="22" w:name="chapter-26"/>
    <w:p>
      <w:pPr>
        <w:pStyle w:val="Heading1"/>
      </w:pPr>
      <w:r>
        <w:t xml:space="preserve">CHAPTER 26</w:t>
      </w:r>
    </w:p>
    <w:bookmarkEnd w:id="22"/>
    <w:bookmarkStart w:id="24" w:name="X1377087a0c398a436b3541d5cdccf4b1d577ea4"/>
    <w:p>
      <w:pPr>
        <w:pStyle w:val="Heading1"/>
      </w:pPr>
      <w:r>
        <w:t xml:space="preserve">ENTERPRISE ARCHITECTURE AND TECHNOLOGY FRAMEWORK</w:t>
      </w:r>
    </w:p>
    <w:bookmarkStart w:id="23" w:name="introduction"/>
    <w:p>
      <w:pPr>
        <w:pStyle w:val="Heading2"/>
      </w:pPr>
      <w:r>
        <w:t xml:space="preserve">26.1 Introduction</w:t>
      </w:r>
    </w:p>
    <w:p>
      <w:pPr>
        <w:pStyle w:val="FirstParagraph"/>
      </w:pPr>
      <w:r>
        <w:t xml:space="preserve">The National Education Resource Intelligence Platform (NERIP) is designed as a modular, interoperable, and resilient digital platform capable of supporting nationwide deployment across schools, regional offices, warehouses, and the Ministry of Secondary Education.</w:t>
      </w:r>
    </w:p>
    <w:p>
      <w:pPr>
        <w:pStyle w:val="BodyText"/>
      </w:pPr>
      <w:r>
        <w:t xml:space="preserve">The architecture emphasizes scalability, security, offline operation, interoperability, and maintainability. It is intended to support gradual expansion from textbook lifecycle management to comprehensive education resource governance.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enterprise-architecture-principles"/>
    <w:p>
      <w:pPr>
        <w:pStyle w:val="Heading1"/>
      </w:pPr>
      <w:r>
        <w:t xml:space="preserve">26.2 Enterprise Architecture Principles</w:t>
      </w:r>
    </w:p>
    <w:p>
      <w:pPr>
        <w:pStyle w:val="FirstParagraph"/>
      </w:pPr>
      <w:r>
        <w:t xml:space="preserve">The platform shall be guided by the following principles:</w:t>
      </w:r>
    </w:p>
    <w:bookmarkStart w:id="25" w:name="business-driven-architecture"/>
    <w:p>
      <w:pPr>
        <w:pStyle w:val="Heading3"/>
      </w:pPr>
      <w:r>
        <w:t xml:space="preserve">Business-Driven Architecture</w:t>
      </w:r>
    </w:p>
    <w:p>
      <w:pPr>
        <w:pStyle w:val="FirstParagraph"/>
      </w:pPr>
      <w:r>
        <w:t xml:space="preserve">Technology components shall support defined ministry business processes and operational objectives.</w:t>
      </w:r>
    </w:p>
    <w:bookmarkEnd w:id="25"/>
    <w:bookmarkStart w:id="26" w:name="modular-design"/>
    <w:p>
      <w:pPr>
        <w:pStyle w:val="Heading3"/>
      </w:pPr>
      <w:r>
        <w:t xml:space="preserve">Modular Design</w:t>
      </w:r>
    </w:p>
    <w:p>
      <w:pPr>
        <w:pStyle w:val="FirstParagraph"/>
      </w:pPr>
      <w:r>
        <w:t xml:space="preserve">Functional capabilities are implemented as independent modules with clearly defined interfaces.</w:t>
      </w:r>
    </w:p>
    <w:bookmarkEnd w:id="26"/>
    <w:bookmarkStart w:id="27" w:name="offline-first-operation"/>
    <w:p>
      <w:pPr>
        <w:pStyle w:val="Heading3"/>
      </w:pPr>
      <w:r>
        <w:t xml:space="preserve">Offline-First Operation</w:t>
      </w:r>
    </w:p>
    <w:p>
      <w:pPr>
        <w:pStyle w:val="FirstParagraph"/>
      </w:pPr>
      <w:r>
        <w:t xml:space="preserve">Schools and field offices continue to operate during connectivity interruptions, with secure synchronization when connectivity is restored.</w:t>
      </w:r>
    </w:p>
    <w:bookmarkEnd w:id="27"/>
    <w:bookmarkStart w:id="28" w:name="interoperability"/>
    <w:p>
      <w:pPr>
        <w:pStyle w:val="Heading3"/>
      </w:pPr>
      <w:r>
        <w:t xml:space="preserve">Interoperability</w:t>
      </w:r>
    </w:p>
    <w:p>
      <w:pPr>
        <w:pStyle w:val="FirstParagraph"/>
      </w:pPr>
      <w:r>
        <w:t xml:space="preserve">The platform exchanges information through standardized APIs and messaging interfaces rather than proprietary integrations.</w:t>
      </w:r>
    </w:p>
    <w:bookmarkEnd w:id="28"/>
    <w:bookmarkStart w:id="29" w:name="security-by-design"/>
    <w:p>
      <w:pPr>
        <w:pStyle w:val="Heading3"/>
      </w:pPr>
      <w:r>
        <w:t xml:space="preserve">Security by Design</w:t>
      </w:r>
    </w:p>
    <w:p>
      <w:pPr>
        <w:pStyle w:val="FirstParagraph"/>
      </w:pPr>
      <w:r>
        <w:t xml:space="preserve">Security controls are integrated throughout the platform lifecycle.</w:t>
      </w:r>
    </w:p>
    <w:bookmarkEnd w:id="29"/>
    <w:bookmarkStart w:id="30" w:name="scalability"/>
    <w:p>
      <w:pPr>
        <w:pStyle w:val="Heading3"/>
      </w:pPr>
      <w:r>
        <w:t xml:space="preserve">Scalability</w:t>
      </w:r>
    </w:p>
    <w:p>
      <w:pPr>
        <w:pStyle w:val="FirstParagraph"/>
      </w:pPr>
      <w:r>
        <w:t xml:space="preserve">The architecture supports gradual expansion without requiring major redesign.</w:t>
      </w:r>
    </w:p>
    <w:bookmarkEnd w:id="30"/>
    <w:bookmarkStart w:id="31" w:name="configurability"/>
    <w:p>
      <w:pPr>
        <w:pStyle w:val="Heading3"/>
      </w:pPr>
      <w:r>
        <w:t xml:space="preserve">Configurability</w:t>
      </w:r>
    </w:p>
    <w:p>
      <w:pPr>
        <w:pStyle w:val="FirstParagraph"/>
      </w:pPr>
      <w:r>
        <w:t xml:space="preserve">Business rules and workflows should be configurable to accommodate policy changes.</w:t>
      </w:r>
    </w:p>
    <w:bookmarkEnd w:id="31"/>
    <w:bookmarkStart w:id="32" w:name="observability"/>
    <w:p>
      <w:pPr>
        <w:pStyle w:val="Heading3"/>
      </w:pPr>
      <w:r>
        <w:t xml:space="preserve">Observability</w:t>
      </w:r>
    </w:p>
    <w:p>
      <w:pPr>
        <w:pStyle w:val="FirstParagraph"/>
      </w:pPr>
      <w:r>
        <w:t xml:space="preserve">Operational health, performance, and security events are monitored continuously.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logical-architecture"/>
    <w:p>
      <w:pPr>
        <w:pStyle w:val="Heading1"/>
      </w:pPr>
      <w:r>
        <w:t xml:space="preserve">26.3 Logical Architecture</w:t>
      </w:r>
    </w:p>
    <w:p>
      <w:pPr>
        <w:pStyle w:val="FirstParagraph"/>
      </w:pPr>
      <w:r>
        <w:rPr>
          <w:rStyle w:val="VerbatimChar"/>
        </w:rPr>
        <w:t xml:space="preserve">text id="ea001" Presentation Layer │ ├── Web Portal ├── Mobile Application ├── Executive Dashboards ├── School Portal └── Warehouse Portal         │         ▼ Application Services Layer │ ├── School Registry ├── Student Registry ├── Teacher Registry ├── Textbook Registry ├── Procurement ├── Warehousing ├── Distribution ├── School Operations ├── Inspection ├── Analytics └── Reporting         │         ▼ Integration Layer │ ├── API Gateway ├── Event Bus ├── Integration Services ├── Identity Services └── Synchronization Engine         │         ▼ Data Layer │ ├── Operational Databases ├── Master Data ├── Data Warehouse ├── Audit Logs └── Document Repository</w:t>
      </w:r>
    </w:p>
    <w:p>
      <w:r>
        <w:pict>
          <v:rect style="width:0;height:1.5pt" o:hralign="center" o:hrstd="t" o:hr="t"/>
        </w:pict>
      </w:r>
    </w:p>
    <w:bookmarkEnd w:id="34"/>
    <w:bookmarkStart w:id="42" w:name="architectural-domains"/>
    <w:p>
      <w:pPr>
        <w:pStyle w:val="Heading1"/>
      </w:pPr>
      <w:r>
        <w:t xml:space="preserve">26.4 Architectural Domains</w:t>
      </w:r>
    </w:p>
    <w:p>
      <w:pPr>
        <w:pStyle w:val="FirstParagraph"/>
      </w:pPr>
      <w:r>
        <w:t xml:space="preserve">The platform consists of seven major architectural domains.</w:t>
      </w:r>
    </w:p>
    <w:bookmarkStart w:id="35" w:name="business-architecture"/>
    <w:p>
      <w:pPr>
        <w:pStyle w:val="Heading3"/>
      </w:pPr>
      <w:r>
        <w:t xml:space="preserve">Business Architecture</w:t>
      </w:r>
    </w:p>
    <w:p>
      <w:pPr>
        <w:pStyle w:val="FirstParagraph"/>
      </w:pPr>
      <w:r>
        <w:t xml:space="preserve">Defines ministry processes, governance structures, operational workflows, and organizational responsibilities.</w:t>
      </w:r>
    </w:p>
    <w:p>
      <w:r>
        <w:pict>
          <v:rect style="width:0;height:1.5pt" o:hralign="center" o:hrstd="t" o:hr="t"/>
        </w:pict>
      </w:r>
    </w:p>
    <w:bookmarkEnd w:id="35"/>
    <w:bookmarkStart w:id="36" w:name="application-architecture"/>
    <w:p>
      <w:pPr>
        <w:pStyle w:val="Heading3"/>
      </w:pPr>
      <w:r>
        <w:t xml:space="preserve">Application Architecture</w:t>
      </w:r>
    </w:p>
    <w:p>
      <w:pPr>
        <w:pStyle w:val="FirstParagraph"/>
      </w:pPr>
      <w:r>
        <w:t xml:space="preserve">Defines functional modules, services, user interactions, workflows, and system capabilities.</w:t>
      </w:r>
    </w:p>
    <w:p>
      <w:r>
        <w:pict>
          <v:rect style="width:0;height:1.5pt" o:hralign="center" o:hrstd="t" o:hr="t"/>
        </w:pict>
      </w:r>
    </w:p>
    <w:bookmarkEnd w:id="36"/>
    <w:bookmarkStart w:id="37" w:name="data-architecture"/>
    <w:p>
      <w:pPr>
        <w:pStyle w:val="Heading3"/>
      </w:pPr>
      <w:r>
        <w:t xml:space="preserve">Data Architecture</w:t>
      </w:r>
    </w:p>
    <w:p>
      <w:pPr>
        <w:pStyle w:val="FirstParagraph"/>
      </w:pPr>
      <w:r>
        <w:t xml:space="preserve">Defines master data, transactional data, analytical data, metadata, and governance policies.</w:t>
      </w:r>
    </w:p>
    <w:p>
      <w:r>
        <w:pict>
          <v:rect style="width:0;height:1.5pt" o:hralign="center" o:hrstd="t" o:hr="t"/>
        </w:pict>
      </w:r>
    </w:p>
    <w:bookmarkEnd w:id="37"/>
    <w:bookmarkStart w:id="38" w:name="integration-architecture"/>
    <w:p>
      <w:pPr>
        <w:pStyle w:val="Heading3"/>
      </w:pPr>
      <w:r>
        <w:t xml:space="preserve">Integration Architecture</w:t>
      </w:r>
    </w:p>
    <w:p>
      <w:pPr>
        <w:pStyle w:val="FirstParagraph"/>
      </w:pPr>
      <w:r>
        <w:t xml:space="preserve">Defines APIs, messaging, synchronization, interoperability, and service communication.</w:t>
      </w:r>
    </w:p>
    <w:p>
      <w:r>
        <w:pict>
          <v:rect style="width:0;height:1.5pt" o:hralign="center" o:hrstd="t" o:hr="t"/>
        </w:pict>
      </w:r>
    </w:p>
    <w:bookmarkEnd w:id="38"/>
    <w:bookmarkStart w:id="39" w:name="security-architecture"/>
    <w:p>
      <w:pPr>
        <w:pStyle w:val="Heading3"/>
      </w:pPr>
      <w:r>
        <w:t xml:space="preserve">Security Architecture</w:t>
      </w:r>
    </w:p>
    <w:p>
      <w:pPr>
        <w:pStyle w:val="FirstParagraph"/>
      </w:pPr>
      <w:r>
        <w:t xml:space="preserve">Defines identity management, authorization, encryption, audit logging, and security monitoring.</w:t>
      </w:r>
    </w:p>
    <w:p>
      <w:r>
        <w:pict>
          <v:rect style="width:0;height:1.5pt" o:hralign="center" o:hrstd="t" o:hr="t"/>
        </w:pict>
      </w:r>
    </w:p>
    <w:bookmarkEnd w:id="39"/>
    <w:bookmarkStart w:id="40" w:name="infrastructure-architecture"/>
    <w:p>
      <w:pPr>
        <w:pStyle w:val="Heading3"/>
      </w:pPr>
      <w:r>
        <w:t xml:space="preserve">Infrastructure Architecture</w:t>
      </w:r>
    </w:p>
    <w:p>
      <w:pPr>
        <w:pStyle w:val="FirstParagraph"/>
      </w:pPr>
      <w:r>
        <w:t xml:space="preserve">Defines deployment environments, networking, storage, backup, and resilience.</w:t>
      </w:r>
    </w:p>
    <w:p>
      <w:r>
        <w:pict>
          <v:rect style="width:0;height:1.5pt" o:hralign="center" o:hrstd="t" o:hr="t"/>
        </w:pict>
      </w:r>
    </w:p>
    <w:bookmarkEnd w:id="40"/>
    <w:bookmarkStart w:id="41" w:name="operations-architecture"/>
    <w:p>
      <w:pPr>
        <w:pStyle w:val="Heading3"/>
      </w:pPr>
      <w:r>
        <w:t xml:space="preserve">Operations Architecture</w:t>
      </w:r>
    </w:p>
    <w:p>
      <w:pPr>
        <w:pStyle w:val="FirstParagraph"/>
      </w:pPr>
      <w:r>
        <w:t xml:space="preserve">Defines monitoring, incident management, software deployment, maintenance, and operational support.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re-platform-components"/>
    <w:p>
      <w:pPr>
        <w:pStyle w:val="Heading1"/>
      </w:pPr>
      <w:r>
        <w:t xml:space="preserve">26.5 Core Platform Components</w:t>
      </w:r>
    </w:p>
    <w:p>
      <w:pPr>
        <w:pStyle w:val="FirstParagraph"/>
      </w:pPr>
      <w:r>
        <w:t xml:space="preserve">The enterprise platform comprises the following core components:</w:t>
      </w:r>
    </w:p>
    <w:p>
      <w:pPr>
        <w:pStyle w:val="Compact"/>
        <w:numPr>
          <w:ilvl w:val="0"/>
          <w:numId w:val="1001"/>
        </w:numPr>
      </w:pPr>
      <w:r>
        <w:t xml:space="preserve">Web Application</w:t>
      </w:r>
    </w:p>
    <w:p>
      <w:pPr>
        <w:pStyle w:val="Compact"/>
        <w:numPr>
          <w:ilvl w:val="0"/>
          <w:numId w:val="1001"/>
        </w:numPr>
      </w:pPr>
      <w:r>
        <w:t xml:space="preserve">Mobile Application</w:t>
      </w:r>
    </w:p>
    <w:p>
      <w:pPr>
        <w:pStyle w:val="Compact"/>
        <w:numPr>
          <w:ilvl w:val="0"/>
          <w:numId w:val="1001"/>
        </w:numPr>
      </w:pPr>
      <w:r>
        <w:t xml:space="preserve">Offline Synchronization Service</w:t>
      </w:r>
    </w:p>
    <w:p>
      <w:pPr>
        <w:pStyle w:val="Compact"/>
        <w:numPr>
          <w:ilvl w:val="0"/>
          <w:numId w:val="1001"/>
        </w:numPr>
      </w:pPr>
      <w:r>
        <w:t xml:space="preserve">API Gateway</w:t>
      </w:r>
    </w:p>
    <w:p>
      <w:pPr>
        <w:pStyle w:val="Compact"/>
        <w:numPr>
          <w:ilvl w:val="0"/>
          <w:numId w:val="1001"/>
        </w:numPr>
      </w:pPr>
      <w:r>
        <w:t xml:space="preserve">Identity and Access Management</w:t>
      </w:r>
    </w:p>
    <w:p>
      <w:pPr>
        <w:pStyle w:val="Compact"/>
        <w:numPr>
          <w:ilvl w:val="0"/>
          <w:numId w:val="1001"/>
        </w:numPr>
      </w:pPr>
      <w:r>
        <w:t xml:space="preserve">Notification Service</w:t>
      </w:r>
    </w:p>
    <w:p>
      <w:pPr>
        <w:pStyle w:val="Compact"/>
        <w:numPr>
          <w:ilvl w:val="0"/>
          <w:numId w:val="1001"/>
        </w:numPr>
      </w:pPr>
      <w:r>
        <w:t xml:space="preserve">Reporting Engine</w:t>
      </w:r>
    </w:p>
    <w:p>
      <w:pPr>
        <w:pStyle w:val="Compact"/>
        <w:numPr>
          <w:ilvl w:val="0"/>
          <w:numId w:val="1001"/>
        </w:numPr>
      </w:pPr>
      <w:r>
        <w:t xml:space="preserve">Analytics Engine</w:t>
      </w:r>
    </w:p>
    <w:p>
      <w:pPr>
        <w:pStyle w:val="Compact"/>
        <w:numPr>
          <w:ilvl w:val="0"/>
          <w:numId w:val="1001"/>
        </w:numPr>
      </w:pPr>
      <w:r>
        <w:t xml:space="preserve">Document Management Service</w:t>
      </w:r>
    </w:p>
    <w:p>
      <w:pPr>
        <w:pStyle w:val="Compact"/>
        <w:numPr>
          <w:ilvl w:val="0"/>
          <w:numId w:val="1001"/>
        </w:numPr>
      </w:pPr>
      <w:r>
        <w:t xml:space="preserve">Audit Service</w:t>
      </w:r>
    </w:p>
    <w:p>
      <w:pPr>
        <w:pStyle w:val="Compact"/>
        <w:numPr>
          <w:ilvl w:val="0"/>
          <w:numId w:val="1001"/>
        </w:numPr>
      </w:pPr>
      <w:r>
        <w:t xml:space="preserve">Configuration Service</w:t>
      </w:r>
    </w:p>
    <w:p>
      <w:pPr>
        <w:pStyle w:val="Compact"/>
        <w:numPr>
          <w:ilvl w:val="0"/>
          <w:numId w:val="1001"/>
        </w:numPr>
      </w:pPr>
      <w:r>
        <w:t xml:space="preserve">Integration Hub</w:t>
      </w:r>
    </w:p>
    <w:p>
      <w:pPr>
        <w:pStyle w:val="Compact"/>
        <w:numPr>
          <w:ilvl w:val="0"/>
          <w:numId w:val="1001"/>
        </w:numPr>
      </w:pPr>
      <w:r>
        <w:t xml:space="preserve">Monitoring Service</w:t>
      </w:r>
    </w:p>
    <w:p>
      <w:r>
        <w:pict>
          <v:rect style="width:0;height:1.5pt" o:hralign="center" o:hrstd="t" o:hr="t"/>
        </w:pict>
      </w:r>
    </w:p>
    <w:bookmarkEnd w:id="43"/>
    <w:bookmarkStart w:id="50" w:name="architectural-characteristics"/>
    <w:p>
      <w:pPr>
        <w:pStyle w:val="Heading1"/>
      </w:pPr>
      <w:r>
        <w:t xml:space="preserve">26.6 Architectural Characteristics</w:t>
      </w:r>
    </w:p>
    <w:p>
      <w:pPr>
        <w:pStyle w:val="FirstParagraph"/>
      </w:pPr>
      <w:r>
        <w:t xml:space="preserve">The platform is designed to provide:</w:t>
      </w:r>
    </w:p>
    <w:bookmarkStart w:id="44" w:name="high-availability"/>
    <w:p>
      <w:pPr>
        <w:pStyle w:val="Heading3"/>
      </w:pPr>
      <w:r>
        <w:t xml:space="preserve">High Availability</w:t>
      </w:r>
    </w:p>
    <w:p>
      <w:pPr>
        <w:pStyle w:val="FirstParagraph"/>
      </w:pPr>
      <w:r>
        <w:t xml:space="preserve">Critical services should remain available through redundancy and resilient deployment strategies.</w:t>
      </w:r>
    </w:p>
    <w:p>
      <w:r>
        <w:pict>
          <v:rect style="width:0;height:1.5pt" o:hralign="center" o:hrstd="t" o:hr="t"/>
        </w:pict>
      </w:r>
    </w:p>
    <w:bookmarkEnd w:id="44"/>
    <w:bookmarkStart w:id="45" w:name="reliability"/>
    <w:p>
      <w:pPr>
        <w:pStyle w:val="Heading3"/>
      </w:pPr>
      <w:r>
        <w:t xml:space="preserve">Reliability</w:t>
      </w:r>
    </w:p>
    <w:p>
      <w:pPr>
        <w:pStyle w:val="FirstParagraph"/>
      </w:pPr>
      <w:r>
        <w:t xml:space="preserve">Transactions are processed consistently, with mechanisms to prevent data loss and support recovery after failures.</w:t>
      </w:r>
    </w:p>
    <w:p>
      <w:r>
        <w:pict>
          <v:rect style="width:0;height:1.5pt" o:hralign="center" o:hrstd="t" o:hr="t"/>
        </w:pict>
      </w:r>
    </w:p>
    <w:bookmarkEnd w:id="45"/>
    <w:bookmarkStart w:id="46" w:name="scalability-1"/>
    <w:p>
      <w:pPr>
        <w:pStyle w:val="Heading3"/>
      </w:pPr>
      <w:r>
        <w:t xml:space="preserve">Scalability</w:t>
      </w:r>
    </w:p>
    <w:p>
      <w:pPr>
        <w:pStyle w:val="FirstParagraph"/>
      </w:pPr>
      <w:r>
        <w:t xml:space="preserve">Additional schools, users, warehouses, and services can be added without major architectural changes.</w:t>
      </w:r>
    </w:p>
    <w:p>
      <w:r>
        <w:pict>
          <v:rect style="width:0;height:1.5pt" o:hralign="center" o:hrstd="t" o:hr="t"/>
        </w:pict>
      </w:r>
    </w:p>
    <w:bookmarkEnd w:id="46"/>
    <w:bookmarkStart w:id="47" w:name="maintainability"/>
    <w:p>
      <w:pPr>
        <w:pStyle w:val="Heading3"/>
      </w:pPr>
      <w:r>
        <w:t xml:space="preserve">Maintainability</w:t>
      </w:r>
    </w:p>
    <w:p>
      <w:pPr>
        <w:pStyle w:val="FirstParagraph"/>
      </w:pPr>
      <w:r>
        <w:t xml:space="preserve">Modules are independently deployable where practical, reducing the impact of updates and simplifying long-term maintenance.</w:t>
      </w:r>
    </w:p>
    <w:p>
      <w:r>
        <w:pict>
          <v:rect style="width:0;height:1.5pt" o:hralign="center" o:hrstd="t" o:hr="t"/>
        </w:pict>
      </w:r>
    </w:p>
    <w:bookmarkEnd w:id="47"/>
    <w:bookmarkStart w:id="48" w:name="performance"/>
    <w:p>
      <w:pPr>
        <w:pStyle w:val="Heading3"/>
      </w:pPr>
      <w:r>
        <w:t xml:space="preserve">Performance</w:t>
      </w:r>
    </w:p>
    <w:p>
      <w:pPr>
        <w:pStyle w:val="FirstParagraph"/>
      </w:pPr>
      <w:r>
        <w:t xml:space="preserve">The architecture supports efficient response times for operational users while enabling large-scale analytical processing.</w:t>
      </w:r>
    </w:p>
    <w:p>
      <w:r>
        <w:pict>
          <v:rect style="width:0;height:1.5pt" o:hralign="center" o:hrstd="t" o:hr="t"/>
        </w:pict>
      </w:r>
    </w:p>
    <w:bookmarkEnd w:id="48"/>
    <w:bookmarkStart w:id="49" w:name="portability"/>
    <w:p>
      <w:pPr>
        <w:pStyle w:val="Heading3"/>
      </w:pPr>
      <w:r>
        <w:t xml:space="preserve">Portability</w:t>
      </w:r>
    </w:p>
    <w:p>
      <w:pPr>
        <w:pStyle w:val="FirstParagraph"/>
      </w:pPr>
      <w:r>
        <w:t xml:space="preserve">Deployment options include cloud, government data centres, or hybrid infrastructure, depending on ministry policy.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technology-governance"/>
    <w:p>
      <w:pPr>
        <w:pStyle w:val="Heading1"/>
      </w:pPr>
      <w:r>
        <w:t xml:space="preserve">26.7 Technology Governance</w:t>
      </w:r>
    </w:p>
    <w:p>
      <w:pPr>
        <w:pStyle w:val="FirstParagraph"/>
      </w:pPr>
      <w:r>
        <w:t xml:space="preserve">Technology governance includes:</w:t>
      </w:r>
    </w:p>
    <w:p>
      <w:pPr>
        <w:pStyle w:val="Compact"/>
        <w:numPr>
          <w:ilvl w:val="0"/>
          <w:numId w:val="1002"/>
        </w:numPr>
      </w:pPr>
      <w:r>
        <w:t xml:space="preserve">Architecture Review Board.</w:t>
      </w:r>
    </w:p>
    <w:p>
      <w:pPr>
        <w:pStyle w:val="Compact"/>
        <w:numPr>
          <w:ilvl w:val="0"/>
          <w:numId w:val="1002"/>
        </w:numPr>
      </w:pPr>
      <w:r>
        <w:t xml:space="preserve">Change Management Process.</w:t>
      </w:r>
    </w:p>
    <w:p>
      <w:pPr>
        <w:pStyle w:val="Compact"/>
        <w:numPr>
          <w:ilvl w:val="0"/>
          <w:numId w:val="1002"/>
        </w:numPr>
      </w:pPr>
      <w:r>
        <w:t xml:space="preserve">Configuration Management.</w:t>
      </w:r>
    </w:p>
    <w:p>
      <w:pPr>
        <w:pStyle w:val="Compact"/>
        <w:numPr>
          <w:ilvl w:val="0"/>
          <w:numId w:val="1002"/>
        </w:numPr>
      </w:pPr>
      <w:r>
        <w:t xml:space="preserve">Version Control.</w:t>
      </w:r>
    </w:p>
    <w:p>
      <w:pPr>
        <w:pStyle w:val="Compact"/>
        <w:numPr>
          <w:ilvl w:val="0"/>
          <w:numId w:val="1002"/>
        </w:numPr>
      </w:pPr>
      <w:r>
        <w:t xml:space="preserve">Release Management.</w:t>
      </w:r>
    </w:p>
    <w:p>
      <w:pPr>
        <w:pStyle w:val="Compact"/>
        <w:numPr>
          <w:ilvl w:val="0"/>
          <w:numId w:val="1002"/>
        </w:numPr>
      </w:pPr>
      <w:r>
        <w:t xml:space="preserve">Technical Standards.</w:t>
      </w:r>
    </w:p>
    <w:p>
      <w:pPr>
        <w:pStyle w:val="Compact"/>
        <w:numPr>
          <w:ilvl w:val="0"/>
          <w:numId w:val="1002"/>
        </w:numPr>
      </w:pPr>
      <w:r>
        <w:t xml:space="preserve">Documentation Standards.</w:t>
      </w:r>
    </w:p>
    <w:p>
      <w:r>
        <w:pict>
          <v:rect style="width:0;height:1.5pt" o:hralign="center" o:hrstd="t" o:hr="t"/>
        </w:pict>
      </w:r>
    </w:p>
    <w:bookmarkEnd w:id="51"/>
    <w:bookmarkStart w:id="52" w:name="security-considerations"/>
    <w:p>
      <w:pPr>
        <w:pStyle w:val="Heading1"/>
      </w:pPr>
      <w:r>
        <w:t xml:space="preserve">26.8 Security Considerations</w:t>
      </w:r>
    </w:p>
    <w:p>
      <w:pPr>
        <w:pStyle w:val="FirstParagraph"/>
      </w:pPr>
      <w:r>
        <w:t xml:space="preserve">The enterprise architecture incorporates:</w:t>
      </w:r>
    </w:p>
    <w:p>
      <w:pPr>
        <w:pStyle w:val="Compact"/>
        <w:numPr>
          <w:ilvl w:val="0"/>
          <w:numId w:val="1003"/>
        </w:numPr>
      </w:pPr>
      <w:r>
        <w:t xml:space="preserve">Role-based access control.</w:t>
      </w:r>
    </w:p>
    <w:p>
      <w:pPr>
        <w:pStyle w:val="Compact"/>
        <w:numPr>
          <w:ilvl w:val="0"/>
          <w:numId w:val="1003"/>
        </w:numPr>
      </w:pPr>
      <w:r>
        <w:t xml:space="preserve">Multi-factor authentication for privileged users.</w:t>
      </w:r>
    </w:p>
    <w:p>
      <w:pPr>
        <w:pStyle w:val="Compact"/>
        <w:numPr>
          <w:ilvl w:val="0"/>
          <w:numId w:val="1003"/>
        </w:numPr>
      </w:pPr>
      <w:r>
        <w:t xml:space="preserve">Encryption of data in transit and at rest.</w:t>
      </w:r>
    </w:p>
    <w:p>
      <w:pPr>
        <w:pStyle w:val="Compact"/>
        <w:numPr>
          <w:ilvl w:val="0"/>
          <w:numId w:val="1003"/>
        </w:numPr>
      </w:pPr>
      <w:r>
        <w:t xml:space="preserve">Security event logging.</w:t>
      </w:r>
    </w:p>
    <w:p>
      <w:pPr>
        <w:pStyle w:val="Compact"/>
        <w:numPr>
          <w:ilvl w:val="0"/>
          <w:numId w:val="1003"/>
        </w:numPr>
      </w:pPr>
      <w:r>
        <w:t xml:space="preserve">Continuous monitoring.</w:t>
      </w:r>
    </w:p>
    <w:p>
      <w:pPr>
        <w:pStyle w:val="Compact"/>
        <w:numPr>
          <w:ilvl w:val="0"/>
          <w:numId w:val="1003"/>
        </w:numPr>
      </w:pPr>
      <w:r>
        <w:t xml:space="preserve">Backup and disaster recovery.</w:t>
      </w:r>
    </w:p>
    <w:p>
      <w:pPr>
        <w:pStyle w:val="Compact"/>
        <w:numPr>
          <w:ilvl w:val="0"/>
          <w:numId w:val="1003"/>
        </w:numPr>
      </w:pPr>
      <w:r>
        <w:t xml:space="preserve">Secure software development practices.</w:t>
      </w:r>
    </w:p>
    <w:p>
      <w:r>
        <w:pict>
          <v:rect style="width:0;height:1.5pt" o:hralign="center" o:hrstd="t" o:hr="t"/>
        </w:pict>
      </w:r>
    </w:p>
    <w:bookmarkEnd w:id="52"/>
    <w:bookmarkStart w:id="53" w:name="enterprise-standards"/>
    <w:p>
      <w:pPr>
        <w:pStyle w:val="Heading1"/>
      </w:pPr>
      <w:r>
        <w:t xml:space="preserve">26.9 Enterprise Standards</w:t>
      </w:r>
    </w:p>
    <w:p>
      <w:pPr>
        <w:pStyle w:val="FirstParagraph"/>
      </w:pPr>
      <w:r>
        <w:t xml:space="preserve">The platform should align with recognized enterprise practices where appropriate, including:</w:t>
      </w:r>
    </w:p>
    <w:p>
      <w:pPr>
        <w:pStyle w:val="Compact"/>
        <w:numPr>
          <w:ilvl w:val="0"/>
          <w:numId w:val="1004"/>
        </w:numPr>
      </w:pPr>
      <w:r>
        <w:t xml:space="preserve">RESTful APIs for interoperability.</w:t>
      </w:r>
    </w:p>
    <w:p>
      <w:pPr>
        <w:pStyle w:val="Compact"/>
        <w:numPr>
          <w:ilvl w:val="0"/>
          <w:numId w:val="1004"/>
        </w:numPr>
      </w:pPr>
      <w:r>
        <w:t xml:space="preserve">JSON for data exchange.</w:t>
      </w:r>
    </w:p>
    <w:p>
      <w:pPr>
        <w:pStyle w:val="Compact"/>
        <w:numPr>
          <w:ilvl w:val="0"/>
          <w:numId w:val="1004"/>
        </w:numPr>
      </w:pPr>
      <w:r>
        <w:t xml:space="preserve">OAuth 2.0 and OpenID Connect for identity and authorization where applicable.</w:t>
      </w:r>
    </w:p>
    <w:p>
      <w:pPr>
        <w:pStyle w:val="Compact"/>
        <w:numPr>
          <w:ilvl w:val="0"/>
          <w:numId w:val="1004"/>
        </w:numPr>
      </w:pPr>
      <w:r>
        <w:t xml:space="preserve">TLS 1.3 for secure communications.</w:t>
      </w:r>
    </w:p>
    <w:p>
      <w:pPr>
        <w:pStyle w:val="Compact"/>
        <w:numPr>
          <w:ilvl w:val="0"/>
          <w:numId w:val="1004"/>
        </w:numPr>
      </w:pPr>
      <w:r>
        <w:t xml:space="preserve">Containerized deployment where operationally appropriate.</w:t>
      </w:r>
    </w:p>
    <w:p>
      <w:pPr>
        <w:pStyle w:val="Compact"/>
        <w:numPr>
          <w:ilvl w:val="0"/>
          <w:numId w:val="1004"/>
        </w:numPr>
      </w:pPr>
      <w:r>
        <w:t xml:space="preserve">Structured logging and centralized monitoring.</w:t>
      </w:r>
    </w:p>
    <w:p>
      <w:pPr>
        <w:pStyle w:val="FirstParagraph"/>
      </w:pPr>
      <w:r>
        <w:t xml:space="preserve">The selection of specific technologies should consider ministry policies, operational capacity, long-term sustainability, and total cost of ownership.</w:t>
      </w:r>
    </w:p>
    <w:p>
      <w:r>
        <w:pict>
          <v:rect style="width:0;height:1.5pt" o:hralign="center" o:hrstd="t" o:hr="t"/>
        </w:pict>
      </w:r>
    </w:p>
    <w:bookmarkEnd w:id="53"/>
    <w:bookmarkStart w:id="57" w:name="deployment-model"/>
    <w:p>
      <w:pPr>
        <w:pStyle w:val="Heading1"/>
      </w:pPr>
      <w:r>
        <w:t xml:space="preserve">26.10 Deployment Model</w:t>
      </w:r>
    </w:p>
    <w:p>
      <w:pPr>
        <w:pStyle w:val="FirstParagraph"/>
      </w:pPr>
      <w:r>
        <w:t xml:space="preserve">The platform supports a layered deployment approach:</w:t>
      </w:r>
    </w:p>
    <w:bookmarkStart w:id="54" w:name="national-level"/>
    <w:p>
      <w:pPr>
        <w:pStyle w:val="Heading3"/>
      </w:pPr>
      <w:r>
        <w:t xml:space="preserve">National Level</w:t>
      </w:r>
    </w:p>
    <w:p>
      <w:pPr>
        <w:pStyle w:val="FirstParagraph"/>
      </w:pPr>
      <w:r>
        <w:t xml:space="preserve">Core services, analytics, integration, and governance.</w:t>
      </w:r>
    </w:p>
    <w:bookmarkEnd w:id="54"/>
    <w:bookmarkStart w:id="55" w:name="regional-level"/>
    <w:p>
      <w:pPr>
        <w:pStyle w:val="Heading3"/>
      </w:pPr>
      <w:r>
        <w:t xml:space="preserve">Regional Level</w:t>
      </w:r>
    </w:p>
    <w:p>
      <w:pPr>
        <w:pStyle w:val="FirstParagraph"/>
      </w:pPr>
      <w:r>
        <w:t xml:space="preserve">Operational coordination, monitoring, and support.</w:t>
      </w:r>
    </w:p>
    <w:bookmarkEnd w:id="55"/>
    <w:bookmarkStart w:id="56" w:name="school-level"/>
    <w:p>
      <w:pPr>
        <w:pStyle w:val="Heading3"/>
      </w:pPr>
      <w:r>
        <w:t xml:space="preserve">School Level</w:t>
      </w:r>
    </w:p>
    <w:p>
      <w:pPr>
        <w:pStyle w:val="FirstParagraph"/>
      </w:pPr>
      <w:r>
        <w:t xml:space="preserve">Offline-first operational functions with secure synchronization.</w:t>
      </w:r>
    </w:p>
    <w:p>
      <w:pPr>
        <w:pStyle w:val="BodyText"/>
      </w:pPr>
      <w:r>
        <w:t xml:space="preserve">This model accommodates varying levels of connectivity while maintaining centralized governance.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success-indicators"/>
    <w:p>
      <w:pPr>
        <w:pStyle w:val="Heading1"/>
      </w:pPr>
      <w:r>
        <w:t xml:space="preserve">26.11 Success Indicators</w:t>
      </w:r>
    </w:p>
    <w:p>
      <w:pPr>
        <w:pStyle w:val="FirstParagraph"/>
      </w:pPr>
      <w:r>
        <w:t xml:space="preserve">Examples include:</w:t>
      </w:r>
    </w:p>
    <w:p>
      <w:pPr>
        <w:pStyle w:val="Compact"/>
        <w:numPr>
          <w:ilvl w:val="0"/>
          <w:numId w:val="1005"/>
        </w:numPr>
      </w:pPr>
      <w:r>
        <w:t xml:space="preserve">Platform availability.</w:t>
      </w:r>
    </w:p>
    <w:p>
      <w:pPr>
        <w:pStyle w:val="Compact"/>
        <w:numPr>
          <w:ilvl w:val="0"/>
          <w:numId w:val="1005"/>
        </w:numPr>
      </w:pPr>
      <w:r>
        <w:t xml:space="preserve">System response times.</w:t>
      </w:r>
    </w:p>
    <w:p>
      <w:pPr>
        <w:pStyle w:val="Compact"/>
        <w:numPr>
          <w:ilvl w:val="0"/>
          <w:numId w:val="1005"/>
        </w:numPr>
      </w:pPr>
      <w:r>
        <w:t xml:space="preserve">Synchronization success rate.</w:t>
      </w:r>
    </w:p>
    <w:p>
      <w:pPr>
        <w:pStyle w:val="Compact"/>
        <w:numPr>
          <w:ilvl w:val="0"/>
          <w:numId w:val="1005"/>
        </w:numPr>
      </w:pPr>
      <w:r>
        <w:t xml:space="preserve">Deployment scalability.</w:t>
      </w:r>
    </w:p>
    <w:p>
      <w:pPr>
        <w:pStyle w:val="Compact"/>
        <w:numPr>
          <w:ilvl w:val="0"/>
          <w:numId w:val="1005"/>
        </w:numPr>
      </w:pPr>
      <w:r>
        <w:t xml:space="preserve">Security incident trends.</w:t>
      </w:r>
    </w:p>
    <w:p>
      <w:pPr>
        <w:pStyle w:val="Compact"/>
        <w:numPr>
          <w:ilvl w:val="0"/>
          <w:numId w:val="1005"/>
        </w:numPr>
      </w:pPr>
      <w:r>
        <w:t xml:space="preserve">Operational stability.</w:t>
      </w:r>
    </w:p>
    <w:p>
      <w:pPr>
        <w:pStyle w:val="Compact"/>
        <w:numPr>
          <w:ilvl w:val="0"/>
          <w:numId w:val="1005"/>
        </w:numPr>
      </w:pPr>
      <w:r>
        <w:t xml:space="preserve">User satisfaction.</w:t>
      </w:r>
    </w:p>
    <w:p>
      <w:r>
        <w:pict>
          <v:rect style="width:0;height:1.5pt" o:hralign="center" o:hrstd="t" o:hr="t"/>
        </w:pict>
      </w:r>
    </w:p>
    <w:bookmarkEnd w:id="58"/>
    <w:bookmarkStart w:id="59" w:name="conclusion"/>
    <w:p>
      <w:pPr>
        <w:pStyle w:val="Heading1"/>
      </w:pPr>
      <w:r>
        <w:t xml:space="preserve">26.12 Conclusion</w:t>
      </w:r>
    </w:p>
    <w:p>
      <w:pPr>
        <w:pStyle w:val="FirstParagraph"/>
      </w:pPr>
      <w:r>
        <w:t xml:space="preserve">The Enterprise Architecture provides the technical foundation for the National Education Resource Intelligence Platform.</w:t>
      </w:r>
    </w:p>
    <w:p>
      <w:pPr>
        <w:pStyle w:val="BodyText"/>
      </w:pPr>
      <w:r>
        <w:t xml:space="preserve">By combining modular application services, standardized integration, resilient offline capabilities, secure data management, and scalable infrastructure, the architecture supports the Ministry’s long-term vision for digital transformation while remaining adaptable to future policy, operational, and technological developments.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2026-07-10T13:18:22Z</dcterms:created>
  <dcterms:modified xsi:type="dcterms:W3CDTF">2026-07-10T13:18:22Z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