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6"/>
    <w:p>
      <w:pPr>
        <w:pStyle w:val="Heading1"/>
      </w:pPr>
      <w:r>
        <w:t xml:space="preserve">CHAPTER 36</w:t>
      </w:r>
    </w:p>
    <w:bookmarkEnd w:id="20"/>
    <w:bookmarkStart w:id="22" w:name="X785a14aef5bf4249cfb9de51f2a7947b2315305"/>
    <w:p>
      <w:pPr>
        <w:pStyle w:val="Heading1"/>
      </w:pPr>
      <w:r>
        <w:t xml:space="preserve">FINANCIAL SUSTAINABILITY, INVESTMENT STRATEGY AND NATIONAL FINANCING FRAMEWORK</w:t>
      </w:r>
    </w:p>
    <w:bookmarkStart w:id="21" w:name="introduction"/>
    <w:p>
      <w:pPr>
        <w:pStyle w:val="Heading2"/>
      </w:pPr>
      <w:r>
        <w:t xml:space="preserve">36.1 Introduction</w:t>
      </w:r>
    </w:p>
    <w:p>
      <w:pPr>
        <w:pStyle w:val="FirstParagraph"/>
      </w:pPr>
      <w:r>
        <w:t xml:space="preserve">The Financial Sustainability, Investment Strategy and National Financing Framework establishes the economic foundation for the implementation, operation, maintenance, and continuous evolution of EduOS Cameroon.</w:t>
      </w:r>
    </w:p>
    <w:p>
      <w:pPr>
        <w:pStyle w:val="BodyText"/>
      </w:pPr>
      <w:r>
        <w:t xml:space="preserve">Rather than treating the platform as a one-time technology acquisition, the framework positions it as a long-term national digital public infrastructure supporting education governance, resource accountability, and service delivery.</w:t>
      </w:r>
    </w:p>
    <w:p>
      <w:pPr>
        <w:pStyle w:val="BodyText"/>
      </w:pPr>
      <w:r>
        <w:t xml:space="preserve">The financing model emphasizes phased investment, institutional ownership, operational sustainability, and measurable public value.</w:t>
      </w:r>
    </w:p>
    <w:p>
      <w:r>
        <w:pict>
          <v:rect style="width:0;height:1.5pt" o:hralign="center" o:hrstd="t" o:hr="t"/>
        </w:pict>
      </w:r>
    </w:p>
    <w:bookmarkEnd w:id="21"/>
    <w:bookmarkEnd w:id="22"/>
    <w:bookmarkStart w:id="23" w:name="strategic-objectives"/>
    <w:p>
      <w:pPr>
        <w:pStyle w:val="Heading1"/>
      </w:pPr>
      <w:r>
        <w:t xml:space="preserve">36.2 Strategic Objectives</w:t>
      </w:r>
    </w:p>
    <w:p>
      <w:pPr>
        <w:pStyle w:val="FirstParagraph"/>
      </w:pPr>
      <w:r>
        <w:t xml:space="preserve">The framework seeks to:</w:t>
      </w:r>
    </w:p>
    <w:p>
      <w:pPr>
        <w:pStyle w:val="Compact"/>
        <w:numPr>
          <w:ilvl w:val="0"/>
          <w:numId w:val="1001"/>
        </w:numPr>
      </w:pPr>
      <w:r>
        <w:t xml:space="preserve">Support phased national implementation.</w:t>
      </w:r>
    </w:p>
    <w:p>
      <w:pPr>
        <w:pStyle w:val="Compact"/>
        <w:numPr>
          <w:ilvl w:val="0"/>
          <w:numId w:val="1001"/>
        </w:numPr>
      </w:pPr>
      <w:r>
        <w:t xml:space="preserve">Promote long-term financial sustainability.</w:t>
      </w:r>
    </w:p>
    <w:p>
      <w:pPr>
        <w:pStyle w:val="Compact"/>
        <w:numPr>
          <w:ilvl w:val="0"/>
          <w:numId w:val="1001"/>
        </w:numPr>
      </w:pPr>
      <w:r>
        <w:t xml:space="preserve">Strengthen national ownership.</w:t>
      </w:r>
    </w:p>
    <w:p>
      <w:pPr>
        <w:pStyle w:val="Compact"/>
        <w:numPr>
          <w:ilvl w:val="0"/>
          <w:numId w:val="1001"/>
        </w:numPr>
      </w:pPr>
      <w:r>
        <w:t xml:space="preserve">Optimize value for public investment.</w:t>
      </w:r>
    </w:p>
    <w:p>
      <w:pPr>
        <w:pStyle w:val="Compact"/>
        <w:numPr>
          <w:ilvl w:val="0"/>
          <w:numId w:val="1001"/>
        </w:numPr>
      </w:pPr>
      <w:r>
        <w:t xml:space="preserve">Reduce avoidable operational costs.</w:t>
      </w:r>
    </w:p>
    <w:p>
      <w:pPr>
        <w:pStyle w:val="Compact"/>
        <w:numPr>
          <w:ilvl w:val="0"/>
          <w:numId w:val="1001"/>
        </w:numPr>
      </w:pPr>
      <w:r>
        <w:t xml:space="preserve">Encourage efficient resource utilization.</w:t>
      </w:r>
    </w:p>
    <w:p>
      <w:pPr>
        <w:pStyle w:val="Compact"/>
        <w:numPr>
          <w:ilvl w:val="0"/>
          <w:numId w:val="1001"/>
        </w:numPr>
      </w:pPr>
      <w:r>
        <w:t xml:space="preserve">Enable continuous platform improvement.</w:t>
      </w:r>
    </w:p>
    <w:p>
      <w:pPr>
        <w:pStyle w:val="Compact"/>
        <w:numPr>
          <w:ilvl w:val="0"/>
          <w:numId w:val="1001"/>
        </w:numPr>
      </w:pPr>
      <w:r>
        <w:t xml:space="preserve">Support future expansion.</w:t>
      </w:r>
    </w:p>
    <w:p>
      <w:r>
        <w:pict>
          <v:rect style="width:0;height:1.5pt" o:hralign="center" o:hrstd="t" o:hr="t"/>
        </w:pict>
      </w:r>
    </w:p>
    <w:bookmarkEnd w:id="23"/>
    <w:bookmarkStart w:id="24" w:name="investment-principles"/>
    <w:p>
      <w:pPr>
        <w:pStyle w:val="Heading1"/>
      </w:pPr>
      <w:r>
        <w:t xml:space="preserve">36.3 Investment Principles</w:t>
      </w:r>
    </w:p>
    <w:p>
      <w:pPr>
        <w:pStyle w:val="FirstParagraph"/>
      </w:pPr>
      <w:r>
        <w:t xml:space="preserve">The investment strategy is guided by the following principles:</w:t>
      </w:r>
    </w:p>
    <w:p>
      <w:pPr>
        <w:pStyle w:val="Compact"/>
        <w:numPr>
          <w:ilvl w:val="0"/>
          <w:numId w:val="1002"/>
        </w:numPr>
      </w:pPr>
      <w:r>
        <w:t xml:space="preserve">Value for Money.</w:t>
      </w:r>
    </w:p>
    <w:p>
      <w:pPr>
        <w:pStyle w:val="Compact"/>
        <w:numPr>
          <w:ilvl w:val="0"/>
          <w:numId w:val="1002"/>
        </w:numPr>
      </w:pPr>
      <w:r>
        <w:t xml:space="preserve">Sustainability.</w:t>
      </w:r>
    </w:p>
    <w:p>
      <w:pPr>
        <w:pStyle w:val="Compact"/>
        <w:numPr>
          <w:ilvl w:val="0"/>
          <w:numId w:val="1002"/>
        </w:numPr>
      </w:pPr>
      <w:r>
        <w:t xml:space="preserve">Incremental implementation.</w:t>
      </w:r>
    </w:p>
    <w:p>
      <w:pPr>
        <w:pStyle w:val="Compact"/>
        <w:numPr>
          <w:ilvl w:val="0"/>
          <w:numId w:val="1002"/>
        </w:numPr>
      </w:pPr>
      <w:r>
        <w:t xml:space="preserve">Transparency.</w:t>
      </w:r>
    </w:p>
    <w:p>
      <w:pPr>
        <w:pStyle w:val="Compact"/>
        <w:numPr>
          <w:ilvl w:val="0"/>
          <w:numId w:val="1002"/>
        </w:numPr>
      </w:pPr>
      <w:r>
        <w:t xml:space="preserve">Accountability.</w:t>
      </w:r>
    </w:p>
    <w:p>
      <w:pPr>
        <w:pStyle w:val="Compact"/>
        <w:numPr>
          <w:ilvl w:val="0"/>
          <w:numId w:val="1002"/>
        </w:numPr>
      </w:pPr>
      <w:r>
        <w:t xml:space="preserve">Local capacity development.</w:t>
      </w:r>
    </w:p>
    <w:p>
      <w:pPr>
        <w:pStyle w:val="Compact"/>
        <w:numPr>
          <w:ilvl w:val="0"/>
          <w:numId w:val="1002"/>
        </w:numPr>
      </w:pPr>
      <w:r>
        <w:t xml:space="preserve">Technology reuse.</w:t>
      </w:r>
    </w:p>
    <w:p>
      <w:pPr>
        <w:pStyle w:val="Compact"/>
        <w:numPr>
          <w:ilvl w:val="0"/>
          <w:numId w:val="1002"/>
        </w:numPr>
      </w:pPr>
      <w:r>
        <w:t xml:space="preserve">Whole-of-life cost management.</w:t>
      </w:r>
    </w:p>
    <w:p>
      <w:r>
        <w:pict>
          <v:rect style="width:0;height:1.5pt" o:hralign="center" o:hrstd="t" o:hr="t"/>
        </w:pict>
      </w:r>
    </w:p>
    <w:bookmarkEnd w:id="24"/>
    <w:bookmarkStart w:id="29" w:name="investment-phases"/>
    <w:p>
      <w:pPr>
        <w:pStyle w:val="Heading1"/>
      </w:pPr>
      <w:r>
        <w:t xml:space="preserve">36.4 Investment Phases</w:t>
      </w:r>
    </w:p>
    <w:bookmarkStart w:id="25" w:name="phase-i-platform-foundation"/>
    <w:p>
      <w:pPr>
        <w:pStyle w:val="Heading3"/>
      </w:pPr>
      <w:r>
        <w:t xml:space="preserve">Phase I – Platform Foundation</w:t>
      </w:r>
    </w:p>
    <w:p>
      <w:pPr>
        <w:pStyle w:val="FirstParagraph"/>
      </w:pPr>
      <w:r>
        <w:t xml:space="preserve">Activities include:</w:t>
      </w:r>
    </w:p>
    <w:p>
      <w:pPr>
        <w:pStyle w:val="Compact"/>
        <w:numPr>
          <w:ilvl w:val="0"/>
          <w:numId w:val="1003"/>
        </w:numPr>
      </w:pPr>
      <w:r>
        <w:t xml:space="preserve">Core platform development.</w:t>
      </w:r>
    </w:p>
    <w:p>
      <w:pPr>
        <w:pStyle w:val="Compact"/>
        <w:numPr>
          <w:ilvl w:val="0"/>
          <w:numId w:val="1003"/>
        </w:numPr>
      </w:pPr>
      <w:r>
        <w:t xml:space="preserve">Pilot implementation.</w:t>
      </w:r>
    </w:p>
    <w:p>
      <w:pPr>
        <w:pStyle w:val="Compact"/>
        <w:numPr>
          <w:ilvl w:val="0"/>
          <w:numId w:val="1003"/>
        </w:numPr>
      </w:pPr>
      <w:r>
        <w:t xml:space="preserve">Infrastructure preparation.</w:t>
      </w:r>
    </w:p>
    <w:p>
      <w:pPr>
        <w:pStyle w:val="Compact"/>
        <w:numPr>
          <w:ilvl w:val="0"/>
          <w:numId w:val="1003"/>
        </w:numPr>
      </w:pPr>
      <w:r>
        <w:t xml:space="preserve">Training of national teams.</w:t>
      </w:r>
    </w:p>
    <w:p>
      <w:pPr>
        <w:pStyle w:val="Compact"/>
        <w:numPr>
          <w:ilvl w:val="0"/>
          <w:numId w:val="1003"/>
        </w:numPr>
      </w:pPr>
      <w:r>
        <w:t xml:space="preserve">Integration testing.</w:t>
      </w:r>
    </w:p>
    <w:p>
      <w:r>
        <w:pict>
          <v:rect style="width:0;height:1.5pt" o:hralign="center" o:hrstd="t" o:hr="t"/>
        </w:pict>
      </w:r>
    </w:p>
    <w:bookmarkEnd w:id="25"/>
    <w:bookmarkStart w:id="26" w:name="phase-ii-regional-expansion"/>
    <w:p>
      <w:pPr>
        <w:pStyle w:val="Heading3"/>
      </w:pPr>
      <w:r>
        <w:t xml:space="preserve">Phase II – Regional Expansion</w:t>
      </w:r>
    </w:p>
    <w:p>
      <w:pPr>
        <w:pStyle w:val="FirstParagraph"/>
      </w:pPr>
      <w:r>
        <w:t xml:space="preserve">Activities include:</w:t>
      </w:r>
    </w:p>
    <w:p>
      <w:pPr>
        <w:pStyle w:val="Compact"/>
        <w:numPr>
          <w:ilvl w:val="0"/>
          <w:numId w:val="1004"/>
        </w:numPr>
      </w:pPr>
      <w:r>
        <w:t xml:space="preserve">Regional deployment.</w:t>
      </w:r>
    </w:p>
    <w:p>
      <w:pPr>
        <w:pStyle w:val="Compact"/>
        <w:numPr>
          <w:ilvl w:val="0"/>
          <w:numId w:val="1004"/>
        </w:numPr>
      </w:pPr>
      <w:r>
        <w:t xml:space="preserve">Additional user training.</w:t>
      </w:r>
    </w:p>
    <w:p>
      <w:pPr>
        <w:pStyle w:val="Compact"/>
        <w:numPr>
          <w:ilvl w:val="0"/>
          <w:numId w:val="1004"/>
        </w:numPr>
      </w:pPr>
      <w:r>
        <w:t xml:space="preserve">Regional support centres.</w:t>
      </w:r>
    </w:p>
    <w:p>
      <w:pPr>
        <w:pStyle w:val="Compact"/>
        <w:numPr>
          <w:ilvl w:val="0"/>
          <w:numId w:val="1004"/>
        </w:numPr>
      </w:pPr>
      <w:r>
        <w:t xml:space="preserve">Operational stabilization.</w:t>
      </w:r>
    </w:p>
    <w:p>
      <w:r>
        <w:pict>
          <v:rect style="width:0;height:1.5pt" o:hralign="center" o:hrstd="t" o:hr="t"/>
        </w:pict>
      </w:r>
    </w:p>
    <w:bookmarkEnd w:id="26"/>
    <w:bookmarkStart w:id="27" w:name="phase-iii-national-rollout"/>
    <w:p>
      <w:pPr>
        <w:pStyle w:val="Heading3"/>
      </w:pPr>
      <w:r>
        <w:t xml:space="preserve">Phase III – National Rollout</w:t>
      </w:r>
    </w:p>
    <w:p>
      <w:pPr>
        <w:pStyle w:val="FirstParagraph"/>
      </w:pPr>
      <w:r>
        <w:t xml:space="preserve">Activities include:</w:t>
      </w:r>
    </w:p>
    <w:p>
      <w:pPr>
        <w:pStyle w:val="Compact"/>
        <w:numPr>
          <w:ilvl w:val="0"/>
          <w:numId w:val="1005"/>
        </w:numPr>
      </w:pPr>
      <w:r>
        <w:t xml:space="preserve">Nationwide deployment.</w:t>
      </w:r>
    </w:p>
    <w:p>
      <w:pPr>
        <w:pStyle w:val="Compact"/>
        <w:numPr>
          <w:ilvl w:val="0"/>
          <w:numId w:val="1005"/>
        </w:numPr>
      </w:pPr>
      <w:r>
        <w:t xml:space="preserve">Full operational support.</w:t>
      </w:r>
    </w:p>
    <w:p>
      <w:pPr>
        <w:pStyle w:val="Compact"/>
        <w:numPr>
          <w:ilvl w:val="0"/>
          <w:numId w:val="1005"/>
        </w:numPr>
      </w:pPr>
      <w:r>
        <w:t xml:space="preserve">Performance optimization.</w:t>
      </w:r>
    </w:p>
    <w:p>
      <w:pPr>
        <w:pStyle w:val="Compact"/>
        <w:numPr>
          <w:ilvl w:val="0"/>
          <w:numId w:val="1005"/>
        </w:numPr>
      </w:pPr>
      <w:r>
        <w:t xml:space="preserve">Enhanced analytics.</w:t>
      </w:r>
    </w:p>
    <w:p>
      <w:pPr>
        <w:pStyle w:val="Compact"/>
        <w:numPr>
          <w:ilvl w:val="0"/>
          <w:numId w:val="1005"/>
        </w:numPr>
      </w:pPr>
      <w:r>
        <w:t xml:space="preserve">Additional functional modules.</w:t>
      </w:r>
    </w:p>
    <w:p>
      <w:r>
        <w:pict>
          <v:rect style="width:0;height:1.5pt" o:hralign="center" o:hrstd="t" o:hr="t"/>
        </w:pict>
      </w:r>
    </w:p>
    <w:bookmarkEnd w:id="27"/>
    <w:bookmarkStart w:id="28" w:name="phase-iv-continuous-evolution"/>
    <w:p>
      <w:pPr>
        <w:pStyle w:val="Heading3"/>
      </w:pPr>
      <w:r>
        <w:t xml:space="preserve">Phase IV – Continuous Evolution</w:t>
      </w:r>
    </w:p>
    <w:p>
      <w:pPr>
        <w:pStyle w:val="FirstParagraph"/>
      </w:pPr>
      <w:r>
        <w:t xml:space="preserve">Activities include:</w:t>
      </w:r>
    </w:p>
    <w:p>
      <w:pPr>
        <w:pStyle w:val="Compact"/>
        <w:numPr>
          <w:ilvl w:val="0"/>
          <w:numId w:val="1006"/>
        </w:numPr>
      </w:pPr>
      <w:r>
        <w:t xml:space="preserve">Platform upgrades.</w:t>
      </w:r>
    </w:p>
    <w:p>
      <w:pPr>
        <w:pStyle w:val="Compact"/>
        <w:numPr>
          <w:ilvl w:val="0"/>
          <w:numId w:val="1006"/>
        </w:numPr>
      </w:pPr>
      <w:r>
        <w:t xml:space="preserve">New capabilities.</w:t>
      </w:r>
    </w:p>
    <w:p>
      <w:pPr>
        <w:pStyle w:val="Compact"/>
        <w:numPr>
          <w:ilvl w:val="0"/>
          <w:numId w:val="1006"/>
        </w:numPr>
      </w:pPr>
      <w:r>
        <w:t xml:space="preserve">Security improvements.</w:t>
      </w:r>
    </w:p>
    <w:p>
      <w:pPr>
        <w:pStyle w:val="Compact"/>
        <w:numPr>
          <w:ilvl w:val="0"/>
          <w:numId w:val="1006"/>
        </w:numPr>
      </w:pPr>
      <w:r>
        <w:t xml:space="preserve">Emerging technology integration.</w:t>
      </w:r>
    </w:p>
    <w:p>
      <w:pPr>
        <w:pStyle w:val="Compact"/>
        <w:numPr>
          <w:ilvl w:val="0"/>
          <w:numId w:val="1006"/>
        </w:numPr>
      </w:pPr>
      <w:r>
        <w:t xml:space="preserve">Policy-driven enhancements.</w:t>
      </w:r>
    </w:p>
    <w:p>
      <w:r>
        <w:pict>
          <v:rect style="width:0;height:1.5pt" o:hralign="center" o:hrstd="t" o:hr="t"/>
        </w:pict>
      </w:r>
    </w:p>
    <w:bookmarkEnd w:id="28"/>
    <w:bookmarkEnd w:id="29"/>
    <w:bookmarkStart w:id="36" w:name="cost-categories"/>
    <w:p>
      <w:pPr>
        <w:pStyle w:val="Heading1"/>
      </w:pPr>
      <w:r>
        <w:t xml:space="preserve">36.5 Cost Categories</w:t>
      </w:r>
    </w:p>
    <w:p>
      <w:pPr>
        <w:pStyle w:val="FirstParagraph"/>
      </w:pPr>
      <w:r>
        <w:t xml:space="preserve">Illustrative investment categories include:</w:t>
      </w:r>
    </w:p>
    <w:bookmarkStart w:id="30" w:name="platform-development"/>
    <w:p>
      <w:pPr>
        <w:pStyle w:val="Heading3"/>
      </w:pPr>
      <w:r>
        <w:t xml:space="preserve">Platform Development</w:t>
      </w:r>
    </w:p>
    <w:p>
      <w:pPr>
        <w:pStyle w:val="Compact"/>
        <w:numPr>
          <w:ilvl w:val="0"/>
          <w:numId w:val="1007"/>
        </w:numPr>
      </w:pPr>
      <w:r>
        <w:t xml:space="preserve">Software engineering.</w:t>
      </w:r>
    </w:p>
    <w:p>
      <w:pPr>
        <w:pStyle w:val="Compact"/>
        <w:numPr>
          <w:ilvl w:val="0"/>
          <w:numId w:val="1007"/>
        </w:numPr>
      </w:pPr>
      <w:r>
        <w:t xml:space="preserve">Testing.</w:t>
      </w:r>
    </w:p>
    <w:p>
      <w:pPr>
        <w:pStyle w:val="Compact"/>
        <w:numPr>
          <w:ilvl w:val="0"/>
          <w:numId w:val="1007"/>
        </w:numPr>
      </w:pPr>
      <w:r>
        <w:t xml:space="preserve">Quality assurance.</w:t>
      </w:r>
    </w:p>
    <w:p>
      <w:pPr>
        <w:pStyle w:val="Compact"/>
        <w:numPr>
          <w:ilvl w:val="0"/>
          <w:numId w:val="1007"/>
        </w:numPr>
      </w:pPr>
      <w:r>
        <w:t xml:space="preserve">Documentation.</w:t>
      </w:r>
    </w:p>
    <w:p>
      <w:r>
        <w:pict>
          <v:rect style="width:0;height:1.5pt" o:hralign="center" o:hrstd="t" o:hr="t"/>
        </w:pict>
      </w:r>
    </w:p>
    <w:bookmarkEnd w:id="30"/>
    <w:bookmarkStart w:id="31" w:name="infrastructure"/>
    <w:p>
      <w:pPr>
        <w:pStyle w:val="Heading3"/>
      </w:pPr>
      <w:r>
        <w:t xml:space="preserve">Infrastructure</w:t>
      </w:r>
    </w:p>
    <w:p>
      <w:pPr>
        <w:pStyle w:val="Compact"/>
        <w:numPr>
          <w:ilvl w:val="0"/>
          <w:numId w:val="1008"/>
        </w:numPr>
      </w:pPr>
      <w:r>
        <w:t xml:space="preserve">National hosting environment.</w:t>
      </w:r>
    </w:p>
    <w:p>
      <w:pPr>
        <w:pStyle w:val="Compact"/>
        <w:numPr>
          <w:ilvl w:val="0"/>
          <w:numId w:val="1008"/>
        </w:numPr>
      </w:pPr>
      <w:r>
        <w:t xml:space="preserve">Regional infrastructure.</w:t>
      </w:r>
    </w:p>
    <w:p>
      <w:pPr>
        <w:pStyle w:val="Compact"/>
        <w:numPr>
          <w:ilvl w:val="0"/>
          <w:numId w:val="1008"/>
        </w:numPr>
      </w:pPr>
      <w:r>
        <w:t xml:space="preserve">School equipment (where applicable).</w:t>
      </w:r>
    </w:p>
    <w:p>
      <w:pPr>
        <w:pStyle w:val="Compact"/>
        <w:numPr>
          <w:ilvl w:val="0"/>
          <w:numId w:val="1008"/>
        </w:numPr>
      </w:pPr>
      <w:r>
        <w:t xml:space="preserve">Backup systems.</w:t>
      </w:r>
    </w:p>
    <w:p>
      <w:pPr>
        <w:pStyle w:val="Compact"/>
        <w:numPr>
          <w:ilvl w:val="0"/>
          <w:numId w:val="1008"/>
        </w:numPr>
      </w:pPr>
      <w:r>
        <w:t xml:space="preserve">Disaster recovery.</w:t>
      </w:r>
    </w:p>
    <w:p>
      <w:r>
        <w:pict>
          <v:rect style="width:0;height:1.5pt" o:hralign="center" o:hrstd="t" o:hr="t"/>
        </w:pict>
      </w:r>
    </w:p>
    <w:bookmarkEnd w:id="31"/>
    <w:bookmarkStart w:id="32" w:name="implementation"/>
    <w:p>
      <w:pPr>
        <w:pStyle w:val="Heading3"/>
      </w:pPr>
      <w:r>
        <w:t xml:space="preserve">Implementation</w:t>
      </w:r>
    </w:p>
    <w:p>
      <w:pPr>
        <w:pStyle w:val="Compact"/>
        <w:numPr>
          <w:ilvl w:val="0"/>
          <w:numId w:val="1009"/>
        </w:numPr>
      </w:pPr>
      <w:r>
        <w:t xml:space="preserve">Deployment.</w:t>
      </w:r>
    </w:p>
    <w:p>
      <w:pPr>
        <w:pStyle w:val="Compact"/>
        <w:numPr>
          <w:ilvl w:val="0"/>
          <w:numId w:val="1009"/>
        </w:numPr>
      </w:pPr>
      <w:r>
        <w:t xml:space="preserve">Data migration.</w:t>
      </w:r>
    </w:p>
    <w:p>
      <w:pPr>
        <w:pStyle w:val="Compact"/>
        <w:numPr>
          <w:ilvl w:val="0"/>
          <w:numId w:val="1009"/>
        </w:numPr>
      </w:pPr>
      <w:r>
        <w:t xml:space="preserve">Configuration.</w:t>
      </w:r>
    </w:p>
    <w:p>
      <w:pPr>
        <w:pStyle w:val="Compact"/>
        <w:numPr>
          <w:ilvl w:val="0"/>
          <w:numId w:val="1009"/>
        </w:numPr>
      </w:pPr>
      <w:r>
        <w:t xml:space="preserve">Change management.</w:t>
      </w:r>
    </w:p>
    <w:p>
      <w:pPr>
        <w:pStyle w:val="Compact"/>
        <w:numPr>
          <w:ilvl w:val="0"/>
          <w:numId w:val="1009"/>
        </w:numPr>
      </w:pPr>
      <w:r>
        <w:t xml:space="preserve">Stakeholder engagement.</w:t>
      </w:r>
    </w:p>
    <w:p>
      <w:r>
        <w:pict>
          <v:rect style="width:0;height:1.5pt" o:hralign="center" o:hrstd="t" o:hr="t"/>
        </w:pict>
      </w:r>
    </w:p>
    <w:bookmarkEnd w:id="32"/>
    <w:bookmarkStart w:id="33" w:name="capacity-building"/>
    <w:p>
      <w:pPr>
        <w:pStyle w:val="Heading3"/>
      </w:pPr>
      <w:r>
        <w:t xml:space="preserve">Capacity Building</w:t>
      </w:r>
    </w:p>
    <w:p>
      <w:pPr>
        <w:pStyle w:val="Compact"/>
        <w:numPr>
          <w:ilvl w:val="0"/>
          <w:numId w:val="1010"/>
        </w:numPr>
      </w:pPr>
      <w:r>
        <w:t xml:space="preserve">Training programmes.</w:t>
      </w:r>
    </w:p>
    <w:p>
      <w:pPr>
        <w:pStyle w:val="Compact"/>
        <w:numPr>
          <w:ilvl w:val="0"/>
          <w:numId w:val="1010"/>
        </w:numPr>
      </w:pPr>
      <w:r>
        <w:t xml:space="preserve">National Training Academy.</w:t>
      </w:r>
    </w:p>
    <w:p>
      <w:pPr>
        <w:pStyle w:val="Compact"/>
        <w:numPr>
          <w:ilvl w:val="0"/>
          <w:numId w:val="1010"/>
        </w:numPr>
      </w:pPr>
      <w:r>
        <w:t xml:space="preserve">User manuals.</w:t>
      </w:r>
    </w:p>
    <w:p>
      <w:pPr>
        <w:pStyle w:val="Compact"/>
        <w:numPr>
          <w:ilvl w:val="0"/>
          <w:numId w:val="1010"/>
        </w:numPr>
      </w:pPr>
      <w:r>
        <w:t xml:space="preserve">Knowledge transfer.</w:t>
      </w:r>
    </w:p>
    <w:p>
      <w:r>
        <w:pict>
          <v:rect style="width:0;height:1.5pt" o:hralign="center" o:hrstd="t" o:hr="t"/>
        </w:pict>
      </w:r>
    </w:p>
    <w:bookmarkEnd w:id="33"/>
    <w:bookmarkStart w:id="34" w:name="operations"/>
    <w:p>
      <w:pPr>
        <w:pStyle w:val="Heading3"/>
      </w:pPr>
      <w:r>
        <w:t xml:space="preserve">Operations</w:t>
      </w:r>
    </w:p>
    <w:p>
      <w:pPr>
        <w:pStyle w:val="Compact"/>
        <w:numPr>
          <w:ilvl w:val="0"/>
          <w:numId w:val="1011"/>
        </w:numPr>
      </w:pPr>
      <w:r>
        <w:t xml:space="preserve">Technical support.</w:t>
      </w:r>
    </w:p>
    <w:p>
      <w:pPr>
        <w:pStyle w:val="Compact"/>
        <w:numPr>
          <w:ilvl w:val="0"/>
          <w:numId w:val="1011"/>
        </w:numPr>
      </w:pPr>
      <w:r>
        <w:t xml:space="preserve">Helpdesk.</w:t>
      </w:r>
    </w:p>
    <w:p>
      <w:pPr>
        <w:pStyle w:val="Compact"/>
        <w:numPr>
          <w:ilvl w:val="0"/>
          <w:numId w:val="1011"/>
        </w:numPr>
      </w:pPr>
      <w:r>
        <w:t xml:space="preserve">Monitoring.</w:t>
      </w:r>
    </w:p>
    <w:p>
      <w:pPr>
        <w:pStyle w:val="Compact"/>
        <w:numPr>
          <w:ilvl w:val="0"/>
          <w:numId w:val="1011"/>
        </w:numPr>
      </w:pPr>
      <w:r>
        <w:t xml:space="preserve">Maintenance.</w:t>
      </w:r>
    </w:p>
    <w:p>
      <w:pPr>
        <w:pStyle w:val="Compact"/>
        <w:numPr>
          <w:ilvl w:val="0"/>
          <w:numId w:val="1011"/>
        </w:numPr>
      </w:pPr>
      <w:r>
        <w:t xml:space="preserve">Security operations.</w:t>
      </w:r>
    </w:p>
    <w:p>
      <w:r>
        <w:pict>
          <v:rect style="width:0;height:1.5pt" o:hralign="center" o:hrstd="t" o:hr="t"/>
        </w:pict>
      </w:r>
    </w:p>
    <w:bookmarkEnd w:id="34"/>
    <w:bookmarkStart w:id="35" w:name="continuous-improvement"/>
    <w:p>
      <w:pPr>
        <w:pStyle w:val="Heading3"/>
      </w:pPr>
      <w:r>
        <w:t xml:space="preserve">Continuous Improvement</w:t>
      </w:r>
    </w:p>
    <w:p>
      <w:pPr>
        <w:pStyle w:val="Compact"/>
        <w:numPr>
          <w:ilvl w:val="0"/>
          <w:numId w:val="1012"/>
        </w:numPr>
      </w:pPr>
      <w:r>
        <w:t xml:space="preserve">Functional enhancements.</w:t>
      </w:r>
    </w:p>
    <w:p>
      <w:pPr>
        <w:pStyle w:val="Compact"/>
        <w:numPr>
          <w:ilvl w:val="0"/>
          <w:numId w:val="1012"/>
        </w:numPr>
      </w:pPr>
      <w:r>
        <w:t xml:space="preserve">Technology refresh.</w:t>
      </w:r>
    </w:p>
    <w:p>
      <w:pPr>
        <w:pStyle w:val="Compact"/>
        <w:numPr>
          <w:ilvl w:val="0"/>
          <w:numId w:val="1012"/>
        </w:numPr>
      </w:pPr>
      <w:r>
        <w:t xml:space="preserve">Performance optimization.</w:t>
      </w:r>
    </w:p>
    <w:p>
      <w:pPr>
        <w:pStyle w:val="Compact"/>
        <w:numPr>
          <w:ilvl w:val="0"/>
          <w:numId w:val="1012"/>
        </w:numPr>
      </w:pPr>
      <w:r>
        <w:t xml:space="preserve">Research and innovation.</w:t>
      </w:r>
    </w:p>
    <w:p>
      <w:r>
        <w:pict>
          <v:rect style="width:0;height:1.5pt" o:hralign="center" o:hrstd="t" o:hr="t"/>
        </w:pict>
      </w:r>
    </w:p>
    <w:bookmarkEnd w:id="35"/>
    <w:bookmarkEnd w:id="36"/>
    <w:bookmarkStart w:id="37" w:name="sustainability-model"/>
    <w:p>
      <w:pPr>
        <w:pStyle w:val="Heading1"/>
      </w:pPr>
      <w:r>
        <w:t xml:space="preserve">36.6 Sustainability Model</w:t>
      </w:r>
    </w:p>
    <w:p>
      <w:pPr>
        <w:pStyle w:val="FirstParagraph"/>
      </w:pPr>
      <w:r>
        <w:t xml:space="preserve">Long-term sustainability is supported through:</w:t>
      </w:r>
    </w:p>
    <w:p>
      <w:pPr>
        <w:pStyle w:val="Compact"/>
        <w:numPr>
          <w:ilvl w:val="0"/>
          <w:numId w:val="1013"/>
        </w:numPr>
      </w:pPr>
      <w:r>
        <w:t xml:space="preserve">Government ownership.</w:t>
      </w:r>
    </w:p>
    <w:p>
      <w:pPr>
        <w:pStyle w:val="Compact"/>
        <w:numPr>
          <w:ilvl w:val="0"/>
          <w:numId w:val="1013"/>
        </w:numPr>
      </w:pPr>
      <w:r>
        <w:t xml:space="preserve">Annual operational budgeting.</w:t>
      </w:r>
    </w:p>
    <w:p>
      <w:pPr>
        <w:pStyle w:val="Compact"/>
        <w:numPr>
          <w:ilvl w:val="0"/>
          <w:numId w:val="1013"/>
        </w:numPr>
      </w:pPr>
      <w:r>
        <w:t xml:space="preserve">Continuous staff development.</w:t>
      </w:r>
    </w:p>
    <w:p>
      <w:pPr>
        <w:pStyle w:val="Compact"/>
        <w:numPr>
          <w:ilvl w:val="0"/>
          <w:numId w:val="1013"/>
        </w:numPr>
      </w:pPr>
      <w:r>
        <w:t xml:space="preserve">Institutional governance.</w:t>
      </w:r>
    </w:p>
    <w:p>
      <w:pPr>
        <w:pStyle w:val="Compact"/>
        <w:numPr>
          <w:ilvl w:val="0"/>
          <w:numId w:val="1013"/>
        </w:numPr>
      </w:pPr>
      <w:r>
        <w:t xml:space="preserve">Planned technology refresh.</w:t>
      </w:r>
    </w:p>
    <w:p>
      <w:pPr>
        <w:pStyle w:val="Compact"/>
        <w:numPr>
          <w:ilvl w:val="0"/>
          <w:numId w:val="1013"/>
        </w:numPr>
      </w:pPr>
      <w:r>
        <w:t xml:space="preserve">Preventive maintenance.</w:t>
      </w:r>
    </w:p>
    <w:p>
      <w:pPr>
        <w:pStyle w:val="Compact"/>
        <w:numPr>
          <w:ilvl w:val="0"/>
          <w:numId w:val="1013"/>
        </w:numPr>
      </w:pPr>
      <w:r>
        <w:t xml:space="preserve">Performance monitoring.</w:t>
      </w:r>
    </w:p>
    <w:p>
      <w:pPr>
        <w:pStyle w:val="Compact"/>
        <w:numPr>
          <w:ilvl w:val="0"/>
          <w:numId w:val="1013"/>
        </w:numPr>
      </w:pPr>
      <w:r>
        <w:t xml:space="preserve">Strategic partnerships.</w:t>
      </w:r>
    </w:p>
    <w:p>
      <w:r>
        <w:pict>
          <v:rect style="width:0;height:1.5pt" o:hralign="center" o:hrstd="t" o:hr="t"/>
        </w:pict>
      </w:r>
    </w:p>
    <w:bookmarkEnd w:id="37"/>
    <w:bookmarkStart w:id="42" w:name="value-creation"/>
    <w:p>
      <w:pPr>
        <w:pStyle w:val="Heading1"/>
      </w:pPr>
      <w:r>
        <w:t xml:space="preserve">36.7 Value Creation</w:t>
      </w:r>
    </w:p>
    <w:p>
      <w:pPr>
        <w:pStyle w:val="FirstParagraph"/>
      </w:pPr>
      <w:r>
        <w:t xml:space="preserve">EduOS Cameroon delivers value through:</w:t>
      </w:r>
    </w:p>
    <w:bookmarkStart w:id="38" w:name="operational-efficiency"/>
    <w:p>
      <w:pPr>
        <w:pStyle w:val="Heading3"/>
      </w:pPr>
      <w:r>
        <w:t xml:space="preserve">Operational Efficiency</w:t>
      </w:r>
    </w:p>
    <w:p>
      <w:pPr>
        <w:pStyle w:val="Compact"/>
        <w:numPr>
          <w:ilvl w:val="0"/>
          <w:numId w:val="1014"/>
        </w:numPr>
      </w:pPr>
      <w:r>
        <w:t xml:space="preserve">Reduced administrative effort.</w:t>
      </w:r>
    </w:p>
    <w:p>
      <w:pPr>
        <w:pStyle w:val="Compact"/>
        <w:numPr>
          <w:ilvl w:val="0"/>
          <w:numId w:val="1014"/>
        </w:numPr>
      </w:pPr>
      <w:r>
        <w:t xml:space="preserve">Faster reporting.</w:t>
      </w:r>
    </w:p>
    <w:p>
      <w:pPr>
        <w:pStyle w:val="Compact"/>
        <w:numPr>
          <w:ilvl w:val="0"/>
          <w:numId w:val="1014"/>
        </w:numPr>
      </w:pPr>
      <w:r>
        <w:t xml:space="preserve">Improved coordination.</w:t>
      </w:r>
    </w:p>
    <w:p>
      <w:pPr>
        <w:pStyle w:val="Compact"/>
        <w:numPr>
          <w:ilvl w:val="0"/>
          <w:numId w:val="1014"/>
        </w:numPr>
      </w:pPr>
      <w:r>
        <w:t xml:space="preserve">Better resource visibility.</w:t>
      </w:r>
    </w:p>
    <w:p>
      <w:r>
        <w:pict>
          <v:rect style="width:0;height:1.5pt" o:hralign="center" o:hrstd="t" o:hr="t"/>
        </w:pict>
      </w:r>
    </w:p>
    <w:bookmarkEnd w:id="38"/>
    <w:bookmarkStart w:id="39" w:name="financial-stewardship"/>
    <w:p>
      <w:pPr>
        <w:pStyle w:val="Heading3"/>
      </w:pPr>
      <w:r>
        <w:t xml:space="preserve">Financial Stewardship</w:t>
      </w:r>
    </w:p>
    <w:p>
      <w:pPr>
        <w:pStyle w:val="Compact"/>
        <w:numPr>
          <w:ilvl w:val="0"/>
          <w:numId w:val="1015"/>
        </w:numPr>
      </w:pPr>
      <w:r>
        <w:t xml:space="preserve">Improved inventory accountability.</w:t>
      </w:r>
    </w:p>
    <w:p>
      <w:pPr>
        <w:pStyle w:val="Compact"/>
        <w:numPr>
          <w:ilvl w:val="0"/>
          <w:numId w:val="1015"/>
        </w:numPr>
      </w:pPr>
      <w:r>
        <w:t xml:space="preserve">Reduced avoidable losses.</w:t>
      </w:r>
    </w:p>
    <w:p>
      <w:pPr>
        <w:pStyle w:val="Compact"/>
        <w:numPr>
          <w:ilvl w:val="0"/>
          <w:numId w:val="1015"/>
        </w:numPr>
      </w:pPr>
      <w:r>
        <w:t xml:space="preserve">Better procurement planning.</w:t>
      </w:r>
    </w:p>
    <w:p>
      <w:pPr>
        <w:pStyle w:val="Compact"/>
        <w:numPr>
          <w:ilvl w:val="0"/>
          <w:numId w:val="1015"/>
        </w:numPr>
      </w:pPr>
      <w:r>
        <w:t xml:space="preserve">Stronger audit readiness.</w:t>
      </w:r>
    </w:p>
    <w:p>
      <w:r>
        <w:pict>
          <v:rect style="width:0;height:1.5pt" o:hralign="center" o:hrstd="t" o:hr="t"/>
        </w:pict>
      </w:r>
    </w:p>
    <w:bookmarkEnd w:id="39"/>
    <w:bookmarkStart w:id="40" w:name="service-delivery"/>
    <w:p>
      <w:pPr>
        <w:pStyle w:val="Heading3"/>
      </w:pPr>
      <w:r>
        <w:t xml:space="preserve">Service Delivery</w:t>
      </w:r>
    </w:p>
    <w:p>
      <w:pPr>
        <w:pStyle w:val="Compact"/>
        <w:numPr>
          <w:ilvl w:val="0"/>
          <w:numId w:val="1016"/>
        </w:numPr>
      </w:pPr>
      <w:r>
        <w:t xml:space="preserve">Improved textbook availability.</w:t>
      </w:r>
    </w:p>
    <w:p>
      <w:pPr>
        <w:pStyle w:val="Compact"/>
        <w:numPr>
          <w:ilvl w:val="0"/>
          <w:numId w:val="1016"/>
        </w:numPr>
      </w:pPr>
      <w:r>
        <w:t xml:space="preserve">Faster redistribution.</w:t>
      </w:r>
    </w:p>
    <w:p>
      <w:pPr>
        <w:pStyle w:val="Compact"/>
        <w:numPr>
          <w:ilvl w:val="0"/>
          <w:numId w:val="1016"/>
        </w:numPr>
      </w:pPr>
      <w:r>
        <w:t xml:space="preserve">Better planning.</w:t>
      </w:r>
    </w:p>
    <w:p>
      <w:pPr>
        <w:pStyle w:val="Compact"/>
        <w:numPr>
          <w:ilvl w:val="0"/>
          <w:numId w:val="1016"/>
        </w:numPr>
      </w:pPr>
      <w:r>
        <w:t xml:space="preserve">Enhanced support for schools.</w:t>
      </w:r>
    </w:p>
    <w:p>
      <w:r>
        <w:pict>
          <v:rect style="width:0;height:1.5pt" o:hralign="center" o:hrstd="t" o:hr="t"/>
        </w:pict>
      </w:r>
    </w:p>
    <w:bookmarkEnd w:id="40"/>
    <w:bookmarkStart w:id="41" w:name="institutional-capacity"/>
    <w:p>
      <w:pPr>
        <w:pStyle w:val="Heading3"/>
      </w:pPr>
      <w:r>
        <w:t xml:space="preserve">Institutional Capacity</w:t>
      </w:r>
    </w:p>
    <w:p>
      <w:pPr>
        <w:pStyle w:val="Compact"/>
        <w:numPr>
          <w:ilvl w:val="0"/>
          <w:numId w:val="1017"/>
        </w:numPr>
      </w:pPr>
      <w:r>
        <w:t xml:space="preserve">Strengthened digital skills.</w:t>
      </w:r>
    </w:p>
    <w:p>
      <w:pPr>
        <w:pStyle w:val="Compact"/>
        <w:numPr>
          <w:ilvl w:val="0"/>
          <w:numId w:val="1017"/>
        </w:numPr>
      </w:pPr>
      <w:r>
        <w:t xml:space="preserve">Standardized processes.</w:t>
      </w:r>
    </w:p>
    <w:p>
      <w:pPr>
        <w:pStyle w:val="Compact"/>
        <w:numPr>
          <w:ilvl w:val="0"/>
          <w:numId w:val="1017"/>
        </w:numPr>
      </w:pPr>
      <w:r>
        <w:t xml:space="preserve">Improved governance.</w:t>
      </w:r>
    </w:p>
    <w:p>
      <w:pPr>
        <w:pStyle w:val="Compact"/>
        <w:numPr>
          <w:ilvl w:val="0"/>
          <w:numId w:val="1017"/>
        </w:numPr>
      </w:pPr>
      <w:r>
        <w:t xml:space="preserve">Enhanced decision support.</w:t>
      </w:r>
    </w:p>
    <w:p>
      <w:r>
        <w:pict>
          <v:rect style="width:0;height:1.5pt" o:hralign="center" o:hrstd="t" o:hr="t"/>
        </w:pict>
      </w:r>
    </w:p>
    <w:bookmarkEnd w:id="41"/>
    <w:bookmarkEnd w:id="42"/>
    <w:bookmarkStart w:id="43" w:name="risk-management"/>
    <w:p>
      <w:pPr>
        <w:pStyle w:val="Heading1"/>
      </w:pPr>
      <w:r>
        <w:t xml:space="preserve">36.8 Risk Management</w:t>
      </w:r>
    </w:p>
    <w:p>
      <w:pPr>
        <w:pStyle w:val="FirstParagraph"/>
      </w:pPr>
      <w:r>
        <w:t xml:space="preserve">Financial sustainability considers:</w:t>
      </w:r>
    </w:p>
    <w:p>
      <w:pPr>
        <w:pStyle w:val="Compact"/>
        <w:numPr>
          <w:ilvl w:val="0"/>
          <w:numId w:val="1018"/>
        </w:numPr>
      </w:pPr>
      <w:r>
        <w:t xml:space="preserve">Budget availability.</w:t>
      </w:r>
    </w:p>
    <w:p>
      <w:pPr>
        <w:pStyle w:val="Compact"/>
        <w:numPr>
          <w:ilvl w:val="0"/>
          <w:numId w:val="1018"/>
        </w:numPr>
      </w:pPr>
      <w:r>
        <w:t xml:space="preserve">Technology obsolescence.</w:t>
      </w:r>
    </w:p>
    <w:p>
      <w:pPr>
        <w:pStyle w:val="Compact"/>
        <w:numPr>
          <w:ilvl w:val="0"/>
          <w:numId w:val="1018"/>
        </w:numPr>
      </w:pPr>
      <w:r>
        <w:t xml:space="preserve">Staff turnover.</w:t>
      </w:r>
    </w:p>
    <w:p>
      <w:pPr>
        <w:pStyle w:val="Compact"/>
        <w:numPr>
          <w:ilvl w:val="0"/>
          <w:numId w:val="1018"/>
        </w:numPr>
      </w:pPr>
      <w:r>
        <w:t xml:space="preserve">Operational risks.</w:t>
      </w:r>
    </w:p>
    <w:p>
      <w:pPr>
        <w:pStyle w:val="Compact"/>
        <w:numPr>
          <w:ilvl w:val="0"/>
          <w:numId w:val="1018"/>
        </w:numPr>
      </w:pPr>
      <w:r>
        <w:t xml:space="preserve">Cybersecurity investments.</w:t>
      </w:r>
    </w:p>
    <w:p>
      <w:pPr>
        <w:pStyle w:val="Compact"/>
        <w:numPr>
          <w:ilvl w:val="0"/>
          <w:numId w:val="1018"/>
        </w:numPr>
      </w:pPr>
      <w:r>
        <w:t xml:space="preserve">Infrastructure maintenance.</w:t>
      </w:r>
    </w:p>
    <w:p>
      <w:pPr>
        <w:pStyle w:val="Compact"/>
        <w:numPr>
          <w:ilvl w:val="0"/>
          <w:numId w:val="1018"/>
        </w:numPr>
      </w:pPr>
      <w:r>
        <w:t xml:space="preserve">Vendor dependency.</w:t>
      </w:r>
    </w:p>
    <w:p>
      <w:pPr>
        <w:pStyle w:val="Compact"/>
        <w:numPr>
          <w:ilvl w:val="0"/>
          <w:numId w:val="1018"/>
        </w:numPr>
      </w:pPr>
      <w:r>
        <w:t xml:space="preserve">Programme continuity.</w:t>
      </w:r>
    </w:p>
    <w:p>
      <w:pPr>
        <w:pStyle w:val="FirstParagraph"/>
      </w:pPr>
      <w:r>
        <w:t xml:space="preserve">Mitigation strategies are reviewed periodically.</w:t>
      </w:r>
    </w:p>
    <w:p>
      <w:r>
        <w:pict>
          <v:rect style="width:0;height:1.5pt" o:hralign="center" o:hrstd="t" o:hr="t"/>
        </w:pict>
      </w:r>
    </w:p>
    <w:bookmarkEnd w:id="43"/>
    <w:bookmarkStart w:id="44" w:name="partnership-framework"/>
    <w:p>
      <w:pPr>
        <w:pStyle w:val="Heading1"/>
      </w:pPr>
      <w:r>
        <w:t xml:space="preserve">36.9 Partnership Framework</w:t>
      </w:r>
    </w:p>
    <w:p>
      <w:pPr>
        <w:pStyle w:val="FirstParagraph"/>
      </w:pPr>
      <w:r>
        <w:t xml:space="preserve">Potential implementation partners may include:</w:t>
      </w:r>
    </w:p>
    <w:p>
      <w:pPr>
        <w:pStyle w:val="Compact"/>
        <w:numPr>
          <w:ilvl w:val="0"/>
          <w:numId w:val="1019"/>
        </w:numPr>
      </w:pPr>
      <w:r>
        <w:t xml:space="preserve">Government institutions.</w:t>
      </w:r>
    </w:p>
    <w:p>
      <w:pPr>
        <w:pStyle w:val="Compact"/>
        <w:numPr>
          <w:ilvl w:val="0"/>
          <w:numId w:val="1019"/>
        </w:numPr>
      </w:pPr>
      <w:r>
        <w:t xml:space="preserve">Development partners.</w:t>
      </w:r>
    </w:p>
    <w:p>
      <w:pPr>
        <w:pStyle w:val="Compact"/>
        <w:numPr>
          <w:ilvl w:val="0"/>
          <w:numId w:val="1019"/>
        </w:numPr>
      </w:pPr>
      <w:r>
        <w:t xml:space="preserve">Academic institutions.</w:t>
      </w:r>
    </w:p>
    <w:p>
      <w:pPr>
        <w:pStyle w:val="Compact"/>
        <w:numPr>
          <w:ilvl w:val="0"/>
          <w:numId w:val="1019"/>
        </w:numPr>
      </w:pPr>
      <w:r>
        <w:t xml:space="preserve">National ICT organizations.</w:t>
      </w:r>
    </w:p>
    <w:p>
      <w:pPr>
        <w:pStyle w:val="Compact"/>
        <w:numPr>
          <w:ilvl w:val="0"/>
          <w:numId w:val="1019"/>
        </w:numPr>
      </w:pPr>
      <w:r>
        <w:t xml:space="preserve">Telecommunications providers.</w:t>
      </w:r>
    </w:p>
    <w:p>
      <w:pPr>
        <w:pStyle w:val="Compact"/>
        <w:numPr>
          <w:ilvl w:val="0"/>
          <w:numId w:val="1019"/>
        </w:numPr>
      </w:pPr>
      <w:r>
        <w:t xml:space="preserve">Local technology companies.</w:t>
      </w:r>
    </w:p>
    <w:p>
      <w:pPr>
        <w:pStyle w:val="Compact"/>
        <w:numPr>
          <w:ilvl w:val="0"/>
          <w:numId w:val="1019"/>
        </w:numPr>
      </w:pPr>
      <w:r>
        <w:t xml:space="preserve">Training institutions.</w:t>
      </w:r>
    </w:p>
    <w:p>
      <w:pPr>
        <w:pStyle w:val="FirstParagraph"/>
      </w:pPr>
      <w:r>
        <w:t xml:space="preserve">Partnership arrangements should preserve government ownership of strategic data and governance.</w:t>
      </w:r>
    </w:p>
    <w:p>
      <w:r>
        <w:pict>
          <v:rect style="width:0;height:1.5pt" o:hralign="center" o:hrstd="t" o:hr="t"/>
        </w:pict>
      </w:r>
    </w:p>
    <w:bookmarkEnd w:id="44"/>
    <w:bookmarkStart w:id="51" w:name="functional-requirements"/>
    <w:p>
      <w:pPr>
        <w:pStyle w:val="Heading1"/>
      </w:pPr>
      <w:r>
        <w:t xml:space="preserve">36.10 Functional Requirements</w:t>
      </w:r>
    </w:p>
    <w:bookmarkStart w:id="45" w:name="fr-fin-001"/>
    <w:p>
      <w:pPr>
        <w:pStyle w:val="Heading3"/>
      </w:pPr>
      <w:r>
        <w:t xml:space="preserve">FR-FIN-001</w:t>
      </w:r>
    </w:p>
    <w:p>
      <w:pPr>
        <w:pStyle w:val="FirstParagraph"/>
      </w:pPr>
      <w:r>
        <w:t xml:space="preserve">Support phased investment planning.</w:t>
      </w:r>
    </w:p>
    <w:p>
      <w:r>
        <w:pict>
          <v:rect style="width:0;height:1.5pt" o:hralign="center" o:hrstd="t" o:hr="t"/>
        </w:pict>
      </w:r>
    </w:p>
    <w:bookmarkEnd w:id="45"/>
    <w:bookmarkStart w:id="46" w:name="fr-fin-002"/>
    <w:p>
      <w:pPr>
        <w:pStyle w:val="Heading3"/>
      </w:pPr>
      <w:r>
        <w:t xml:space="preserve">FR-FIN-002</w:t>
      </w:r>
    </w:p>
    <w:p>
      <w:pPr>
        <w:pStyle w:val="FirstParagraph"/>
      </w:pPr>
      <w:r>
        <w:t xml:space="preserve">Monitor implementation expenditures.</w:t>
      </w:r>
    </w:p>
    <w:p>
      <w:r>
        <w:pict>
          <v:rect style="width:0;height:1.5pt" o:hralign="center" o:hrstd="t" o:hr="t"/>
        </w:pict>
      </w:r>
    </w:p>
    <w:bookmarkEnd w:id="46"/>
    <w:bookmarkStart w:id="47" w:name="fr-fin-003"/>
    <w:p>
      <w:pPr>
        <w:pStyle w:val="Heading3"/>
      </w:pPr>
      <w:r>
        <w:t xml:space="preserve">FR-FIN-003</w:t>
      </w:r>
    </w:p>
    <w:p>
      <w:pPr>
        <w:pStyle w:val="FirstParagraph"/>
      </w:pPr>
      <w:r>
        <w:t xml:space="preserve">Track operational sustainability indicators.</w:t>
      </w:r>
    </w:p>
    <w:p>
      <w:r>
        <w:pict>
          <v:rect style="width:0;height:1.5pt" o:hralign="center" o:hrstd="t" o:hr="t"/>
        </w:pict>
      </w:r>
    </w:p>
    <w:bookmarkEnd w:id="47"/>
    <w:bookmarkStart w:id="48" w:name="fr-fin-004"/>
    <w:p>
      <w:pPr>
        <w:pStyle w:val="Heading3"/>
      </w:pPr>
      <w:r>
        <w:t xml:space="preserve">FR-FIN-004</w:t>
      </w:r>
    </w:p>
    <w:p>
      <w:pPr>
        <w:pStyle w:val="FirstParagraph"/>
      </w:pPr>
      <w:r>
        <w:t xml:space="preserve">Support investment reporting.</w:t>
      </w:r>
    </w:p>
    <w:p>
      <w:r>
        <w:pict>
          <v:rect style="width:0;height:1.5pt" o:hralign="center" o:hrstd="t" o:hr="t"/>
        </w:pict>
      </w:r>
    </w:p>
    <w:bookmarkEnd w:id="48"/>
    <w:bookmarkStart w:id="49" w:name="fr-fin-005"/>
    <w:p>
      <w:pPr>
        <w:pStyle w:val="Heading3"/>
      </w:pPr>
      <w:r>
        <w:t xml:space="preserve">FR-FIN-005</w:t>
      </w:r>
    </w:p>
    <w:p>
      <w:pPr>
        <w:pStyle w:val="FirstParagraph"/>
      </w:pPr>
      <w:r>
        <w:t xml:space="preserve">Provide lifecycle cost analysis.</w:t>
      </w:r>
    </w:p>
    <w:p>
      <w:r>
        <w:pict>
          <v:rect style="width:0;height:1.5pt" o:hralign="center" o:hrstd="t" o:hr="t"/>
        </w:pict>
      </w:r>
    </w:p>
    <w:bookmarkEnd w:id="49"/>
    <w:bookmarkStart w:id="50" w:name="fr-fin-006"/>
    <w:p>
      <w:pPr>
        <w:pStyle w:val="Heading3"/>
      </w:pPr>
      <w:r>
        <w:t xml:space="preserve">FR-FIN-006</w:t>
      </w:r>
    </w:p>
    <w:p>
      <w:pPr>
        <w:pStyle w:val="FirstParagraph"/>
      </w:pPr>
      <w:r>
        <w:t xml:space="preserve">Support long-term financial planning.</w:t>
      </w:r>
    </w:p>
    <w:p>
      <w:r>
        <w:pict>
          <v:rect style="width:0;height:1.5pt" o:hralign="center" o:hrstd="t" o:hr="t"/>
        </w:pict>
      </w:r>
    </w:p>
    <w:bookmarkEnd w:id="50"/>
    <w:bookmarkEnd w:id="51"/>
    <w:bookmarkStart w:id="52" w:name="reports"/>
    <w:p>
      <w:pPr>
        <w:pStyle w:val="Heading1"/>
      </w:pPr>
      <w:r>
        <w:t xml:space="preserve">36.11 Reports</w:t>
      </w:r>
    </w:p>
    <w:p>
      <w:pPr>
        <w:pStyle w:val="FirstParagraph"/>
      </w:pPr>
      <w:r>
        <w:t xml:space="preserve">Illustrative reports include:</w:t>
      </w:r>
    </w:p>
    <w:p>
      <w:pPr>
        <w:pStyle w:val="Compact"/>
        <w:numPr>
          <w:ilvl w:val="0"/>
          <w:numId w:val="1020"/>
        </w:numPr>
      </w:pPr>
      <w:r>
        <w:t xml:space="preserve">Investment progress.</w:t>
      </w:r>
    </w:p>
    <w:p>
      <w:pPr>
        <w:pStyle w:val="Compact"/>
        <w:numPr>
          <w:ilvl w:val="0"/>
          <w:numId w:val="1020"/>
        </w:numPr>
      </w:pPr>
      <w:r>
        <w:t xml:space="preserve">Operational expenditure summary.</w:t>
      </w:r>
    </w:p>
    <w:p>
      <w:pPr>
        <w:pStyle w:val="Compact"/>
        <w:numPr>
          <w:ilvl w:val="0"/>
          <w:numId w:val="1020"/>
        </w:numPr>
      </w:pPr>
      <w:r>
        <w:t xml:space="preserve">Sustainability assessment.</w:t>
      </w:r>
    </w:p>
    <w:p>
      <w:pPr>
        <w:pStyle w:val="Compact"/>
        <w:numPr>
          <w:ilvl w:val="0"/>
          <w:numId w:val="1020"/>
        </w:numPr>
      </w:pPr>
      <w:r>
        <w:t xml:space="preserve">Capacity-building investment.</w:t>
      </w:r>
    </w:p>
    <w:p>
      <w:pPr>
        <w:pStyle w:val="Compact"/>
        <w:numPr>
          <w:ilvl w:val="0"/>
          <w:numId w:val="1020"/>
        </w:numPr>
      </w:pPr>
      <w:r>
        <w:t xml:space="preserve">Infrastructure readiness.</w:t>
      </w:r>
    </w:p>
    <w:p>
      <w:pPr>
        <w:pStyle w:val="Compact"/>
        <w:numPr>
          <w:ilvl w:val="0"/>
          <w:numId w:val="1020"/>
        </w:numPr>
      </w:pPr>
      <w:r>
        <w:t xml:space="preserve">Lifecycle cost analysis.</w:t>
      </w:r>
    </w:p>
    <w:p>
      <w:pPr>
        <w:pStyle w:val="Compact"/>
        <w:numPr>
          <w:ilvl w:val="0"/>
          <w:numId w:val="1020"/>
        </w:numPr>
      </w:pPr>
      <w:r>
        <w:t xml:space="preserve">Value realization report.</w:t>
      </w:r>
    </w:p>
    <w:p>
      <w:r>
        <w:pict>
          <v:rect style="width:0;height:1.5pt" o:hralign="center" o:hrstd="t" o:hr="t"/>
        </w:pict>
      </w:r>
    </w:p>
    <w:bookmarkEnd w:id="52"/>
    <w:bookmarkStart w:id="55" w:name="dashboards"/>
    <w:p>
      <w:pPr>
        <w:pStyle w:val="Heading1"/>
      </w:pPr>
      <w:r>
        <w:t xml:space="preserve">36.12 Dashboards</w:t>
      </w:r>
    </w:p>
    <w:bookmarkStart w:id="53" w:name="executive-investment-dashboard"/>
    <w:p>
      <w:pPr>
        <w:pStyle w:val="Heading3"/>
      </w:pPr>
      <w:r>
        <w:t xml:space="preserve">Executive Investment Dashboard</w:t>
      </w:r>
    </w:p>
    <w:p>
      <w:pPr>
        <w:pStyle w:val="Compact"/>
        <w:numPr>
          <w:ilvl w:val="0"/>
          <w:numId w:val="1021"/>
        </w:numPr>
      </w:pPr>
      <w:r>
        <w:t xml:space="preserve">Programme progress.</w:t>
      </w:r>
    </w:p>
    <w:p>
      <w:pPr>
        <w:pStyle w:val="Compact"/>
        <w:numPr>
          <w:ilvl w:val="0"/>
          <w:numId w:val="1021"/>
        </w:numPr>
      </w:pPr>
      <w:r>
        <w:t xml:space="preserve">Investment utilization.</w:t>
      </w:r>
    </w:p>
    <w:p>
      <w:pPr>
        <w:pStyle w:val="Compact"/>
        <w:numPr>
          <w:ilvl w:val="0"/>
          <w:numId w:val="1021"/>
        </w:numPr>
      </w:pPr>
      <w:r>
        <w:t xml:space="preserve">Deployment status.</w:t>
      </w:r>
    </w:p>
    <w:p>
      <w:pPr>
        <w:pStyle w:val="Compact"/>
        <w:numPr>
          <w:ilvl w:val="0"/>
          <w:numId w:val="1021"/>
        </w:numPr>
      </w:pPr>
      <w:r>
        <w:t xml:space="preserve">Sustainability indicators.</w:t>
      </w:r>
    </w:p>
    <w:p>
      <w:pPr>
        <w:pStyle w:val="Compact"/>
        <w:numPr>
          <w:ilvl w:val="0"/>
          <w:numId w:val="1021"/>
        </w:numPr>
      </w:pPr>
      <w:r>
        <w:t xml:space="preserve">Strategic risks.</w:t>
      </w:r>
    </w:p>
    <w:bookmarkEnd w:id="53"/>
    <w:bookmarkStart w:id="54" w:name="operational-dashboard"/>
    <w:p>
      <w:pPr>
        <w:pStyle w:val="Heading3"/>
      </w:pPr>
      <w:r>
        <w:t xml:space="preserve">Operational Dashboard</w:t>
      </w:r>
    </w:p>
    <w:p>
      <w:pPr>
        <w:pStyle w:val="Compact"/>
        <w:numPr>
          <w:ilvl w:val="0"/>
          <w:numId w:val="1022"/>
        </w:numPr>
      </w:pPr>
      <w:r>
        <w:t xml:space="preserve">Support costs.</w:t>
      </w:r>
    </w:p>
    <w:p>
      <w:pPr>
        <w:pStyle w:val="Compact"/>
        <w:numPr>
          <w:ilvl w:val="0"/>
          <w:numId w:val="1022"/>
        </w:numPr>
      </w:pPr>
      <w:r>
        <w:t xml:space="preserve">Training progress.</w:t>
      </w:r>
    </w:p>
    <w:p>
      <w:pPr>
        <w:pStyle w:val="Compact"/>
        <w:numPr>
          <w:ilvl w:val="0"/>
          <w:numId w:val="1022"/>
        </w:numPr>
      </w:pPr>
      <w:r>
        <w:t xml:space="preserve">Infrastructure readiness.</w:t>
      </w:r>
    </w:p>
    <w:p>
      <w:pPr>
        <w:pStyle w:val="Compact"/>
        <w:numPr>
          <w:ilvl w:val="0"/>
          <w:numId w:val="1022"/>
        </w:numPr>
      </w:pPr>
      <w:r>
        <w:t xml:space="preserve">Operational performance.</w:t>
      </w:r>
    </w:p>
    <w:p>
      <w:r>
        <w:pict>
          <v:rect style="width:0;height:1.5pt" o:hralign="center" o:hrstd="t" o:hr="t"/>
        </w:pict>
      </w:r>
    </w:p>
    <w:bookmarkEnd w:id="54"/>
    <w:bookmarkEnd w:id="55"/>
    <w:bookmarkStart w:id="56" w:name="success-indicators"/>
    <w:p>
      <w:pPr>
        <w:pStyle w:val="Heading1"/>
      </w:pPr>
      <w:r>
        <w:t xml:space="preserve">36.13 Success Indicators</w:t>
      </w:r>
    </w:p>
    <w:p>
      <w:pPr>
        <w:pStyle w:val="FirstParagraph"/>
      </w:pPr>
      <w:r>
        <w:t xml:space="preserve">Examples include:</w:t>
      </w:r>
    </w:p>
    <w:p>
      <w:pPr>
        <w:pStyle w:val="Compact"/>
        <w:numPr>
          <w:ilvl w:val="0"/>
          <w:numId w:val="1023"/>
        </w:numPr>
      </w:pPr>
      <w:r>
        <w:t xml:space="preserve">Percentage of planned rollout completed.</w:t>
      </w:r>
    </w:p>
    <w:p>
      <w:pPr>
        <w:pStyle w:val="Compact"/>
        <w:numPr>
          <w:ilvl w:val="0"/>
          <w:numId w:val="1023"/>
        </w:numPr>
      </w:pPr>
      <w:r>
        <w:t xml:space="preserve">Operational availability.</w:t>
      </w:r>
    </w:p>
    <w:p>
      <w:pPr>
        <w:pStyle w:val="Compact"/>
        <w:numPr>
          <w:ilvl w:val="0"/>
          <w:numId w:val="1023"/>
        </w:numPr>
      </w:pPr>
      <w:r>
        <w:t xml:space="preserve">Annual user adoption growth.</w:t>
      </w:r>
    </w:p>
    <w:p>
      <w:pPr>
        <w:pStyle w:val="Compact"/>
        <w:numPr>
          <w:ilvl w:val="0"/>
          <w:numId w:val="1023"/>
        </w:numPr>
      </w:pPr>
      <w:r>
        <w:t xml:space="preserve">Reduction in avoidable resource losses.</w:t>
      </w:r>
    </w:p>
    <w:p>
      <w:pPr>
        <w:pStyle w:val="Compact"/>
        <w:numPr>
          <w:ilvl w:val="0"/>
          <w:numId w:val="1023"/>
        </w:numPr>
      </w:pPr>
      <w:r>
        <w:t xml:space="preserve">Improvement in reporting efficiency.</w:t>
      </w:r>
    </w:p>
    <w:p>
      <w:pPr>
        <w:pStyle w:val="Compact"/>
        <w:numPr>
          <w:ilvl w:val="0"/>
          <w:numId w:val="1023"/>
        </w:numPr>
      </w:pPr>
      <w:r>
        <w:t xml:space="preserve">Capacity-building completion.</w:t>
      </w:r>
    </w:p>
    <w:p>
      <w:pPr>
        <w:pStyle w:val="Compact"/>
        <w:numPr>
          <w:ilvl w:val="0"/>
          <w:numId w:val="1023"/>
        </w:numPr>
      </w:pPr>
      <w:r>
        <w:t xml:space="preserve">Sustainability assessment outcomes.</w:t>
      </w:r>
    </w:p>
    <w:p>
      <w:r>
        <w:pict>
          <v:rect style="width:0;height:1.5pt" o:hralign="center" o:hrstd="t" o:hr="t"/>
        </w:pict>
      </w:r>
    </w:p>
    <w:bookmarkEnd w:id="56"/>
    <w:bookmarkStart w:id="57" w:name="national-ownership"/>
    <w:p>
      <w:pPr>
        <w:pStyle w:val="Heading1"/>
      </w:pPr>
      <w:r>
        <w:t xml:space="preserve">36.14 National Ownership</w:t>
      </w:r>
    </w:p>
    <w:p>
      <w:pPr>
        <w:pStyle w:val="FirstParagraph"/>
      </w:pPr>
      <w:r>
        <w:t xml:space="preserve">The long-term vision is for EduOS Cameroon to become a strategic national digital asset.</w:t>
      </w:r>
    </w:p>
    <w:p>
      <w:pPr>
        <w:pStyle w:val="BodyText"/>
      </w:pPr>
      <w:r>
        <w:t xml:space="preserve">Government institutions should progressively strengthen their capacity to:</w:t>
      </w:r>
    </w:p>
    <w:p>
      <w:pPr>
        <w:pStyle w:val="Compact"/>
        <w:numPr>
          <w:ilvl w:val="0"/>
          <w:numId w:val="1024"/>
        </w:numPr>
      </w:pPr>
      <w:r>
        <w:t xml:space="preserve">Govern the platform.</w:t>
      </w:r>
    </w:p>
    <w:p>
      <w:pPr>
        <w:pStyle w:val="Compact"/>
        <w:numPr>
          <w:ilvl w:val="0"/>
          <w:numId w:val="1024"/>
        </w:numPr>
      </w:pPr>
      <w:r>
        <w:t xml:space="preserve">Operate the platform.</w:t>
      </w:r>
    </w:p>
    <w:p>
      <w:pPr>
        <w:pStyle w:val="Compact"/>
        <w:numPr>
          <w:ilvl w:val="0"/>
          <w:numId w:val="1024"/>
        </w:numPr>
      </w:pPr>
      <w:r>
        <w:t xml:space="preserve">Support users.</w:t>
      </w:r>
    </w:p>
    <w:p>
      <w:pPr>
        <w:pStyle w:val="Compact"/>
        <w:numPr>
          <w:ilvl w:val="0"/>
          <w:numId w:val="1024"/>
        </w:numPr>
      </w:pPr>
      <w:r>
        <w:t xml:space="preserve">Maintain infrastructure.</w:t>
      </w:r>
    </w:p>
    <w:p>
      <w:pPr>
        <w:pStyle w:val="Compact"/>
        <w:numPr>
          <w:ilvl w:val="0"/>
          <w:numId w:val="1024"/>
        </w:numPr>
      </w:pPr>
      <w:r>
        <w:t xml:space="preserve">Manage data.</w:t>
      </w:r>
    </w:p>
    <w:p>
      <w:pPr>
        <w:pStyle w:val="Compact"/>
        <w:numPr>
          <w:ilvl w:val="0"/>
          <w:numId w:val="1024"/>
        </w:numPr>
      </w:pPr>
      <w:r>
        <w:t xml:space="preserve">Guide future enhancements.</w:t>
      </w:r>
    </w:p>
    <w:p>
      <w:pPr>
        <w:pStyle w:val="FirstParagraph"/>
      </w:pPr>
      <w:r>
        <w:t xml:space="preserve">This approach promotes institutional resilience and reduces dependence on external implementation support over time.</w:t>
      </w:r>
    </w:p>
    <w:p>
      <w:r>
        <w:pict>
          <v:rect style="width:0;height:1.5pt" o:hralign="center" o:hrstd="t" o:hr="t"/>
        </w:pict>
      </w:r>
    </w:p>
    <w:bookmarkEnd w:id="57"/>
    <w:bookmarkStart w:id="58" w:name="conclusion"/>
    <w:p>
      <w:pPr>
        <w:pStyle w:val="Heading1"/>
      </w:pPr>
      <w:r>
        <w:t xml:space="preserve">36.15 Conclusion</w:t>
      </w:r>
    </w:p>
    <w:p>
      <w:pPr>
        <w:pStyle w:val="FirstParagraph"/>
      </w:pPr>
      <w:r>
        <w:t xml:space="preserve">The Financial Sustainability, Investment Strategy and National Financing Framework positions EduOS Cameroon as a long-term public investment that strengthens educational governance, operational efficiency, and institutional capacity.</w:t>
      </w:r>
    </w:p>
    <w:p>
      <w:pPr>
        <w:pStyle w:val="BodyText"/>
      </w:pPr>
      <w:r>
        <w:t xml:space="preserve">By combining phased implementation, responsible financial planning, government ownership, continuous capacity development, and sustainable operational models, the framework ensures that the platform can continue to deliver value well beyond its initial deployment while adapting to future educational priorities and technological advancements.</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2026-07-10T13:55:06Z</dcterms:created>
  <dcterms:modified xsi:type="dcterms:W3CDTF">2026-07-10T13:55:06Z</dcterms:modified>
</cp:coreProperties>
</file>

<file path=docProps/custom.xml><?xml version="1.0" encoding="utf-8"?>
<Properties xmlns="http://schemas.openxmlformats.org/officeDocument/2006/custom-properties" xmlns:vt="http://schemas.openxmlformats.org/officeDocument/2006/docPropsVTypes"/>
</file>