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5"/>
    <w:p>
      <w:pPr>
        <w:pStyle w:val="Heading1"/>
      </w:pPr>
      <w:r>
        <w:t xml:space="preserve">CHAPTER 35</w:t>
      </w:r>
    </w:p>
    <w:bookmarkEnd w:id="20"/>
    <w:bookmarkStart w:id="22" w:name="X9c20115223508111e62114a0a7f095c6e4ca263"/>
    <w:p>
      <w:pPr>
        <w:pStyle w:val="Heading1"/>
      </w:pPr>
      <w:r>
        <w:t xml:space="preserve">GOVERNANCE, LEGAL, REGULATORY, DATA PROTECTION AND DIGITAL TRUST FRAMEWORK</w:t>
      </w:r>
    </w:p>
    <w:bookmarkStart w:id="21" w:name="introduction"/>
    <w:p>
      <w:pPr>
        <w:pStyle w:val="Heading2"/>
      </w:pPr>
      <w:r>
        <w:t xml:space="preserve">35.1 Introduction</w:t>
      </w:r>
    </w:p>
    <w:p>
      <w:pPr>
        <w:pStyle w:val="FirstParagraph"/>
      </w:pPr>
      <w:r>
        <w:t xml:space="preserve">The Governance, Legal, Regulatory, Data Protection and Digital Trust Framework establishes the institutional, governance, and policy foundation for EduOS Cameroon.</w:t>
      </w:r>
    </w:p>
    <w:p>
      <w:pPr>
        <w:pStyle w:val="BodyText"/>
      </w:pPr>
      <w:r>
        <w:t xml:space="preserve">Its purpose is to ensure that the platform operates in a transparent, accountable, secure, and sustainable manner while respecting applicable national laws, government regulations, administrative policies, and internationally recognized principles for responsible digital governance.</w:t>
      </w:r>
    </w:p>
    <w:p>
      <w:pPr>
        <w:pStyle w:val="BodyText"/>
      </w:pPr>
      <w:r>
        <w:t xml:space="preserve">The framework promotes trust among government institutions, schools, development partners, suppliers, teachers, learners, and other authorized stakeholders.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35.2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Strengthen institutional governance.</w:t>
      </w:r>
    </w:p>
    <w:p>
      <w:pPr>
        <w:pStyle w:val="Compact"/>
        <w:numPr>
          <w:ilvl w:val="0"/>
          <w:numId w:val="1001"/>
        </w:numPr>
      </w:pPr>
      <w:r>
        <w:t xml:space="preserve">Promote accountability.</w:t>
      </w:r>
    </w:p>
    <w:p>
      <w:pPr>
        <w:pStyle w:val="Compact"/>
        <w:numPr>
          <w:ilvl w:val="0"/>
          <w:numId w:val="1001"/>
        </w:numPr>
      </w:pPr>
      <w:r>
        <w:t xml:space="preserve">Protect educational information.</w:t>
      </w:r>
    </w:p>
    <w:p>
      <w:pPr>
        <w:pStyle w:val="Compact"/>
        <w:numPr>
          <w:ilvl w:val="0"/>
          <w:numId w:val="1001"/>
        </w:numPr>
      </w:pPr>
      <w:r>
        <w:t xml:space="preserve">Support lawful processing of data.</w:t>
      </w:r>
    </w:p>
    <w:p>
      <w:pPr>
        <w:pStyle w:val="Compact"/>
        <w:numPr>
          <w:ilvl w:val="0"/>
          <w:numId w:val="1001"/>
        </w:numPr>
      </w:pPr>
      <w:r>
        <w:t xml:space="preserve">Build public trust.</w:t>
      </w:r>
    </w:p>
    <w:p>
      <w:pPr>
        <w:pStyle w:val="Compact"/>
        <w:numPr>
          <w:ilvl w:val="0"/>
          <w:numId w:val="1001"/>
        </w:numPr>
      </w:pPr>
      <w:r>
        <w:t xml:space="preserve">Enable secure digital transformation.</w:t>
      </w:r>
    </w:p>
    <w:p>
      <w:pPr>
        <w:pStyle w:val="Compact"/>
        <w:numPr>
          <w:ilvl w:val="0"/>
          <w:numId w:val="1001"/>
        </w:numPr>
      </w:pPr>
      <w:r>
        <w:t xml:space="preserve">Promote responsible innovation.</w:t>
      </w:r>
    </w:p>
    <w:p>
      <w:pPr>
        <w:pStyle w:val="Compact"/>
        <w:numPr>
          <w:ilvl w:val="0"/>
          <w:numId w:val="1001"/>
        </w:numPr>
      </w:pPr>
      <w:r>
        <w:t xml:space="preserve">Support long-term sustainability.</w:t>
      </w:r>
    </w:p>
    <w:p>
      <w:r>
        <w:pict>
          <v:rect style="width:0;height:1.5pt" o:hralign="center" o:hrstd="t" o:hr="t"/>
        </w:pict>
      </w:r>
    </w:p>
    <w:bookmarkEnd w:id="23"/>
    <w:bookmarkStart w:id="29" w:name="governance-structure"/>
    <w:p>
      <w:pPr>
        <w:pStyle w:val="Heading1"/>
      </w:pPr>
      <w:r>
        <w:t xml:space="preserve">35.3 Governance Structure</w:t>
      </w:r>
    </w:p>
    <w:p>
      <w:pPr>
        <w:pStyle w:val="FirstParagraph"/>
      </w:pPr>
      <w:r>
        <w:t xml:space="preserve">The platform is governed through multiple institutional levels.</w:t>
      </w:r>
    </w:p>
    <w:bookmarkStart w:id="24" w:name="ministerial-steering-committee"/>
    <w:p>
      <w:pPr>
        <w:pStyle w:val="Heading3"/>
      </w:pPr>
      <w:r>
        <w:t xml:space="preserve">Ministerial Steering Committee</w:t>
      </w:r>
    </w:p>
    <w:p>
      <w:pPr>
        <w:pStyle w:val="FirstParagraph"/>
      </w:pPr>
      <w:r>
        <w:t xml:space="preserve">Provides strategic direction, approves major policies, and oversees national implementation.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02"/>
        </w:numPr>
      </w:pPr>
      <w:r>
        <w:t xml:space="preserve">Strategic oversight.</w:t>
      </w:r>
    </w:p>
    <w:p>
      <w:pPr>
        <w:pStyle w:val="Compact"/>
        <w:numPr>
          <w:ilvl w:val="0"/>
          <w:numId w:val="1002"/>
        </w:numPr>
      </w:pPr>
      <w:r>
        <w:t xml:space="preserve">Programme approval.</w:t>
      </w:r>
    </w:p>
    <w:p>
      <w:pPr>
        <w:pStyle w:val="Compact"/>
        <w:numPr>
          <w:ilvl w:val="0"/>
          <w:numId w:val="1002"/>
        </w:numPr>
      </w:pPr>
      <w:r>
        <w:t xml:space="preserve">Investment prioritization.</w:t>
      </w:r>
    </w:p>
    <w:p>
      <w:pPr>
        <w:pStyle w:val="Compact"/>
        <w:numPr>
          <w:ilvl w:val="0"/>
          <w:numId w:val="1002"/>
        </w:numPr>
      </w:pPr>
      <w:r>
        <w:t xml:space="preserve">Policy alignment.</w:t>
      </w:r>
    </w:p>
    <w:p>
      <w:r>
        <w:pict>
          <v:rect style="width:0;height:1.5pt" o:hralign="center" o:hrstd="t" o:hr="t"/>
        </w:pict>
      </w:r>
    </w:p>
    <w:bookmarkEnd w:id="24"/>
    <w:bookmarkStart w:id="25" w:name="national-programme-management-office"/>
    <w:p>
      <w:pPr>
        <w:pStyle w:val="Heading3"/>
      </w:pPr>
      <w:r>
        <w:t xml:space="preserve">National Programme Management Office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Programme coordination.</w:t>
      </w:r>
    </w:p>
    <w:p>
      <w:pPr>
        <w:pStyle w:val="Compact"/>
        <w:numPr>
          <w:ilvl w:val="0"/>
          <w:numId w:val="1003"/>
        </w:numPr>
      </w:pPr>
      <w:r>
        <w:t xml:space="preserve">Operational planning.</w:t>
      </w:r>
    </w:p>
    <w:p>
      <w:pPr>
        <w:pStyle w:val="Compact"/>
        <w:numPr>
          <w:ilvl w:val="0"/>
          <w:numId w:val="1003"/>
        </w:numPr>
      </w:pPr>
      <w:r>
        <w:t xml:space="preserve">Performance monitoring.</w:t>
      </w:r>
    </w:p>
    <w:p>
      <w:pPr>
        <w:pStyle w:val="Compact"/>
        <w:numPr>
          <w:ilvl w:val="0"/>
          <w:numId w:val="1003"/>
        </w:numPr>
      </w:pPr>
      <w:r>
        <w:t xml:space="preserve">Risk management.</w:t>
      </w:r>
    </w:p>
    <w:p>
      <w:pPr>
        <w:pStyle w:val="Compact"/>
        <w:numPr>
          <w:ilvl w:val="0"/>
          <w:numId w:val="1003"/>
        </w:numPr>
      </w:pPr>
      <w:r>
        <w:t xml:space="preserve">Stakeholder coordination.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architecture-board"/>
    <w:p>
      <w:pPr>
        <w:pStyle w:val="Heading3"/>
      </w:pPr>
      <w:r>
        <w:t xml:space="preserve">Technical Architecture Board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Enterprise architecture.</w:t>
      </w:r>
    </w:p>
    <w:p>
      <w:pPr>
        <w:pStyle w:val="Compact"/>
        <w:numPr>
          <w:ilvl w:val="0"/>
          <w:numId w:val="1004"/>
        </w:numPr>
      </w:pPr>
      <w:r>
        <w:t xml:space="preserve">Technical standards.</w:t>
      </w:r>
    </w:p>
    <w:p>
      <w:pPr>
        <w:pStyle w:val="Compact"/>
        <w:numPr>
          <w:ilvl w:val="0"/>
          <w:numId w:val="1004"/>
        </w:numPr>
      </w:pPr>
      <w:r>
        <w:t xml:space="preserve">Integration governance.</w:t>
      </w:r>
    </w:p>
    <w:p>
      <w:pPr>
        <w:pStyle w:val="Compact"/>
        <w:numPr>
          <w:ilvl w:val="0"/>
          <w:numId w:val="1004"/>
        </w:numPr>
      </w:pPr>
      <w:r>
        <w:t xml:space="preserve">Platform evolution.</w:t>
      </w:r>
    </w:p>
    <w:p>
      <w:pPr>
        <w:pStyle w:val="Compact"/>
        <w:numPr>
          <w:ilvl w:val="0"/>
          <w:numId w:val="1004"/>
        </w:numPr>
      </w:pPr>
      <w:r>
        <w:t xml:space="preserve">Technology review.</w:t>
      </w:r>
    </w:p>
    <w:p>
      <w:r>
        <w:pict>
          <v:rect style="width:0;height:1.5pt" o:hralign="center" o:hrstd="t" o:hr="t"/>
        </w:pict>
      </w:r>
    </w:p>
    <w:bookmarkEnd w:id="26"/>
    <w:bookmarkStart w:id="27" w:name="data-governance-committee"/>
    <w:p>
      <w:pPr>
        <w:pStyle w:val="Heading3"/>
      </w:pPr>
      <w:r>
        <w:t xml:space="preserve">Data Governance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Data quality.</w:t>
      </w:r>
    </w:p>
    <w:p>
      <w:pPr>
        <w:pStyle w:val="Compact"/>
        <w:numPr>
          <w:ilvl w:val="0"/>
          <w:numId w:val="1005"/>
        </w:numPr>
      </w:pPr>
      <w:r>
        <w:t xml:space="preserve">Master data.</w:t>
      </w:r>
    </w:p>
    <w:p>
      <w:pPr>
        <w:pStyle w:val="Compact"/>
        <w:numPr>
          <w:ilvl w:val="0"/>
          <w:numId w:val="1005"/>
        </w:numPr>
      </w:pPr>
      <w:r>
        <w:t xml:space="preserve">Information classification.</w:t>
      </w:r>
    </w:p>
    <w:p>
      <w:pPr>
        <w:pStyle w:val="Compact"/>
        <w:numPr>
          <w:ilvl w:val="0"/>
          <w:numId w:val="1005"/>
        </w:numPr>
      </w:pPr>
      <w:r>
        <w:t xml:space="preserve">Data standards.</w:t>
      </w:r>
    </w:p>
    <w:p>
      <w:pPr>
        <w:pStyle w:val="Compact"/>
        <w:numPr>
          <w:ilvl w:val="0"/>
          <w:numId w:val="1005"/>
        </w:numPr>
      </w:pPr>
      <w:r>
        <w:t xml:space="preserve">Data stewardship.</w:t>
      </w:r>
    </w:p>
    <w:p>
      <w:r>
        <w:pict>
          <v:rect style="width:0;height:1.5pt" o:hralign="center" o:hrstd="t" o:hr="t"/>
        </w:pict>
      </w:r>
    </w:p>
    <w:bookmarkEnd w:id="27"/>
    <w:bookmarkStart w:id="28" w:name="regional-governance-teams"/>
    <w:p>
      <w:pPr>
        <w:pStyle w:val="Heading3"/>
      </w:pPr>
      <w:r>
        <w:t xml:space="preserve">Regional Governance Teams</w:t>
      </w:r>
    </w:p>
    <w:p>
      <w:pPr>
        <w:pStyle w:val="FirstParagraph"/>
      </w:pPr>
      <w:r>
        <w:t xml:space="preserve">Coordinate implementation, operational support, and monitoring at regional level.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ta-governance-principles"/>
    <w:p>
      <w:pPr>
        <w:pStyle w:val="Heading1"/>
      </w:pPr>
      <w:r>
        <w:t xml:space="preserve">35.4 Data Governance Principles</w:t>
      </w:r>
    </w:p>
    <w:p>
      <w:pPr>
        <w:pStyle w:val="FirstParagraph"/>
      </w:pPr>
      <w:r>
        <w:t xml:space="preserve">Information managed by EduOS Cameroon should follow principles including:</w:t>
      </w:r>
    </w:p>
    <w:p>
      <w:pPr>
        <w:pStyle w:val="Compact"/>
        <w:numPr>
          <w:ilvl w:val="0"/>
          <w:numId w:val="1006"/>
        </w:numPr>
      </w:pPr>
      <w:r>
        <w:t xml:space="preserve">Accuracy.</w:t>
      </w:r>
    </w:p>
    <w:p>
      <w:pPr>
        <w:pStyle w:val="Compact"/>
        <w:numPr>
          <w:ilvl w:val="0"/>
          <w:numId w:val="1006"/>
        </w:numPr>
      </w:pPr>
      <w:r>
        <w:t xml:space="preserve">Completeness.</w:t>
      </w:r>
    </w:p>
    <w:p>
      <w:pPr>
        <w:pStyle w:val="Compact"/>
        <w:numPr>
          <w:ilvl w:val="0"/>
          <w:numId w:val="1006"/>
        </w:numPr>
      </w:pPr>
      <w:r>
        <w:t xml:space="preserve">Consistency.</w:t>
      </w:r>
    </w:p>
    <w:p>
      <w:pPr>
        <w:pStyle w:val="Compact"/>
        <w:numPr>
          <w:ilvl w:val="0"/>
          <w:numId w:val="1006"/>
        </w:numPr>
      </w:pPr>
      <w:r>
        <w:t xml:space="preserve">Timeliness.</w:t>
      </w:r>
    </w:p>
    <w:p>
      <w:pPr>
        <w:pStyle w:val="Compact"/>
        <w:numPr>
          <w:ilvl w:val="0"/>
          <w:numId w:val="1006"/>
        </w:numPr>
      </w:pPr>
      <w:r>
        <w:t xml:space="preserve">Traceability.</w:t>
      </w:r>
    </w:p>
    <w:p>
      <w:pPr>
        <w:pStyle w:val="Compact"/>
        <w:numPr>
          <w:ilvl w:val="0"/>
          <w:numId w:val="1006"/>
        </w:numPr>
      </w:pPr>
      <w:r>
        <w:t xml:space="preserve">Accountability.</w:t>
      </w:r>
    </w:p>
    <w:p>
      <w:pPr>
        <w:pStyle w:val="Compact"/>
        <w:numPr>
          <w:ilvl w:val="0"/>
          <w:numId w:val="1006"/>
        </w:numPr>
      </w:pPr>
      <w:r>
        <w:t xml:space="preserve">Security.</w:t>
      </w:r>
    </w:p>
    <w:p>
      <w:pPr>
        <w:pStyle w:val="Compact"/>
        <w:numPr>
          <w:ilvl w:val="0"/>
          <w:numId w:val="1006"/>
        </w:numPr>
      </w:pPr>
      <w:r>
        <w:t xml:space="preserve">Controlled access.</w:t>
      </w:r>
    </w:p>
    <w:p>
      <w:pPr>
        <w:pStyle w:val="FirstParagraph"/>
      </w:pPr>
      <w:r>
        <w:t xml:space="preserve">Each dataset should have an identified data steward responsible for its quality and lifecycle.</w:t>
      </w:r>
    </w:p>
    <w:p>
      <w:r>
        <w:pict>
          <v:rect style="width:0;height:1.5pt" o:hralign="center" o:hrstd="t" o:hr="t"/>
        </w:pict>
      </w:r>
    </w:p>
    <w:bookmarkEnd w:id="30"/>
    <w:bookmarkStart w:id="31" w:name="privacy-and-data-protection"/>
    <w:p>
      <w:pPr>
        <w:pStyle w:val="Heading1"/>
      </w:pPr>
      <w:r>
        <w:t xml:space="preserve">35.5 Privacy and Data Protection</w:t>
      </w:r>
    </w:p>
    <w:p>
      <w:pPr>
        <w:pStyle w:val="FirstParagraph"/>
      </w:pPr>
      <w:r>
        <w:t xml:space="preserve">The platform should process personal information only for authorized educational and administrative purposes.</w:t>
      </w:r>
    </w:p>
    <w:p>
      <w:pPr>
        <w:pStyle w:val="BodyText"/>
      </w:pPr>
      <w:r>
        <w:t xml:space="preserve">Key principles include:</w:t>
      </w:r>
    </w:p>
    <w:p>
      <w:pPr>
        <w:pStyle w:val="Compact"/>
        <w:numPr>
          <w:ilvl w:val="0"/>
          <w:numId w:val="1007"/>
        </w:numPr>
      </w:pPr>
      <w:r>
        <w:t xml:space="preserve">Purpose limitation.</w:t>
      </w:r>
    </w:p>
    <w:p>
      <w:pPr>
        <w:pStyle w:val="Compact"/>
        <w:numPr>
          <w:ilvl w:val="0"/>
          <w:numId w:val="1007"/>
        </w:numPr>
      </w:pPr>
      <w:r>
        <w:t xml:space="preserve">Data minimization.</w:t>
      </w:r>
    </w:p>
    <w:p>
      <w:pPr>
        <w:pStyle w:val="Compact"/>
        <w:numPr>
          <w:ilvl w:val="0"/>
          <w:numId w:val="1007"/>
        </w:numPr>
      </w:pPr>
      <w:r>
        <w:t xml:space="preserve">Appropriate access controls.</w:t>
      </w:r>
    </w:p>
    <w:p>
      <w:pPr>
        <w:pStyle w:val="Compact"/>
        <w:numPr>
          <w:ilvl w:val="0"/>
          <w:numId w:val="1007"/>
        </w:numPr>
      </w:pPr>
      <w:r>
        <w:t xml:space="preserve">Secure storage.</w:t>
      </w:r>
    </w:p>
    <w:p>
      <w:pPr>
        <w:pStyle w:val="Compact"/>
        <w:numPr>
          <w:ilvl w:val="0"/>
          <w:numId w:val="1007"/>
        </w:numPr>
      </w:pPr>
      <w:r>
        <w:t xml:space="preserve">Defined retention periods.</w:t>
      </w:r>
    </w:p>
    <w:p>
      <w:pPr>
        <w:pStyle w:val="Compact"/>
        <w:numPr>
          <w:ilvl w:val="0"/>
          <w:numId w:val="1007"/>
        </w:numPr>
      </w:pPr>
      <w:r>
        <w:t xml:space="preserve">Secure disposal when authorized.</w:t>
      </w:r>
    </w:p>
    <w:p>
      <w:pPr>
        <w:pStyle w:val="Compact"/>
        <w:numPr>
          <w:ilvl w:val="0"/>
          <w:numId w:val="1007"/>
        </w:numPr>
      </w:pPr>
      <w:r>
        <w:t xml:space="preserve">Transparency regarding data processing.</w:t>
      </w:r>
    </w:p>
    <w:p>
      <w:pPr>
        <w:pStyle w:val="FirstParagraph"/>
      </w:pPr>
      <w:r>
        <w:t xml:space="preserve">Where future legislation or government policy introduces additional requirements, the platform should be configurable to support compliance.</w:t>
      </w:r>
    </w:p>
    <w:p>
      <w:r>
        <w:pict>
          <v:rect style="width:0;height:1.5pt" o:hralign="center" o:hrstd="t" o:hr="t"/>
        </w:pict>
      </w:r>
    </w:p>
    <w:bookmarkEnd w:id="31"/>
    <w:bookmarkStart w:id="36" w:name="information-classification"/>
    <w:p>
      <w:pPr>
        <w:pStyle w:val="Heading1"/>
      </w:pPr>
      <w:r>
        <w:t xml:space="preserve">35.6 Information Classification</w:t>
      </w:r>
    </w:p>
    <w:p>
      <w:pPr>
        <w:pStyle w:val="FirstParagraph"/>
      </w:pPr>
      <w:r>
        <w:t xml:space="preserve">Information is classified according to sensitivity.</w:t>
      </w:r>
    </w:p>
    <w:bookmarkStart w:id="32" w:name="public"/>
    <w:p>
      <w:pPr>
        <w:pStyle w:val="Heading3"/>
      </w:pPr>
      <w:r>
        <w:t xml:space="preserve">Public</w:t>
      </w:r>
    </w:p>
    <w:p>
      <w:pPr>
        <w:pStyle w:val="FirstParagraph"/>
      </w:pPr>
      <w:r>
        <w:t xml:space="preserve">Information approved for public dissemination.</w:t>
      </w:r>
    </w:p>
    <w:p>
      <w:r>
        <w:pict>
          <v:rect style="width:0;height:1.5pt" o:hralign="center" o:hrstd="t" o:hr="t"/>
        </w:pict>
      </w:r>
    </w:p>
    <w:bookmarkEnd w:id="32"/>
    <w:bookmarkStart w:id="33" w:name="internal"/>
    <w:p>
      <w:pPr>
        <w:pStyle w:val="Heading3"/>
      </w:pPr>
      <w:r>
        <w:t xml:space="preserve">Internal</w:t>
      </w:r>
    </w:p>
    <w:p>
      <w:pPr>
        <w:pStyle w:val="FirstParagraph"/>
      </w:pPr>
      <w:r>
        <w:t xml:space="preserve">Routine operational information for authorized personnel.</w:t>
      </w:r>
    </w:p>
    <w:p>
      <w:r>
        <w:pict>
          <v:rect style="width:0;height:1.5pt" o:hralign="center" o:hrstd="t" o:hr="t"/>
        </w:pict>
      </w:r>
    </w:p>
    <w:bookmarkEnd w:id="33"/>
    <w:bookmarkStart w:id="34" w:name="confidential"/>
    <w:p>
      <w:pPr>
        <w:pStyle w:val="Heading3"/>
      </w:pPr>
      <w:r>
        <w:t xml:space="preserve">Confidential</w:t>
      </w:r>
    </w:p>
    <w:p>
      <w:pPr>
        <w:pStyle w:val="FirstParagraph"/>
      </w:pPr>
      <w:r>
        <w:t xml:space="preserve">Operational records requiring restricted access.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ed"/>
    <w:p>
      <w:pPr>
        <w:pStyle w:val="Heading3"/>
      </w:pPr>
      <w:r>
        <w:t xml:space="preserve">Restricted</w:t>
      </w:r>
    </w:p>
    <w:p>
      <w:pPr>
        <w:pStyle w:val="FirstParagraph"/>
      </w:pPr>
      <w:r>
        <w:t xml:space="preserve">Highly sensitive information requiring enhanced protection and monitoring.</w:t>
      </w:r>
    </w:p>
    <w:p>
      <w:pPr>
        <w:pStyle w:val="BodyText"/>
      </w:pPr>
      <w:r>
        <w:t xml:space="preserve">Classification governs storage, transmission, access, and retention.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igital-trust-framework"/>
    <w:p>
      <w:pPr>
        <w:pStyle w:val="Heading1"/>
      </w:pPr>
      <w:r>
        <w:t xml:space="preserve">35.7 Digital Trust Framework</w:t>
      </w:r>
    </w:p>
    <w:p>
      <w:pPr>
        <w:pStyle w:val="FirstParagraph"/>
      </w:pPr>
      <w:r>
        <w:t xml:space="preserve">Digital trust is strengthened through:</w:t>
      </w:r>
    </w:p>
    <w:p>
      <w:pPr>
        <w:pStyle w:val="Compact"/>
        <w:numPr>
          <w:ilvl w:val="0"/>
          <w:numId w:val="1008"/>
        </w:numPr>
      </w:pPr>
      <w:r>
        <w:t xml:space="preserve">Verified user identities.</w:t>
      </w:r>
    </w:p>
    <w:p>
      <w:pPr>
        <w:pStyle w:val="Compact"/>
        <w:numPr>
          <w:ilvl w:val="0"/>
          <w:numId w:val="1008"/>
        </w:numPr>
      </w:pPr>
      <w:r>
        <w:t xml:space="preserve">Secure authentication.</w:t>
      </w:r>
    </w:p>
    <w:p>
      <w:pPr>
        <w:pStyle w:val="Compact"/>
        <w:numPr>
          <w:ilvl w:val="0"/>
          <w:numId w:val="1008"/>
        </w:numPr>
      </w:pPr>
      <w:r>
        <w:t xml:space="preserve">Role-based access.</w:t>
      </w:r>
    </w:p>
    <w:p>
      <w:pPr>
        <w:pStyle w:val="Compact"/>
        <w:numPr>
          <w:ilvl w:val="0"/>
          <w:numId w:val="1008"/>
        </w:numPr>
      </w:pPr>
      <w:r>
        <w:t xml:space="preserve">Audit trails.</w:t>
      </w:r>
    </w:p>
    <w:p>
      <w:pPr>
        <w:pStyle w:val="Compact"/>
        <w:numPr>
          <w:ilvl w:val="0"/>
          <w:numId w:val="1008"/>
        </w:numPr>
      </w:pPr>
      <w:r>
        <w:t xml:space="preserve">Encryption.</w:t>
      </w:r>
    </w:p>
    <w:p>
      <w:pPr>
        <w:pStyle w:val="Compact"/>
        <w:numPr>
          <w:ilvl w:val="0"/>
          <w:numId w:val="1008"/>
        </w:numPr>
      </w:pPr>
      <w:r>
        <w:t xml:space="preserve">Continuous monitoring.</w:t>
      </w:r>
    </w:p>
    <w:p>
      <w:pPr>
        <w:pStyle w:val="Compact"/>
        <w:numPr>
          <w:ilvl w:val="0"/>
          <w:numId w:val="1008"/>
        </w:numPr>
      </w:pPr>
      <w:r>
        <w:t xml:space="preserve">Transparent governance.</w:t>
      </w:r>
    </w:p>
    <w:p>
      <w:pPr>
        <w:pStyle w:val="Compact"/>
        <w:numPr>
          <w:ilvl w:val="0"/>
          <w:numId w:val="1008"/>
        </w:numPr>
      </w:pPr>
      <w:r>
        <w:t xml:space="preserve">Independent oversight.</w:t>
      </w:r>
    </w:p>
    <w:p>
      <w:r>
        <w:pict>
          <v:rect style="width:0;height:1.5pt" o:hralign="center" o:hrstd="t" o:hr="t"/>
        </w:pict>
      </w:r>
    </w:p>
    <w:bookmarkEnd w:id="37"/>
    <w:bookmarkStart w:id="38" w:name="ethical-use-of-technology"/>
    <w:p>
      <w:pPr>
        <w:pStyle w:val="Heading1"/>
      </w:pPr>
      <w:r>
        <w:t xml:space="preserve">35.8 Ethical Use of Technology</w:t>
      </w:r>
    </w:p>
    <w:p>
      <w:pPr>
        <w:pStyle w:val="FirstParagraph"/>
      </w:pPr>
      <w:r>
        <w:t xml:space="preserve">The Ministry should promote responsible use of digital technologies.</w:t>
      </w:r>
    </w:p>
    <w:p>
      <w:pPr>
        <w:pStyle w:val="BodyText"/>
      </w:pPr>
      <w:r>
        <w:t xml:space="preserve">Illustrative principles include:</w:t>
      </w:r>
    </w:p>
    <w:p>
      <w:pPr>
        <w:pStyle w:val="Compact"/>
        <w:numPr>
          <w:ilvl w:val="0"/>
          <w:numId w:val="1009"/>
        </w:numPr>
      </w:pPr>
      <w:r>
        <w:t xml:space="preserve">Fairness.</w:t>
      </w:r>
    </w:p>
    <w:p>
      <w:pPr>
        <w:pStyle w:val="Compact"/>
        <w:numPr>
          <w:ilvl w:val="0"/>
          <w:numId w:val="1009"/>
        </w:numPr>
      </w:pPr>
      <w:r>
        <w:t xml:space="preserve">Transparency.</w:t>
      </w:r>
    </w:p>
    <w:p>
      <w:pPr>
        <w:pStyle w:val="Compact"/>
        <w:numPr>
          <w:ilvl w:val="0"/>
          <w:numId w:val="1009"/>
        </w:numPr>
      </w:pPr>
      <w:r>
        <w:t xml:space="preserve">Accountability.</w:t>
      </w:r>
    </w:p>
    <w:p>
      <w:pPr>
        <w:pStyle w:val="Compact"/>
        <w:numPr>
          <w:ilvl w:val="0"/>
          <w:numId w:val="1009"/>
        </w:numPr>
      </w:pPr>
      <w:r>
        <w:t xml:space="preserve">Human oversight.</w:t>
      </w:r>
    </w:p>
    <w:p>
      <w:pPr>
        <w:pStyle w:val="Compact"/>
        <w:numPr>
          <w:ilvl w:val="0"/>
          <w:numId w:val="1009"/>
        </w:numPr>
      </w:pPr>
      <w:r>
        <w:t xml:space="preserve">Non-discrimination.</w:t>
      </w:r>
    </w:p>
    <w:p>
      <w:pPr>
        <w:pStyle w:val="Compact"/>
        <w:numPr>
          <w:ilvl w:val="0"/>
          <w:numId w:val="1009"/>
        </w:numPr>
      </w:pPr>
      <w:r>
        <w:t xml:space="preserve">Accessibility.</w:t>
      </w:r>
    </w:p>
    <w:p>
      <w:pPr>
        <w:pStyle w:val="Compact"/>
        <w:numPr>
          <w:ilvl w:val="0"/>
          <w:numId w:val="1009"/>
        </w:numPr>
      </w:pPr>
      <w:r>
        <w:t xml:space="preserve">Responsible innovation.</w:t>
      </w:r>
    </w:p>
    <w:p>
      <w:pPr>
        <w:pStyle w:val="FirstParagraph"/>
      </w:pPr>
      <w:r>
        <w:t xml:space="preserve">These principles apply particularly to analytical and AI-assisted functions.</w:t>
      </w:r>
    </w:p>
    <w:p>
      <w:r>
        <w:pict>
          <v:rect style="width:0;height:1.5pt" o:hralign="center" o:hrstd="t" o:hr="t"/>
        </w:pict>
      </w:r>
    </w:p>
    <w:bookmarkEnd w:id="38"/>
    <w:bookmarkStart w:id="39" w:name="regulatory-alignment"/>
    <w:p>
      <w:pPr>
        <w:pStyle w:val="Heading1"/>
      </w:pPr>
      <w:r>
        <w:t xml:space="preserve">35.9 Regulatory Alignment</w:t>
      </w:r>
    </w:p>
    <w:p>
      <w:pPr>
        <w:pStyle w:val="FirstParagraph"/>
      </w:pPr>
      <w:r>
        <w:t xml:space="preserve">EduOS Cameroon should be implemented in alignment with:</w:t>
      </w:r>
    </w:p>
    <w:p>
      <w:pPr>
        <w:pStyle w:val="Compact"/>
        <w:numPr>
          <w:ilvl w:val="0"/>
          <w:numId w:val="1010"/>
        </w:numPr>
      </w:pPr>
      <w:r>
        <w:t xml:space="preserve">Applicable laws of Cameroon.</w:t>
      </w:r>
    </w:p>
    <w:p>
      <w:pPr>
        <w:pStyle w:val="Compact"/>
        <w:numPr>
          <w:ilvl w:val="0"/>
          <w:numId w:val="1010"/>
        </w:numPr>
      </w:pPr>
      <w:r>
        <w:t xml:space="preserve">Relevant government regulations.</w:t>
      </w:r>
    </w:p>
    <w:p>
      <w:pPr>
        <w:pStyle w:val="Compact"/>
        <w:numPr>
          <w:ilvl w:val="0"/>
          <w:numId w:val="1010"/>
        </w:numPr>
      </w:pPr>
      <w:r>
        <w:t xml:space="preserve">Ministry policies.</w:t>
      </w:r>
    </w:p>
    <w:p>
      <w:pPr>
        <w:pStyle w:val="Compact"/>
        <w:numPr>
          <w:ilvl w:val="0"/>
          <w:numId w:val="1010"/>
        </w:numPr>
      </w:pPr>
      <w:r>
        <w:t xml:space="preserve">Public financial management requirements.</w:t>
      </w:r>
    </w:p>
    <w:p>
      <w:pPr>
        <w:pStyle w:val="Compact"/>
        <w:numPr>
          <w:ilvl w:val="0"/>
          <w:numId w:val="1010"/>
        </w:numPr>
      </w:pPr>
      <w:r>
        <w:t xml:space="preserve">Records management policies.</w:t>
      </w:r>
    </w:p>
    <w:p>
      <w:pPr>
        <w:pStyle w:val="Compact"/>
        <w:numPr>
          <w:ilvl w:val="0"/>
          <w:numId w:val="1010"/>
        </w:numPr>
      </w:pPr>
      <w:r>
        <w:t xml:space="preserve">Cybersecurity policies.</w:t>
      </w:r>
    </w:p>
    <w:p>
      <w:pPr>
        <w:pStyle w:val="Compact"/>
        <w:numPr>
          <w:ilvl w:val="0"/>
          <w:numId w:val="1010"/>
        </w:numPr>
      </w:pPr>
      <w:r>
        <w:t xml:space="preserve">Public procurement requirements.</w:t>
      </w:r>
    </w:p>
    <w:p>
      <w:pPr>
        <w:pStyle w:val="FirstParagraph"/>
      </w:pPr>
      <w:r>
        <w:t xml:space="preserve">Where international development partners participate, additional contractual or programme-specific obligations may also apply.</w:t>
      </w:r>
    </w:p>
    <w:p>
      <w:r>
        <w:pict>
          <v:rect style="width:0;height:1.5pt" o:hralign="center" o:hrstd="t" o:hr="t"/>
        </w:pict>
      </w:r>
    </w:p>
    <w:bookmarkEnd w:id="39"/>
    <w:bookmarkStart w:id="40" w:name="risk-governance"/>
    <w:p>
      <w:pPr>
        <w:pStyle w:val="Heading1"/>
      </w:pPr>
      <w:r>
        <w:t xml:space="preserve">35.10 Risk Governance</w:t>
      </w:r>
    </w:p>
    <w:p>
      <w:pPr>
        <w:pStyle w:val="FirstParagraph"/>
      </w:pPr>
      <w:r>
        <w:t xml:space="preserve">Governance includes structured management of:</w:t>
      </w:r>
    </w:p>
    <w:p>
      <w:pPr>
        <w:pStyle w:val="Compact"/>
        <w:numPr>
          <w:ilvl w:val="0"/>
          <w:numId w:val="1011"/>
        </w:numPr>
      </w:pPr>
      <w:r>
        <w:t xml:space="preserve">Operational risks.</w:t>
      </w:r>
    </w:p>
    <w:p>
      <w:pPr>
        <w:pStyle w:val="Compact"/>
        <w:numPr>
          <w:ilvl w:val="0"/>
          <w:numId w:val="1011"/>
        </w:numPr>
      </w:pPr>
      <w:r>
        <w:t xml:space="preserve">Cybersecurity risks.</w:t>
      </w:r>
    </w:p>
    <w:p>
      <w:pPr>
        <w:pStyle w:val="Compact"/>
        <w:numPr>
          <w:ilvl w:val="0"/>
          <w:numId w:val="1011"/>
        </w:numPr>
      </w:pPr>
      <w:r>
        <w:t xml:space="preserve">Data quality risks.</w:t>
      </w:r>
    </w:p>
    <w:p>
      <w:pPr>
        <w:pStyle w:val="Compact"/>
        <w:numPr>
          <w:ilvl w:val="0"/>
          <w:numId w:val="1011"/>
        </w:numPr>
      </w:pPr>
      <w:r>
        <w:t xml:space="preserve">Project implementation risks.</w:t>
      </w:r>
    </w:p>
    <w:p>
      <w:pPr>
        <w:pStyle w:val="Compact"/>
        <w:numPr>
          <w:ilvl w:val="0"/>
          <w:numId w:val="1011"/>
        </w:numPr>
      </w:pPr>
      <w:r>
        <w:t xml:space="preserve">Supplier risks.</w:t>
      </w:r>
    </w:p>
    <w:p>
      <w:pPr>
        <w:pStyle w:val="Compact"/>
        <w:numPr>
          <w:ilvl w:val="0"/>
          <w:numId w:val="1011"/>
        </w:numPr>
      </w:pPr>
      <w:r>
        <w:t xml:space="preserve">Business continuity risks.</w:t>
      </w:r>
    </w:p>
    <w:p>
      <w:pPr>
        <w:pStyle w:val="Compact"/>
        <w:numPr>
          <w:ilvl w:val="0"/>
          <w:numId w:val="1011"/>
        </w:numPr>
      </w:pPr>
      <w:r>
        <w:t xml:space="preserve">Reputational risks.</w:t>
      </w:r>
    </w:p>
    <w:p>
      <w:pPr>
        <w:pStyle w:val="FirstParagraph"/>
      </w:pPr>
      <w:r>
        <w:t xml:space="preserve">Risk registers are reviewed periodically by appropriate governance bodies.</w:t>
      </w:r>
    </w:p>
    <w:p>
      <w:r>
        <w:pict>
          <v:rect style="width:0;height:1.5pt" o:hralign="center" o:hrstd="t" o:hr="t"/>
        </w:pict>
      </w:r>
    </w:p>
    <w:bookmarkEnd w:id="40"/>
    <w:bookmarkStart w:id="47" w:name="functional-requirements"/>
    <w:p>
      <w:pPr>
        <w:pStyle w:val="Heading1"/>
      </w:pPr>
      <w:r>
        <w:t xml:space="preserve">35.11 Functional Requirements</w:t>
      </w:r>
    </w:p>
    <w:bookmarkStart w:id="41" w:name="fr-gov-001"/>
    <w:p>
      <w:pPr>
        <w:pStyle w:val="Heading3"/>
      </w:pPr>
      <w:r>
        <w:t xml:space="preserve">FR-GOV-001</w:t>
      </w:r>
    </w:p>
    <w:p>
      <w:pPr>
        <w:pStyle w:val="FirstParagraph"/>
      </w:pPr>
      <w:r>
        <w:t xml:space="preserve">Maintain governance structures and responsibilities.</w:t>
      </w:r>
    </w:p>
    <w:p>
      <w:r>
        <w:pict>
          <v:rect style="width:0;height:1.5pt" o:hralign="center" o:hrstd="t" o:hr="t"/>
        </w:pict>
      </w:r>
    </w:p>
    <w:bookmarkEnd w:id="41"/>
    <w:bookmarkStart w:id="42" w:name="fr-gov-002"/>
    <w:p>
      <w:pPr>
        <w:pStyle w:val="Heading3"/>
      </w:pPr>
      <w:r>
        <w:t xml:space="preserve">FR-GOV-002</w:t>
      </w:r>
    </w:p>
    <w:p>
      <w:pPr>
        <w:pStyle w:val="FirstParagraph"/>
      </w:pPr>
      <w:r>
        <w:t xml:space="preserve">Support information classification.</w:t>
      </w:r>
    </w:p>
    <w:p>
      <w:r>
        <w:pict>
          <v:rect style="width:0;height:1.5pt" o:hralign="center" o:hrstd="t" o:hr="t"/>
        </w:pict>
      </w:r>
    </w:p>
    <w:bookmarkEnd w:id="42"/>
    <w:bookmarkStart w:id="43" w:name="fr-gov-003"/>
    <w:p>
      <w:pPr>
        <w:pStyle w:val="Heading3"/>
      </w:pPr>
      <w:r>
        <w:t xml:space="preserve">FR-GOV-003</w:t>
      </w:r>
    </w:p>
    <w:p>
      <w:pPr>
        <w:pStyle w:val="FirstParagraph"/>
      </w:pPr>
      <w:r>
        <w:t xml:space="preserve">Maintain comprehensive audit records.</w:t>
      </w:r>
    </w:p>
    <w:p>
      <w:r>
        <w:pict>
          <v:rect style="width:0;height:1.5pt" o:hralign="center" o:hrstd="t" o:hr="t"/>
        </w:pict>
      </w:r>
    </w:p>
    <w:bookmarkEnd w:id="43"/>
    <w:bookmarkStart w:id="44" w:name="fr-gov-004"/>
    <w:p>
      <w:pPr>
        <w:pStyle w:val="Heading3"/>
      </w:pPr>
      <w:r>
        <w:t xml:space="preserve">FR-GOV-004</w:t>
      </w:r>
    </w:p>
    <w:p>
      <w:pPr>
        <w:pStyle w:val="FirstParagraph"/>
      </w:pPr>
      <w:r>
        <w:t xml:space="preserve">Support configurable data retention policies.</w:t>
      </w:r>
    </w:p>
    <w:p>
      <w:r>
        <w:pict>
          <v:rect style="width:0;height:1.5pt" o:hralign="center" o:hrstd="t" o:hr="t"/>
        </w:pict>
      </w:r>
    </w:p>
    <w:bookmarkEnd w:id="44"/>
    <w:bookmarkStart w:id="45" w:name="fr-gov-005"/>
    <w:p>
      <w:pPr>
        <w:pStyle w:val="Heading3"/>
      </w:pPr>
      <w:r>
        <w:t xml:space="preserve">FR-GOV-005</w:t>
      </w:r>
    </w:p>
    <w:p>
      <w:pPr>
        <w:pStyle w:val="FirstParagraph"/>
      </w:pPr>
      <w:r>
        <w:t xml:space="preserve">Enable governance reporting.</w:t>
      </w:r>
    </w:p>
    <w:p>
      <w:r>
        <w:pict>
          <v:rect style="width:0;height:1.5pt" o:hralign="center" o:hrstd="t" o:hr="t"/>
        </w:pict>
      </w:r>
    </w:p>
    <w:bookmarkEnd w:id="45"/>
    <w:bookmarkStart w:id="46" w:name="fr-gov-006"/>
    <w:p>
      <w:pPr>
        <w:pStyle w:val="Heading3"/>
      </w:pPr>
      <w:r>
        <w:t xml:space="preserve">FR-GOV-006</w:t>
      </w:r>
    </w:p>
    <w:p>
      <w:pPr>
        <w:pStyle w:val="FirstParagraph"/>
      </w:pPr>
      <w:r>
        <w:t xml:space="preserve">Support periodic governance reviews.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ports"/>
    <w:p>
      <w:pPr>
        <w:pStyle w:val="Heading1"/>
      </w:pPr>
      <w:r>
        <w:t xml:space="preserve">35.12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2"/>
        </w:numPr>
      </w:pPr>
      <w:r>
        <w:t xml:space="preserve">Governance performance.</w:t>
      </w:r>
    </w:p>
    <w:p>
      <w:pPr>
        <w:pStyle w:val="Compact"/>
        <w:numPr>
          <w:ilvl w:val="0"/>
          <w:numId w:val="1012"/>
        </w:numPr>
      </w:pPr>
      <w:r>
        <w:t xml:space="preserve">Data quality.</w:t>
      </w:r>
    </w:p>
    <w:p>
      <w:pPr>
        <w:pStyle w:val="Compact"/>
        <w:numPr>
          <w:ilvl w:val="0"/>
          <w:numId w:val="1012"/>
        </w:numPr>
      </w:pPr>
      <w:r>
        <w:t xml:space="preserve">Risk register.</w:t>
      </w:r>
    </w:p>
    <w:p>
      <w:pPr>
        <w:pStyle w:val="Compact"/>
        <w:numPr>
          <w:ilvl w:val="0"/>
          <w:numId w:val="1012"/>
        </w:numPr>
      </w:pPr>
      <w:r>
        <w:t xml:space="preserve">Security posture.</w:t>
      </w:r>
    </w:p>
    <w:p>
      <w:pPr>
        <w:pStyle w:val="Compact"/>
        <w:numPr>
          <w:ilvl w:val="0"/>
          <w:numId w:val="1012"/>
        </w:numPr>
      </w:pPr>
      <w:r>
        <w:t xml:space="preserve">Audit summary.</w:t>
      </w:r>
    </w:p>
    <w:p>
      <w:pPr>
        <w:pStyle w:val="Compact"/>
        <w:numPr>
          <w:ilvl w:val="0"/>
          <w:numId w:val="1012"/>
        </w:numPr>
      </w:pPr>
      <w:r>
        <w:t xml:space="preserve">Compliance overview.</w:t>
      </w:r>
    </w:p>
    <w:p>
      <w:pPr>
        <w:pStyle w:val="Compact"/>
        <w:numPr>
          <w:ilvl w:val="0"/>
          <w:numId w:val="1012"/>
        </w:numPr>
      </w:pPr>
      <w:r>
        <w:t xml:space="preserve">Policy review status.</w:t>
      </w:r>
    </w:p>
    <w:p>
      <w:r>
        <w:pict>
          <v:rect style="width:0;height:1.5pt" o:hralign="center" o:hrstd="t" o:hr="t"/>
        </w:pict>
      </w:r>
    </w:p>
    <w:bookmarkEnd w:id="48"/>
    <w:bookmarkStart w:id="51" w:name="dashboards"/>
    <w:p>
      <w:pPr>
        <w:pStyle w:val="Heading1"/>
      </w:pPr>
      <w:r>
        <w:t xml:space="preserve">35.13 Dashboards</w:t>
      </w:r>
    </w:p>
    <w:bookmarkStart w:id="49" w:name="governance-dashboard"/>
    <w:p>
      <w:pPr>
        <w:pStyle w:val="Heading3"/>
      </w:pPr>
      <w:r>
        <w:t xml:space="preserve">Governance Dashboard</w:t>
      </w:r>
    </w:p>
    <w:p>
      <w:pPr>
        <w:pStyle w:val="Compact"/>
        <w:numPr>
          <w:ilvl w:val="0"/>
          <w:numId w:val="1013"/>
        </w:numPr>
      </w:pPr>
      <w:r>
        <w:t xml:space="preserve">Strategic initiatives.</w:t>
      </w:r>
    </w:p>
    <w:p>
      <w:pPr>
        <w:pStyle w:val="Compact"/>
        <w:numPr>
          <w:ilvl w:val="0"/>
          <w:numId w:val="1013"/>
        </w:numPr>
      </w:pPr>
      <w:r>
        <w:t xml:space="preserve">Risk profile.</w:t>
      </w:r>
    </w:p>
    <w:p>
      <w:pPr>
        <w:pStyle w:val="Compact"/>
        <w:numPr>
          <w:ilvl w:val="0"/>
          <w:numId w:val="1013"/>
        </w:numPr>
      </w:pPr>
      <w:r>
        <w:t xml:space="preserve">Compliance status.</w:t>
      </w:r>
    </w:p>
    <w:p>
      <w:pPr>
        <w:pStyle w:val="Compact"/>
        <w:numPr>
          <w:ilvl w:val="0"/>
          <w:numId w:val="1013"/>
        </w:numPr>
      </w:pPr>
      <w:r>
        <w:t xml:space="preserve">Data quality indicators.</w:t>
      </w:r>
    </w:p>
    <w:p>
      <w:pPr>
        <w:pStyle w:val="Compact"/>
        <w:numPr>
          <w:ilvl w:val="0"/>
          <w:numId w:val="1013"/>
        </w:numPr>
      </w:pPr>
      <w:r>
        <w:t xml:space="preserve">Audit recommendations.</w:t>
      </w:r>
    </w:p>
    <w:bookmarkEnd w:id="49"/>
    <w:bookmarkStart w:id="50" w:name="data-governance-dashboard"/>
    <w:p>
      <w:pPr>
        <w:pStyle w:val="Heading3"/>
      </w:pPr>
      <w:r>
        <w:t xml:space="preserve">Data Governance Dashboard</w:t>
      </w:r>
    </w:p>
    <w:p>
      <w:pPr>
        <w:pStyle w:val="Compact"/>
        <w:numPr>
          <w:ilvl w:val="0"/>
          <w:numId w:val="1014"/>
        </w:numPr>
      </w:pPr>
      <w:r>
        <w:t xml:space="preserve">Data completeness.</w:t>
      </w:r>
    </w:p>
    <w:p>
      <w:pPr>
        <w:pStyle w:val="Compact"/>
        <w:numPr>
          <w:ilvl w:val="0"/>
          <w:numId w:val="1014"/>
        </w:numPr>
      </w:pPr>
      <w:r>
        <w:t xml:space="preserve">Data quality.</w:t>
      </w:r>
    </w:p>
    <w:p>
      <w:pPr>
        <w:pStyle w:val="Compact"/>
        <w:numPr>
          <w:ilvl w:val="0"/>
          <w:numId w:val="1014"/>
        </w:numPr>
      </w:pPr>
      <w:r>
        <w:t xml:space="preserve">Master data status.</w:t>
      </w:r>
    </w:p>
    <w:p>
      <w:pPr>
        <w:pStyle w:val="Compact"/>
        <w:numPr>
          <w:ilvl w:val="0"/>
          <w:numId w:val="1014"/>
        </w:numPr>
      </w:pPr>
      <w:r>
        <w:t xml:space="preserve">Stewardship activities.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ccess-indicators"/>
    <w:p>
      <w:pPr>
        <w:pStyle w:val="Heading1"/>
      </w:pPr>
      <w:r>
        <w:t xml:space="preserve">35.14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5"/>
        </w:numPr>
      </w:pPr>
      <w:r>
        <w:t xml:space="preserve">Governance review completion.</w:t>
      </w:r>
    </w:p>
    <w:p>
      <w:pPr>
        <w:pStyle w:val="Compact"/>
        <w:numPr>
          <w:ilvl w:val="0"/>
          <w:numId w:val="1015"/>
        </w:numPr>
      </w:pPr>
      <w:r>
        <w:t xml:space="preserve">Data quality improvement.</w:t>
      </w:r>
    </w:p>
    <w:p>
      <w:pPr>
        <w:pStyle w:val="Compact"/>
        <w:numPr>
          <w:ilvl w:val="0"/>
          <w:numId w:val="1015"/>
        </w:numPr>
      </w:pPr>
      <w:r>
        <w:t xml:space="preserve">Audit recommendation implementation.</w:t>
      </w:r>
    </w:p>
    <w:p>
      <w:pPr>
        <w:pStyle w:val="Compact"/>
        <w:numPr>
          <w:ilvl w:val="0"/>
          <w:numId w:val="1015"/>
        </w:numPr>
      </w:pPr>
      <w:r>
        <w:t xml:space="preserve">Reduction in security incidents.</w:t>
      </w:r>
    </w:p>
    <w:p>
      <w:pPr>
        <w:pStyle w:val="Compact"/>
        <w:numPr>
          <w:ilvl w:val="0"/>
          <w:numId w:val="1015"/>
        </w:numPr>
      </w:pPr>
      <w:r>
        <w:t xml:space="preserve">Compliance with information governance policies.</w:t>
      </w:r>
    </w:p>
    <w:p>
      <w:pPr>
        <w:pStyle w:val="Compact"/>
        <w:numPr>
          <w:ilvl w:val="0"/>
          <w:numId w:val="1015"/>
        </w:numPr>
      </w:pPr>
      <w:r>
        <w:t xml:space="preserve">Stakeholder confidence.</w:t>
      </w:r>
    </w:p>
    <w:p>
      <w:pPr>
        <w:pStyle w:val="Compact"/>
        <w:numPr>
          <w:ilvl w:val="0"/>
          <w:numId w:val="1015"/>
        </w:numPr>
      </w:pPr>
      <w:r>
        <w:t xml:space="preserve">Platform transparency.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1"/>
      </w:pPr>
      <w:r>
        <w:t xml:space="preserve">35.15 Conclusion</w:t>
      </w:r>
    </w:p>
    <w:p>
      <w:pPr>
        <w:pStyle w:val="FirstParagraph"/>
      </w:pPr>
      <w:r>
        <w:t xml:space="preserve">The Governance, Legal, Regulatory, Data Protection and Digital Trust Framework establishes the institutional foundation necessary for the long-term success of EduOS Cameroon.</w:t>
      </w:r>
    </w:p>
    <w:p>
      <w:pPr>
        <w:pStyle w:val="BodyText"/>
      </w:pPr>
      <w:r>
        <w:t xml:space="preserve">By combining effective governance, responsible data stewardship, secure technology, transparent oversight, and ethical digital practices, the framework promotes confidence in the platform while supporting sustainable digital transformation across the education sector.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2026-07-10T13:54:35Z</dcterms:created>
  <dcterms:modified xsi:type="dcterms:W3CDTF">2026-07-10T13:54:35Z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