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31"/>
    <w:p>
      <w:pPr>
        <w:pStyle w:val="Heading1"/>
      </w:pPr>
      <w:r>
        <w:t xml:space="preserve">CHAPTER 31</w:t>
      </w:r>
    </w:p>
    <w:bookmarkEnd w:id="20"/>
    <w:bookmarkStart w:id="22" w:name="Xbde93811fd75a2de7d1261044e1e0c0d39ac836"/>
    <w:p>
      <w:pPr>
        <w:pStyle w:val="Heading1"/>
      </w:pPr>
      <w:r>
        <w:t xml:space="preserve">NATIONAL EDUCATION DOCUMENT, RECORDS AND KNOWLEDGE MANAGEMENT SYSTEM (NEDRKMS)</w:t>
      </w:r>
    </w:p>
    <w:bookmarkStart w:id="21" w:name="introduction"/>
    <w:p>
      <w:pPr>
        <w:pStyle w:val="Heading2"/>
      </w:pPr>
      <w:r>
        <w:t xml:space="preserve">31.1 Introduction</w:t>
      </w:r>
    </w:p>
    <w:p>
      <w:pPr>
        <w:pStyle w:val="FirstParagraph"/>
      </w:pPr>
      <w:r>
        <w:t xml:space="preserve">The National Education Document, Records and Knowledge Management System (NEDRKMS) provides the official document and records management capability for EduOS Cameroon.</w:t>
      </w:r>
    </w:p>
    <w:p>
      <w:pPr>
        <w:pStyle w:val="BodyText"/>
      </w:pPr>
      <w:r>
        <w:t xml:space="preserve">The system manages the complete lifecycle of digital documents and official records generated throughout education resource management, from creation and approval to archival, retrieval, retention, and lawful disposal.</w:t>
      </w:r>
    </w:p>
    <w:p>
      <w:pPr>
        <w:pStyle w:val="BodyText"/>
      </w:pPr>
      <w:r>
        <w:t xml:space="preserve">It also serves as the Ministry’s institutional knowledge repository by preserving policies, guidelines, technical manuals, standard operating procedures, and implementation lessons.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trategic-objectives"/>
    <w:p>
      <w:pPr>
        <w:pStyle w:val="Heading1"/>
      </w:pPr>
      <w:r>
        <w:t xml:space="preserve">31.2 Strategic Objectives</w:t>
      </w:r>
    </w:p>
    <w:p>
      <w:pPr>
        <w:pStyle w:val="FirstParagraph"/>
      </w:pPr>
      <w:r>
        <w:t xml:space="preserve">The system seeks to:</w:t>
      </w:r>
    </w:p>
    <w:p>
      <w:pPr>
        <w:pStyle w:val="Compact"/>
        <w:numPr>
          <w:ilvl w:val="0"/>
          <w:numId w:val="1001"/>
        </w:numPr>
      </w:pPr>
      <w:r>
        <w:t xml:space="preserve">Digitize official records.</w:t>
      </w:r>
    </w:p>
    <w:p>
      <w:pPr>
        <w:pStyle w:val="Compact"/>
        <w:numPr>
          <w:ilvl w:val="0"/>
          <w:numId w:val="1001"/>
        </w:numPr>
      </w:pPr>
      <w:r>
        <w:t xml:space="preserve">Strengthen institutional memory.</w:t>
      </w:r>
    </w:p>
    <w:p>
      <w:pPr>
        <w:pStyle w:val="Compact"/>
        <w:numPr>
          <w:ilvl w:val="0"/>
          <w:numId w:val="1001"/>
        </w:numPr>
      </w:pPr>
      <w:r>
        <w:t xml:space="preserve">Improve document retrieval.</w:t>
      </w:r>
    </w:p>
    <w:p>
      <w:pPr>
        <w:pStyle w:val="Compact"/>
        <w:numPr>
          <w:ilvl w:val="0"/>
          <w:numId w:val="1001"/>
        </w:numPr>
      </w:pPr>
      <w:r>
        <w:t xml:space="preserve">Support regulatory compliance.</w:t>
      </w:r>
    </w:p>
    <w:p>
      <w:pPr>
        <w:pStyle w:val="Compact"/>
        <w:numPr>
          <w:ilvl w:val="0"/>
          <w:numId w:val="1001"/>
        </w:numPr>
      </w:pPr>
      <w:r>
        <w:t xml:space="preserve">Reduce dependence on paper archives.</w:t>
      </w:r>
    </w:p>
    <w:p>
      <w:pPr>
        <w:pStyle w:val="Compact"/>
        <w:numPr>
          <w:ilvl w:val="0"/>
          <w:numId w:val="1001"/>
        </w:numPr>
      </w:pPr>
      <w:r>
        <w:t xml:space="preserve">Improve collaboration.</w:t>
      </w:r>
    </w:p>
    <w:p>
      <w:pPr>
        <w:pStyle w:val="Compact"/>
        <w:numPr>
          <w:ilvl w:val="0"/>
          <w:numId w:val="1001"/>
        </w:numPr>
      </w:pPr>
      <w:r>
        <w:t xml:space="preserve">Support audit readiness.</w:t>
      </w:r>
    </w:p>
    <w:p>
      <w:pPr>
        <w:pStyle w:val="Compact"/>
        <w:numPr>
          <w:ilvl w:val="0"/>
          <w:numId w:val="1001"/>
        </w:numPr>
      </w:pPr>
      <w:r>
        <w:t xml:space="preserve">Preserve organizational knowledge.</w:t>
      </w:r>
    </w:p>
    <w:p>
      <w:r>
        <w:pict>
          <v:rect style="width:0;height:1.5pt" o:hralign="center" o:hrstd="t" o:hr="t"/>
        </w:pict>
      </w:r>
    </w:p>
    <w:bookmarkEnd w:id="23"/>
    <w:bookmarkStart w:id="24" w:name="document-lifecycle"/>
    <w:p>
      <w:pPr>
        <w:pStyle w:val="Heading1"/>
      </w:pPr>
      <w:r>
        <w:t xml:space="preserve">31.3 Document Lifecycle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▼proc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Publication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Operational Use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Archive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Retention Review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Secure Disposal (where authorized)</w:t>
      </w:r>
    </w:p>
    <w:p>
      <w:pPr>
        <w:pStyle w:val="FirstParagraph"/>
      </w:pPr>
      <w:r>
        <w:t xml:space="preserve">Every stage is logged and traceable.</w:t>
      </w:r>
    </w:p>
    <w:p>
      <w:r>
        <w:pict>
          <v:rect style="width:0;height:1.5pt" o:hralign="center" o:hrstd="t" o:hr="t"/>
        </w:pict>
      </w:r>
    </w:p>
    <w:bookmarkEnd w:id="24"/>
    <w:bookmarkStart w:id="32" w:name="document-categories"/>
    <w:p>
      <w:pPr>
        <w:pStyle w:val="Heading1"/>
      </w:pPr>
      <w:r>
        <w:t xml:space="preserve">31.4 Document Categories</w:t>
      </w:r>
    </w:p>
    <w:p>
      <w:pPr>
        <w:pStyle w:val="FirstParagraph"/>
      </w:pPr>
      <w:r>
        <w:t xml:space="preserve">The system supports, among others:</w:t>
      </w:r>
    </w:p>
    <w:bookmarkStart w:id="25" w:name="governance"/>
    <w:p>
      <w:pPr>
        <w:pStyle w:val="Heading3"/>
      </w:pPr>
      <w:r>
        <w:t xml:space="preserve">Governance</w:t>
      </w:r>
    </w:p>
    <w:p>
      <w:pPr>
        <w:pStyle w:val="Compact"/>
        <w:numPr>
          <w:ilvl w:val="0"/>
          <w:numId w:val="1002"/>
        </w:numPr>
      </w:pPr>
      <w:r>
        <w:t xml:space="preserve">Policies.</w:t>
      </w:r>
    </w:p>
    <w:p>
      <w:pPr>
        <w:pStyle w:val="Compact"/>
        <w:numPr>
          <w:ilvl w:val="0"/>
          <w:numId w:val="1002"/>
        </w:numPr>
      </w:pPr>
      <w:r>
        <w:t xml:space="preserve">Circulars.</w:t>
      </w:r>
    </w:p>
    <w:p>
      <w:pPr>
        <w:pStyle w:val="Compact"/>
        <w:numPr>
          <w:ilvl w:val="0"/>
          <w:numId w:val="1002"/>
        </w:numPr>
      </w:pPr>
      <w:r>
        <w:t xml:space="preserve">Ministerial decisions.</w:t>
      </w:r>
    </w:p>
    <w:p>
      <w:pPr>
        <w:pStyle w:val="Compact"/>
        <w:numPr>
          <w:ilvl w:val="0"/>
          <w:numId w:val="1002"/>
        </w:numPr>
      </w:pPr>
      <w:r>
        <w:t xml:space="preserve">Administrative instructions.</w:t>
      </w:r>
    </w:p>
    <w:p>
      <w:r>
        <w:pict>
          <v:rect style="width:0;height:1.5pt" o:hralign="center" o:hrstd="t" o:hr="t"/>
        </w:pict>
      </w:r>
    </w:p>
    <w:bookmarkEnd w:id="25"/>
    <w:bookmarkStart w:id="26" w:name="procurement"/>
    <w:p>
      <w:pPr>
        <w:pStyle w:val="Heading3"/>
      </w:pPr>
      <w:r>
        <w:t xml:space="preserve">Procurement</w:t>
      </w:r>
    </w:p>
    <w:p>
      <w:pPr>
        <w:pStyle w:val="Compact"/>
        <w:numPr>
          <w:ilvl w:val="0"/>
          <w:numId w:val="1003"/>
        </w:numPr>
      </w:pPr>
      <w:r>
        <w:t xml:space="preserve">Procurement plans.</w:t>
      </w:r>
    </w:p>
    <w:p>
      <w:pPr>
        <w:pStyle w:val="Compact"/>
        <w:numPr>
          <w:ilvl w:val="0"/>
          <w:numId w:val="1003"/>
        </w:numPr>
      </w:pPr>
      <w:r>
        <w:t xml:space="preserve">Tender documents.</w:t>
      </w:r>
    </w:p>
    <w:p>
      <w:pPr>
        <w:pStyle w:val="Compact"/>
        <w:numPr>
          <w:ilvl w:val="0"/>
          <w:numId w:val="1003"/>
        </w:numPr>
      </w:pPr>
      <w:r>
        <w:t xml:space="preserve">Bid evaluations.</w:t>
      </w:r>
    </w:p>
    <w:p>
      <w:pPr>
        <w:pStyle w:val="Compact"/>
        <w:numPr>
          <w:ilvl w:val="0"/>
          <w:numId w:val="1003"/>
        </w:numPr>
      </w:pPr>
      <w:r>
        <w:t xml:space="preserve">Contracts.</w:t>
      </w:r>
    </w:p>
    <w:p>
      <w:pPr>
        <w:pStyle w:val="Compact"/>
        <w:numPr>
          <w:ilvl w:val="0"/>
          <w:numId w:val="1003"/>
        </w:numPr>
      </w:pPr>
      <w:r>
        <w:t xml:space="preserve">Amendments.</w:t>
      </w:r>
    </w:p>
    <w:p>
      <w:r>
        <w:pict>
          <v:rect style="width:0;height:1.5pt" o:hralign="center" o:hrstd="t" o:hr="t"/>
        </w:pict>
      </w:r>
    </w:p>
    <w:bookmarkEnd w:id="26"/>
    <w:bookmarkStart w:id="27" w:name="logistics"/>
    <w:p>
      <w:pPr>
        <w:pStyle w:val="Heading3"/>
      </w:pPr>
      <w:r>
        <w:t xml:space="preserve">Logistics</w:t>
      </w:r>
    </w:p>
    <w:p>
      <w:pPr>
        <w:pStyle w:val="Compact"/>
        <w:numPr>
          <w:ilvl w:val="0"/>
          <w:numId w:val="1004"/>
        </w:numPr>
      </w:pPr>
      <w:r>
        <w:t xml:space="preserve">Delivery notes.</w:t>
      </w:r>
    </w:p>
    <w:p>
      <w:pPr>
        <w:pStyle w:val="Compact"/>
        <w:numPr>
          <w:ilvl w:val="0"/>
          <w:numId w:val="1004"/>
        </w:numPr>
      </w:pPr>
      <w:r>
        <w:t xml:space="preserve">Warehouse receipts.</w:t>
      </w:r>
    </w:p>
    <w:p>
      <w:pPr>
        <w:pStyle w:val="Compact"/>
        <w:numPr>
          <w:ilvl w:val="0"/>
          <w:numId w:val="1004"/>
        </w:numPr>
      </w:pPr>
      <w:r>
        <w:t xml:space="preserve">Dispatch manifests.</w:t>
      </w:r>
    </w:p>
    <w:p>
      <w:pPr>
        <w:pStyle w:val="Compact"/>
        <w:numPr>
          <w:ilvl w:val="0"/>
          <w:numId w:val="1004"/>
        </w:numPr>
      </w:pPr>
      <w:r>
        <w:t xml:space="preserve">Shipment confirmations.</w:t>
      </w:r>
    </w:p>
    <w:p>
      <w:r>
        <w:pict>
          <v:rect style="width:0;height:1.5pt" o:hralign="center" o:hrstd="t" o:hr="t"/>
        </w:pict>
      </w:r>
    </w:p>
    <w:bookmarkEnd w:id="27"/>
    <w:bookmarkStart w:id="28" w:name="school-operations"/>
    <w:p>
      <w:pPr>
        <w:pStyle w:val="Heading3"/>
      </w:pPr>
      <w:r>
        <w:t xml:space="preserve">School Operations</w:t>
      </w:r>
    </w:p>
    <w:p>
      <w:pPr>
        <w:pStyle w:val="Compact"/>
        <w:numPr>
          <w:ilvl w:val="0"/>
          <w:numId w:val="1005"/>
        </w:numPr>
      </w:pPr>
      <w:r>
        <w:t xml:space="preserve">Inventory registers.</w:t>
      </w:r>
    </w:p>
    <w:p>
      <w:pPr>
        <w:pStyle w:val="Compact"/>
        <w:numPr>
          <w:ilvl w:val="0"/>
          <w:numId w:val="1005"/>
        </w:numPr>
      </w:pPr>
      <w:r>
        <w:t xml:space="preserve">Textbook allocation records.</w:t>
      </w:r>
    </w:p>
    <w:p>
      <w:pPr>
        <w:pStyle w:val="Compact"/>
        <w:numPr>
          <w:ilvl w:val="0"/>
          <w:numId w:val="1005"/>
        </w:numPr>
      </w:pPr>
      <w:r>
        <w:t xml:space="preserve">Incident reports.</w:t>
      </w:r>
    </w:p>
    <w:p>
      <w:pPr>
        <w:pStyle w:val="Compact"/>
        <w:numPr>
          <w:ilvl w:val="0"/>
          <w:numId w:val="1005"/>
        </w:numPr>
      </w:pPr>
      <w:r>
        <w:t xml:space="preserve">Verification reports.</w:t>
      </w:r>
    </w:p>
    <w:p>
      <w:pPr>
        <w:pStyle w:val="Compact"/>
        <w:numPr>
          <w:ilvl w:val="0"/>
          <w:numId w:val="1005"/>
        </w:numPr>
      </w:pPr>
      <w:r>
        <w:t xml:space="preserve">Maintenance records.</w:t>
      </w:r>
    </w:p>
    <w:p>
      <w:r>
        <w:pict>
          <v:rect style="width:0;height:1.5pt" o:hralign="center" o:hrstd="t" o:hr="t"/>
        </w:pict>
      </w:r>
    </w:p>
    <w:bookmarkEnd w:id="28"/>
    <w:bookmarkStart w:id="29" w:name="inspection"/>
    <w:p>
      <w:pPr>
        <w:pStyle w:val="Heading3"/>
      </w:pPr>
      <w:r>
        <w:t xml:space="preserve">Inspection</w:t>
      </w:r>
    </w:p>
    <w:p>
      <w:pPr>
        <w:pStyle w:val="Compact"/>
        <w:numPr>
          <w:ilvl w:val="0"/>
          <w:numId w:val="1006"/>
        </w:numPr>
      </w:pPr>
      <w:r>
        <w:t xml:space="preserve">Inspection checklists.</w:t>
      </w:r>
    </w:p>
    <w:p>
      <w:pPr>
        <w:pStyle w:val="Compact"/>
        <w:numPr>
          <w:ilvl w:val="0"/>
          <w:numId w:val="1006"/>
        </w:numPr>
      </w:pPr>
      <w:r>
        <w:t xml:space="preserve">Findings.</w:t>
      </w:r>
    </w:p>
    <w:p>
      <w:pPr>
        <w:pStyle w:val="Compact"/>
        <w:numPr>
          <w:ilvl w:val="0"/>
          <w:numId w:val="1006"/>
        </w:numPr>
      </w:pPr>
      <w:r>
        <w:t xml:space="preserve">Corrective action plans.</w:t>
      </w:r>
    </w:p>
    <w:p>
      <w:pPr>
        <w:pStyle w:val="Compact"/>
        <w:numPr>
          <w:ilvl w:val="0"/>
          <w:numId w:val="1006"/>
        </w:numPr>
      </w:pPr>
      <w:r>
        <w:t xml:space="preserve">Compliance reports.</w:t>
      </w:r>
    </w:p>
    <w:p>
      <w:r>
        <w:pict>
          <v:rect style="width:0;height:1.5pt" o:hralign="center" o:hrstd="t" o:hr="t"/>
        </w:pict>
      </w:r>
    </w:p>
    <w:bookmarkEnd w:id="29"/>
    <w:bookmarkStart w:id="30" w:name="finance"/>
    <w:p>
      <w:pPr>
        <w:pStyle w:val="Heading3"/>
      </w:pPr>
      <w:r>
        <w:t xml:space="preserve">Finance</w:t>
      </w:r>
    </w:p>
    <w:p>
      <w:pPr>
        <w:pStyle w:val="Compact"/>
        <w:numPr>
          <w:ilvl w:val="0"/>
          <w:numId w:val="1007"/>
        </w:numPr>
      </w:pPr>
      <w:r>
        <w:t xml:space="preserve">Budget summaries.</w:t>
      </w:r>
    </w:p>
    <w:p>
      <w:pPr>
        <w:pStyle w:val="Compact"/>
        <w:numPr>
          <w:ilvl w:val="0"/>
          <w:numId w:val="1007"/>
        </w:numPr>
      </w:pPr>
      <w:r>
        <w:t xml:space="preserve">Payment certificates.</w:t>
      </w:r>
    </w:p>
    <w:p>
      <w:pPr>
        <w:pStyle w:val="Compact"/>
        <w:numPr>
          <w:ilvl w:val="0"/>
          <w:numId w:val="1007"/>
        </w:numPr>
      </w:pPr>
      <w:r>
        <w:t xml:space="preserve">Financial reconciliations.</w:t>
      </w:r>
    </w:p>
    <w:p>
      <w:pPr>
        <w:pStyle w:val="Compact"/>
        <w:numPr>
          <w:ilvl w:val="0"/>
          <w:numId w:val="1007"/>
        </w:numPr>
      </w:pPr>
      <w:r>
        <w:t xml:space="preserve">Supporting documentation.</w:t>
      </w:r>
    </w:p>
    <w:p>
      <w:r>
        <w:pict>
          <v:rect style="width:0;height:1.5pt" o:hralign="center" o:hrstd="t" o:hr="t"/>
        </w:pict>
      </w:r>
    </w:p>
    <w:bookmarkEnd w:id="30"/>
    <w:bookmarkStart w:id="31" w:name="knowledge-resources"/>
    <w:p>
      <w:pPr>
        <w:pStyle w:val="Heading3"/>
      </w:pPr>
      <w:r>
        <w:t xml:space="preserve">Knowledge Resources</w:t>
      </w:r>
    </w:p>
    <w:p>
      <w:pPr>
        <w:pStyle w:val="Compact"/>
        <w:numPr>
          <w:ilvl w:val="0"/>
          <w:numId w:val="1008"/>
        </w:numPr>
      </w:pPr>
      <w:r>
        <w:t xml:space="preserve">User manuals.</w:t>
      </w:r>
    </w:p>
    <w:p>
      <w:pPr>
        <w:pStyle w:val="Compact"/>
        <w:numPr>
          <w:ilvl w:val="0"/>
          <w:numId w:val="1008"/>
        </w:numPr>
      </w:pPr>
      <w:r>
        <w:t xml:space="preserve">Training materials.</w:t>
      </w:r>
    </w:p>
    <w:p>
      <w:pPr>
        <w:pStyle w:val="Compact"/>
        <w:numPr>
          <w:ilvl w:val="0"/>
          <w:numId w:val="1008"/>
        </w:numPr>
      </w:pPr>
      <w:r>
        <w:t xml:space="preserve">Standard operating procedures.</w:t>
      </w:r>
    </w:p>
    <w:p>
      <w:pPr>
        <w:pStyle w:val="Compact"/>
        <w:numPr>
          <w:ilvl w:val="0"/>
          <w:numId w:val="1008"/>
        </w:numPr>
      </w:pPr>
      <w:r>
        <w:t xml:space="preserve">Frequently asked questions.</w:t>
      </w:r>
    </w:p>
    <w:p>
      <w:pPr>
        <w:pStyle w:val="Compact"/>
        <w:numPr>
          <w:ilvl w:val="0"/>
          <w:numId w:val="1008"/>
        </w:numPr>
      </w:pPr>
      <w:r>
        <w:t xml:space="preserve">Lessons learned.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functional-requirements"/>
    <w:p>
      <w:pPr>
        <w:pStyle w:val="Heading1"/>
      </w:pPr>
      <w:r>
        <w:t xml:space="preserve">31.5 Functional Requirements</w:t>
      </w:r>
    </w:p>
    <w:bookmarkStart w:id="33" w:name="fr-doc-001"/>
    <w:p>
      <w:pPr>
        <w:pStyle w:val="Heading3"/>
      </w:pPr>
      <w:r>
        <w:t xml:space="preserve">FR-DOC-001</w:t>
      </w:r>
    </w:p>
    <w:p>
      <w:pPr>
        <w:pStyle w:val="FirstParagraph"/>
      </w:pPr>
      <w:r>
        <w:t xml:space="preserve">Document Registration</w:t>
      </w:r>
    </w:p>
    <w:p>
      <w:pPr>
        <w:pStyle w:val="BodyText"/>
      </w:pPr>
      <w:r>
        <w:t xml:space="preserve">Register documents with metadata including title, category, owner, version, creation date, and security classification.</w:t>
      </w:r>
    </w:p>
    <w:p>
      <w:r>
        <w:pict>
          <v:rect style="width:0;height:1.5pt" o:hralign="center" o:hrstd="t" o:hr="t"/>
        </w:pict>
      </w:r>
    </w:p>
    <w:bookmarkEnd w:id="33"/>
    <w:bookmarkStart w:id="34" w:name="fr-doc-002"/>
    <w:p>
      <w:pPr>
        <w:pStyle w:val="Heading3"/>
      </w:pPr>
      <w:r>
        <w:t xml:space="preserve">FR-DOC-002</w:t>
      </w:r>
    </w:p>
    <w:p>
      <w:pPr>
        <w:pStyle w:val="FirstParagraph"/>
      </w:pPr>
      <w:r>
        <w:t xml:space="preserve">Version Control</w:t>
      </w:r>
    </w:p>
    <w:p>
      <w:pPr>
        <w:pStyle w:val="BodyText"/>
      </w:pPr>
      <w:r>
        <w:t xml:space="preserve">Maintain version history while preserving previous approved versions.</w:t>
      </w:r>
    </w:p>
    <w:p>
      <w:r>
        <w:pict>
          <v:rect style="width:0;height:1.5pt" o:hralign="center" o:hrstd="t" o:hr="t"/>
        </w:pict>
      </w:r>
    </w:p>
    <w:bookmarkEnd w:id="34"/>
    <w:bookmarkStart w:id="35" w:name="fr-doc-003"/>
    <w:p>
      <w:pPr>
        <w:pStyle w:val="Heading3"/>
      </w:pPr>
      <w:r>
        <w:t xml:space="preserve">FR-DOC-003</w:t>
      </w:r>
    </w:p>
    <w:p>
      <w:pPr>
        <w:pStyle w:val="FirstParagraph"/>
      </w:pPr>
      <w:r>
        <w:t xml:space="preserve">Document Approval</w:t>
      </w:r>
    </w:p>
    <w:p>
      <w:pPr>
        <w:pStyle w:val="BodyText"/>
      </w:pPr>
      <w:r>
        <w:t xml:space="preserve">Support configurable approval workflows before publication or operational use.</w:t>
      </w:r>
    </w:p>
    <w:p>
      <w:r>
        <w:pict>
          <v:rect style="width:0;height:1.5pt" o:hralign="center" o:hrstd="t" o:hr="t"/>
        </w:pict>
      </w:r>
    </w:p>
    <w:bookmarkEnd w:id="35"/>
    <w:bookmarkStart w:id="36" w:name="fr-doc-004"/>
    <w:p>
      <w:pPr>
        <w:pStyle w:val="Heading3"/>
      </w:pPr>
      <w:r>
        <w:t xml:space="preserve">FR-DOC-004</w:t>
      </w:r>
    </w:p>
    <w:p>
      <w:pPr>
        <w:pStyle w:val="FirstParagraph"/>
      </w:pPr>
      <w:r>
        <w:t xml:space="preserve">Search and Retrieval</w:t>
      </w:r>
    </w:p>
    <w:p>
      <w:pPr>
        <w:pStyle w:val="BodyText"/>
      </w:pPr>
      <w:r>
        <w:t xml:space="preserve">Provide full-text search and metadata filtering based on user permissions.</w:t>
      </w:r>
    </w:p>
    <w:p>
      <w:r>
        <w:pict>
          <v:rect style="width:0;height:1.5pt" o:hralign="center" o:hrstd="t" o:hr="t"/>
        </w:pict>
      </w:r>
    </w:p>
    <w:bookmarkEnd w:id="36"/>
    <w:bookmarkStart w:id="37" w:name="fr-doc-005"/>
    <w:p>
      <w:pPr>
        <w:pStyle w:val="Heading3"/>
      </w:pPr>
      <w:r>
        <w:t xml:space="preserve">FR-DOC-005</w:t>
      </w:r>
    </w:p>
    <w:p>
      <w:pPr>
        <w:pStyle w:val="FirstParagraph"/>
      </w:pPr>
      <w:r>
        <w:t xml:space="preserve">Retention Management</w:t>
      </w:r>
    </w:p>
    <w:p>
      <w:pPr>
        <w:pStyle w:val="BodyText"/>
      </w:pPr>
      <w:r>
        <w:t xml:space="preserve">Apply configurable retention schedules and review dates according to ministry policies.</w:t>
      </w:r>
    </w:p>
    <w:p>
      <w:r>
        <w:pict>
          <v:rect style="width:0;height:1.5pt" o:hralign="center" o:hrstd="t" o:hr="t"/>
        </w:pict>
      </w:r>
    </w:p>
    <w:bookmarkEnd w:id="37"/>
    <w:bookmarkStart w:id="38" w:name="fr-doc-006"/>
    <w:p>
      <w:pPr>
        <w:pStyle w:val="Heading3"/>
      </w:pPr>
      <w:r>
        <w:t xml:space="preserve">FR-DOC-006</w:t>
      </w:r>
    </w:p>
    <w:p>
      <w:pPr>
        <w:pStyle w:val="FirstParagraph"/>
      </w:pPr>
      <w:r>
        <w:t xml:space="preserve">Document Linking</w:t>
      </w:r>
    </w:p>
    <w:p>
      <w:pPr>
        <w:pStyle w:val="BodyText"/>
      </w:pPr>
      <w:r>
        <w:t xml:space="preserve">Associate documents with related operational records such as procurement packages, warehouses, schools, inspections, and textbooks.</w:t>
      </w:r>
    </w:p>
    <w:p>
      <w:r>
        <w:pict>
          <v:rect style="width:0;height:1.5pt" o:hralign="center" o:hrstd="t" o:hr="t"/>
        </w:pict>
      </w:r>
    </w:p>
    <w:bookmarkEnd w:id="38"/>
    <w:bookmarkStart w:id="39" w:name="fr-doc-007"/>
    <w:p>
      <w:pPr>
        <w:pStyle w:val="Heading3"/>
      </w:pPr>
      <w:r>
        <w:t xml:space="preserve">FR-DOC-007</w:t>
      </w:r>
    </w:p>
    <w:p>
      <w:pPr>
        <w:pStyle w:val="FirstParagraph"/>
      </w:pPr>
      <w:r>
        <w:t xml:space="preserve">Knowledge Repositoryproc</w:t>
      </w:r>
    </w:p>
    <w:p>
      <w:pPr>
        <w:pStyle w:val="BodyText"/>
      </w:pPr>
      <w:r>
        <w:t xml:space="preserve">Maintain a structured repository of guidance documents and best practices accessible to authorized users.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metadata-model"/>
    <w:p>
      <w:pPr>
        <w:pStyle w:val="Heading1"/>
      </w:pPr>
      <w:r>
        <w:t xml:space="preserve">31.6 Metadata Model</w:t>
      </w:r>
    </w:p>
    <w:p>
      <w:pPr>
        <w:pStyle w:val="FirstParagraph"/>
      </w:pPr>
      <w:r>
        <w:t xml:space="preserve">Each document includes:</w:t>
      </w:r>
    </w:p>
    <w:p>
      <w:pPr>
        <w:pStyle w:val="Compact"/>
        <w:numPr>
          <w:ilvl w:val="0"/>
          <w:numId w:val="1009"/>
        </w:numPr>
      </w:pPr>
      <w:r>
        <w:t xml:space="preserve">Unique document identifier.</w:t>
      </w:r>
    </w:p>
    <w:p>
      <w:pPr>
        <w:pStyle w:val="Compact"/>
        <w:numPr>
          <w:ilvl w:val="0"/>
          <w:numId w:val="1009"/>
        </w:numPr>
      </w:pPr>
      <w:r>
        <w:t xml:space="preserve">Title.</w:t>
      </w:r>
    </w:p>
    <w:p>
      <w:pPr>
        <w:pStyle w:val="Compact"/>
        <w:numPr>
          <w:ilvl w:val="0"/>
          <w:numId w:val="1009"/>
        </w:numPr>
      </w:pPr>
      <w:r>
        <w:t xml:space="preserve">Description.</w:t>
      </w:r>
    </w:p>
    <w:p>
      <w:pPr>
        <w:pStyle w:val="Compact"/>
        <w:numPr>
          <w:ilvl w:val="0"/>
          <w:numId w:val="1009"/>
        </w:numPr>
      </w:pPr>
      <w:r>
        <w:t xml:space="preserve">Category.</w:t>
      </w:r>
    </w:p>
    <w:p>
      <w:pPr>
        <w:pStyle w:val="Compact"/>
        <w:numPr>
          <w:ilvl w:val="0"/>
          <w:numId w:val="1009"/>
        </w:numPr>
      </w:pPr>
      <w:r>
        <w:t xml:space="preserve">Owner.</w:t>
      </w:r>
    </w:p>
    <w:p>
      <w:pPr>
        <w:pStyle w:val="Compact"/>
        <w:numPr>
          <w:ilvl w:val="0"/>
          <w:numId w:val="1009"/>
        </w:numPr>
      </w:pPr>
      <w:r>
        <w:t xml:space="preserve">Author.</w:t>
      </w:r>
    </w:p>
    <w:p>
      <w:pPr>
        <w:pStyle w:val="Compact"/>
        <w:numPr>
          <w:ilvl w:val="0"/>
          <w:numId w:val="1009"/>
        </w:numPr>
      </w:pPr>
      <w:r>
        <w:t xml:space="preserve">Version.</w:t>
      </w:r>
    </w:p>
    <w:p>
      <w:pPr>
        <w:pStyle w:val="Compact"/>
        <w:numPr>
          <w:ilvl w:val="0"/>
          <w:numId w:val="1009"/>
        </w:numPr>
      </w:pPr>
      <w:r>
        <w:t xml:space="preserve">Approval status.</w:t>
      </w:r>
    </w:p>
    <w:p>
      <w:pPr>
        <w:pStyle w:val="Compact"/>
        <w:numPr>
          <w:ilvl w:val="0"/>
          <w:numId w:val="1009"/>
        </w:numPr>
      </w:pPr>
      <w:r>
        <w:t xml:space="preserve">Security classification.</w:t>
      </w:r>
    </w:p>
    <w:p>
      <w:pPr>
        <w:pStyle w:val="Compact"/>
        <w:numPr>
          <w:ilvl w:val="0"/>
          <w:numId w:val="1009"/>
        </w:numPr>
      </w:pPr>
      <w:r>
        <w:t xml:space="preserve">Related module.</w:t>
      </w:r>
    </w:p>
    <w:p>
      <w:pPr>
        <w:pStyle w:val="Compact"/>
        <w:numPr>
          <w:ilvl w:val="0"/>
          <w:numId w:val="1009"/>
        </w:numPr>
      </w:pPr>
      <w:r>
        <w:t xml:space="preserve">Related entity (school, contract, textbook, etc.).</w:t>
      </w:r>
    </w:p>
    <w:p>
      <w:pPr>
        <w:pStyle w:val="Compact"/>
        <w:numPr>
          <w:ilvl w:val="0"/>
          <w:numId w:val="1009"/>
        </w:numPr>
      </w:pPr>
      <w:r>
        <w:t xml:space="preserve">Creation date.</w:t>
      </w:r>
    </w:p>
    <w:p>
      <w:pPr>
        <w:pStyle w:val="Compact"/>
        <w:numPr>
          <w:ilvl w:val="0"/>
          <w:numId w:val="1009"/>
        </w:numPr>
      </w:pPr>
      <w:r>
        <w:t xml:space="preserve">Last modified date.</w:t>
      </w:r>
    </w:p>
    <w:p>
      <w:pPr>
        <w:pStyle w:val="Compact"/>
        <w:numPr>
          <w:ilvl w:val="0"/>
          <w:numId w:val="1009"/>
        </w:numPr>
      </w:pPr>
      <w:r>
        <w:t xml:space="preserve">Retention period.</w:t>
      </w:r>
    </w:p>
    <w:p>
      <w:r>
        <w:pict>
          <v:rect style="width:0;height:1.5pt" o:hralign="center" o:hrstd="t" o:hr="t"/>
        </w:pict>
      </w:r>
    </w:p>
    <w:bookmarkEnd w:id="41"/>
    <w:bookmarkStart w:id="42" w:name="business-rules"/>
    <w:p>
      <w:pPr>
        <w:pStyle w:val="Heading1"/>
      </w:pPr>
      <w:r>
        <w:t xml:space="preserve">31.7 Business Rules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10"/>
        </w:numPr>
      </w:pPr>
      <w:r>
        <w:t xml:space="preserve">Approved documents cannot be overwritten.</w:t>
      </w:r>
    </w:p>
    <w:p>
      <w:pPr>
        <w:pStyle w:val="Compact"/>
        <w:numPr>
          <w:ilvl w:val="0"/>
          <w:numId w:val="1010"/>
        </w:numPr>
      </w:pPr>
      <w:r>
        <w:t xml:space="preserve">Every revision creates a new version.</w:t>
      </w:r>
    </w:p>
    <w:p>
      <w:pPr>
        <w:pStyle w:val="Compact"/>
        <w:numPr>
          <w:ilvl w:val="0"/>
          <w:numId w:val="1010"/>
        </w:numPr>
      </w:pPr>
      <w:r>
        <w:t xml:space="preserve">Archived documents remain searchable by authorized users.</w:t>
      </w:r>
    </w:p>
    <w:p>
      <w:pPr>
        <w:pStyle w:val="Compact"/>
        <w:numPr>
          <w:ilvl w:val="0"/>
          <w:numId w:val="1010"/>
        </w:numPr>
      </w:pPr>
      <w:r>
        <w:t xml:space="preserve">Disposal actions require documented authorization.</w:t>
      </w:r>
    </w:p>
    <w:p>
      <w:pPr>
        <w:pStyle w:val="Compact"/>
        <w:numPr>
          <w:ilvl w:val="0"/>
          <w:numId w:val="1010"/>
        </w:numPr>
      </w:pPr>
      <w:r>
        <w:t xml:space="preserve">Sensitive documents follow access restrictions based on classification.</w:t>
      </w:r>
    </w:p>
    <w:p>
      <w:r>
        <w:pict>
          <v:rect style="width:0;height:1.5pt" o:hralign="center" o:hrstd="t" o:hr="t"/>
        </w:pict>
      </w:r>
    </w:p>
    <w:bookmarkEnd w:id="42"/>
    <w:bookmarkStart w:id="43" w:name="knowledge-management"/>
    <w:p>
      <w:pPr>
        <w:pStyle w:val="Heading1"/>
      </w:pPr>
      <w:r>
        <w:t xml:space="preserve">31.8 Knowledge Management</w:t>
      </w:r>
    </w:p>
    <w:p>
      <w:pPr>
        <w:pStyle w:val="FirstParagraph"/>
      </w:pPr>
      <w:r>
        <w:t xml:space="preserve">The system supports:</w:t>
      </w:r>
    </w:p>
    <w:p>
      <w:pPr>
        <w:pStyle w:val="Compact"/>
        <w:numPr>
          <w:ilvl w:val="0"/>
          <w:numId w:val="1011"/>
        </w:numPr>
      </w:pPr>
      <w:r>
        <w:t xml:space="preserve">Best practice libraries.</w:t>
      </w:r>
    </w:p>
    <w:p>
      <w:pPr>
        <w:pStyle w:val="Compact"/>
        <w:numPr>
          <w:ilvl w:val="0"/>
          <w:numId w:val="1011"/>
        </w:numPr>
      </w:pPr>
      <w:r>
        <w:t xml:space="preserve">Operational guidance.</w:t>
      </w:r>
    </w:p>
    <w:p>
      <w:pPr>
        <w:pStyle w:val="Compact"/>
        <w:numPr>
          <w:ilvl w:val="0"/>
          <w:numId w:val="1011"/>
        </w:numPr>
      </w:pPr>
      <w:r>
        <w:t xml:space="preserve">Technical documentation.</w:t>
      </w:r>
    </w:p>
    <w:p>
      <w:pPr>
        <w:pStyle w:val="Compact"/>
        <w:numPr>
          <w:ilvl w:val="0"/>
          <w:numId w:val="1011"/>
        </w:numPr>
      </w:pPr>
      <w:r>
        <w:t xml:space="preserve">Training resources.</w:t>
      </w:r>
    </w:p>
    <w:p>
      <w:pPr>
        <w:pStyle w:val="Compact"/>
        <w:numPr>
          <w:ilvl w:val="0"/>
          <w:numId w:val="1011"/>
        </w:numPr>
      </w:pPr>
      <w:r>
        <w:t xml:space="preserve">Frequently asked questions.</w:t>
      </w:r>
    </w:p>
    <w:p>
      <w:pPr>
        <w:pStyle w:val="Compact"/>
        <w:numPr>
          <w:ilvl w:val="0"/>
          <w:numId w:val="1011"/>
        </w:numPr>
      </w:pPr>
      <w:r>
        <w:t xml:space="preserve">Lessons learned from implementations.</w:t>
      </w:r>
    </w:p>
    <w:p>
      <w:pPr>
        <w:pStyle w:val="Compact"/>
        <w:numPr>
          <w:ilvl w:val="0"/>
          <w:numId w:val="1011"/>
        </w:numPr>
      </w:pPr>
      <w:r>
        <w:t xml:space="preserve">Reusable templates.</w:t>
      </w:r>
    </w:p>
    <w:p>
      <w:pPr>
        <w:pStyle w:val="FirstParagraph"/>
      </w:pPr>
      <w:r>
        <w:t xml:space="preserve">This capability promotes consistency across schools and administrative offices.</w:t>
      </w:r>
    </w:p>
    <w:p>
      <w:r>
        <w:pict>
          <v:rect style="width:0;height:1.5pt" o:hralign="center" o:hrstd="t" o:hr="t"/>
        </w:pict>
      </w:r>
    </w:p>
    <w:bookmarkEnd w:id="43"/>
    <w:bookmarkStart w:id="44" w:name="notifications"/>
    <w:p>
      <w:pPr>
        <w:pStyle w:val="Heading1"/>
      </w:pPr>
      <w:r>
        <w:t xml:space="preserve">31.9 Notifications</w:t>
      </w:r>
    </w:p>
    <w:p>
      <w:pPr>
        <w:pStyle w:val="FirstParagraph"/>
      </w:pPr>
      <w:r>
        <w:t xml:space="preserve">Authorized users receive alerts for:</w:t>
      </w:r>
    </w:p>
    <w:p>
      <w:pPr>
        <w:pStyle w:val="Compact"/>
        <w:numPr>
          <w:ilvl w:val="0"/>
          <w:numId w:val="1012"/>
        </w:numPr>
      </w:pPr>
      <w:r>
        <w:t xml:space="preserve">Documents awaiting approval.</w:t>
      </w:r>
    </w:p>
    <w:p>
      <w:pPr>
        <w:pStyle w:val="Compact"/>
        <w:numPr>
          <w:ilvl w:val="0"/>
          <w:numId w:val="1012"/>
        </w:numPr>
      </w:pPr>
      <w:r>
        <w:t xml:space="preserve">New policy publications.</w:t>
      </w:r>
    </w:p>
    <w:p>
      <w:pPr>
        <w:pStyle w:val="Compact"/>
        <w:numPr>
          <w:ilvl w:val="0"/>
          <w:numId w:val="1012"/>
        </w:numPr>
      </w:pPr>
      <w:r>
        <w:t xml:space="preserve">Expiring retention periods.</w:t>
      </w:r>
    </w:p>
    <w:p>
      <w:pPr>
        <w:pStyle w:val="Compact"/>
        <w:numPr>
          <w:ilvl w:val="0"/>
          <w:numId w:val="1012"/>
        </w:numPr>
      </w:pPr>
      <w:r>
        <w:t xml:space="preserve">Updated operational procedures.</w:t>
      </w:r>
    </w:p>
    <w:p>
      <w:pPr>
        <w:pStyle w:val="Compact"/>
        <w:numPr>
          <w:ilvl w:val="0"/>
          <w:numId w:val="1012"/>
        </w:numPr>
      </w:pPr>
      <w:r>
        <w:t xml:space="preserve">Required document reviews.</w:t>
      </w:r>
    </w:p>
    <w:p>
      <w:r>
        <w:pict>
          <v:rect style="width:0;height:1.5pt" o:hralign="center" o:hrstd="t" o:hr="t"/>
        </w:pict>
      </w:r>
    </w:p>
    <w:bookmarkEnd w:id="44"/>
    <w:bookmarkStart w:id="45" w:name="reports"/>
    <w:p>
      <w:pPr>
        <w:pStyle w:val="Heading1"/>
      </w:pPr>
      <w:r>
        <w:t xml:space="preserve">31.10 Reports</w:t>
      </w:r>
    </w:p>
    <w:p>
      <w:pPr>
        <w:pStyle w:val="FirstParagraph"/>
      </w:pPr>
      <w:r>
        <w:t xml:space="preserve">Illustrative reports include:</w:t>
      </w:r>
    </w:p>
    <w:p>
      <w:pPr>
        <w:pStyle w:val="Compact"/>
        <w:numPr>
          <w:ilvl w:val="0"/>
          <w:numId w:val="1013"/>
        </w:numPr>
      </w:pPr>
      <w:r>
        <w:t xml:space="preserve">Documents awaiting approval.</w:t>
      </w:r>
    </w:p>
    <w:p>
      <w:pPr>
        <w:pStyle w:val="Compact"/>
        <w:numPr>
          <w:ilvl w:val="0"/>
          <w:numId w:val="1013"/>
        </w:numPr>
      </w:pPr>
      <w:r>
        <w:t xml:space="preserve">Version history.</w:t>
      </w:r>
    </w:p>
    <w:p>
      <w:pPr>
        <w:pStyle w:val="Compact"/>
        <w:numPr>
          <w:ilvl w:val="0"/>
          <w:numId w:val="1013"/>
        </w:numPr>
      </w:pPr>
      <w:r>
        <w:t xml:space="preserve">Retention schedule.</w:t>
      </w:r>
    </w:p>
    <w:p>
      <w:pPr>
        <w:pStyle w:val="Compact"/>
        <w:numPr>
          <w:ilvl w:val="0"/>
          <w:numId w:val="1013"/>
        </w:numPr>
      </w:pPr>
      <w:r>
        <w:t xml:space="preserve">Archived records.</w:t>
      </w:r>
    </w:p>
    <w:p>
      <w:pPr>
        <w:pStyle w:val="Compact"/>
        <w:numPr>
          <w:ilvl w:val="0"/>
          <w:numId w:val="1013"/>
        </w:numPr>
      </w:pPr>
      <w:r>
        <w:t xml:space="preserve">Most accessed documents.</w:t>
      </w:r>
    </w:p>
    <w:p>
      <w:pPr>
        <w:pStyle w:val="Compact"/>
        <w:numPr>
          <w:ilvl w:val="0"/>
          <w:numId w:val="1013"/>
        </w:numPr>
      </w:pPr>
      <w:r>
        <w:t xml:space="preserve">Knowledge repository usage.</w:t>
      </w:r>
    </w:p>
    <w:p>
      <w:pPr>
        <w:pStyle w:val="Compact"/>
        <w:numPr>
          <w:ilvl w:val="0"/>
          <w:numId w:val="1013"/>
        </w:numPr>
      </w:pPr>
      <w:r>
        <w:t xml:space="preserve">Document audit history.</w:t>
      </w:r>
    </w:p>
    <w:p>
      <w:r>
        <w:pict>
          <v:rect style="width:0;height:1.5pt" o:hralign="center" o:hrstd="t" o:hr="t"/>
        </w:pict>
      </w:r>
    </w:p>
    <w:bookmarkEnd w:id="45"/>
    <w:bookmarkStart w:id="48" w:name="dashboards"/>
    <w:p>
      <w:pPr>
        <w:pStyle w:val="Heading1"/>
      </w:pPr>
      <w:r>
        <w:t xml:space="preserve">31.11 Dashboards</w:t>
      </w:r>
    </w:p>
    <w:bookmarkStart w:id="46" w:name="executive-dashboard"/>
    <w:p>
      <w:pPr>
        <w:pStyle w:val="Heading3"/>
      </w:pPr>
      <w:r>
        <w:t xml:space="preserve">Executive Dashboard</w:t>
      </w:r>
    </w:p>
    <w:p>
      <w:pPr>
        <w:pStyle w:val="Compact"/>
        <w:numPr>
          <w:ilvl w:val="0"/>
          <w:numId w:val="1014"/>
        </w:numPr>
      </w:pPr>
      <w:r>
        <w:t xml:space="preserve">Policy publications.</w:t>
      </w:r>
    </w:p>
    <w:p>
      <w:pPr>
        <w:pStyle w:val="Compact"/>
        <w:numPr>
          <w:ilvl w:val="0"/>
          <w:numId w:val="1014"/>
        </w:numPr>
      </w:pPr>
      <w:r>
        <w:t xml:space="preserve">Outstanding approvals.</w:t>
      </w:r>
    </w:p>
    <w:p>
      <w:pPr>
        <w:pStyle w:val="Compact"/>
        <w:numPr>
          <w:ilvl w:val="0"/>
          <w:numId w:val="1014"/>
        </w:numPr>
      </w:pPr>
      <w:r>
        <w:t xml:space="preserve">Compliance with retention schedules.</w:t>
      </w:r>
    </w:p>
    <w:p>
      <w:pPr>
        <w:pStyle w:val="Compact"/>
        <w:numPr>
          <w:ilvl w:val="0"/>
          <w:numId w:val="1014"/>
        </w:numPr>
      </w:pPr>
      <w:r>
        <w:t xml:space="preserve">Repository growth.</w:t>
      </w:r>
    </w:p>
    <w:bookmarkEnd w:id="46"/>
    <w:bookmarkStart w:id="47" w:name="operational-dashboard"/>
    <w:p>
      <w:pPr>
        <w:pStyle w:val="Heading3"/>
      </w:pPr>
      <w:r>
        <w:t xml:space="preserve">Operational Dashboard</w:t>
      </w:r>
    </w:p>
    <w:p>
      <w:pPr>
        <w:pStyle w:val="Compact"/>
        <w:numPr>
          <w:ilvl w:val="0"/>
          <w:numId w:val="1015"/>
        </w:numPr>
      </w:pPr>
      <w:r>
        <w:t xml:space="preserve">Recent uploads.</w:t>
      </w:r>
    </w:p>
    <w:p>
      <w:pPr>
        <w:pStyle w:val="Compact"/>
        <w:numPr>
          <w:ilvl w:val="0"/>
          <w:numId w:val="1015"/>
        </w:numPr>
      </w:pPr>
      <w:r>
        <w:t xml:space="preserve">Pending reviews.</w:t>
      </w:r>
    </w:p>
    <w:p>
      <w:pPr>
        <w:pStyle w:val="Compact"/>
        <w:numPr>
          <w:ilvl w:val="0"/>
          <w:numId w:val="1015"/>
        </w:numPr>
      </w:pPr>
      <w:r>
        <w:t xml:space="preserve">Frequently accessed guidance.</w:t>
      </w:r>
    </w:p>
    <w:p>
      <w:pPr>
        <w:pStyle w:val="Compact"/>
        <w:numPr>
          <w:ilvl w:val="0"/>
          <w:numId w:val="1015"/>
        </w:numPr>
      </w:pPr>
      <w:r>
        <w:t xml:space="preserve">Document workflow status.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offline-behaviour"/>
    <w:p>
      <w:pPr>
        <w:pStyle w:val="Heading1"/>
      </w:pPr>
      <w:r>
        <w:t xml:space="preserve">31.12 Offline Behaviour</w:t>
      </w:r>
    </w:p>
    <w:p>
      <w:pPr>
        <w:pStyle w:val="FirstParagraph"/>
      </w:pPr>
      <w:r>
        <w:t xml:space="preserve">Users may:</w:t>
      </w:r>
    </w:p>
    <w:p>
      <w:pPr>
        <w:pStyle w:val="Compact"/>
        <w:numPr>
          <w:ilvl w:val="0"/>
          <w:numId w:val="1016"/>
        </w:numPr>
      </w:pPr>
      <w:r>
        <w:t xml:space="preserve">View previously synchronized documents.</w:t>
      </w:r>
    </w:p>
    <w:p>
      <w:pPr>
        <w:pStyle w:val="Compact"/>
        <w:numPr>
          <w:ilvl w:val="0"/>
          <w:numId w:val="1016"/>
        </w:numPr>
      </w:pPr>
      <w:r>
        <w:t xml:space="preserve">Draft new documents.</w:t>
      </w:r>
    </w:p>
    <w:p>
      <w:pPr>
        <w:pStyle w:val="Compact"/>
        <w:numPr>
          <w:ilvl w:val="0"/>
          <w:numId w:val="1016"/>
        </w:numPr>
      </w:pPr>
      <w:r>
        <w:t xml:space="preserve">Capture supporting evidence, including photographs where applicable.</w:t>
      </w:r>
    </w:p>
    <w:p>
      <w:pPr>
        <w:pStyle w:val="Compact"/>
        <w:numPr>
          <w:ilvl w:val="0"/>
          <w:numId w:val="1016"/>
        </w:numPr>
      </w:pPr>
      <w:r>
        <w:t xml:space="preserve">Queue uploads for synchronization when connectivity returns.</w:t>
      </w:r>
    </w:p>
    <w:p>
      <w:pPr>
        <w:pStyle w:val="FirstParagraph"/>
      </w:pPr>
      <w:r>
        <w:t xml:space="preserve">Large files are synchronized using resumable transfer mechanisms to improve reliability over low-bandwidth connections.</w:t>
      </w:r>
    </w:p>
    <w:p>
      <w:r>
        <w:pict>
          <v:rect style="width:0;height:1.5pt" o:hralign="center" o:hrstd="t" o:hr="t"/>
        </w:pict>
      </w:r>
    </w:p>
    <w:bookmarkEnd w:id="49"/>
    <w:bookmarkStart w:id="50" w:name="integration-points"/>
    <w:p>
      <w:pPr>
        <w:pStyle w:val="Heading1"/>
      </w:pPr>
      <w:r>
        <w:t xml:space="preserve">31.13 Integration Points</w:t>
      </w:r>
    </w:p>
    <w:p>
      <w:pPr>
        <w:pStyle w:val="FirstParagraph"/>
      </w:pPr>
      <w:r>
        <w:t xml:space="preserve">The Document, Records and Knowledge Management System integrates with:</w:t>
      </w:r>
    </w:p>
    <w:p>
      <w:pPr>
        <w:pStyle w:val="Compact"/>
        <w:numPr>
          <w:ilvl w:val="0"/>
          <w:numId w:val="1017"/>
        </w:numPr>
      </w:pPr>
      <w:r>
        <w:t xml:space="preserve">Workflow Engine.</w:t>
      </w:r>
    </w:p>
    <w:p>
      <w:pPr>
        <w:pStyle w:val="Compact"/>
        <w:numPr>
          <w:ilvl w:val="0"/>
          <w:numId w:val="1017"/>
        </w:numPr>
      </w:pPr>
      <w:r>
        <w:t xml:space="preserve">Procurement.</w:t>
      </w:r>
    </w:p>
    <w:p>
      <w:pPr>
        <w:pStyle w:val="Compact"/>
        <w:numPr>
          <w:ilvl w:val="0"/>
          <w:numId w:val="1017"/>
        </w:numPr>
      </w:pPr>
      <w:r>
        <w:t xml:space="preserve">Warehouse Management.</w:t>
      </w:r>
    </w:p>
    <w:p>
      <w:pPr>
        <w:pStyle w:val="Compact"/>
        <w:numPr>
          <w:ilvl w:val="0"/>
          <w:numId w:val="1017"/>
        </w:numPr>
      </w:pPr>
      <w:r>
        <w:t xml:space="preserve">School Operations.</w:t>
      </w:r>
    </w:p>
    <w:p>
      <w:pPr>
        <w:pStyle w:val="Compact"/>
        <w:numPr>
          <w:ilvl w:val="0"/>
          <w:numId w:val="1017"/>
        </w:numPr>
      </w:pPr>
      <w:r>
        <w:t xml:space="preserve">Inspection.</w:t>
      </w:r>
    </w:p>
    <w:p>
      <w:pPr>
        <w:pStyle w:val="Compact"/>
        <w:numPr>
          <w:ilvl w:val="0"/>
          <w:numId w:val="1017"/>
        </w:numPr>
      </w:pPr>
      <w:r>
        <w:t xml:space="preserve">Analytics.</w:t>
      </w:r>
    </w:p>
    <w:p>
      <w:pPr>
        <w:pStyle w:val="Compact"/>
        <w:numPr>
          <w:ilvl w:val="0"/>
          <w:numId w:val="1017"/>
        </w:numPr>
      </w:pPr>
      <w:r>
        <w:t xml:space="preserve">Audit Service.</w:t>
      </w:r>
    </w:p>
    <w:p>
      <w:pPr>
        <w:pStyle w:val="Compact"/>
        <w:numPr>
          <w:ilvl w:val="0"/>
          <w:numId w:val="1017"/>
        </w:numPr>
      </w:pPr>
      <w:r>
        <w:t xml:space="preserve">Notification Service.</w:t>
      </w:r>
    </w:p>
    <w:p>
      <w:pPr>
        <w:pStyle w:val="Compact"/>
        <w:numPr>
          <w:ilvl w:val="0"/>
          <w:numId w:val="1017"/>
        </w:numPr>
      </w:pPr>
      <w:r>
        <w:t xml:space="preserve">Interoperability Hub.</w:t>
      </w:r>
    </w:p>
    <w:p>
      <w:r>
        <w:pict>
          <v:rect style="width:0;height:1.5pt" o:hralign="center" o:hrstd="t" o:hr="t"/>
        </w:pict>
      </w:r>
    </w:p>
    <w:bookmarkEnd w:id="50"/>
    <w:bookmarkStart w:id="51" w:name="success-indicators"/>
    <w:p>
      <w:pPr>
        <w:pStyle w:val="Heading1"/>
      </w:pPr>
      <w:r>
        <w:t xml:space="preserve">31.14 Success Indicators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18"/>
        </w:numPr>
      </w:pPr>
      <w:r>
        <w:t xml:space="preserve">Percentage of official records digitized.</w:t>
      </w:r>
    </w:p>
    <w:p>
      <w:pPr>
        <w:pStyle w:val="Compact"/>
        <w:numPr>
          <w:ilvl w:val="0"/>
          <w:numId w:val="1018"/>
        </w:numPr>
      </w:pPr>
      <w:r>
        <w:t xml:space="preserve">Average document retrieval time.</w:t>
      </w:r>
    </w:p>
    <w:p>
      <w:pPr>
        <w:pStyle w:val="Compact"/>
        <w:numPr>
          <w:ilvl w:val="0"/>
          <w:numId w:val="1018"/>
        </w:numPr>
      </w:pPr>
      <w:r>
        <w:t xml:space="preserve">Document approval turnaround time.</w:t>
      </w:r>
    </w:p>
    <w:p>
      <w:pPr>
        <w:pStyle w:val="Compact"/>
        <w:numPr>
          <w:ilvl w:val="0"/>
          <w:numId w:val="1018"/>
        </w:numPr>
      </w:pPr>
      <w:r>
        <w:t xml:space="preserve">Version control compliance.</w:t>
      </w:r>
    </w:p>
    <w:p>
      <w:pPr>
        <w:pStyle w:val="Compact"/>
        <w:numPr>
          <w:ilvl w:val="0"/>
          <w:numId w:val="1018"/>
        </w:numPr>
      </w:pPr>
      <w:r>
        <w:t xml:space="preserve">Knowledge repository utilization.</w:t>
      </w:r>
    </w:p>
    <w:p>
      <w:pPr>
        <w:pStyle w:val="Compact"/>
        <w:numPr>
          <w:ilvl w:val="0"/>
          <w:numId w:val="1018"/>
        </w:numPr>
      </w:pPr>
      <w:r>
        <w:t xml:space="preserve">Reduction in paper-based document handling.</w:t>
      </w:r>
    </w:p>
    <w:p>
      <w:pPr>
        <w:pStyle w:val="Compact"/>
        <w:numPr>
          <w:ilvl w:val="0"/>
          <w:numId w:val="1018"/>
        </w:numPr>
      </w:pPr>
      <w:r>
        <w:t xml:space="preserve">Compliance with retention policies.</w:t>
      </w:r>
    </w:p>
    <w:p>
      <w:r>
        <w:pict>
          <v:rect style="width:0;height:1.5pt" o:hralign="center" o:hrstd="t" o:hr="t"/>
        </w:pict>
      </w:r>
    </w:p>
    <w:bookmarkEnd w:id="51"/>
    <w:bookmarkStart w:id="52" w:name="conclusion"/>
    <w:p>
      <w:pPr>
        <w:pStyle w:val="Heading1"/>
      </w:pPr>
      <w:r>
        <w:t xml:space="preserve">31.15 Conclusion</w:t>
      </w:r>
    </w:p>
    <w:p>
      <w:pPr>
        <w:pStyle w:val="FirstParagraph"/>
      </w:pPr>
      <w:r>
        <w:t xml:space="preserve">The National Education Document, Records and Knowledge Management System establishes a secure, structured, and sustainable approach to managing the Ministry’s documentary assets.</w:t>
      </w:r>
    </w:p>
    <w:p>
      <w:pPr>
        <w:pStyle w:val="BodyText"/>
      </w:pPr>
      <w:r>
        <w:t xml:space="preserve">By integrating document management with operational workflows and institutional knowledge, the system strengthens governance, improves efficiency, supports accountability, and preserves the organizational memory required for long-term digital transformation.pr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2026-07-10T13:23:09Z</dcterms:created>
  <dcterms:modified xsi:type="dcterms:W3CDTF">2026-07-10T13:23:09Z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