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34"/>
    <w:p>
      <w:pPr>
        <w:pStyle w:val="Heading1"/>
      </w:pPr>
      <w:r>
        <w:t xml:space="preserve">CHAPTER 34</w:t>
      </w:r>
    </w:p>
    <w:bookmarkEnd w:id="20"/>
    <w:bookmarkStart w:id="22" w:name="Xd6fdd519e253acb40a5cfc97c2bdcf388b5108a"/>
    <w:p>
      <w:pPr>
        <w:pStyle w:val="Heading1"/>
      </w:pPr>
      <w:r>
        <w:t xml:space="preserve">NATIONAL IMPLEMENTATION STRATEGY, CHANGE MANAGEMENT AND CAPACITY BUILDING FRAMEWORK</w:t>
      </w:r>
    </w:p>
    <w:bookmarkStart w:id="21" w:name="introduction"/>
    <w:p>
      <w:pPr>
        <w:pStyle w:val="Heading2"/>
      </w:pPr>
      <w:r>
        <w:t xml:space="preserve">34.1 Introduction</w:t>
      </w:r>
    </w:p>
    <w:p>
      <w:pPr>
        <w:pStyle w:val="FirstParagraph"/>
      </w:pPr>
      <w:r>
        <w:t xml:space="preserve">The National Implementation Strategy, Change Management and Capacity Building Framework provides the roadmap for the successful deployment, adoption, and long-term sustainability of EduOS Cameroon.</w:t>
      </w:r>
    </w:p>
    <w:p>
      <w:pPr>
        <w:pStyle w:val="BodyText"/>
      </w:pPr>
      <w:r>
        <w:t xml:space="preserve">The framework recognizes that digital transformation is an organizational, operational, and human process as much as a technological one. It therefore combines phased implementation, stakeholder engagement, structured training, institutional capacity building, and continuous improvement.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trategic-objectives"/>
    <w:p>
      <w:pPr>
        <w:pStyle w:val="Heading1"/>
      </w:pPr>
      <w:r>
        <w:t xml:space="preserve">34.2 Strategic Objectives</w:t>
      </w:r>
    </w:p>
    <w:p>
      <w:pPr>
        <w:pStyle w:val="FirstParagraph"/>
      </w:pPr>
      <w:r>
        <w:t xml:space="preserve">The implementation framework seeks to:</w:t>
      </w:r>
    </w:p>
    <w:p>
      <w:pPr>
        <w:pStyle w:val="Compact"/>
        <w:numPr>
          <w:ilvl w:val="0"/>
          <w:numId w:val="1001"/>
        </w:numPr>
      </w:pPr>
      <w:r>
        <w:t xml:space="preserve">Deliver phased national deployment.</w:t>
      </w:r>
    </w:p>
    <w:p>
      <w:pPr>
        <w:pStyle w:val="Compact"/>
        <w:numPr>
          <w:ilvl w:val="0"/>
          <w:numId w:val="1001"/>
        </w:numPr>
      </w:pPr>
      <w:r>
        <w:t xml:space="preserve">Minimize operational disruption.</w:t>
      </w:r>
    </w:p>
    <w:p>
      <w:pPr>
        <w:pStyle w:val="Compact"/>
        <w:numPr>
          <w:ilvl w:val="0"/>
          <w:numId w:val="1001"/>
        </w:numPr>
      </w:pPr>
      <w:r>
        <w:t xml:space="preserve">Build institutional capacity.</w:t>
      </w:r>
    </w:p>
    <w:p>
      <w:pPr>
        <w:pStyle w:val="Compact"/>
        <w:numPr>
          <w:ilvl w:val="0"/>
          <w:numId w:val="1001"/>
        </w:numPr>
      </w:pPr>
      <w:r>
        <w:t xml:space="preserve">Promote user adoption.</w:t>
      </w:r>
    </w:p>
    <w:p>
      <w:pPr>
        <w:pStyle w:val="Compact"/>
        <w:numPr>
          <w:ilvl w:val="0"/>
          <w:numId w:val="1001"/>
        </w:numPr>
      </w:pPr>
      <w:r>
        <w:t xml:space="preserve">Strengthen local technical expertise.</w:t>
      </w:r>
    </w:p>
    <w:p>
      <w:pPr>
        <w:pStyle w:val="Compact"/>
        <w:numPr>
          <w:ilvl w:val="0"/>
          <w:numId w:val="1001"/>
        </w:numPr>
      </w:pPr>
      <w:r>
        <w:t xml:space="preserve">Support long-term sustainability.</w:t>
      </w:r>
    </w:p>
    <w:p>
      <w:pPr>
        <w:pStyle w:val="Compact"/>
        <w:numPr>
          <w:ilvl w:val="0"/>
          <w:numId w:val="1001"/>
        </w:numPr>
      </w:pPr>
      <w:r>
        <w:t xml:space="preserve">Improve stakeholder engagement.</w:t>
      </w:r>
    </w:p>
    <w:p>
      <w:pPr>
        <w:pStyle w:val="Compact"/>
        <w:numPr>
          <w:ilvl w:val="0"/>
          <w:numId w:val="1001"/>
        </w:numPr>
      </w:pPr>
      <w:r>
        <w:t xml:space="preserve">Establish continuous improvement mechanisms.</w:t>
      </w:r>
    </w:p>
    <w:p>
      <w:r>
        <w:pict>
          <v:rect style="width:0;height:1.5pt" o:hralign="center" o:hrstd="t" o:hr="t"/>
        </w:pict>
      </w:r>
    </w:p>
    <w:bookmarkEnd w:id="23"/>
    <w:bookmarkStart w:id="24" w:name="guiding-principles"/>
    <w:p>
      <w:pPr>
        <w:pStyle w:val="Heading1"/>
      </w:pPr>
      <w:r>
        <w:t xml:space="preserve">34.3 Guiding Principles</w:t>
      </w:r>
    </w:p>
    <w:p>
      <w:pPr>
        <w:pStyle w:val="FirstParagraph"/>
      </w:pPr>
      <w:r>
        <w:t xml:space="preserve">Implementation shall be guided by the following principles:</w:t>
      </w:r>
    </w:p>
    <w:p>
      <w:pPr>
        <w:pStyle w:val="Compact"/>
        <w:numPr>
          <w:ilvl w:val="0"/>
          <w:numId w:val="1002"/>
        </w:numPr>
      </w:pPr>
      <w:r>
        <w:t xml:space="preserve">Country ownership.</w:t>
      </w:r>
    </w:p>
    <w:p>
      <w:pPr>
        <w:pStyle w:val="Compact"/>
        <w:numPr>
          <w:ilvl w:val="0"/>
          <w:numId w:val="1002"/>
        </w:numPr>
      </w:pPr>
      <w:r>
        <w:t xml:space="preserve">Incremental rollout.</w:t>
      </w:r>
    </w:p>
    <w:p>
      <w:pPr>
        <w:pStyle w:val="Compact"/>
        <w:numPr>
          <w:ilvl w:val="0"/>
          <w:numId w:val="1002"/>
        </w:numPr>
      </w:pPr>
      <w:r>
        <w:t xml:space="preserve">User-centered deployment.</w:t>
      </w:r>
    </w:p>
    <w:p>
      <w:pPr>
        <w:pStyle w:val="Compact"/>
        <w:numPr>
          <w:ilvl w:val="0"/>
          <w:numId w:val="1002"/>
        </w:numPr>
      </w:pPr>
      <w:r>
        <w:t xml:space="preserve">Capacity development.</w:t>
      </w:r>
    </w:p>
    <w:p>
      <w:pPr>
        <w:pStyle w:val="Compact"/>
        <w:numPr>
          <w:ilvl w:val="0"/>
          <w:numId w:val="1002"/>
        </w:numPr>
      </w:pPr>
      <w:r>
        <w:t xml:space="preserve">Continuous communication.</w:t>
      </w:r>
    </w:p>
    <w:p>
      <w:pPr>
        <w:pStyle w:val="Compact"/>
        <w:numPr>
          <w:ilvl w:val="0"/>
          <w:numId w:val="1002"/>
        </w:numPr>
      </w:pPr>
      <w:r>
        <w:t xml:space="preserve">Evidence-based improvements.</w:t>
      </w:r>
    </w:p>
    <w:p>
      <w:pPr>
        <w:pStyle w:val="Compact"/>
        <w:numPr>
          <w:ilvl w:val="0"/>
          <w:numId w:val="1002"/>
        </w:numPr>
      </w:pPr>
      <w:r>
        <w:t xml:space="preserve">Risk management.</w:t>
      </w:r>
    </w:p>
    <w:p>
      <w:pPr>
        <w:pStyle w:val="Compact"/>
        <w:numPr>
          <w:ilvl w:val="0"/>
          <w:numId w:val="1002"/>
        </w:numPr>
      </w:pPr>
      <w:r>
        <w:t xml:space="preserve">Sustainability.</w:t>
      </w:r>
    </w:p>
    <w:p>
      <w:r>
        <w:pict>
          <v:rect style="width:0;height:1.5pt" o:hralign="center" o:hrstd="t" o:hr="t"/>
        </w:pict>
      </w:r>
    </w:p>
    <w:bookmarkEnd w:id="24"/>
    <w:bookmarkStart w:id="30" w:name="national-rollout-strategy"/>
    <w:p>
      <w:pPr>
        <w:pStyle w:val="Heading1"/>
      </w:pPr>
      <w:r>
        <w:t xml:space="preserve">34.4 National Rollout Strategy</w:t>
      </w:r>
    </w:p>
    <w:p>
      <w:pPr>
        <w:pStyle w:val="FirstParagraph"/>
      </w:pPr>
      <w:r>
        <w:t xml:space="preserve">The deployment is organized into progressive phases.</w:t>
      </w:r>
    </w:p>
    <w:bookmarkStart w:id="25" w:name="phase-1-preparation"/>
    <w:p>
      <w:pPr>
        <w:pStyle w:val="Heading3"/>
      </w:pPr>
      <w:r>
        <w:t xml:space="preserve">Phase 1 – Preparation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3"/>
        </w:numPr>
      </w:pPr>
      <w:r>
        <w:t xml:space="preserve">Governance establishment.</w:t>
      </w:r>
    </w:p>
    <w:p>
      <w:pPr>
        <w:pStyle w:val="Compact"/>
        <w:numPr>
          <w:ilvl w:val="0"/>
          <w:numId w:val="1003"/>
        </w:numPr>
      </w:pPr>
      <w:r>
        <w:t xml:space="preserve">Stakeholder consultations.</w:t>
      </w:r>
    </w:p>
    <w:p>
      <w:pPr>
        <w:pStyle w:val="Compact"/>
        <w:numPr>
          <w:ilvl w:val="0"/>
          <w:numId w:val="1003"/>
        </w:numPr>
      </w:pPr>
      <w:r>
        <w:t xml:space="preserve">Business process validation.</w:t>
      </w:r>
    </w:p>
    <w:p>
      <w:pPr>
        <w:pStyle w:val="Compact"/>
        <w:numPr>
          <w:ilvl w:val="0"/>
          <w:numId w:val="1003"/>
        </w:numPr>
      </w:pPr>
      <w:r>
        <w:t xml:space="preserve">Infrastructure assessment.</w:t>
      </w:r>
    </w:p>
    <w:p>
      <w:pPr>
        <w:pStyle w:val="Compact"/>
        <w:numPr>
          <w:ilvl w:val="0"/>
          <w:numId w:val="1003"/>
        </w:numPr>
      </w:pPr>
      <w:r>
        <w:t xml:space="preserve">Data preparation.</w:t>
      </w:r>
    </w:p>
    <w:p>
      <w:pPr>
        <w:pStyle w:val="Compact"/>
        <w:numPr>
          <w:ilvl w:val="0"/>
          <w:numId w:val="1003"/>
        </w:numPr>
      </w:pPr>
      <w:r>
        <w:t xml:space="preserve">Pilot planning.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04"/>
        </w:numPr>
      </w:pPr>
      <w:r>
        <w:t xml:space="preserve">Approved implementation plan.</w:t>
      </w:r>
    </w:p>
    <w:p>
      <w:pPr>
        <w:pStyle w:val="Compact"/>
        <w:numPr>
          <w:ilvl w:val="0"/>
          <w:numId w:val="1004"/>
        </w:numPr>
      </w:pPr>
      <w:r>
        <w:t xml:space="preserve">Governance structure.</w:t>
      </w:r>
    </w:p>
    <w:p>
      <w:pPr>
        <w:pStyle w:val="Compact"/>
        <w:numPr>
          <w:ilvl w:val="0"/>
          <w:numId w:val="1004"/>
        </w:numPr>
      </w:pPr>
      <w:r>
        <w:t xml:space="preserve">Technical readiness assessment.</w:t>
      </w:r>
    </w:p>
    <w:p>
      <w:pPr>
        <w:pStyle w:val="Compact"/>
        <w:numPr>
          <w:ilvl w:val="0"/>
          <w:numId w:val="1004"/>
        </w:numPr>
      </w:pPr>
      <w:r>
        <w:t xml:space="preserve">Risk register.</w:t>
      </w:r>
    </w:p>
    <w:p>
      <w:r>
        <w:pict>
          <v:rect style="width:0;height:1.5pt" o:hralign="center" o:hrstd="t" o:hr="t"/>
        </w:pict>
      </w:r>
    </w:p>
    <w:bookmarkEnd w:id="25"/>
    <w:bookmarkStart w:id="26" w:name="phase-2-pilot-implementation"/>
    <w:p>
      <w:pPr>
        <w:pStyle w:val="Heading3"/>
      </w:pPr>
      <w:r>
        <w:t xml:space="preserve">Phase 2 – Pilot Implementation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5"/>
        </w:numPr>
      </w:pPr>
      <w:r>
        <w:t xml:space="preserve">Deploy EduOS in selected pilot schools.</w:t>
      </w:r>
    </w:p>
    <w:p>
      <w:pPr>
        <w:pStyle w:val="Compact"/>
        <w:numPr>
          <w:ilvl w:val="0"/>
          <w:numId w:val="1005"/>
        </w:numPr>
      </w:pPr>
      <w:r>
        <w:t xml:space="preserve">Validate workflows.</w:t>
      </w:r>
    </w:p>
    <w:p>
      <w:pPr>
        <w:pStyle w:val="Compact"/>
        <w:numPr>
          <w:ilvl w:val="0"/>
          <w:numId w:val="1005"/>
        </w:numPr>
      </w:pPr>
      <w:r>
        <w:t xml:space="preserve">Evaluate offline synchronization.</w:t>
      </w:r>
    </w:p>
    <w:p>
      <w:pPr>
        <w:pStyle w:val="Compact"/>
        <w:numPr>
          <w:ilvl w:val="0"/>
          <w:numId w:val="1005"/>
        </w:numPr>
      </w:pPr>
      <w:r>
        <w:t xml:space="preserve">Test interoperability.</w:t>
      </w:r>
    </w:p>
    <w:p>
      <w:pPr>
        <w:pStyle w:val="Compact"/>
        <w:numPr>
          <w:ilvl w:val="0"/>
          <w:numId w:val="1005"/>
        </w:numPr>
      </w:pPr>
      <w:r>
        <w:t xml:space="preserve">Collect user feedback.</w:t>
      </w:r>
    </w:p>
    <w:p>
      <w:pPr>
        <w:pStyle w:val="FirstParagraph"/>
      </w:pPr>
      <w:r>
        <w:t xml:space="preserve">Suggested pilot participants:</w:t>
      </w:r>
    </w:p>
    <w:p>
      <w:pPr>
        <w:pStyle w:val="Compact"/>
        <w:numPr>
          <w:ilvl w:val="0"/>
          <w:numId w:val="1006"/>
        </w:numPr>
      </w:pPr>
      <w:r>
        <w:t xml:space="preserve">Ministry headquarters.</w:t>
      </w:r>
    </w:p>
    <w:p>
      <w:pPr>
        <w:pStyle w:val="Compact"/>
        <w:numPr>
          <w:ilvl w:val="0"/>
          <w:numId w:val="1006"/>
        </w:numPr>
      </w:pPr>
      <w:r>
        <w:t xml:space="preserve">Selected regional offices.</w:t>
      </w:r>
    </w:p>
    <w:p>
      <w:pPr>
        <w:pStyle w:val="Compact"/>
        <w:numPr>
          <w:ilvl w:val="0"/>
          <w:numId w:val="1006"/>
        </w:numPr>
      </w:pPr>
      <w:r>
        <w:t xml:space="preserve">Representative urban schools.</w:t>
      </w:r>
    </w:p>
    <w:p>
      <w:pPr>
        <w:pStyle w:val="Compact"/>
        <w:numPr>
          <w:ilvl w:val="0"/>
          <w:numId w:val="1006"/>
        </w:numPr>
      </w:pPr>
      <w:r>
        <w:t xml:space="preserve">Representative rural schools.</w:t>
      </w:r>
    </w:p>
    <w:p>
      <w:pPr>
        <w:pStyle w:val="Compact"/>
        <w:numPr>
          <w:ilvl w:val="0"/>
          <w:numId w:val="1006"/>
        </w:numPr>
      </w:pPr>
      <w:r>
        <w:t xml:space="preserve">Warehouses.</w:t>
      </w:r>
    </w:p>
    <w:p>
      <w:pPr>
        <w:pStyle w:val="Compact"/>
        <w:numPr>
          <w:ilvl w:val="0"/>
          <w:numId w:val="1006"/>
        </w:numPr>
      </w:pPr>
      <w:r>
        <w:t xml:space="preserve">Distribution centres.</w:t>
      </w:r>
    </w:p>
    <w:p>
      <w:r>
        <w:pict>
          <v:rect style="width:0;height:1.5pt" o:hralign="center" o:hrstd="t" o:hr="t"/>
        </w:pict>
      </w:r>
    </w:p>
    <w:bookmarkEnd w:id="26"/>
    <w:bookmarkStart w:id="27" w:name="phase-3-regional-expansion"/>
    <w:p>
      <w:pPr>
        <w:pStyle w:val="Heading3"/>
      </w:pPr>
      <w:r>
        <w:t xml:space="preserve">Phase 3 – Regional Expansion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7"/>
        </w:numPr>
      </w:pPr>
      <w:r>
        <w:t xml:space="preserve">Expand deployment region by region.</w:t>
      </w:r>
    </w:p>
    <w:p>
      <w:pPr>
        <w:pStyle w:val="Compact"/>
        <w:numPr>
          <w:ilvl w:val="0"/>
          <w:numId w:val="1007"/>
        </w:numPr>
      </w:pPr>
      <w:r>
        <w:t xml:space="preserve">Strengthen local technical support.</w:t>
      </w:r>
    </w:p>
    <w:p>
      <w:pPr>
        <w:pStyle w:val="Compact"/>
        <w:numPr>
          <w:ilvl w:val="0"/>
          <w:numId w:val="1007"/>
        </w:numPr>
      </w:pPr>
      <w:r>
        <w:t xml:space="preserve">Train regional implementation teams.</w:t>
      </w:r>
    </w:p>
    <w:p>
      <w:pPr>
        <w:pStyle w:val="Compact"/>
        <w:numPr>
          <w:ilvl w:val="0"/>
          <w:numId w:val="1007"/>
        </w:numPr>
      </w:pPr>
      <w:r>
        <w:t xml:space="preserve">Refine operational procedures.</w:t>
      </w:r>
    </w:p>
    <w:p>
      <w:r>
        <w:pict>
          <v:rect style="width:0;height:1.5pt" o:hralign="center" o:hrstd="t" o:hr="t"/>
        </w:pict>
      </w:r>
    </w:p>
    <w:bookmarkEnd w:id="27"/>
    <w:bookmarkStart w:id="28" w:name="phase-4-nationwide-deployment"/>
    <w:p>
      <w:pPr>
        <w:pStyle w:val="Heading3"/>
      </w:pPr>
      <w:r>
        <w:t xml:space="preserve">Phase 4 – Nationwide Deployment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8"/>
        </w:numPr>
      </w:pPr>
      <w:r>
        <w:t xml:space="preserve">Deploy to all approved institutions.</w:t>
      </w:r>
    </w:p>
    <w:p>
      <w:pPr>
        <w:pStyle w:val="Compact"/>
        <w:numPr>
          <w:ilvl w:val="0"/>
          <w:numId w:val="1008"/>
        </w:numPr>
      </w:pPr>
      <w:r>
        <w:t xml:space="preserve">Complete migration.</w:t>
      </w:r>
    </w:p>
    <w:p>
      <w:pPr>
        <w:pStyle w:val="Compact"/>
        <w:numPr>
          <w:ilvl w:val="0"/>
          <w:numId w:val="1008"/>
        </w:numPr>
      </w:pPr>
      <w:r>
        <w:t xml:space="preserve">Transition to operational support.</w:t>
      </w:r>
    </w:p>
    <w:p>
      <w:pPr>
        <w:pStyle w:val="Compact"/>
        <w:numPr>
          <w:ilvl w:val="0"/>
          <w:numId w:val="1008"/>
        </w:numPr>
      </w:pPr>
      <w:r>
        <w:t xml:space="preserve">Optimize platform performance.</w:t>
      </w:r>
    </w:p>
    <w:p>
      <w:r>
        <w:pict>
          <v:rect style="width:0;height:1.5pt" o:hralign="center" o:hrstd="t" o:hr="t"/>
        </w:pict>
      </w:r>
    </w:p>
    <w:bookmarkEnd w:id="28"/>
    <w:bookmarkStart w:id="29" w:name="phase-5-continuous-improvement"/>
    <w:p>
      <w:pPr>
        <w:pStyle w:val="Heading3"/>
      </w:pPr>
      <w:r>
        <w:t xml:space="preserve">Phase 5 – Continuous Improvement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9"/>
        </w:numPr>
      </w:pPr>
      <w:r>
        <w:t xml:space="preserve">Evaluate outcomes.</w:t>
      </w:r>
    </w:p>
    <w:p>
      <w:pPr>
        <w:pStyle w:val="Compact"/>
        <w:numPr>
          <w:ilvl w:val="0"/>
          <w:numId w:val="1009"/>
        </w:numPr>
      </w:pPr>
      <w:r>
        <w:t xml:space="preserve">Improve functionality.</w:t>
      </w:r>
    </w:p>
    <w:p>
      <w:pPr>
        <w:pStyle w:val="Compact"/>
        <w:numPr>
          <w:ilvl w:val="0"/>
          <w:numId w:val="1009"/>
        </w:numPr>
      </w:pPr>
      <w:r>
        <w:t xml:space="preserve">Introduce new capabilities.</w:t>
      </w:r>
    </w:p>
    <w:p>
      <w:pPr>
        <w:pStyle w:val="Compact"/>
        <w:numPr>
          <w:ilvl w:val="0"/>
          <w:numId w:val="1009"/>
        </w:numPr>
      </w:pPr>
      <w:r>
        <w:t xml:space="preserve">Strengthen operational maturity.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change-management-strategy"/>
    <w:p>
      <w:pPr>
        <w:pStyle w:val="Heading1"/>
      </w:pPr>
      <w:r>
        <w:t xml:space="preserve">34.5 Change Management Strategy</w:t>
      </w:r>
    </w:p>
    <w:p>
      <w:pPr>
        <w:pStyle w:val="FirstParagraph"/>
      </w:pPr>
      <w:r>
        <w:t xml:space="preserve">The change management programme addresses organizational readiness through:</w:t>
      </w:r>
    </w:p>
    <w:bookmarkStart w:id="31" w:name="leadership-engagement"/>
    <w:p>
      <w:pPr>
        <w:pStyle w:val="Heading3"/>
      </w:pPr>
      <w:r>
        <w:t xml:space="preserve">Leadership Engagement</w:t>
      </w:r>
    </w:p>
    <w:p>
      <w:pPr>
        <w:pStyle w:val="FirstParagraph"/>
      </w:pPr>
      <w:r>
        <w:t xml:space="preserve">Senior leadership actively communicates programme objectives, expected benefits, and implementation priorities.</w:t>
      </w:r>
    </w:p>
    <w:p>
      <w:r>
        <w:pict>
          <v:rect style="width:0;height:1.5pt" o:hralign="center" o:hrstd="t" o:hr="t"/>
        </w:pict>
      </w:r>
    </w:p>
    <w:bookmarkEnd w:id="31"/>
    <w:bookmarkStart w:id="32" w:name="stakeholder-engagement"/>
    <w:p>
      <w:pPr>
        <w:pStyle w:val="Heading3"/>
      </w:pPr>
      <w:r>
        <w:t xml:space="preserve">Stakeholder Engagement</w:t>
      </w:r>
    </w:p>
    <w:p>
      <w:pPr>
        <w:pStyle w:val="FirstParagraph"/>
      </w:pPr>
      <w:r>
        <w:t xml:space="preserve">Key stakeholder groups include:</w:t>
      </w:r>
    </w:p>
    <w:p>
      <w:pPr>
        <w:pStyle w:val="Compact"/>
        <w:numPr>
          <w:ilvl w:val="0"/>
          <w:numId w:val="1010"/>
        </w:numPr>
      </w:pPr>
      <w:r>
        <w:t xml:space="preserve">Ministry leadership.</w:t>
      </w:r>
    </w:p>
    <w:p>
      <w:pPr>
        <w:pStyle w:val="Compact"/>
        <w:numPr>
          <w:ilvl w:val="0"/>
          <w:numId w:val="1010"/>
        </w:numPr>
      </w:pPr>
      <w:r>
        <w:t xml:space="preserve">Regional education authorities.</w:t>
      </w:r>
    </w:p>
    <w:p>
      <w:pPr>
        <w:pStyle w:val="Compact"/>
        <w:numPr>
          <w:ilvl w:val="0"/>
          <w:numId w:val="1010"/>
        </w:numPr>
      </w:pPr>
      <w:r>
        <w:t xml:space="preserve">School administrators.</w:t>
      </w:r>
    </w:p>
    <w:p>
      <w:pPr>
        <w:pStyle w:val="Compact"/>
        <w:numPr>
          <w:ilvl w:val="0"/>
          <w:numId w:val="1010"/>
        </w:numPr>
      </w:pPr>
      <w:r>
        <w:t xml:space="preserve">Teachers.</w:t>
      </w:r>
    </w:p>
    <w:p>
      <w:pPr>
        <w:pStyle w:val="Compact"/>
        <w:numPr>
          <w:ilvl w:val="0"/>
          <w:numId w:val="1010"/>
        </w:numPr>
      </w:pPr>
      <w:r>
        <w:t xml:space="preserve">Warehouse personnel.</w:t>
      </w:r>
    </w:p>
    <w:p>
      <w:pPr>
        <w:pStyle w:val="Compact"/>
        <w:numPr>
          <w:ilvl w:val="0"/>
          <w:numId w:val="1010"/>
        </w:numPr>
      </w:pPr>
      <w:r>
        <w:t xml:space="preserve">ICT teams.</w:t>
      </w:r>
    </w:p>
    <w:p>
      <w:pPr>
        <w:pStyle w:val="Compact"/>
        <w:numPr>
          <w:ilvl w:val="0"/>
          <w:numId w:val="1010"/>
        </w:numPr>
      </w:pPr>
      <w:r>
        <w:t xml:space="preserve">Development partners.</w:t>
      </w:r>
    </w:p>
    <w:p>
      <w:pPr>
        <w:pStyle w:val="Compact"/>
        <w:numPr>
          <w:ilvl w:val="0"/>
          <w:numId w:val="1010"/>
        </w:numPr>
      </w:pPr>
      <w:r>
        <w:t xml:space="preserve">Service providers.</w:t>
      </w:r>
    </w:p>
    <w:p>
      <w:pPr>
        <w:pStyle w:val="FirstParagraph"/>
      </w:pPr>
      <w:r>
        <w:t xml:space="preserve">Regular consultation supports transparency and shared ownership.</w:t>
      </w:r>
    </w:p>
    <w:p>
      <w:r>
        <w:pict>
          <v:rect style="width:0;height:1.5pt" o:hralign="center" o:hrstd="t" o:hr="t"/>
        </w:pict>
      </w:r>
    </w:p>
    <w:bookmarkEnd w:id="32"/>
    <w:bookmarkStart w:id="33" w:name="communication-strategy"/>
    <w:p>
      <w:pPr>
        <w:pStyle w:val="Heading3"/>
      </w:pPr>
      <w:r>
        <w:t xml:space="preserve">Communication Strategy</w:t>
      </w:r>
    </w:p>
    <w:p>
      <w:pPr>
        <w:pStyle w:val="FirstParagraph"/>
      </w:pPr>
      <w:r>
        <w:t xml:space="preserve">Communication activities include:</w:t>
      </w:r>
    </w:p>
    <w:p>
      <w:pPr>
        <w:pStyle w:val="Compact"/>
        <w:numPr>
          <w:ilvl w:val="0"/>
          <w:numId w:val="1011"/>
        </w:numPr>
      </w:pPr>
      <w:r>
        <w:t xml:space="preserve">National launch events.</w:t>
      </w:r>
    </w:p>
    <w:p>
      <w:pPr>
        <w:pStyle w:val="Compact"/>
        <w:numPr>
          <w:ilvl w:val="0"/>
          <w:numId w:val="1011"/>
        </w:numPr>
      </w:pPr>
      <w:r>
        <w:t xml:space="preserve">Regional awareness workshops.</w:t>
      </w:r>
    </w:p>
    <w:p>
      <w:pPr>
        <w:pStyle w:val="Compact"/>
        <w:numPr>
          <w:ilvl w:val="0"/>
          <w:numId w:val="1011"/>
        </w:numPr>
      </w:pPr>
      <w:r>
        <w:t xml:space="preserve">Newsletters.</w:t>
      </w:r>
    </w:p>
    <w:p>
      <w:pPr>
        <w:pStyle w:val="Compact"/>
        <w:numPr>
          <w:ilvl w:val="0"/>
          <w:numId w:val="1011"/>
        </w:numPr>
      </w:pPr>
      <w:r>
        <w:t xml:space="preserve">User bulletins.</w:t>
      </w:r>
    </w:p>
    <w:p>
      <w:pPr>
        <w:pStyle w:val="Compact"/>
        <w:numPr>
          <w:ilvl w:val="0"/>
          <w:numId w:val="1011"/>
        </w:numPr>
      </w:pPr>
      <w:r>
        <w:t xml:space="preserve">Demonstrations.</w:t>
      </w:r>
    </w:p>
    <w:p>
      <w:pPr>
        <w:pStyle w:val="Compact"/>
        <w:numPr>
          <w:ilvl w:val="0"/>
          <w:numId w:val="1011"/>
        </w:numPr>
      </w:pPr>
      <w:r>
        <w:t xml:space="preserve">Frequently asked questions.</w:t>
      </w:r>
    </w:p>
    <w:p>
      <w:pPr>
        <w:pStyle w:val="Compact"/>
        <w:numPr>
          <w:ilvl w:val="0"/>
          <w:numId w:val="1011"/>
        </w:numPr>
      </w:pPr>
      <w:r>
        <w:t xml:space="preserve">Progress updates.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capacity-building"/>
    <w:p>
      <w:pPr>
        <w:pStyle w:val="Heading1"/>
      </w:pPr>
      <w:r>
        <w:t xml:space="preserve">34.6 Capacity Building</w:t>
      </w:r>
    </w:p>
    <w:p>
      <w:pPr>
        <w:pStyle w:val="FirstParagraph"/>
      </w:pPr>
      <w:r>
        <w:t xml:space="preserve">Capacity development follows a structured approach.</w:t>
      </w:r>
    </w:p>
    <w:bookmarkStart w:id="35" w:name="national-training-academy"/>
    <w:p>
      <w:pPr>
        <w:pStyle w:val="Heading3"/>
      </w:pPr>
      <w:r>
        <w:t xml:space="preserve">National Training Academy</w:t>
      </w:r>
    </w:p>
    <w:p>
      <w:pPr>
        <w:pStyle w:val="FirstParagraph"/>
      </w:pPr>
      <w:r>
        <w:t xml:space="preserve">A dedicated programme develops certified trainers and technical specialists.</w:t>
      </w:r>
    </w:p>
    <w:p>
      <w:pPr>
        <w:pStyle w:val="BodyText"/>
      </w:pPr>
      <w:r>
        <w:t xml:space="preserve">Training streams include:</w:t>
      </w:r>
    </w:p>
    <w:p>
      <w:pPr>
        <w:pStyle w:val="Compact"/>
        <w:numPr>
          <w:ilvl w:val="0"/>
          <w:numId w:val="1012"/>
        </w:numPr>
      </w:pPr>
      <w:r>
        <w:t xml:space="preserve">Functional administration.</w:t>
      </w:r>
    </w:p>
    <w:p>
      <w:pPr>
        <w:pStyle w:val="Compact"/>
        <w:numPr>
          <w:ilvl w:val="0"/>
          <w:numId w:val="1012"/>
        </w:numPr>
      </w:pPr>
      <w:r>
        <w:t xml:space="preserve">Technical administration.</w:t>
      </w:r>
    </w:p>
    <w:p>
      <w:pPr>
        <w:pStyle w:val="Compact"/>
        <w:numPr>
          <w:ilvl w:val="0"/>
          <w:numId w:val="1012"/>
        </w:numPr>
      </w:pPr>
      <w:r>
        <w:t xml:space="preserve">School operations.</w:t>
      </w:r>
    </w:p>
    <w:p>
      <w:pPr>
        <w:pStyle w:val="Compact"/>
        <w:numPr>
          <w:ilvl w:val="0"/>
          <w:numId w:val="1012"/>
        </w:numPr>
      </w:pPr>
      <w:r>
        <w:t xml:space="preserve">Warehouse operations.</w:t>
      </w:r>
    </w:p>
    <w:p>
      <w:pPr>
        <w:pStyle w:val="Compact"/>
        <w:numPr>
          <w:ilvl w:val="0"/>
          <w:numId w:val="1012"/>
        </w:numPr>
      </w:pPr>
      <w:r>
        <w:t xml:space="preserve">Procurement.</w:t>
      </w:r>
    </w:p>
    <w:p>
      <w:pPr>
        <w:pStyle w:val="Compact"/>
        <w:numPr>
          <w:ilvl w:val="0"/>
          <w:numId w:val="1012"/>
        </w:numPr>
      </w:pPr>
      <w:r>
        <w:t xml:space="preserve">Reporting and analytics.</w:t>
      </w:r>
    </w:p>
    <w:p>
      <w:pPr>
        <w:pStyle w:val="Compact"/>
        <w:numPr>
          <w:ilvl w:val="0"/>
          <w:numId w:val="1012"/>
        </w:numPr>
      </w:pPr>
      <w:r>
        <w:t xml:space="preserve">System support.</w:t>
      </w:r>
    </w:p>
    <w:p>
      <w:r>
        <w:pict>
          <v:rect style="width:0;height:1.5pt" o:hralign="center" o:hrstd="t" o:hr="t"/>
        </w:pict>
      </w:r>
    </w:p>
    <w:bookmarkEnd w:id="35"/>
    <w:bookmarkStart w:id="36" w:name="train-the-trainer-model"/>
    <w:p>
      <w:pPr>
        <w:pStyle w:val="Heading3"/>
      </w:pPr>
      <w:r>
        <w:t xml:space="preserve">Train-the-Trainer Model</w:t>
      </w:r>
    </w:p>
    <w:p>
      <w:pPr>
        <w:pStyle w:val="FirstParagraph"/>
      </w:pPr>
      <w:r>
        <w:t xml:space="preserve">National trainers prepare regional trainers, who in turn support school-level users.</w:t>
      </w:r>
    </w:p>
    <w:p>
      <w:pPr>
        <w:pStyle w:val="BodyText"/>
      </w:pPr>
      <w:r>
        <w:t xml:space="preserve">This approach enables sustainable expansion while building local expertise.</w:t>
      </w:r>
    </w:p>
    <w:p>
      <w:r>
        <w:pict>
          <v:rect style="width:0;height:1.5pt" o:hralign="center" o:hrstd="t" o:hr="t"/>
        </w:pict>
      </w:r>
    </w:p>
    <w:bookmarkEnd w:id="36"/>
    <w:bookmarkStart w:id="37" w:name="user-training"/>
    <w:p>
      <w:pPr>
        <w:pStyle w:val="Heading3"/>
      </w:pPr>
      <w:r>
        <w:t xml:space="preserve">User Training</w:t>
      </w:r>
    </w:p>
    <w:p>
      <w:pPr>
        <w:pStyle w:val="FirstParagraph"/>
      </w:pPr>
      <w:r>
        <w:t xml:space="preserve">Role-based learning paths are developed for:</w:t>
      </w:r>
    </w:p>
    <w:p>
      <w:pPr>
        <w:pStyle w:val="Compact"/>
        <w:numPr>
          <w:ilvl w:val="0"/>
          <w:numId w:val="1013"/>
        </w:numPr>
      </w:pPr>
      <w:r>
        <w:t xml:space="preserve">Ministry executives.</w:t>
      </w:r>
    </w:p>
    <w:p>
      <w:pPr>
        <w:pStyle w:val="Compact"/>
        <w:numPr>
          <w:ilvl w:val="0"/>
          <w:numId w:val="1013"/>
        </w:numPr>
      </w:pPr>
      <w:r>
        <w:t xml:space="preserve">Regional administrators.</w:t>
      </w:r>
    </w:p>
    <w:p>
      <w:pPr>
        <w:pStyle w:val="Compact"/>
        <w:numPr>
          <w:ilvl w:val="0"/>
          <w:numId w:val="1013"/>
        </w:numPr>
      </w:pPr>
      <w:r>
        <w:t xml:space="preserve">School leaders.</w:t>
      </w:r>
    </w:p>
    <w:p>
      <w:pPr>
        <w:pStyle w:val="Compact"/>
        <w:numPr>
          <w:ilvl w:val="0"/>
          <w:numId w:val="1013"/>
        </w:numPr>
      </w:pPr>
      <w:r>
        <w:t xml:space="preserve">Teachers.</w:t>
      </w:r>
    </w:p>
    <w:p>
      <w:pPr>
        <w:pStyle w:val="Compact"/>
        <w:numPr>
          <w:ilvl w:val="0"/>
          <w:numId w:val="1013"/>
        </w:numPr>
      </w:pPr>
      <w:r>
        <w:t xml:space="preserve">Storekeepers.</w:t>
      </w:r>
    </w:p>
    <w:p>
      <w:pPr>
        <w:pStyle w:val="Compact"/>
        <w:numPr>
          <w:ilvl w:val="0"/>
          <w:numId w:val="1013"/>
        </w:numPr>
      </w:pPr>
      <w:r>
        <w:t xml:space="preserve">Inspectors.</w:t>
      </w:r>
    </w:p>
    <w:p>
      <w:pPr>
        <w:pStyle w:val="Compact"/>
        <w:numPr>
          <w:ilvl w:val="0"/>
          <w:numId w:val="1013"/>
        </w:numPr>
      </w:pPr>
      <w:r>
        <w:t xml:space="preserve">ICT personnel.</w:t>
      </w:r>
    </w:p>
    <w:p>
      <w:pPr>
        <w:pStyle w:val="FirstParagraph"/>
      </w:pPr>
      <w:r>
        <w:t xml:space="preserve">Training combines classroom instruction, practical exercises, online materials, and user manuals.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support-structure"/>
    <w:p>
      <w:pPr>
        <w:pStyle w:val="Heading1"/>
      </w:pPr>
      <w:r>
        <w:t xml:space="preserve">34.7 Support Structure</w:t>
      </w:r>
    </w:p>
    <w:p>
      <w:pPr>
        <w:pStyle w:val="FirstParagraph"/>
      </w:pPr>
      <w:r>
        <w:t xml:space="preserve">Operational support is organized into multiple levels.</w:t>
      </w:r>
    </w:p>
    <w:bookmarkStart w:id="39" w:name="level-1"/>
    <w:p>
      <w:pPr>
        <w:pStyle w:val="Heading3"/>
      </w:pPr>
      <w:r>
        <w:t xml:space="preserve">Level 1</w:t>
      </w:r>
    </w:p>
    <w:p>
      <w:pPr>
        <w:pStyle w:val="FirstParagraph"/>
      </w:pPr>
      <w:r>
        <w:t xml:space="preserve">School-based support.</w:t>
      </w:r>
    </w:p>
    <w:p>
      <w:r>
        <w:pict>
          <v:rect style="width:0;height:1.5pt" o:hralign="center" o:hrstd="t" o:hr="t"/>
        </w:pict>
      </w:r>
    </w:p>
    <w:bookmarkEnd w:id="39"/>
    <w:bookmarkStart w:id="40" w:name="level-2"/>
    <w:p>
      <w:pPr>
        <w:pStyle w:val="Heading3"/>
      </w:pPr>
      <w:r>
        <w:t xml:space="preserve">Level 2</w:t>
      </w:r>
    </w:p>
    <w:p>
      <w:pPr>
        <w:pStyle w:val="FirstParagraph"/>
      </w:pPr>
      <w:r>
        <w:t xml:space="preserve">Regional technical support teams.</w:t>
      </w:r>
    </w:p>
    <w:p>
      <w:r>
        <w:pict>
          <v:rect style="width:0;height:1.5pt" o:hralign="center" o:hrstd="t" o:hr="t"/>
        </w:pict>
      </w:r>
    </w:p>
    <w:bookmarkEnd w:id="40"/>
    <w:bookmarkStart w:id="41" w:name="level-3"/>
    <w:p>
      <w:pPr>
        <w:pStyle w:val="Heading3"/>
      </w:pPr>
      <w:r>
        <w:t xml:space="preserve">Level 3</w:t>
      </w:r>
    </w:p>
    <w:p>
      <w:pPr>
        <w:pStyle w:val="FirstParagraph"/>
      </w:pPr>
      <w:r>
        <w:t xml:space="preserve">National technical support centre.</w:t>
      </w:r>
    </w:p>
    <w:p>
      <w:r>
        <w:pict>
          <v:rect style="width:0;height:1.5pt" o:hralign="center" o:hrstd="t" o:hr="t"/>
        </w:pict>
      </w:r>
    </w:p>
    <w:bookmarkEnd w:id="41"/>
    <w:bookmarkStart w:id="42" w:name="level-4"/>
    <w:p>
      <w:pPr>
        <w:pStyle w:val="Heading3"/>
      </w:pPr>
      <w:r>
        <w:t xml:space="preserve">Level 4</w:t>
      </w:r>
    </w:p>
    <w:p>
      <w:pPr>
        <w:pStyle w:val="FirstParagraph"/>
      </w:pPr>
      <w:r>
        <w:t xml:space="preserve">Product engineering and platform development team.</w:t>
      </w:r>
    </w:p>
    <w:p>
      <w:pPr>
        <w:pStyle w:val="BodyText"/>
      </w:pPr>
      <w:r>
        <w:t xml:space="preserve">Escalation procedures ensure timely resolution of operational issues.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helpdesk-operations"/>
    <w:p>
      <w:pPr>
        <w:pStyle w:val="Heading1"/>
      </w:pPr>
      <w:r>
        <w:t xml:space="preserve">34.8 Helpdesk Operations</w:t>
      </w:r>
    </w:p>
    <w:p>
      <w:pPr>
        <w:pStyle w:val="FirstParagraph"/>
      </w:pPr>
      <w:r>
        <w:t xml:space="preserve">The national helpdesk provides:</w:t>
      </w:r>
    </w:p>
    <w:p>
      <w:pPr>
        <w:pStyle w:val="Compact"/>
        <w:numPr>
          <w:ilvl w:val="0"/>
          <w:numId w:val="1014"/>
        </w:numPr>
      </w:pPr>
      <w:r>
        <w:t xml:space="preserve">Incident logging.</w:t>
      </w:r>
    </w:p>
    <w:p>
      <w:pPr>
        <w:pStyle w:val="Compact"/>
        <w:numPr>
          <w:ilvl w:val="0"/>
          <w:numId w:val="1014"/>
        </w:numPr>
      </w:pPr>
      <w:r>
        <w:t xml:space="preserve">Service requests.</w:t>
      </w:r>
    </w:p>
    <w:p>
      <w:pPr>
        <w:pStyle w:val="Compact"/>
        <w:numPr>
          <w:ilvl w:val="0"/>
          <w:numId w:val="1014"/>
        </w:numPr>
      </w:pPr>
      <w:r>
        <w:t xml:space="preserve">Knowledge base access.</w:t>
      </w:r>
    </w:p>
    <w:p>
      <w:pPr>
        <w:pStyle w:val="Compact"/>
        <w:numPr>
          <w:ilvl w:val="0"/>
          <w:numId w:val="1014"/>
        </w:numPr>
      </w:pPr>
      <w:r>
        <w:t xml:space="preserve">Remote assistance.</w:t>
      </w:r>
    </w:p>
    <w:p>
      <w:pPr>
        <w:pStyle w:val="Compact"/>
        <w:numPr>
          <w:ilvl w:val="0"/>
          <w:numId w:val="1014"/>
        </w:numPr>
      </w:pPr>
      <w:r>
        <w:t xml:space="preserve">Issue escalation.</w:t>
      </w:r>
    </w:p>
    <w:p>
      <w:pPr>
        <w:pStyle w:val="Compact"/>
        <w:numPr>
          <w:ilvl w:val="0"/>
          <w:numId w:val="1014"/>
        </w:numPr>
      </w:pPr>
      <w:r>
        <w:t xml:space="preserve">Performance monitoring.</w:t>
      </w:r>
    </w:p>
    <w:p>
      <w:pPr>
        <w:pStyle w:val="FirstParagraph"/>
      </w:pPr>
      <w:r>
        <w:t xml:space="preserve">Support channels may include:</w:t>
      </w:r>
    </w:p>
    <w:p>
      <w:pPr>
        <w:pStyle w:val="Compact"/>
        <w:numPr>
          <w:ilvl w:val="0"/>
          <w:numId w:val="1015"/>
        </w:numPr>
      </w:pPr>
      <w:r>
        <w:t xml:space="preserve">Telephone.</w:t>
      </w:r>
    </w:p>
    <w:p>
      <w:pPr>
        <w:pStyle w:val="Compact"/>
        <w:numPr>
          <w:ilvl w:val="0"/>
          <w:numId w:val="1015"/>
        </w:numPr>
      </w:pPr>
      <w:r>
        <w:t xml:space="preserve">Email.</w:t>
      </w:r>
    </w:p>
    <w:p>
      <w:pPr>
        <w:pStyle w:val="Compact"/>
        <w:numPr>
          <w:ilvl w:val="0"/>
          <w:numId w:val="1015"/>
        </w:numPr>
      </w:pPr>
      <w:r>
        <w:t xml:space="preserve">Web portal.</w:t>
      </w:r>
    </w:p>
    <w:p>
      <w:pPr>
        <w:pStyle w:val="Compact"/>
        <w:numPr>
          <w:ilvl w:val="0"/>
          <w:numId w:val="1015"/>
        </w:numPr>
      </w:pPr>
      <w:r>
        <w:t xml:space="preserve">Mobile application.</w:t>
      </w:r>
    </w:p>
    <w:p>
      <w:pPr>
        <w:pStyle w:val="Compact"/>
        <w:numPr>
          <w:ilvl w:val="0"/>
          <w:numId w:val="1015"/>
        </w:numPr>
      </w:pPr>
      <w:r>
        <w:t xml:space="preserve">In-platform support.</w:t>
      </w:r>
    </w:p>
    <w:p>
      <w:r>
        <w:pict>
          <v:rect style="width:0;height:1.5pt" o:hralign="center" o:hrstd="t" o:hr="t"/>
        </w:pict>
      </w:r>
    </w:p>
    <w:bookmarkEnd w:id="44"/>
    <w:bookmarkStart w:id="45" w:name="adoption-monitoring"/>
    <w:p>
      <w:pPr>
        <w:pStyle w:val="Heading1"/>
      </w:pPr>
      <w:r>
        <w:t xml:space="preserve">34.9 Adoption Monitoring</w:t>
      </w:r>
    </w:p>
    <w:p>
      <w:pPr>
        <w:pStyle w:val="FirstParagraph"/>
      </w:pPr>
      <w:r>
        <w:t xml:space="preserve">The Ministry monitors adoption using indicators such as:</w:t>
      </w:r>
    </w:p>
    <w:p>
      <w:pPr>
        <w:pStyle w:val="Compact"/>
        <w:numPr>
          <w:ilvl w:val="0"/>
          <w:numId w:val="1016"/>
        </w:numPr>
      </w:pPr>
      <w:r>
        <w:t xml:space="preserve">Active users.</w:t>
      </w:r>
    </w:p>
    <w:p>
      <w:pPr>
        <w:pStyle w:val="Compact"/>
        <w:numPr>
          <w:ilvl w:val="0"/>
          <w:numId w:val="1016"/>
        </w:numPr>
      </w:pPr>
      <w:r>
        <w:t xml:space="preserve">Reporting compliance.</w:t>
      </w:r>
    </w:p>
    <w:p>
      <w:pPr>
        <w:pStyle w:val="Compact"/>
        <w:numPr>
          <w:ilvl w:val="0"/>
          <w:numId w:val="1016"/>
        </w:numPr>
      </w:pPr>
      <w:r>
        <w:t xml:space="preserve">Training completion.</w:t>
      </w:r>
    </w:p>
    <w:p>
      <w:pPr>
        <w:pStyle w:val="Compact"/>
        <w:numPr>
          <w:ilvl w:val="0"/>
          <w:numId w:val="1016"/>
        </w:numPr>
      </w:pPr>
      <w:r>
        <w:t xml:space="preserve">Workflow utilization.</w:t>
      </w:r>
    </w:p>
    <w:p>
      <w:pPr>
        <w:pStyle w:val="Compact"/>
        <w:numPr>
          <w:ilvl w:val="0"/>
          <w:numId w:val="1016"/>
        </w:numPr>
      </w:pPr>
      <w:r>
        <w:t xml:space="preserve">Synchronization rates.</w:t>
      </w:r>
    </w:p>
    <w:p>
      <w:pPr>
        <w:pStyle w:val="Compact"/>
        <w:numPr>
          <w:ilvl w:val="0"/>
          <w:numId w:val="1016"/>
        </w:numPr>
      </w:pPr>
      <w:r>
        <w:t xml:space="preserve">User satisfaction.</w:t>
      </w:r>
    </w:p>
    <w:p>
      <w:pPr>
        <w:pStyle w:val="Compact"/>
        <w:numPr>
          <w:ilvl w:val="0"/>
          <w:numId w:val="1016"/>
        </w:numPr>
      </w:pPr>
      <w:r>
        <w:t xml:space="preserve">Helpdesk trends.</w:t>
      </w:r>
    </w:p>
    <w:p>
      <w:pPr>
        <w:pStyle w:val="FirstParagraph"/>
      </w:pPr>
      <w:r>
        <w:t xml:space="preserve">Results guide targeted interventions where adoption requires additional support.</w:t>
      </w:r>
    </w:p>
    <w:p>
      <w:r>
        <w:pict>
          <v:rect style="width:0;height:1.5pt" o:hralign="center" o:hrstd="t" o:hr="t"/>
        </w:pict>
      </w:r>
    </w:p>
    <w:bookmarkEnd w:id="45"/>
    <w:bookmarkStart w:id="52" w:name="functional-requirements"/>
    <w:p>
      <w:pPr>
        <w:pStyle w:val="Heading1"/>
      </w:pPr>
      <w:r>
        <w:t xml:space="preserve">34.10 Functional Requirements</w:t>
      </w:r>
    </w:p>
    <w:bookmarkStart w:id="46" w:name="fr-imp-001"/>
    <w:p>
      <w:pPr>
        <w:pStyle w:val="Heading3"/>
      </w:pPr>
      <w:r>
        <w:t xml:space="preserve">FR-IMP-001</w:t>
      </w:r>
    </w:p>
    <w:p>
      <w:pPr>
        <w:pStyle w:val="FirstParagraph"/>
      </w:pPr>
      <w:r>
        <w:t xml:space="preserve">Develop and maintain national implementation plans.</w:t>
      </w:r>
    </w:p>
    <w:p>
      <w:r>
        <w:pict>
          <v:rect style="width:0;height:1.5pt" o:hralign="center" o:hrstd="t" o:hr="t"/>
        </w:pict>
      </w:r>
    </w:p>
    <w:bookmarkEnd w:id="46"/>
    <w:bookmarkStart w:id="47" w:name="fr-imp-002"/>
    <w:p>
      <w:pPr>
        <w:pStyle w:val="Heading3"/>
      </w:pPr>
      <w:r>
        <w:t xml:space="preserve">FR-IMP-002</w:t>
      </w:r>
    </w:p>
    <w:p>
      <w:pPr>
        <w:pStyle w:val="FirstParagraph"/>
      </w:pPr>
      <w:r>
        <w:t xml:space="preserve">Support phased deployment by region.</w:t>
      </w:r>
    </w:p>
    <w:p>
      <w:r>
        <w:pict>
          <v:rect style="width:0;height:1.5pt" o:hralign="center" o:hrstd="t" o:hr="t"/>
        </w:pict>
      </w:r>
    </w:p>
    <w:bookmarkEnd w:id="47"/>
    <w:bookmarkStart w:id="48" w:name="fr-imp-003"/>
    <w:p>
      <w:pPr>
        <w:pStyle w:val="Heading3"/>
      </w:pPr>
      <w:r>
        <w:t xml:space="preserve">FR-IMP-003</w:t>
      </w:r>
    </w:p>
    <w:p>
      <w:pPr>
        <w:pStyle w:val="FirstParagraph"/>
      </w:pPr>
      <w:r>
        <w:t xml:space="preserve">Provide structured training programmes.</w:t>
      </w:r>
    </w:p>
    <w:p>
      <w:r>
        <w:pict>
          <v:rect style="width:0;height:1.5pt" o:hralign="center" o:hrstd="t" o:hr="t"/>
        </w:pict>
      </w:r>
    </w:p>
    <w:bookmarkEnd w:id="48"/>
    <w:bookmarkStart w:id="49" w:name="fr-imp-004"/>
    <w:p>
      <w:pPr>
        <w:pStyle w:val="Heading3"/>
      </w:pPr>
      <w:r>
        <w:t xml:space="preserve">FR-IMP-004</w:t>
      </w:r>
    </w:p>
    <w:p>
      <w:pPr>
        <w:pStyle w:val="FirstParagraph"/>
      </w:pPr>
      <w:r>
        <w:t xml:space="preserve">Operate a national support service.</w:t>
      </w:r>
    </w:p>
    <w:p>
      <w:r>
        <w:pict>
          <v:rect style="width:0;height:1.5pt" o:hralign="center" o:hrstd="t" o:hr="t"/>
        </w:pict>
      </w:r>
    </w:p>
    <w:bookmarkEnd w:id="49"/>
    <w:bookmarkStart w:id="50" w:name="fr-imp-005"/>
    <w:p>
      <w:pPr>
        <w:pStyle w:val="Heading3"/>
      </w:pPr>
      <w:r>
        <w:t xml:space="preserve">FR-IMP-005</w:t>
      </w:r>
    </w:p>
    <w:p>
      <w:pPr>
        <w:pStyle w:val="FirstParagraph"/>
      </w:pPr>
      <w:r>
        <w:t xml:space="preserve">Monitor user adoption and implementation progress.</w:t>
      </w:r>
    </w:p>
    <w:p>
      <w:r>
        <w:pict>
          <v:rect style="width:0;height:1.5pt" o:hralign="center" o:hrstd="t" o:hr="t"/>
        </w:pict>
      </w:r>
    </w:p>
    <w:bookmarkEnd w:id="50"/>
    <w:bookmarkStart w:id="51" w:name="fr-imp-006"/>
    <w:p>
      <w:pPr>
        <w:pStyle w:val="Heading3"/>
      </w:pPr>
      <w:r>
        <w:t xml:space="preserve">FR-IMP-006</w:t>
      </w:r>
    </w:p>
    <w:p>
      <w:pPr>
        <w:pStyle w:val="FirstParagraph"/>
      </w:pPr>
      <w:r>
        <w:t xml:space="preserve">Capture lessons learned and feed them into continuous improvement activities.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reports"/>
    <w:p>
      <w:pPr>
        <w:pStyle w:val="Heading1"/>
      </w:pPr>
      <w:r>
        <w:t xml:space="preserve">34.11 Reports</w:t>
      </w:r>
    </w:p>
    <w:p>
      <w:pPr>
        <w:pStyle w:val="FirstParagraph"/>
      </w:pPr>
      <w:r>
        <w:t xml:space="preserve">Illustrative reports include:</w:t>
      </w:r>
    </w:p>
    <w:p>
      <w:pPr>
        <w:pStyle w:val="Compact"/>
        <w:numPr>
          <w:ilvl w:val="0"/>
          <w:numId w:val="1017"/>
        </w:numPr>
      </w:pPr>
      <w:r>
        <w:t xml:space="preserve">Implementation progress.</w:t>
      </w:r>
    </w:p>
    <w:p>
      <w:pPr>
        <w:pStyle w:val="Compact"/>
        <w:numPr>
          <w:ilvl w:val="0"/>
          <w:numId w:val="1017"/>
        </w:numPr>
      </w:pPr>
      <w:r>
        <w:t xml:space="preserve">Training completion.</w:t>
      </w:r>
    </w:p>
    <w:p>
      <w:pPr>
        <w:pStyle w:val="Compact"/>
        <w:numPr>
          <w:ilvl w:val="0"/>
          <w:numId w:val="1017"/>
        </w:numPr>
      </w:pPr>
      <w:r>
        <w:t xml:space="preserve">User adoption.</w:t>
      </w:r>
    </w:p>
    <w:p>
      <w:pPr>
        <w:pStyle w:val="Compact"/>
        <w:numPr>
          <w:ilvl w:val="0"/>
          <w:numId w:val="1017"/>
        </w:numPr>
      </w:pPr>
      <w:r>
        <w:t xml:space="preserve">Helpdesk performance.</w:t>
      </w:r>
    </w:p>
    <w:p>
      <w:pPr>
        <w:pStyle w:val="Compact"/>
        <w:numPr>
          <w:ilvl w:val="0"/>
          <w:numId w:val="1017"/>
        </w:numPr>
      </w:pPr>
      <w:r>
        <w:t xml:space="preserve">Regional deployment status.</w:t>
      </w:r>
    </w:p>
    <w:p>
      <w:pPr>
        <w:pStyle w:val="Compact"/>
        <w:numPr>
          <w:ilvl w:val="0"/>
          <w:numId w:val="1017"/>
        </w:numPr>
      </w:pPr>
      <w:r>
        <w:t xml:space="preserve">Change management activities.</w:t>
      </w:r>
    </w:p>
    <w:p>
      <w:pPr>
        <w:pStyle w:val="Compact"/>
        <w:numPr>
          <w:ilvl w:val="0"/>
          <w:numId w:val="1017"/>
        </w:numPr>
      </w:pPr>
      <w:r>
        <w:t xml:space="preserve">Lessons learned.</w:t>
      </w:r>
    </w:p>
    <w:p>
      <w:r>
        <w:pict>
          <v:rect style="width:0;height:1.5pt" o:hralign="center" o:hrstd="t" o:hr="t"/>
        </w:pict>
      </w:r>
    </w:p>
    <w:bookmarkEnd w:id="53"/>
    <w:bookmarkStart w:id="56" w:name="dashboards"/>
    <w:p>
      <w:pPr>
        <w:pStyle w:val="Heading1"/>
      </w:pPr>
      <w:r>
        <w:t xml:space="preserve">34.12 Dashboards</w:t>
      </w:r>
    </w:p>
    <w:bookmarkStart w:id="54" w:name="national-implementation-dashboard"/>
    <w:p>
      <w:pPr>
        <w:pStyle w:val="Heading3"/>
      </w:pPr>
      <w:r>
        <w:t xml:space="preserve">National Implementation Dashboard</w:t>
      </w:r>
    </w:p>
    <w:p>
      <w:pPr>
        <w:pStyle w:val="Compact"/>
        <w:numPr>
          <w:ilvl w:val="0"/>
          <w:numId w:val="1018"/>
        </w:numPr>
      </w:pPr>
      <w:r>
        <w:t xml:space="preserve">Deployment progress.</w:t>
      </w:r>
    </w:p>
    <w:p>
      <w:pPr>
        <w:pStyle w:val="Compact"/>
        <w:numPr>
          <w:ilvl w:val="0"/>
          <w:numId w:val="1018"/>
        </w:numPr>
      </w:pPr>
      <w:r>
        <w:t xml:space="preserve">Schools onboarded.</w:t>
      </w:r>
    </w:p>
    <w:p>
      <w:pPr>
        <w:pStyle w:val="Compact"/>
        <w:numPr>
          <w:ilvl w:val="0"/>
          <w:numId w:val="1018"/>
        </w:numPr>
      </w:pPr>
      <w:r>
        <w:t xml:space="preserve">Regional rollout status.</w:t>
      </w:r>
    </w:p>
    <w:p>
      <w:pPr>
        <w:pStyle w:val="Compact"/>
        <w:numPr>
          <w:ilvl w:val="0"/>
          <w:numId w:val="1018"/>
        </w:numPr>
      </w:pPr>
      <w:r>
        <w:t xml:space="preserve">Training completion.</w:t>
      </w:r>
    </w:p>
    <w:p>
      <w:pPr>
        <w:pStyle w:val="Compact"/>
        <w:numPr>
          <w:ilvl w:val="0"/>
          <w:numId w:val="1018"/>
        </w:numPr>
      </w:pPr>
      <w:r>
        <w:t xml:space="preserve">Open implementation issues.</w:t>
      </w:r>
    </w:p>
    <w:bookmarkEnd w:id="54"/>
    <w:bookmarkStart w:id="55" w:name="support-dashboard"/>
    <w:p>
      <w:pPr>
        <w:pStyle w:val="Heading3"/>
      </w:pPr>
      <w:r>
        <w:t xml:space="preserve">Support Dashboard</w:t>
      </w:r>
    </w:p>
    <w:p>
      <w:pPr>
        <w:pStyle w:val="Compact"/>
        <w:numPr>
          <w:ilvl w:val="0"/>
          <w:numId w:val="1019"/>
        </w:numPr>
      </w:pPr>
      <w:r>
        <w:t xml:space="preserve">Helpdesk tickets.</w:t>
      </w:r>
    </w:p>
    <w:p>
      <w:pPr>
        <w:pStyle w:val="Compact"/>
        <w:numPr>
          <w:ilvl w:val="0"/>
          <w:numId w:val="1019"/>
        </w:numPr>
      </w:pPr>
      <w:r>
        <w:t xml:space="preserve">Resolution times.</w:t>
      </w:r>
    </w:p>
    <w:p>
      <w:pPr>
        <w:pStyle w:val="Compact"/>
        <w:numPr>
          <w:ilvl w:val="0"/>
          <w:numId w:val="1019"/>
        </w:numPr>
      </w:pPr>
      <w:r>
        <w:t xml:space="preserve">Common issues.</w:t>
      </w:r>
    </w:p>
    <w:p>
      <w:pPr>
        <w:pStyle w:val="Compact"/>
        <w:numPr>
          <w:ilvl w:val="0"/>
          <w:numId w:val="1019"/>
        </w:numPr>
      </w:pPr>
      <w:r>
        <w:t xml:space="preserve">Escalation trends.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success-indicators"/>
    <w:p>
      <w:pPr>
        <w:pStyle w:val="Heading1"/>
      </w:pPr>
      <w:r>
        <w:t xml:space="preserve">34.13 Success Indicators</w:t>
      </w:r>
    </w:p>
    <w:p>
      <w:pPr>
        <w:pStyle w:val="FirstParagraph"/>
      </w:pPr>
      <w:r>
        <w:t xml:space="preserve">Examples include:</w:t>
      </w:r>
    </w:p>
    <w:p>
      <w:pPr>
        <w:pStyle w:val="Compact"/>
        <w:numPr>
          <w:ilvl w:val="0"/>
          <w:numId w:val="1020"/>
        </w:numPr>
      </w:pPr>
      <w:r>
        <w:t xml:space="preserve">Percentage of institutions onboarded.</w:t>
      </w:r>
    </w:p>
    <w:p>
      <w:pPr>
        <w:pStyle w:val="Compact"/>
        <w:numPr>
          <w:ilvl w:val="0"/>
          <w:numId w:val="1020"/>
        </w:numPr>
      </w:pPr>
      <w:r>
        <w:t xml:space="preserve">User adoption rate.</w:t>
      </w:r>
    </w:p>
    <w:p>
      <w:pPr>
        <w:pStyle w:val="Compact"/>
        <w:numPr>
          <w:ilvl w:val="0"/>
          <w:numId w:val="1020"/>
        </w:numPr>
      </w:pPr>
      <w:r>
        <w:t xml:space="preserve">Training completion rate.</w:t>
      </w:r>
    </w:p>
    <w:p>
      <w:pPr>
        <w:pStyle w:val="Compact"/>
        <w:numPr>
          <w:ilvl w:val="0"/>
          <w:numId w:val="1020"/>
        </w:numPr>
      </w:pPr>
      <w:r>
        <w:t xml:space="preserve">Helpdesk resolution time.</w:t>
      </w:r>
    </w:p>
    <w:p>
      <w:pPr>
        <w:pStyle w:val="Compact"/>
        <w:numPr>
          <w:ilvl w:val="0"/>
          <w:numId w:val="1020"/>
        </w:numPr>
      </w:pPr>
      <w:r>
        <w:t xml:space="preserve">User satisfaction.</w:t>
      </w:r>
    </w:p>
    <w:p>
      <w:pPr>
        <w:pStyle w:val="Compact"/>
        <w:numPr>
          <w:ilvl w:val="0"/>
          <w:numId w:val="1020"/>
        </w:numPr>
      </w:pPr>
      <w:r>
        <w:t xml:space="preserve">Reduction in paper-based processes.</w:t>
      </w:r>
    </w:p>
    <w:p>
      <w:pPr>
        <w:pStyle w:val="Compact"/>
        <w:numPr>
          <w:ilvl w:val="0"/>
          <w:numId w:val="1020"/>
        </w:numPr>
      </w:pPr>
      <w:r>
        <w:t xml:space="preserve">Operational readiness by region.</w:t>
      </w:r>
    </w:p>
    <w:p>
      <w:pPr>
        <w:pStyle w:val="Compact"/>
        <w:numPr>
          <w:ilvl w:val="0"/>
          <w:numId w:val="1020"/>
        </w:numPr>
      </w:pPr>
      <w:r>
        <w:t xml:space="preserve">Successful completion of rollout milestones.</w:t>
      </w:r>
    </w:p>
    <w:p>
      <w:r>
        <w:pict>
          <v:rect style="width:0;height:1.5pt" o:hralign="center" o:hrstd="t" o:hr="t"/>
        </w:pict>
      </w:r>
    </w:p>
    <w:bookmarkEnd w:id="57"/>
    <w:bookmarkStart w:id="58" w:name="sustainability"/>
    <w:p>
      <w:pPr>
        <w:pStyle w:val="Heading1"/>
      </w:pPr>
      <w:r>
        <w:t xml:space="preserve">34.14 Sustainability</w:t>
      </w:r>
    </w:p>
    <w:p>
      <w:pPr>
        <w:pStyle w:val="FirstParagraph"/>
      </w:pPr>
      <w:r>
        <w:t xml:space="preserve">Long-term sustainability is supported through:</w:t>
      </w:r>
    </w:p>
    <w:p>
      <w:pPr>
        <w:pStyle w:val="Compact"/>
        <w:numPr>
          <w:ilvl w:val="0"/>
          <w:numId w:val="1021"/>
        </w:numPr>
      </w:pPr>
      <w:r>
        <w:t xml:space="preserve">Continuous training.</w:t>
      </w:r>
    </w:p>
    <w:p>
      <w:pPr>
        <w:pStyle w:val="Compact"/>
        <w:numPr>
          <w:ilvl w:val="0"/>
          <w:numId w:val="1021"/>
        </w:numPr>
      </w:pPr>
      <w:r>
        <w:t xml:space="preserve">Local technical capacity.</w:t>
      </w:r>
    </w:p>
    <w:p>
      <w:pPr>
        <w:pStyle w:val="Compact"/>
        <w:numPr>
          <w:ilvl w:val="0"/>
          <w:numId w:val="1021"/>
        </w:numPr>
      </w:pPr>
      <w:r>
        <w:t xml:space="preserve">Regular software updates.</w:t>
      </w:r>
    </w:p>
    <w:p>
      <w:pPr>
        <w:pStyle w:val="Compact"/>
        <w:numPr>
          <w:ilvl w:val="0"/>
          <w:numId w:val="1021"/>
        </w:numPr>
      </w:pPr>
      <w:r>
        <w:t xml:space="preserve">Governance reviews.</w:t>
      </w:r>
    </w:p>
    <w:p>
      <w:pPr>
        <w:pStyle w:val="Compact"/>
        <w:numPr>
          <w:ilvl w:val="0"/>
          <w:numId w:val="1021"/>
        </w:numPr>
      </w:pPr>
      <w:r>
        <w:t xml:space="preserve">Performance monitoring.</w:t>
      </w:r>
    </w:p>
    <w:p>
      <w:pPr>
        <w:pStyle w:val="Compact"/>
        <w:numPr>
          <w:ilvl w:val="0"/>
          <w:numId w:val="1021"/>
        </w:numPr>
      </w:pPr>
      <w:r>
        <w:t xml:space="preserve">Budget planning.</w:t>
      </w:r>
    </w:p>
    <w:p>
      <w:pPr>
        <w:pStyle w:val="Compact"/>
        <w:numPr>
          <w:ilvl w:val="0"/>
          <w:numId w:val="1021"/>
        </w:numPr>
      </w:pPr>
      <w:r>
        <w:t xml:space="preserve">Knowledge transfer.</w:t>
      </w:r>
    </w:p>
    <w:p>
      <w:pPr>
        <w:pStyle w:val="Compact"/>
        <w:numPr>
          <w:ilvl w:val="0"/>
          <w:numId w:val="1021"/>
        </w:numPr>
      </w:pPr>
      <w:r>
        <w:t xml:space="preserve">Periodic technology refresh.</w:t>
      </w:r>
    </w:p>
    <w:p>
      <w:r>
        <w:pict>
          <v:rect style="width:0;height:1.5pt" o:hralign="center" o:hrstd="t" o:hr="t"/>
        </w:pict>
      </w:r>
    </w:p>
    <w:bookmarkEnd w:id="58"/>
    <w:bookmarkStart w:id="59" w:name="conclusion"/>
    <w:p>
      <w:pPr>
        <w:pStyle w:val="Heading1"/>
      </w:pPr>
      <w:r>
        <w:t xml:space="preserve">34.15 Conclusion</w:t>
      </w:r>
    </w:p>
    <w:p>
      <w:pPr>
        <w:pStyle w:val="FirstParagraph"/>
      </w:pPr>
      <w:r>
        <w:t xml:space="preserve">The National Implementation Strategy, Change Management and Capacity Building Framework provides the operational roadmap for successful deployment of EduOS Cameroon.</w:t>
      </w:r>
    </w:p>
    <w:p>
      <w:pPr>
        <w:pStyle w:val="BodyText"/>
      </w:pPr>
      <w:r>
        <w:t xml:space="preserve">By combining phased implementation, stakeholder engagement, structured capacity development, multi-level technical support, and continuous improvement, the framework establishes the conditions necessary for widespread adoption, sustainable operations, and long-term value creation across the education sector.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2026-07-10T13:53:48Z</dcterms:created>
  <dcterms:modified xsi:type="dcterms:W3CDTF">2026-07-10T13:53:48Z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