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2"/>
    <w:p>
      <w:pPr>
        <w:pStyle w:val="Heading1"/>
      </w:pPr>
      <w:r>
        <w:t xml:space="preserve">CHAPTER 32</w:t>
      </w:r>
    </w:p>
    <w:bookmarkEnd w:id="20"/>
    <w:bookmarkStart w:id="22" w:name="Xece23d0dfc3b62f6edbe384f1a62b61568808c4"/>
    <w:p>
      <w:pPr>
        <w:pStyle w:val="Heading1"/>
      </w:pPr>
      <w:r>
        <w:t xml:space="preserve">NATIONAL MONITORING, EVALUATION, COMPLIANCE AND AUDIT PLATFORM (NMECAP)</w:t>
      </w:r>
    </w:p>
    <w:bookmarkStart w:id="21" w:name="introduction"/>
    <w:p>
      <w:pPr>
        <w:pStyle w:val="Heading2"/>
      </w:pPr>
      <w:r>
        <w:t xml:space="preserve">32.1 Introduction</w:t>
      </w:r>
    </w:p>
    <w:p>
      <w:pPr>
        <w:pStyle w:val="FirstParagraph"/>
      </w:pPr>
      <w:r>
        <w:t xml:space="preserve">The National Monitoring, Evaluation, Compliance and Audit Platform (NMECAP) provides the governance, oversight, and assurance capability of EduOS Cameroon.</w:t>
      </w:r>
    </w:p>
    <w:p>
      <w:pPr>
        <w:pStyle w:val="BodyText"/>
      </w:pPr>
      <w:r>
        <w:t xml:space="preserve">The platform continuously measures implementation progress, operational performance, policy compliance, inventory integrity, resource utilization, financial accountability, and programme outcomes. It enables the Ministry to move beyond periodic inspections and manual audits toward continuous, evidence-based monitoring.</w:t>
      </w:r>
    </w:p>
    <w:p>
      <w:pPr>
        <w:pStyle w:val="BodyText"/>
      </w:pPr>
      <w:r>
        <w:t xml:space="preserve">NMECAP supports internal management, external oversight, development partner reporting, and institutional learning through integrated dashboards, compliance monitoring, audit trails, and performance evaluation.</w:t>
      </w:r>
    </w:p>
    <w:p>
      <w:r>
        <w:pict>
          <v:rect style="width:0;height:1.5pt" o:hralign="center" o:hrstd="t" o:hr="t"/>
        </w:pict>
      </w:r>
    </w:p>
    <w:bookmarkEnd w:id="21"/>
    <w:bookmarkEnd w:id="22"/>
    <w:bookmarkStart w:id="23" w:name="strategic-objectives"/>
    <w:p>
      <w:pPr>
        <w:pStyle w:val="Heading1"/>
      </w:pPr>
      <w:r>
        <w:t xml:space="preserve">32.2 Strategic Objectives</w:t>
      </w:r>
    </w:p>
    <w:p>
      <w:pPr>
        <w:pStyle w:val="FirstParagraph"/>
      </w:pPr>
      <w:r>
        <w:t xml:space="preserve">The platform seeks to:</w:t>
      </w:r>
    </w:p>
    <w:p>
      <w:pPr>
        <w:pStyle w:val="Compact"/>
        <w:numPr>
          <w:ilvl w:val="0"/>
          <w:numId w:val="1001"/>
        </w:numPr>
      </w:pPr>
      <w:r>
        <w:t xml:space="preserve">Strengthen institutional accountability.</w:t>
      </w:r>
    </w:p>
    <w:p>
      <w:pPr>
        <w:pStyle w:val="Compact"/>
        <w:numPr>
          <w:ilvl w:val="0"/>
          <w:numId w:val="1001"/>
        </w:numPr>
      </w:pPr>
      <w:r>
        <w:t xml:space="preserve">Improve programme monitoring.</w:t>
      </w:r>
    </w:p>
    <w:p>
      <w:pPr>
        <w:pStyle w:val="Compact"/>
        <w:numPr>
          <w:ilvl w:val="0"/>
          <w:numId w:val="1001"/>
        </w:numPr>
      </w:pPr>
      <w:r>
        <w:t xml:space="preserve">Measure implementation performance.</w:t>
      </w:r>
    </w:p>
    <w:p>
      <w:pPr>
        <w:pStyle w:val="Compact"/>
        <w:numPr>
          <w:ilvl w:val="0"/>
          <w:numId w:val="1001"/>
        </w:numPr>
      </w:pPr>
      <w:r>
        <w:t xml:space="preserve">Support compliance verification.</w:t>
      </w:r>
    </w:p>
    <w:p>
      <w:pPr>
        <w:pStyle w:val="Compact"/>
        <w:numPr>
          <w:ilvl w:val="0"/>
          <w:numId w:val="1001"/>
        </w:numPr>
      </w:pPr>
      <w:r>
        <w:t xml:space="preserve">Enhance audit readiness.</w:t>
      </w:r>
    </w:p>
    <w:p>
      <w:pPr>
        <w:pStyle w:val="Compact"/>
        <w:numPr>
          <w:ilvl w:val="0"/>
          <w:numId w:val="1001"/>
        </w:numPr>
      </w:pPr>
      <w:r>
        <w:t xml:space="preserve">Detect operational risks early.</w:t>
      </w:r>
    </w:p>
    <w:p>
      <w:pPr>
        <w:pStyle w:val="Compact"/>
        <w:numPr>
          <w:ilvl w:val="0"/>
          <w:numId w:val="1001"/>
        </w:numPr>
      </w:pPr>
      <w:r>
        <w:t xml:space="preserve">Improve Value-for-Money assessment.</w:t>
      </w:r>
    </w:p>
    <w:p>
      <w:pPr>
        <w:pStyle w:val="Compact"/>
        <w:numPr>
          <w:ilvl w:val="0"/>
          <w:numId w:val="1001"/>
        </w:numPr>
      </w:pPr>
      <w:r>
        <w:t xml:space="preserve">Support continuous improvement.</w:t>
      </w:r>
    </w:p>
    <w:p>
      <w:r>
        <w:pict>
          <v:rect style="width:0;height:1.5pt" o:hralign="center" o:hrstd="t" o:hr="t"/>
        </w:pict>
      </w:r>
    </w:p>
    <w:bookmarkEnd w:id="23"/>
    <w:bookmarkStart w:id="24" w:name="governance-framework"/>
    <w:p>
      <w:pPr>
        <w:pStyle w:val="Heading1"/>
      </w:pPr>
      <w:r>
        <w:t xml:space="preserve">32.3 Governance Framework</w:t>
      </w:r>
    </w:p>
    <w:p>
      <w:pPr>
        <w:pStyle w:val="SourceCode"/>
      </w:pPr>
      <w:r>
        <w:rPr>
          <w:rStyle w:val="VerbatimChar"/>
        </w:rPr>
        <w:t xml:space="preserve">Policy &amp; Standards</w:t>
      </w:r>
      <w:r>
        <w:br/>
      </w:r>
      <w:r>
        <w:rPr>
          <w:rStyle w:val="VerbatimChar"/>
        </w:rPr>
        <w:t xml:space="preserve">        │</w:t>
      </w:r>
      <w:r>
        <w:br/>
      </w:r>
      <w:r>
        <w:rPr>
          <w:rStyle w:val="VerbatimChar"/>
        </w:rPr>
        <w:t xml:space="preserve">        ▼</w:t>
      </w:r>
      <w:r>
        <w:br/>
      </w:r>
      <w:r>
        <w:rPr>
          <w:rStyle w:val="VerbatimChar"/>
        </w:rPr>
        <w:t xml:space="preserve">Operational Activities</w:t>
      </w:r>
      <w:r>
        <w:br/>
      </w:r>
      <w:r>
        <w:rPr>
          <w:rStyle w:val="VerbatimChar"/>
        </w:rPr>
        <w:t xml:space="preserve">        │</w:t>
      </w:r>
      <w:r>
        <w:br/>
      </w:r>
      <w:r>
        <w:rPr>
          <w:rStyle w:val="VerbatimChar"/>
        </w:rPr>
        <w:t xml:space="preserve">        ▼</w:t>
      </w:r>
      <w:r>
        <w:br/>
      </w:r>
      <w:r>
        <w:rPr>
          <w:rStyle w:val="VerbatimChar"/>
        </w:rPr>
        <w:t xml:space="preserve">Monitoring</w:t>
      </w:r>
      <w:r>
        <w:br/>
      </w:r>
      <w:r>
        <w:rPr>
          <w:rStyle w:val="VerbatimChar"/>
        </w:rPr>
        <w:t xml:space="preserve">        │</w:t>
      </w:r>
      <w:r>
        <w:br/>
      </w:r>
      <w:r>
        <w:rPr>
          <w:rStyle w:val="VerbatimChar"/>
        </w:rPr>
        <w:t xml:space="preserve">        ▼</w:t>
      </w:r>
      <w:r>
        <w:br/>
      </w:r>
      <w:r>
        <w:rPr>
          <w:rStyle w:val="VerbatimChar"/>
        </w:rPr>
        <w:t xml:space="preserve">Compliance Assessment</w:t>
      </w:r>
      <w:r>
        <w:br/>
      </w:r>
      <w:r>
        <w:rPr>
          <w:rStyle w:val="VerbatimChar"/>
        </w:rPr>
        <w:t xml:space="preserve">        │</w:t>
      </w:r>
      <w:r>
        <w:br/>
      </w:r>
      <w:r>
        <w:rPr>
          <w:rStyle w:val="VerbatimChar"/>
        </w:rPr>
        <w:t xml:space="preserve">        ▼</w:t>
      </w:r>
      <w:r>
        <w:br/>
      </w:r>
      <w:r>
        <w:rPr>
          <w:rStyle w:val="VerbatimChar"/>
        </w:rPr>
        <w:t xml:space="preserve">Performance Evaluation</w:t>
      </w:r>
      <w:r>
        <w:br/>
      </w:r>
      <w:r>
        <w:rPr>
          <w:rStyle w:val="VerbatimChar"/>
        </w:rPr>
        <w:t xml:space="preserve">        │</w:t>
      </w:r>
      <w:r>
        <w:br/>
      </w:r>
      <w:r>
        <w:rPr>
          <w:rStyle w:val="VerbatimChar"/>
        </w:rPr>
        <w:t xml:space="preserve">        ▼</w:t>
      </w:r>
      <w:r>
        <w:br/>
      </w:r>
      <w:r>
        <w:rPr>
          <w:rStyle w:val="VerbatimChar"/>
        </w:rPr>
        <w:t xml:space="preserve">Audit &amp; Assurance</w:t>
      </w:r>
      <w:r>
        <w:br/>
      </w:r>
      <w:r>
        <w:rPr>
          <w:rStyle w:val="VerbatimChar"/>
        </w:rPr>
        <w:t xml:space="preserve">        │</w:t>
      </w:r>
      <w:r>
        <w:br/>
      </w:r>
      <w:r>
        <w:rPr>
          <w:rStyle w:val="VerbatimChar"/>
        </w:rPr>
        <w:t xml:space="preserve">        ▼</w:t>
      </w:r>
      <w:r>
        <w:br/>
      </w:r>
      <w:r>
        <w:rPr>
          <w:rStyle w:val="VerbatimChar"/>
        </w:rPr>
        <w:t xml:space="preserve">Corrective Actions</w:t>
      </w:r>
      <w:r>
        <w:br/>
      </w:r>
      <w:r>
        <w:rPr>
          <w:rStyle w:val="VerbatimChar"/>
        </w:rPr>
        <w:t xml:space="preserve">        │</w:t>
      </w:r>
      <w:r>
        <w:br/>
      </w:r>
      <w:r>
        <w:rPr>
          <w:rStyle w:val="VerbatimChar"/>
        </w:rPr>
        <w:t xml:space="preserve">        ▼</w:t>
      </w:r>
      <w:r>
        <w:br/>
      </w:r>
      <w:r>
        <w:rPr>
          <w:rStyle w:val="VerbatimChar"/>
        </w:rPr>
        <w:t xml:space="preserve">Continuous Improvement</w:t>
      </w:r>
    </w:p>
    <w:p>
      <w:pPr>
        <w:pStyle w:val="FirstParagraph"/>
      </w:pPr>
      <w:r>
        <w:t xml:space="preserve">Each stage contributes to stronger governance and institutional learning.</w:t>
      </w:r>
    </w:p>
    <w:p>
      <w:r>
        <w:pict>
          <v:rect style="width:0;height:1.5pt" o:hralign="center" o:hrstd="t" o:hr="t"/>
        </w:pict>
      </w:r>
    </w:p>
    <w:bookmarkEnd w:id="24"/>
    <w:bookmarkStart w:id="31" w:name="monitoring-domains"/>
    <w:p>
      <w:pPr>
        <w:pStyle w:val="Heading1"/>
      </w:pPr>
      <w:r>
        <w:t xml:space="preserve">32.4 Monitoring Domains</w:t>
      </w:r>
    </w:p>
    <w:p>
      <w:pPr>
        <w:pStyle w:val="FirstParagraph"/>
      </w:pPr>
      <w:r>
        <w:t xml:space="preserve">The platform monitors multiple operational domains.</w:t>
      </w:r>
    </w:p>
    <w:bookmarkStart w:id="25" w:name="programme-implementation"/>
    <w:p>
      <w:pPr>
        <w:pStyle w:val="Heading3"/>
      </w:pPr>
      <w:r>
        <w:t xml:space="preserve">Programme Implementation</w:t>
      </w:r>
    </w:p>
    <w:p>
      <w:pPr>
        <w:pStyle w:val="Compact"/>
        <w:numPr>
          <w:ilvl w:val="0"/>
          <w:numId w:val="1002"/>
        </w:numPr>
      </w:pPr>
      <w:r>
        <w:t xml:space="preserve">Rollout progress.</w:t>
      </w:r>
    </w:p>
    <w:p>
      <w:pPr>
        <w:pStyle w:val="Compact"/>
        <w:numPr>
          <w:ilvl w:val="0"/>
          <w:numId w:val="1002"/>
        </w:numPr>
      </w:pPr>
      <w:r>
        <w:t xml:space="preserve">School onboarding.</w:t>
      </w:r>
    </w:p>
    <w:p>
      <w:pPr>
        <w:pStyle w:val="Compact"/>
        <w:numPr>
          <w:ilvl w:val="0"/>
          <w:numId w:val="1002"/>
        </w:numPr>
      </w:pPr>
      <w:r>
        <w:t xml:space="preserve">Regional implementation status.</w:t>
      </w:r>
    </w:p>
    <w:p>
      <w:pPr>
        <w:pStyle w:val="Compact"/>
        <w:numPr>
          <w:ilvl w:val="0"/>
          <w:numId w:val="1002"/>
        </w:numPr>
      </w:pPr>
      <w:r>
        <w:t xml:space="preserve">Training completion.</w:t>
      </w:r>
    </w:p>
    <w:p>
      <w:r>
        <w:pict>
          <v:rect style="width:0;height:1.5pt" o:hralign="center" o:hrstd="t" o:hr="t"/>
        </w:pict>
      </w:r>
    </w:p>
    <w:bookmarkEnd w:id="25"/>
    <w:bookmarkStart w:id="26" w:name="textbook-lifecycle"/>
    <w:p>
      <w:pPr>
        <w:pStyle w:val="Heading3"/>
      </w:pPr>
      <w:r>
        <w:t xml:space="preserve">Textbook Lifecycle</w:t>
      </w:r>
    </w:p>
    <w:p>
      <w:pPr>
        <w:pStyle w:val="Compact"/>
        <w:numPr>
          <w:ilvl w:val="0"/>
          <w:numId w:val="1003"/>
        </w:numPr>
      </w:pPr>
      <w:r>
        <w:t xml:space="preserve">Procurement.</w:t>
      </w:r>
    </w:p>
    <w:p>
      <w:pPr>
        <w:pStyle w:val="Compact"/>
        <w:numPr>
          <w:ilvl w:val="0"/>
          <w:numId w:val="1003"/>
        </w:numPr>
      </w:pPr>
      <w:r>
        <w:t xml:space="preserve">Distribution.</w:t>
      </w:r>
    </w:p>
    <w:p>
      <w:pPr>
        <w:pStyle w:val="Compact"/>
        <w:numPr>
          <w:ilvl w:val="0"/>
          <w:numId w:val="1003"/>
        </w:numPr>
      </w:pPr>
      <w:r>
        <w:t xml:space="preserve">Inventory.</w:t>
      </w:r>
    </w:p>
    <w:p>
      <w:pPr>
        <w:pStyle w:val="Compact"/>
        <w:numPr>
          <w:ilvl w:val="0"/>
          <w:numId w:val="1003"/>
        </w:numPr>
      </w:pPr>
      <w:r>
        <w:t xml:space="preserve">Student allocation.</w:t>
      </w:r>
    </w:p>
    <w:p>
      <w:pPr>
        <w:pStyle w:val="Compact"/>
        <w:numPr>
          <w:ilvl w:val="0"/>
          <w:numId w:val="1003"/>
        </w:numPr>
      </w:pPr>
      <w:r>
        <w:t xml:space="preserve">Returns.</w:t>
      </w:r>
    </w:p>
    <w:p>
      <w:pPr>
        <w:pStyle w:val="Compact"/>
        <w:numPr>
          <w:ilvl w:val="0"/>
          <w:numId w:val="1003"/>
        </w:numPr>
      </w:pPr>
      <w:r>
        <w:t xml:space="preserve">Replacement.</w:t>
      </w:r>
    </w:p>
    <w:p>
      <w:r>
        <w:pict>
          <v:rect style="width:0;height:1.5pt" o:hralign="center" o:hrstd="t" o:hr="t"/>
        </w:pict>
      </w:r>
    </w:p>
    <w:bookmarkEnd w:id="26"/>
    <w:bookmarkStart w:id="27" w:name="logistics"/>
    <w:p>
      <w:pPr>
        <w:pStyle w:val="Heading3"/>
      </w:pPr>
      <w:r>
        <w:t xml:space="preserve">Logistics</w:t>
      </w:r>
    </w:p>
    <w:p>
      <w:pPr>
        <w:pStyle w:val="Compact"/>
        <w:numPr>
          <w:ilvl w:val="0"/>
          <w:numId w:val="1004"/>
        </w:numPr>
      </w:pPr>
      <w:r>
        <w:t xml:space="preserve">Delivery performance.</w:t>
      </w:r>
    </w:p>
    <w:p>
      <w:pPr>
        <w:pStyle w:val="Compact"/>
        <w:numPr>
          <w:ilvl w:val="0"/>
          <w:numId w:val="1004"/>
        </w:numPr>
      </w:pPr>
      <w:r>
        <w:t xml:space="preserve">Warehouse efficiency.</w:t>
      </w:r>
    </w:p>
    <w:p>
      <w:pPr>
        <w:pStyle w:val="Compact"/>
        <w:numPr>
          <w:ilvl w:val="0"/>
          <w:numId w:val="1004"/>
        </w:numPr>
      </w:pPr>
      <w:r>
        <w:t xml:space="preserve">Redistribution activities.</w:t>
      </w:r>
    </w:p>
    <w:p>
      <w:pPr>
        <w:pStyle w:val="Compact"/>
        <w:numPr>
          <w:ilvl w:val="0"/>
          <w:numId w:val="1004"/>
        </w:numPr>
      </w:pPr>
      <w:r>
        <w:t xml:space="preserve">Shipment tracking.</w:t>
      </w:r>
    </w:p>
    <w:p>
      <w:r>
        <w:pict>
          <v:rect style="width:0;height:1.5pt" o:hralign="center" o:hrstd="t" o:hr="t"/>
        </w:pict>
      </w:r>
    </w:p>
    <w:bookmarkEnd w:id="27"/>
    <w:bookmarkStart w:id="28" w:name="school-operations"/>
    <w:p>
      <w:pPr>
        <w:pStyle w:val="Heading3"/>
      </w:pPr>
      <w:r>
        <w:t xml:space="preserve">School Operations</w:t>
      </w:r>
    </w:p>
    <w:p>
      <w:pPr>
        <w:pStyle w:val="Compact"/>
        <w:numPr>
          <w:ilvl w:val="0"/>
          <w:numId w:val="1005"/>
        </w:numPr>
      </w:pPr>
      <w:r>
        <w:t xml:space="preserve">Reporting compliance.</w:t>
      </w:r>
    </w:p>
    <w:p>
      <w:pPr>
        <w:pStyle w:val="Compact"/>
        <w:numPr>
          <w:ilvl w:val="0"/>
          <w:numId w:val="1005"/>
        </w:numPr>
      </w:pPr>
      <w:r>
        <w:t xml:space="preserve">Inventory verification.</w:t>
      </w:r>
    </w:p>
    <w:p>
      <w:pPr>
        <w:pStyle w:val="Compact"/>
        <w:numPr>
          <w:ilvl w:val="0"/>
          <w:numId w:val="1005"/>
        </w:numPr>
      </w:pPr>
      <w:r>
        <w:t xml:space="preserve">Resource utilization.</w:t>
      </w:r>
    </w:p>
    <w:p>
      <w:pPr>
        <w:pStyle w:val="Compact"/>
        <w:numPr>
          <w:ilvl w:val="0"/>
          <w:numId w:val="1005"/>
        </w:numPr>
      </w:pPr>
      <w:r>
        <w:t xml:space="preserve">Maintenance.</w:t>
      </w:r>
    </w:p>
    <w:p>
      <w:r>
        <w:pict>
          <v:rect style="width:0;height:1.5pt" o:hralign="center" o:hrstd="t" o:hr="t"/>
        </w:pict>
      </w:r>
    </w:p>
    <w:bookmarkEnd w:id="28"/>
    <w:bookmarkStart w:id="29" w:name="financial-oversight"/>
    <w:p>
      <w:pPr>
        <w:pStyle w:val="Heading3"/>
      </w:pPr>
      <w:r>
        <w:t xml:space="preserve">Financial Oversight</w:t>
      </w:r>
    </w:p>
    <w:p>
      <w:pPr>
        <w:pStyle w:val="Compact"/>
        <w:numPr>
          <w:ilvl w:val="0"/>
          <w:numId w:val="1006"/>
        </w:numPr>
      </w:pPr>
      <w:r>
        <w:t xml:space="preserve">Budget utilization.</w:t>
      </w:r>
    </w:p>
    <w:p>
      <w:pPr>
        <w:pStyle w:val="Compact"/>
        <w:numPr>
          <w:ilvl w:val="0"/>
          <w:numId w:val="1006"/>
        </w:numPr>
      </w:pPr>
      <w:r>
        <w:t xml:space="preserve">Procurement commitments.</w:t>
      </w:r>
    </w:p>
    <w:p>
      <w:pPr>
        <w:pStyle w:val="Compact"/>
        <w:numPr>
          <w:ilvl w:val="0"/>
          <w:numId w:val="1006"/>
        </w:numPr>
      </w:pPr>
      <w:r>
        <w:t xml:space="preserve">Contract implementation.</w:t>
      </w:r>
    </w:p>
    <w:p>
      <w:pPr>
        <w:pStyle w:val="Compact"/>
        <w:numPr>
          <w:ilvl w:val="0"/>
          <w:numId w:val="1006"/>
        </w:numPr>
      </w:pPr>
      <w:r>
        <w:t xml:space="preserve">Operational expenditures (where integrated).</w:t>
      </w:r>
    </w:p>
    <w:p>
      <w:r>
        <w:pict>
          <v:rect style="width:0;height:1.5pt" o:hralign="center" o:hrstd="t" o:hr="t"/>
        </w:pict>
      </w:r>
    </w:p>
    <w:bookmarkEnd w:id="29"/>
    <w:bookmarkStart w:id="30" w:name="institutional-performance"/>
    <w:p>
      <w:pPr>
        <w:pStyle w:val="Heading3"/>
      </w:pPr>
      <w:r>
        <w:t xml:space="preserve">Institutional Performance</w:t>
      </w:r>
    </w:p>
    <w:p>
      <w:pPr>
        <w:pStyle w:val="Compact"/>
        <w:numPr>
          <w:ilvl w:val="0"/>
          <w:numId w:val="1007"/>
        </w:numPr>
      </w:pPr>
      <w:r>
        <w:t xml:space="preserve">User adoption.</w:t>
      </w:r>
    </w:p>
    <w:p>
      <w:pPr>
        <w:pStyle w:val="Compact"/>
        <w:numPr>
          <w:ilvl w:val="0"/>
          <w:numId w:val="1007"/>
        </w:numPr>
      </w:pPr>
      <w:r>
        <w:t xml:space="preserve">System utilization.</w:t>
      </w:r>
    </w:p>
    <w:p>
      <w:pPr>
        <w:pStyle w:val="Compact"/>
        <w:numPr>
          <w:ilvl w:val="0"/>
          <w:numId w:val="1007"/>
        </w:numPr>
      </w:pPr>
      <w:r>
        <w:t xml:space="preserve">Workflow efficiency.</w:t>
      </w:r>
    </w:p>
    <w:p>
      <w:pPr>
        <w:pStyle w:val="Compact"/>
        <w:numPr>
          <w:ilvl w:val="0"/>
          <w:numId w:val="1007"/>
        </w:numPr>
      </w:pPr>
      <w:r>
        <w:t xml:space="preserve">Reporting timeliness.</w:t>
      </w:r>
    </w:p>
    <w:p>
      <w:r>
        <w:pict>
          <v:rect style="width:0;height:1.5pt" o:hralign="center" o:hrstd="t" o:hr="t"/>
        </w:pict>
      </w:r>
    </w:p>
    <w:bookmarkEnd w:id="30"/>
    <w:bookmarkEnd w:id="31"/>
    <w:bookmarkStart w:id="32" w:name="compliance-management"/>
    <w:p>
      <w:pPr>
        <w:pStyle w:val="Heading1"/>
      </w:pPr>
      <w:r>
        <w:t xml:space="preserve">32.5 Compliance Management</w:t>
      </w:r>
    </w:p>
    <w:p>
      <w:pPr>
        <w:pStyle w:val="FirstParagraph"/>
      </w:pPr>
      <w:r>
        <w:t xml:space="preserve">Compliance monitoring includes:</w:t>
      </w:r>
    </w:p>
    <w:p>
      <w:pPr>
        <w:pStyle w:val="Compact"/>
        <w:numPr>
          <w:ilvl w:val="0"/>
          <w:numId w:val="1008"/>
        </w:numPr>
      </w:pPr>
      <w:r>
        <w:t xml:space="preserve">Ministry policies.</w:t>
      </w:r>
    </w:p>
    <w:p>
      <w:pPr>
        <w:pStyle w:val="Compact"/>
        <w:numPr>
          <w:ilvl w:val="0"/>
          <w:numId w:val="1008"/>
        </w:numPr>
      </w:pPr>
      <w:r>
        <w:t xml:space="preserve">Operational procedures.</w:t>
      </w:r>
    </w:p>
    <w:p>
      <w:pPr>
        <w:pStyle w:val="Compact"/>
        <w:numPr>
          <w:ilvl w:val="0"/>
          <w:numId w:val="1008"/>
        </w:numPr>
      </w:pPr>
      <w:r>
        <w:t xml:space="preserve">Inventory controls.</w:t>
      </w:r>
    </w:p>
    <w:p>
      <w:pPr>
        <w:pStyle w:val="Compact"/>
        <w:numPr>
          <w:ilvl w:val="0"/>
          <w:numId w:val="1008"/>
        </w:numPr>
      </w:pPr>
      <w:r>
        <w:t xml:space="preserve">Approval workflows.</w:t>
      </w:r>
    </w:p>
    <w:p>
      <w:pPr>
        <w:pStyle w:val="Compact"/>
        <w:numPr>
          <w:ilvl w:val="0"/>
          <w:numId w:val="1008"/>
        </w:numPr>
      </w:pPr>
      <w:r>
        <w:t xml:space="preserve">Reporting obligations.</w:t>
      </w:r>
    </w:p>
    <w:p>
      <w:pPr>
        <w:pStyle w:val="Compact"/>
        <w:numPr>
          <w:ilvl w:val="0"/>
          <w:numId w:val="1008"/>
        </w:numPr>
      </w:pPr>
      <w:r>
        <w:t xml:space="preserve">Document management requirements.</w:t>
      </w:r>
    </w:p>
    <w:p>
      <w:pPr>
        <w:pStyle w:val="Compact"/>
        <w:numPr>
          <w:ilvl w:val="0"/>
          <w:numId w:val="1008"/>
        </w:numPr>
      </w:pPr>
      <w:r>
        <w:t xml:space="preserve">Security policies.</w:t>
      </w:r>
    </w:p>
    <w:p>
      <w:pPr>
        <w:pStyle w:val="Compact"/>
        <w:numPr>
          <w:ilvl w:val="0"/>
          <w:numId w:val="1008"/>
        </w:numPr>
      </w:pPr>
      <w:r>
        <w:t xml:space="preserve">Data governance standards.</w:t>
      </w:r>
    </w:p>
    <w:p>
      <w:pPr>
        <w:pStyle w:val="FirstParagraph"/>
      </w:pPr>
      <w:r>
        <w:t xml:space="preserve">The platform records compliance status and identifies exceptions requiring attention.</w:t>
      </w:r>
    </w:p>
    <w:p>
      <w:r>
        <w:pict>
          <v:rect style="width:0;height:1.5pt" o:hralign="center" o:hrstd="t" o:hr="t"/>
        </w:pict>
      </w:r>
    </w:p>
    <w:bookmarkEnd w:id="32"/>
    <w:bookmarkStart w:id="33" w:name="audit-management"/>
    <w:p>
      <w:pPr>
        <w:pStyle w:val="Heading1"/>
      </w:pPr>
      <w:r>
        <w:t xml:space="preserve">32.6 Audit Management</w:t>
      </w:r>
    </w:p>
    <w:p>
      <w:pPr>
        <w:pStyle w:val="FirstParagraph"/>
      </w:pPr>
      <w:r>
        <w:t xml:space="preserve">The Audit Module supports:</w:t>
      </w:r>
    </w:p>
    <w:p>
      <w:pPr>
        <w:pStyle w:val="Compact"/>
        <w:numPr>
          <w:ilvl w:val="0"/>
          <w:numId w:val="1009"/>
        </w:numPr>
      </w:pPr>
      <w:r>
        <w:t xml:space="preserve">Audit planning.</w:t>
      </w:r>
    </w:p>
    <w:p>
      <w:pPr>
        <w:pStyle w:val="Compact"/>
        <w:numPr>
          <w:ilvl w:val="0"/>
          <w:numId w:val="1009"/>
        </w:numPr>
      </w:pPr>
      <w:r>
        <w:t xml:space="preserve">Risk-based audit selection.</w:t>
      </w:r>
    </w:p>
    <w:p>
      <w:pPr>
        <w:pStyle w:val="Compact"/>
        <w:numPr>
          <w:ilvl w:val="0"/>
          <w:numId w:val="1009"/>
        </w:numPr>
      </w:pPr>
      <w:r>
        <w:t xml:space="preserve">Audit assignments.</w:t>
      </w:r>
    </w:p>
    <w:p>
      <w:pPr>
        <w:pStyle w:val="Compact"/>
        <w:numPr>
          <w:ilvl w:val="0"/>
          <w:numId w:val="1009"/>
        </w:numPr>
      </w:pPr>
      <w:r>
        <w:t xml:space="preserve">Digital working papers.</w:t>
      </w:r>
    </w:p>
    <w:p>
      <w:pPr>
        <w:pStyle w:val="Compact"/>
        <w:numPr>
          <w:ilvl w:val="0"/>
          <w:numId w:val="1009"/>
        </w:numPr>
      </w:pPr>
      <w:r>
        <w:t xml:space="preserve">Evidence collection.</w:t>
      </w:r>
    </w:p>
    <w:p>
      <w:pPr>
        <w:pStyle w:val="Compact"/>
        <w:numPr>
          <w:ilvl w:val="0"/>
          <w:numId w:val="1009"/>
        </w:numPr>
      </w:pPr>
      <w:r>
        <w:t xml:space="preserve">Findings management.</w:t>
      </w:r>
    </w:p>
    <w:p>
      <w:pPr>
        <w:pStyle w:val="Compact"/>
        <w:numPr>
          <w:ilvl w:val="0"/>
          <w:numId w:val="1009"/>
        </w:numPr>
      </w:pPr>
      <w:r>
        <w:t xml:space="preserve">Recommendations.</w:t>
      </w:r>
    </w:p>
    <w:p>
      <w:pPr>
        <w:pStyle w:val="Compact"/>
        <w:numPr>
          <w:ilvl w:val="0"/>
          <w:numId w:val="1009"/>
        </w:numPr>
      </w:pPr>
      <w:r>
        <w:t xml:space="preserve">Management responses.</w:t>
      </w:r>
    </w:p>
    <w:p>
      <w:pPr>
        <w:pStyle w:val="Compact"/>
        <w:numPr>
          <w:ilvl w:val="0"/>
          <w:numId w:val="1009"/>
        </w:numPr>
      </w:pPr>
      <w:r>
        <w:t xml:space="preserve">Follow-up verification.</w:t>
      </w:r>
    </w:p>
    <w:p>
      <w:pPr>
        <w:pStyle w:val="Compact"/>
        <w:numPr>
          <w:ilvl w:val="0"/>
          <w:numId w:val="1009"/>
        </w:numPr>
      </w:pPr>
      <w:r>
        <w:t xml:space="preserve">Audit closure.</w:t>
      </w:r>
    </w:p>
    <w:p>
      <w:pPr>
        <w:pStyle w:val="FirstParagraph"/>
      </w:pPr>
      <w:r>
        <w:t xml:space="preserve">All audit activities maintain complete traceability.</w:t>
      </w:r>
    </w:p>
    <w:p>
      <w:r>
        <w:pict>
          <v:rect style="width:0;height:1.5pt" o:hralign="center" o:hrstd="t" o:hr="t"/>
        </w:pict>
      </w:r>
    </w:p>
    <w:bookmarkEnd w:id="33"/>
    <w:bookmarkStart w:id="34" w:name="corrective-action-management"/>
    <w:p>
      <w:pPr>
        <w:pStyle w:val="Heading1"/>
      </w:pPr>
      <w:r>
        <w:t xml:space="preserve">32.7 Corrective Action Management</w:t>
      </w:r>
    </w:p>
    <w:p>
      <w:pPr>
        <w:pStyle w:val="FirstParagraph"/>
      </w:pPr>
      <w:r>
        <w:t xml:space="preserve">Every significant finding can generate a corrective action plan.</w:t>
      </w:r>
    </w:p>
    <w:p>
      <w:pPr>
        <w:pStyle w:val="BodyText"/>
      </w:pPr>
      <w:r>
        <w:t xml:space="preserve">Each corrective action includes:</w:t>
      </w:r>
    </w:p>
    <w:p>
      <w:pPr>
        <w:pStyle w:val="Compact"/>
        <w:numPr>
          <w:ilvl w:val="0"/>
          <w:numId w:val="1010"/>
        </w:numPr>
      </w:pPr>
      <w:r>
        <w:t xml:space="preserve">Reference number.</w:t>
      </w:r>
    </w:p>
    <w:p>
      <w:pPr>
        <w:pStyle w:val="Compact"/>
        <w:numPr>
          <w:ilvl w:val="0"/>
          <w:numId w:val="1010"/>
        </w:numPr>
      </w:pPr>
      <w:r>
        <w:t xml:space="preserve">Description.</w:t>
      </w:r>
    </w:p>
    <w:p>
      <w:pPr>
        <w:pStyle w:val="Compact"/>
        <w:numPr>
          <w:ilvl w:val="0"/>
          <w:numId w:val="1010"/>
        </w:numPr>
      </w:pPr>
      <w:r>
        <w:t xml:space="preserve">Responsible office.</w:t>
      </w:r>
    </w:p>
    <w:p>
      <w:pPr>
        <w:pStyle w:val="Compact"/>
        <w:numPr>
          <w:ilvl w:val="0"/>
          <w:numId w:val="1010"/>
        </w:numPr>
      </w:pPr>
      <w:r>
        <w:t xml:space="preserve">Responsible officer.</w:t>
      </w:r>
    </w:p>
    <w:p>
      <w:pPr>
        <w:pStyle w:val="Compact"/>
        <w:numPr>
          <w:ilvl w:val="0"/>
          <w:numId w:val="1010"/>
        </w:numPr>
      </w:pPr>
      <w:r>
        <w:t xml:space="preserve">Due date.</w:t>
      </w:r>
    </w:p>
    <w:p>
      <w:pPr>
        <w:pStyle w:val="Compact"/>
        <w:numPr>
          <w:ilvl w:val="0"/>
          <w:numId w:val="1010"/>
        </w:numPr>
      </w:pPr>
      <w:r>
        <w:t xml:space="preserve">Current status.</w:t>
      </w:r>
    </w:p>
    <w:p>
      <w:pPr>
        <w:pStyle w:val="Compact"/>
        <w:numPr>
          <w:ilvl w:val="0"/>
          <w:numId w:val="1010"/>
        </w:numPr>
      </w:pPr>
      <w:r>
        <w:t xml:space="preserve">Supporting evidence.</w:t>
      </w:r>
    </w:p>
    <w:p>
      <w:pPr>
        <w:pStyle w:val="Compact"/>
        <w:numPr>
          <w:ilvl w:val="0"/>
          <w:numId w:val="1010"/>
        </w:numPr>
      </w:pPr>
      <w:r>
        <w:t xml:space="preserve">Verification outcome.</w:t>
      </w:r>
    </w:p>
    <w:p>
      <w:pPr>
        <w:pStyle w:val="Compact"/>
        <w:numPr>
          <w:ilvl w:val="0"/>
          <w:numId w:val="1010"/>
        </w:numPr>
      </w:pPr>
      <w:r>
        <w:t xml:space="preserve">Closure approval.</w:t>
      </w:r>
    </w:p>
    <w:p>
      <w:r>
        <w:pict>
          <v:rect style="width:0;height:1.5pt" o:hralign="center" o:hrstd="t" o:hr="t"/>
        </w:pict>
      </w:r>
    </w:p>
    <w:bookmarkEnd w:id="34"/>
    <w:bookmarkStart w:id="35" w:name="risk-monitoring"/>
    <w:p>
      <w:pPr>
        <w:pStyle w:val="Heading1"/>
      </w:pPr>
      <w:r>
        <w:t xml:space="preserve">32.8 Risk Monitoring</w:t>
      </w:r>
    </w:p>
    <w:p>
      <w:pPr>
        <w:pStyle w:val="FirstParagraph"/>
      </w:pPr>
      <w:r>
        <w:t xml:space="preserve">The platform continuously evaluates operational risks.</w:t>
      </w:r>
    </w:p>
    <w:p>
      <w:pPr>
        <w:pStyle w:val="BodyText"/>
      </w:pPr>
      <w:r>
        <w:t xml:space="preserve">Illustrative risk indicators include:</w:t>
      </w:r>
    </w:p>
    <w:p>
      <w:pPr>
        <w:pStyle w:val="Compact"/>
        <w:numPr>
          <w:ilvl w:val="0"/>
          <w:numId w:val="1011"/>
        </w:numPr>
      </w:pPr>
      <w:r>
        <w:t xml:space="preserve">Repeated inventory discrepancies.</w:t>
      </w:r>
    </w:p>
    <w:p>
      <w:pPr>
        <w:pStyle w:val="Compact"/>
        <w:numPr>
          <w:ilvl w:val="0"/>
          <w:numId w:val="1011"/>
        </w:numPr>
      </w:pPr>
      <w:r>
        <w:t xml:space="preserve">Delayed distributions.</w:t>
      </w:r>
    </w:p>
    <w:p>
      <w:pPr>
        <w:pStyle w:val="Compact"/>
        <w:numPr>
          <w:ilvl w:val="0"/>
          <w:numId w:val="1011"/>
        </w:numPr>
      </w:pPr>
      <w:r>
        <w:t xml:space="preserve">Persistent reporting delays.</w:t>
      </w:r>
    </w:p>
    <w:p>
      <w:pPr>
        <w:pStyle w:val="Compact"/>
        <w:numPr>
          <w:ilvl w:val="0"/>
          <w:numId w:val="1011"/>
        </w:numPr>
      </w:pPr>
      <w:r>
        <w:t xml:space="preserve">High textbook loss rates.</w:t>
      </w:r>
    </w:p>
    <w:p>
      <w:pPr>
        <w:pStyle w:val="Compact"/>
        <w:numPr>
          <w:ilvl w:val="0"/>
          <w:numId w:val="1011"/>
        </w:numPr>
      </w:pPr>
      <w:r>
        <w:t xml:space="preserve">Low inspection coverage.</w:t>
      </w:r>
    </w:p>
    <w:p>
      <w:pPr>
        <w:pStyle w:val="Compact"/>
        <w:numPr>
          <w:ilvl w:val="0"/>
          <w:numId w:val="1011"/>
        </w:numPr>
      </w:pPr>
      <w:r>
        <w:t xml:space="preserve">Procurement schedule slippage.</w:t>
      </w:r>
    </w:p>
    <w:p>
      <w:pPr>
        <w:pStyle w:val="Compact"/>
        <w:numPr>
          <w:ilvl w:val="0"/>
          <w:numId w:val="1011"/>
        </w:numPr>
      </w:pPr>
      <w:r>
        <w:t xml:space="preserve">Synchronization failures.</w:t>
      </w:r>
    </w:p>
    <w:p>
      <w:pPr>
        <w:pStyle w:val="Compact"/>
        <w:numPr>
          <w:ilvl w:val="0"/>
          <w:numId w:val="1011"/>
        </w:numPr>
      </w:pPr>
      <w:r>
        <w:t xml:space="preserve">Repeated policy non-compliance.</w:t>
      </w:r>
    </w:p>
    <w:p>
      <w:pPr>
        <w:pStyle w:val="FirstParagraph"/>
      </w:pPr>
      <w:r>
        <w:t xml:space="preserve">Risk indicators are configurable and reviewed periodically.</w:t>
      </w:r>
    </w:p>
    <w:p>
      <w:r>
        <w:pict>
          <v:rect style="width:0;height:1.5pt" o:hralign="center" o:hrstd="t" o:hr="t"/>
        </w:pict>
      </w:r>
    </w:p>
    <w:bookmarkEnd w:id="35"/>
    <w:bookmarkStart w:id="42" w:name="functional-requirements"/>
    <w:p>
      <w:pPr>
        <w:pStyle w:val="Heading1"/>
      </w:pPr>
      <w:r>
        <w:t xml:space="preserve">32.9 Functional Requirements</w:t>
      </w:r>
    </w:p>
    <w:bookmarkStart w:id="36" w:name="fr-mon-001"/>
    <w:p>
      <w:pPr>
        <w:pStyle w:val="Heading3"/>
      </w:pPr>
      <w:r>
        <w:t xml:space="preserve">FR-MON-001</w:t>
      </w:r>
    </w:p>
    <w:p>
      <w:pPr>
        <w:pStyle w:val="FirstParagraph"/>
      </w:pPr>
      <w:r>
        <w:t xml:space="preserve">Programme Monitoring</w:t>
      </w:r>
    </w:p>
    <w:p>
      <w:pPr>
        <w:pStyle w:val="BodyText"/>
      </w:pPr>
      <w:r>
        <w:t xml:space="preserve">Track implementation activities against approved plans.</w:t>
      </w:r>
    </w:p>
    <w:p>
      <w:r>
        <w:pict>
          <v:rect style="width:0;height:1.5pt" o:hralign="center" o:hrstd="t" o:hr="t"/>
        </w:pict>
      </w:r>
    </w:p>
    <w:bookmarkEnd w:id="36"/>
    <w:bookmarkStart w:id="37" w:name="fr-mon-002"/>
    <w:p>
      <w:pPr>
        <w:pStyle w:val="Heading3"/>
      </w:pPr>
      <w:r>
        <w:t xml:space="preserve">FR-MON-002</w:t>
      </w:r>
    </w:p>
    <w:p>
      <w:pPr>
        <w:pStyle w:val="FirstParagraph"/>
      </w:pPr>
      <w:r>
        <w:t xml:space="preserve">Compliance Assessment</w:t>
      </w:r>
    </w:p>
    <w:p>
      <w:pPr>
        <w:pStyle w:val="BodyText"/>
      </w:pPr>
      <w:r>
        <w:t xml:space="preserve">Measure compliance with ministry policies and operational procedures.</w:t>
      </w:r>
    </w:p>
    <w:p>
      <w:r>
        <w:pict>
          <v:rect style="width:0;height:1.5pt" o:hralign="center" o:hrstd="t" o:hr="t"/>
        </w:pict>
      </w:r>
    </w:p>
    <w:bookmarkEnd w:id="37"/>
    <w:bookmarkStart w:id="38" w:name="fr-mon-003"/>
    <w:p>
      <w:pPr>
        <w:pStyle w:val="Heading3"/>
      </w:pPr>
      <w:r>
        <w:t xml:space="preserve">FR-MON-003</w:t>
      </w:r>
    </w:p>
    <w:p>
      <w:pPr>
        <w:pStyle w:val="FirstParagraph"/>
      </w:pPr>
      <w:r>
        <w:t xml:space="preserve">Audit Planning</w:t>
      </w:r>
    </w:p>
    <w:p>
      <w:pPr>
        <w:pStyle w:val="BodyText"/>
      </w:pPr>
      <w:r>
        <w:t xml:space="preserve">Support planning and scheduling of internal and external audits.</w:t>
      </w:r>
    </w:p>
    <w:p>
      <w:r>
        <w:pict>
          <v:rect style="width:0;height:1.5pt" o:hralign="center" o:hrstd="t" o:hr="t"/>
        </w:pict>
      </w:r>
    </w:p>
    <w:bookmarkEnd w:id="38"/>
    <w:bookmarkStart w:id="39" w:name="fr-mon-004"/>
    <w:p>
      <w:pPr>
        <w:pStyle w:val="Heading3"/>
      </w:pPr>
      <w:r>
        <w:t xml:space="preserve">FR-MON-004</w:t>
      </w:r>
    </w:p>
    <w:p>
      <w:pPr>
        <w:pStyle w:val="FirstParagraph"/>
      </w:pPr>
      <w:r>
        <w:t xml:space="preserve">Evidence Management</w:t>
      </w:r>
    </w:p>
    <w:p>
      <w:pPr>
        <w:pStyle w:val="BodyText"/>
      </w:pPr>
      <w:r>
        <w:t xml:space="preserve">Store and manage audit evidence linked to operational records.</w:t>
      </w:r>
    </w:p>
    <w:p>
      <w:r>
        <w:pict>
          <v:rect style="width:0;height:1.5pt" o:hralign="center" o:hrstd="t" o:hr="t"/>
        </w:pict>
      </w:r>
    </w:p>
    <w:bookmarkEnd w:id="39"/>
    <w:bookmarkStart w:id="40" w:name="fr-mon-005"/>
    <w:p>
      <w:pPr>
        <w:pStyle w:val="Heading3"/>
      </w:pPr>
      <w:r>
        <w:t xml:space="preserve">FR-MON-005</w:t>
      </w:r>
    </w:p>
    <w:p>
      <w:pPr>
        <w:pStyle w:val="FirstParagraph"/>
      </w:pPr>
      <w:r>
        <w:t xml:space="preserve">Corrective Action Tracking</w:t>
      </w:r>
    </w:p>
    <w:p>
      <w:pPr>
        <w:pStyle w:val="BodyText"/>
      </w:pPr>
      <w:r>
        <w:t xml:space="preserve">Monitor implementation of recommendations until verified and closed.</w:t>
      </w:r>
    </w:p>
    <w:p>
      <w:r>
        <w:pict>
          <v:rect style="width:0;height:1.5pt" o:hralign="center" o:hrstd="t" o:hr="t"/>
        </w:pict>
      </w:r>
    </w:p>
    <w:bookmarkEnd w:id="40"/>
    <w:bookmarkStart w:id="41" w:name="fr-mon-006"/>
    <w:p>
      <w:pPr>
        <w:pStyle w:val="Heading3"/>
      </w:pPr>
      <w:r>
        <w:t xml:space="preserve">FR-MON-006</w:t>
      </w:r>
    </w:p>
    <w:p>
      <w:pPr>
        <w:pStyle w:val="FirstParagraph"/>
      </w:pPr>
      <w:r>
        <w:t xml:space="preserve">Performance Measurement</w:t>
      </w:r>
    </w:p>
    <w:p>
      <w:pPr>
        <w:pStyle w:val="BodyText"/>
      </w:pPr>
      <w:r>
        <w:t xml:space="preserve">Calculate and present approved Key Performance Indicators (KPIs).</w:t>
      </w:r>
    </w:p>
    <w:p>
      <w:r>
        <w:pict>
          <v:rect style="width:0;height:1.5pt" o:hralign="center" o:hrstd="t" o:hr="t"/>
        </w:pict>
      </w:r>
    </w:p>
    <w:bookmarkEnd w:id="41"/>
    <w:bookmarkEnd w:id="42"/>
    <w:bookmarkStart w:id="43" w:name="key-performance-indicators-illustrative"/>
    <w:p>
      <w:pPr>
        <w:pStyle w:val="Heading1"/>
      </w:pPr>
      <w:r>
        <w:t xml:space="preserve">32.10 Key Performance Indicators (Illustrative)</w:t>
      </w:r>
    </w:p>
    <w:p>
      <w:pPr>
        <w:pStyle w:val="FirstParagraph"/>
      </w:pPr>
      <w:r>
        <w:t xml:space="preserve">National indicators may include:</w:t>
      </w:r>
    </w:p>
    <w:p>
      <w:pPr>
        <w:pStyle w:val="Compact"/>
        <w:numPr>
          <w:ilvl w:val="0"/>
          <w:numId w:val="1012"/>
        </w:numPr>
      </w:pPr>
      <w:r>
        <w:t xml:space="preserve">Percentage of schools reporting on time.</w:t>
      </w:r>
    </w:p>
    <w:p>
      <w:pPr>
        <w:pStyle w:val="Compact"/>
        <w:numPr>
          <w:ilvl w:val="0"/>
          <w:numId w:val="1012"/>
        </w:numPr>
      </w:pPr>
      <w:r>
        <w:t xml:space="preserve">Textbook allocation coverage.</w:t>
      </w:r>
    </w:p>
    <w:p>
      <w:pPr>
        <w:pStyle w:val="Compact"/>
        <w:numPr>
          <w:ilvl w:val="0"/>
          <w:numId w:val="1012"/>
        </w:numPr>
      </w:pPr>
      <w:r>
        <w:t xml:space="preserve">Inventory accuracy.</w:t>
      </w:r>
    </w:p>
    <w:p>
      <w:pPr>
        <w:pStyle w:val="Compact"/>
        <w:numPr>
          <w:ilvl w:val="0"/>
          <w:numId w:val="1012"/>
        </w:numPr>
      </w:pPr>
      <w:r>
        <w:t xml:space="preserve">Distribution completion rate.</w:t>
      </w:r>
    </w:p>
    <w:p>
      <w:pPr>
        <w:pStyle w:val="Compact"/>
        <w:numPr>
          <w:ilvl w:val="0"/>
          <w:numId w:val="1012"/>
        </w:numPr>
      </w:pPr>
      <w:r>
        <w:t xml:space="preserve">Average procurement cycle time.</w:t>
      </w:r>
    </w:p>
    <w:p>
      <w:pPr>
        <w:pStyle w:val="Compact"/>
        <w:numPr>
          <w:ilvl w:val="0"/>
          <w:numId w:val="1012"/>
        </w:numPr>
      </w:pPr>
      <w:r>
        <w:t xml:space="preserve">Warehouse utilization.</w:t>
      </w:r>
    </w:p>
    <w:p>
      <w:pPr>
        <w:pStyle w:val="Compact"/>
        <w:numPr>
          <w:ilvl w:val="0"/>
          <w:numId w:val="1012"/>
        </w:numPr>
      </w:pPr>
      <w:r>
        <w:t xml:space="preserve">Outstanding corrective actions.</w:t>
      </w:r>
    </w:p>
    <w:p>
      <w:pPr>
        <w:pStyle w:val="Compact"/>
        <w:numPr>
          <w:ilvl w:val="0"/>
          <w:numId w:val="1012"/>
        </w:numPr>
      </w:pPr>
      <w:r>
        <w:t xml:space="preserve">System adoption rate.</w:t>
      </w:r>
    </w:p>
    <w:p>
      <w:pPr>
        <w:pStyle w:val="Compact"/>
        <w:numPr>
          <w:ilvl w:val="0"/>
          <w:numId w:val="1012"/>
        </w:numPr>
      </w:pPr>
      <w:r>
        <w:t xml:space="preserve">Synchronization success rate.</w:t>
      </w:r>
    </w:p>
    <w:p>
      <w:pPr>
        <w:pStyle w:val="Compact"/>
        <w:numPr>
          <w:ilvl w:val="0"/>
          <w:numId w:val="1012"/>
        </w:numPr>
      </w:pPr>
      <w:r>
        <w:t xml:space="preserve">Audit recommendation implementation rate.</w:t>
      </w:r>
    </w:p>
    <w:p>
      <w:r>
        <w:pict>
          <v:rect style="width:0;height:1.5pt" o:hralign="center" o:hrstd="t" o:hr="t"/>
        </w:pict>
      </w:r>
    </w:p>
    <w:bookmarkEnd w:id="43"/>
    <w:bookmarkStart w:id="44" w:name="value-for-money-vfm-monitoring"/>
    <w:p>
      <w:pPr>
        <w:pStyle w:val="Heading1"/>
      </w:pPr>
      <w:r>
        <w:t xml:space="preserve">32.11 Value-for-Money (VfM) Monitoring</w:t>
      </w:r>
    </w:p>
    <w:p>
      <w:pPr>
        <w:pStyle w:val="FirstParagraph"/>
      </w:pPr>
      <w:r>
        <w:t xml:space="preserve">The platform supports assessment of programme efficiency through indicators such as:</w:t>
      </w:r>
    </w:p>
    <w:p>
      <w:pPr>
        <w:pStyle w:val="Compact"/>
        <w:numPr>
          <w:ilvl w:val="0"/>
          <w:numId w:val="1013"/>
        </w:numPr>
      </w:pPr>
      <w:r>
        <w:t xml:space="preserve">Administrative effort reduction.</w:t>
      </w:r>
    </w:p>
    <w:p>
      <w:pPr>
        <w:pStyle w:val="Compact"/>
        <w:numPr>
          <w:ilvl w:val="0"/>
          <w:numId w:val="1013"/>
        </w:numPr>
      </w:pPr>
      <w:r>
        <w:t xml:space="preserve">Inventory loss trends.</w:t>
      </w:r>
    </w:p>
    <w:p>
      <w:pPr>
        <w:pStyle w:val="Compact"/>
        <w:numPr>
          <w:ilvl w:val="0"/>
          <w:numId w:val="1013"/>
        </w:numPr>
      </w:pPr>
      <w:r>
        <w:t xml:space="preserve">Distribution efficiency.</w:t>
      </w:r>
    </w:p>
    <w:p>
      <w:pPr>
        <w:pStyle w:val="Compact"/>
        <w:numPr>
          <w:ilvl w:val="0"/>
          <w:numId w:val="1013"/>
        </w:numPr>
      </w:pPr>
      <w:r>
        <w:t xml:space="preserve">Resource utilization.</w:t>
      </w:r>
    </w:p>
    <w:p>
      <w:pPr>
        <w:pStyle w:val="Compact"/>
        <w:numPr>
          <w:ilvl w:val="0"/>
          <w:numId w:val="1013"/>
        </w:numPr>
      </w:pPr>
      <w:r>
        <w:t xml:space="preserve">Operational turnaround times.</w:t>
      </w:r>
    </w:p>
    <w:p>
      <w:pPr>
        <w:pStyle w:val="Compact"/>
        <w:numPr>
          <w:ilvl w:val="0"/>
          <w:numId w:val="1013"/>
        </w:numPr>
      </w:pPr>
      <w:r>
        <w:t xml:space="preserve">Procurement performance.</w:t>
      </w:r>
    </w:p>
    <w:p>
      <w:pPr>
        <w:pStyle w:val="Compact"/>
        <w:numPr>
          <w:ilvl w:val="0"/>
          <w:numId w:val="1013"/>
        </w:numPr>
      </w:pPr>
      <w:r>
        <w:t xml:space="preserve">Cost avoidance through improved planning.</w:t>
      </w:r>
    </w:p>
    <w:p>
      <w:pPr>
        <w:pStyle w:val="FirstParagraph"/>
      </w:pPr>
      <w:r>
        <w:t xml:space="preserve">These indicators support management analysis and should be interpreted alongside qualitative assessments.</w:t>
      </w:r>
    </w:p>
    <w:p>
      <w:r>
        <w:pict>
          <v:rect style="width:0;height:1.5pt" o:hralign="center" o:hrstd="t" o:hr="t"/>
        </w:pict>
      </w:r>
    </w:p>
    <w:bookmarkEnd w:id="44"/>
    <w:bookmarkStart w:id="48" w:name="dashboards"/>
    <w:p>
      <w:pPr>
        <w:pStyle w:val="Heading1"/>
      </w:pPr>
      <w:r>
        <w:t xml:space="preserve">32.12 Dashboards</w:t>
      </w:r>
    </w:p>
    <w:bookmarkStart w:id="45" w:name="ministerial-dashboard"/>
    <w:p>
      <w:pPr>
        <w:pStyle w:val="Heading3"/>
      </w:pPr>
      <w:r>
        <w:t xml:space="preserve">Ministerial Dashboard</w:t>
      </w:r>
    </w:p>
    <w:p>
      <w:pPr>
        <w:pStyle w:val="Compact"/>
        <w:numPr>
          <w:ilvl w:val="0"/>
          <w:numId w:val="1014"/>
        </w:numPr>
      </w:pPr>
      <w:r>
        <w:t xml:space="preserve">National implementation progress.</w:t>
      </w:r>
    </w:p>
    <w:p>
      <w:pPr>
        <w:pStyle w:val="Compact"/>
        <w:numPr>
          <w:ilvl w:val="0"/>
          <w:numId w:val="1014"/>
        </w:numPr>
      </w:pPr>
      <w:r>
        <w:t xml:space="preserve">Strategic risks.</w:t>
      </w:r>
    </w:p>
    <w:p>
      <w:pPr>
        <w:pStyle w:val="Compact"/>
        <w:numPr>
          <w:ilvl w:val="0"/>
          <w:numId w:val="1014"/>
        </w:numPr>
      </w:pPr>
      <w:r>
        <w:t xml:space="preserve">Compliance summary.</w:t>
      </w:r>
    </w:p>
    <w:p>
      <w:pPr>
        <w:pStyle w:val="Compact"/>
        <w:numPr>
          <w:ilvl w:val="0"/>
          <w:numId w:val="1014"/>
        </w:numPr>
      </w:pPr>
      <w:r>
        <w:t xml:space="preserve">High-priority corrective actions.</w:t>
      </w:r>
    </w:p>
    <w:p>
      <w:pPr>
        <w:pStyle w:val="Compact"/>
        <w:numPr>
          <w:ilvl w:val="0"/>
          <w:numId w:val="1014"/>
        </w:numPr>
      </w:pPr>
      <w:r>
        <w:t xml:space="preserve">Programme performance.</w:t>
      </w:r>
    </w:p>
    <w:p>
      <w:r>
        <w:pict>
          <v:rect style="width:0;height:1.5pt" o:hralign="center" o:hrstd="t" o:hr="t"/>
        </w:pict>
      </w:r>
    </w:p>
    <w:bookmarkEnd w:id="45"/>
    <w:bookmarkStart w:id="46" w:name="monitoring-evaluation-dashboard"/>
    <w:p>
      <w:pPr>
        <w:pStyle w:val="Heading3"/>
      </w:pPr>
      <w:r>
        <w:t xml:space="preserve">Monitoring &amp; Evaluation Dashboard</w:t>
      </w:r>
    </w:p>
    <w:p>
      <w:pPr>
        <w:pStyle w:val="Compact"/>
        <w:numPr>
          <w:ilvl w:val="0"/>
          <w:numId w:val="1015"/>
        </w:numPr>
      </w:pPr>
      <w:r>
        <w:t xml:space="preserve">KPI trends.</w:t>
      </w:r>
    </w:p>
    <w:p>
      <w:pPr>
        <w:pStyle w:val="Compact"/>
        <w:numPr>
          <w:ilvl w:val="0"/>
          <w:numId w:val="1015"/>
        </w:numPr>
      </w:pPr>
      <w:r>
        <w:t xml:space="preserve">Regional comparisons.</w:t>
      </w:r>
    </w:p>
    <w:p>
      <w:pPr>
        <w:pStyle w:val="Compact"/>
        <w:numPr>
          <w:ilvl w:val="0"/>
          <w:numId w:val="1015"/>
        </w:numPr>
      </w:pPr>
      <w:r>
        <w:t xml:space="preserve">Reporting compliance.</w:t>
      </w:r>
    </w:p>
    <w:p>
      <w:pPr>
        <w:pStyle w:val="Compact"/>
        <w:numPr>
          <w:ilvl w:val="0"/>
          <w:numId w:val="1015"/>
        </w:numPr>
      </w:pPr>
      <w:r>
        <w:t xml:space="preserve">Indicator performance.</w:t>
      </w:r>
    </w:p>
    <w:p>
      <w:r>
        <w:pict>
          <v:rect style="width:0;height:1.5pt" o:hralign="center" o:hrstd="t" o:hr="t"/>
        </w:pict>
      </w:r>
    </w:p>
    <w:bookmarkEnd w:id="46"/>
    <w:bookmarkStart w:id="47" w:name="internal-audit-dashboard"/>
    <w:p>
      <w:pPr>
        <w:pStyle w:val="Heading3"/>
      </w:pPr>
      <w:r>
        <w:t xml:space="preserve">Internal Audit Dashboard</w:t>
      </w:r>
    </w:p>
    <w:p>
      <w:pPr>
        <w:pStyle w:val="Compact"/>
        <w:numPr>
          <w:ilvl w:val="0"/>
          <w:numId w:val="1016"/>
        </w:numPr>
      </w:pPr>
      <w:r>
        <w:t xml:space="preserve">Planned audits.</w:t>
      </w:r>
    </w:p>
    <w:p>
      <w:pPr>
        <w:pStyle w:val="Compact"/>
        <w:numPr>
          <w:ilvl w:val="0"/>
          <w:numId w:val="1016"/>
        </w:numPr>
      </w:pPr>
      <w:r>
        <w:t xml:space="preserve">Active audits.</w:t>
      </w:r>
    </w:p>
    <w:p>
      <w:pPr>
        <w:pStyle w:val="Compact"/>
        <w:numPr>
          <w:ilvl w:val="0"/>
          <w:numId w:val="1016"/>
        </w:numPr>
      </w:pPr>
      <w:r>
        <w:t xml:space="preserve">Outstanding findings.</w:t>
      </w:r>
    </w:p>
    <w:p>
      <w:pPr>
        <w:pStyle w:val="Compact"/>
        <w:numPr>
          <w:ilvl w:val="0"/>
          <w:numId w:val="1016"/>
        </w:numPr>
      </w:pPr>
      <w:r>
        <w:t xml:space="preserve">Corrective action status.</w:t>
      </w:r>
    </w:p>
    <w:p>
      <w:pPr>
        <w:pStyle w:val="Compact"/>
        <w:numPr>
          <w:ilvl w:val="0"/>
          <w:numId w:val="1016"/>
        </w:numPr>
      </w:pPr>
      <w:r>
        <w:t xml:space="preserve">Risk heat map.</w:t>
      </w:r>
    </w:p>
    <w:p>
      <w:r>
        <w:pict>
          <v:rect style="width:0;height:1.5pt" o:hralign="center" o:hrstd="t" o:hr="t"/>
        </w:pict>
      </w:r>
    </w:p>
    <w:bookmarkEnd w:id="47"/>
    <w:bookmarkEnd w:id="48"/>
    <w:bookmarkStart w:id="49" w:name="reports"/>
    <w:p>
      <w:pPr>
        <w:pStyle w:val="Heading1"/>
      </w:pPr>
      <w:r>
        <w:t xml:space="preserve">32.13 Reports</w:t>
      </w:r>
    </w:p>
    <w:p>
      <w:pPr>
        <w:pStyle w:val="FirstParagraph"/>
      </w:pPr>
      <w:r>
        <w:t xml:space="preserve">Illustrative reports include:</w:t>
      </w:r>
    </w:p>
    <w:p>
      <w:pPr>
        <w:pStyle w:val="Compact"/>
        <w:numPr>
          <w:ilvl w:val="0"/>
          <w:numId w:val="1017"/>
        </w:numPr>
      </w:pPr>
      <w:r>
        <w:t xml:space="preserve">National implementation report.</w:t>
      </w:r>
    </w:p>
    <w:p>
      <w:pPr>
        <w:pStyle w:val="Compact"/>
        <w:numPr>
          <w:ilvl w:val="0"/>
          <w:numId w:val="1017"/>
        </w:numPr>
      </w:pPr>
      <w:r>
        <w:t xml:space="preserve">Quarterly performance report.</w:t>
      </w:r>
    </w:p>
    <w:p>
      <w:pPr>
        <w:pStyle w:val="Compact"/>
        <w:numPr>
          <w:ilvl w:val="0"/>
          <w:numId w:val="1017"/>
        </w:numPr>
      </w:pPr>
      <w:r>
        <w:t xml:space="preserve">Compliance assessment report.</w:t>
      </w:r>
    </w:p>
    <w:p>
      <w:pPr>
        <w:pStyle w:val="Compact"/>
        <w:numPr>
          <w:ilvl w:val="0"/>
          <w:numId w:val="1017"/>
        </w:numPr>
      </w:pPr>
      <w:r>
        <w:t xml:space="preserve">Internal audit report.</w:t>
      </w:r>
    </w:p>
    <w:p>
      <w:pPr>
        <w:pStyle w:val="Compact"/>
        <w:numPr>
          <w:ilvl w:val="0"/>
          <w:numId w:val="1017"/>
        </w:numPr>
      </w:pPr>
      <w:r>
        <w:t xml:space="preserve">Corrective action register.</w:t>
      </w:r>
    </w:p>
    <w:p>
      <w:pPr>
        <w:pStyle w:val="Compact"/>
        <w:numPr>
          <w:ilvl w:val="0"/>
          <w:numId w:val="1017"/>
        </w:numPr>
      </w:pPr>
      <w:r>
        <w:t xml:space="preserve">Risk register.</w:t>
      </w:r>
    </w:p>
    <w:p>
      <w:pPr>
        <w:pStyle w:val="Compact"/>
        <w:numPr>
          <w:ilvl w:val="0"/>
          <w:numId w:val="1017"/>
        </w:numPr>
      </w:pPr>
      <w:r>
        <w:t xml:space="preserve">KPI scorecards.</w:t>
      </w:r>
    </w:p>
    <w:p>
      <w:pPr>
        <w:pStyle w:val="Compact"/>
        <w:numPr>
          <w:ilvl w:val="0"/>
          <w:numId w:val="1017"/>
        </w:numPr>
      </w:pPr>
      <w:r>
        <w:t xml:space="preserve">Value-for-Money summary.</w:t>
      </w:r>
    </w:p>
    <w:p>
      <w:r>
        <w:pict>
          <v:rect style="width:0;height:1.5pt" o:hralign="center" o:hrstd="t" o:hr="t"/>
        </w:pict>
      </w:r>
    </w:p>
    <w:bookmarkEnd w:id="49"/>
    <w:bookmarkStart w:id="50" w:name="notifications"/>
    <w:p>
      <w:pPr>
        <w:pStyle w:val="Heading1"/>
      </w:pPr>
      <w:r>
        <w:t xml:space="preserve">32.14 Notifications</w:t>
      </w:r>
    </w:p>
    <w:p>
      <w:pPr>
        <w:pStyle w:val="FirstParagraph"/>
      </w:pPr>
      <w:r>
        <w:t xml:space="preserve">Authorized users receive notifications for:</w:t>
      </w:r>
    </w:p>
    <w:p>
      <w:pPr>
        <w:pStyle w:val="Compact"/>
        <w:numPr>
          <w:ilvl w:val="0"/>
          <w:numId w:val="1018"/>
        </w:numPr>
      </w:pPr>
      <w:r>
        <w:t xml:space="preserve">Overdue corrective actions.</w:t>
      </w:r>
    </w:p>
    <w:p>
      <w:pPr>
        <w:pStyle w:val="Compact"/>
        <w:numPr>
          <w:ilvl w:val="0"/>
          <w:numId w:val="1018"/>
        </w:numPr>
      </w:pPr>
      <w:r>
        <w:t xml:space="preserve">High-risk operational events.</w:t>
      </w:r>
    </w:p>
    <w:p>
      <w:pPr>
        <w:pStyle w:val="Compact"/>
        <w:numPr>
          <w:ilvl w:val="0"/>
          <w:numId w:val="1018"/>
        </w:numPr>
      </w:pPr>
      <w:r>
        <w:t xml:space="preserve">Missed reporting deadlines.</w:t>
      </w:r>
    </w:p>
    <w:p>
      <w:pPr>
        <w:pStyle w:val="Compact"/>
        <w:numPr>
          <w:ilvl w:val="0"/>
          <w:numId w:val="1018"/>
        </w:numPr>
      </w:pPr>
      <w:r>
        <w:t xml:space="preserve">Audit assignments.</w:t>
      </w:r>
    </w:p>
    <w:p>
      <w:pPr>
        <w:pStyle w:val="Compact"/>
        <w:numPr>
          <w:ilvl w:val="0"/>
          <w:numId w:val="1018"/>
        </w:numPr>
      </w:pPr>
      <w:r>
        <w:t xml:space="preserve">Compliance exceptions.</w:t>
      </w:r>
    </w:p>
    <w:p>
      <w:pPr>
        <w:pStyle w:val="Compact"/>
        <w:numPr>
          <w:ilvl w:val="0"/>
          <w:numId w:val="1018"/>
        </w:numPr>
      </w:pPr>
      <w:r>
        <w:t xml:space="preserve">KPI threshold breaches.</w:t>
      </w:r>
    </w:p>
    <w:p>
      <w:r>
        <w:pict>
          <v:rect style="width:0;height:1.5pt" o:hralign="center" o:hrstd="t" o:hr="t"/>
        </w:pict>
      </w:r>
    </w:p>
    <w:bookmarkEnd w:id="50"/>
    <w:bookmarkStart w:id="51" w:name="integration-points"/>
    <w:p>
      <w:pPr>
        <w:pStyle w:val="Heading1"/>
      </w:pPr>
      <w:r>
        <w:t xml:space="preserve">32.15 Integration Points</w:t>
      </w:r>
    </w:p>
    <w:p>
      <w:pPr>
        <w:pStyle w:val="FirstParagraph"/>
      </w:pPr>
      <w:r>
        <w:t xml:space="preserve">The Monitoring, Evaluation, Compliance and Audit Platform integrates with:</w:t>
      </w:r>
    </w:p>
    <w:p>
      <w:pPr>
        <w:pStyle w:val="Compact"/>
        <w:numPr>
          <w:ilvl w:val="0"/>
          <w:numId w:val="1019"/>
        </w:numPr>
      </w:pPr>
      <w:r>
        <w:t xml:space="preserve">School Registry.</w:t>
      </w:r>
    </w:p>
    <w:p>
      <w:pPr>
        <w:pStyle w:val="Compact"/>
        <w:numPr>
          <w:ilvl w:val="0"/>
          <w:numId w:val="1019"/>
        </w:numPr>
      </w:pPr>
      <w:r>
        <w:t xml:space="preserve">Student Registry.</w:t>
      </w:r>
    </w:p>
    <w:p>
      <w:pPr>
        <w:pStyle w:val="Compact"/>
        <w:numPr>
          <w:ilvl w:val="0"/>
          <w:numId w:val="1019"/>
        </w:numPr>
      </w:pPr>
      <w:r>
        <w:t xml:space="preserve">Textbook Registry.</w:t>
      </w:r>
    </w:p>
    <w:p>
      <w:pPr>
        <w:pStyle w:val="Compact"/>
        <w:numPr>
          <w:ilvl w:val="0"/>
          <w:numId w:val="1019"/>
        </w:numPr>
      </w:pPr>
      <w:r>
        <w:t xml:space="preserve">Procurement.</w:t>
      </w:r>
    </w:p>
    <w:p>
      <w:pPr>
        <w:pStyle w:val="Compact"/>
        <w:numPr>
          <w:ilvl w:val="0"/>
          <w:numId w:val="1019"/>
        </w:numPr>
      </w:pPr>
      <w:r>
        <w:t xml:space="preserve">Warehouse Management.</w:t>
      </w:r>
    </w:p>
    <w:p>
      <w:pPr>
        <w:pStyle w:val="Compact"/>
        <w:numPr>
          <w:ilvl w:val="0"/>
          <w:numId w:val="1019"/>
        </w:numPr>
      </w:pPr>
      <w:r>
        <w:t xml:space="preserve">School Operations.</w:t>
      </w:r>
    </w:p>
    <w:p>
      <w:pPr>
        <w:pStyle w:val="Compact"/>
        <w:numPr>
          <w:ilvl w:val="0"/>
          <w:numId w:val="1019"/>
        </w:numPr>
      </w:pPr>
      <w:r>
        <w:t xml:space="preserve">Workflow Engine.</w:t>
      </w:r>
    </w:p>
    <w:p>
      <w:pPr>
        <w:pStyle w:val="Compact"/>
        <w:numPr>
          <w:ilvl w:val="0"/>
          <w:numId w:val="1019"/>
        </w:numPr>
      </w:pPr>
      <w:r>
        <w:t xml:space="preserve">Document Management.</w:t>
      </w:r>
    </w:p>
    <w:p>
      <w:pPr>
        <w:pStyle w:val="Compact"/>
        <w:numPr>
          <w:ilvl w:val="0"/>
          <w:numId w:val="1019"/>
        </w:numPr>
      </w:pPr>
      <w:r>
        <w:t xml:space="preserve">Analytics.</w:t>
      </w:r>
    </w:p>
    <w:p>
      <w:pPr>
        <w:pStyle w:val="Compact"/>
        <w:numPr>
          <w:ilvl w:val="0"/>
          <w:numId w:val="1019"/>
        </w:numPr>
      </w:pPr>
      <w:r>
        <w:t xml:space="preserve">Security and Audit Services.</w:t>
      </w:r>
    </w:p>
    <w:p>
      <w:pPr>
        <w:pStyle w:val="Compact"/>
        <w:numPr>
          <w:ilvl w:val="0"/>
          <w:numId w:val="1019"/>
        </w:numPr>
      </w:pPr>
      <w:r>
        <w:t xml:space="preserve">Interoperability Hub.</w:t>
      </w:r>
    </w:p>
    <w:p>
      <w:r>
        <w:pict>
          <v:rect style="width:0;height:1.5pt" o:hralign="center" o:hrstd="t" o:hr="t"/>
        </w:pict>
      </w:r>
    </w:p>
    <w:bookmarkEnd w:id="51"/>
    <w:bookmarkStart w:id="52" w:name="success-indicators"/>
    <w:p>
      <w:pPr>
        <w:pStyle w:val="Heading1"/>
      </w:pPr>
      <w:r>
        <w:t xml:space="preserve">32.16 Success Indicators</w:t>
      </w:r>
    </w:p>
    <w:p>
      <w:pPr>
        <w:pStyle w:val="FirstParagraph"/>
      </w:pPr>
      <w:r>
        <w:t xml:space="preserve">Examples include:</w:t>
      </w:r>
    </w:p>
    <w:p>
      <w:pPr>
        <w:pStyle w:val="Compact"/>
        <w:numPr>
          <w:ilvl w:val="0"/>
          <w:numId w:val="1020"/>
        </w:numPr>
      </w:pPr>
      <w:r>
        <w:t xml:space="preserve">Percentage of KPIs reported on time.</w:t>
      </w:r>
    </w:p>
    <w:p>
      <w:pPr>
        <w:pStyle w:val="Compact"/>
        <w:numPr>
          <w:ilvl w:val="0"/>
          <w:numId w:val="1020"/>
        </w:numPr>
      </w:pPr>
      <w:r>
        <w:t xml:space="preserve">Audit completion rate.</w:t>
      </w:r>
    </w:p>
    <w:p>
      <w:pPr>
        <w:pStyle w:val="Compact"/>
        <w:numPr>
          <w:ilvl w:val="0"/>
          <w:numId w:val="1020"/>
        </w:numPr>
      </w:pPr>
      <w:r>
        <w:t xml:space="preserve">Corrective action closure rate.</w:t>
      </w:r>
    </w:p>
    <w:p>
      <w:pPr>
        <w:pStyle w:val="Compact"/>
        <w:numPr>
          <w:ilvl w:val="0"/>
          <w:numId w:val="1020"/>
        </w:numPr>
      </w:pPr>
      <w:r>
        <w:t xml:space="preserve">Reduction in repeat audit findings.</w:t>
      </w:r>
    </w:p>
    <w:p>
      <w:pPr>
        <w:pStyle w:val="Compact"/>
        <w:numPr>
          <w:ilvl w:val="0"/>
          <w:numId w:val="1020"/>
        </w:numPr>
      </w:pPr>
      <w:r>
        <w:t xml:space="preserve">Compliance improvement trends.</w:t>
      </w:r>
    </w:p>
    <w:p>
      <w:pPr>
        <w:pStyle w:val="Compact"/>
        <w:numPr>
          <w:ilvl w:val="0"/>
          <w:numId w:val="1020"/>
        </w:numPr>
      </w:pPr>
      <w:r>
        <w:t xml:space="preserve">Programme reporting completeness.</w:t>
      </w:r>
    </w:p>
    <w:p>
      <w:pPr>
        <w:pStyle w:val="Compact"/>
        <w:numPr>
          <w:ilvl w:val="0"/>
          <w:numId w:val="1020"/>
        </w:numPr>
      </w:pPr>
      <w:r>
        <w:t xml:space="preserve">Risk response timeliness.</w:t>
      </w:r>
    </w:p>
    <w:p>
      <w:r>
        <w:pict>
          <v:rect style="width:0;height:1.5pt" o:hralign="center" o:hrstd="t" o:hr="t"/>
        </w:pict>
      </w:r>
    </w:p>
    <w:bookmarkEnd w:id="52"/>
    <w:bookmarkStart w:id="53" w:name="conclusion"/>
    <w:p>
      <w:pPr>
        <w:pStyle w:val="Heading1"/>
      </w:pPr>
      <w:r>
        <w:t xml:space="preserve">32.17 Conclusion</w:t>
      </w:r>
    </w:p>
    <w:p>
      <w:pPr>
        <w:pStyle w:val="FirstParagraph"/>
      </w:pPr>
      <w:r>
        <w:t xml:space="preserve">The National Monitoring, Evaluation, Compliance and Audit Platform provides the governance framework required to ensure that EduOS Cameroon delivers measurable, transparent, and sustainable outcomes.</w:t>
      </w:r>
    </w:p>
    <w:p>
      <w:pPr>
        <w:pStyle w:val="BodyText"/>
      </w:pPr>
      <w:r>
        <w:t xml:space="preserve">By integrating monitoring, compliance, audit, risk management, corrective actions, and performance measurement into a unified platform, the Ministry gains continuous visibility into programme implementation and institutional performance. This strengthens accountability, supports evidence-based management, and reinforces confidence among government authorities, oversight institutions, and development partners while fostering a culture of continuous improvement.</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2026-07-10T13:23:32Z</dcterms:created>
  <dcterms:modified xsi:type="dcterms:W3CDTF">2026-07-10T13:23:32Z</dcterms:modified>
</cp:coreProperties>
</file>

<file path=docProps/custom.xml><?xml version="1.0" encoding="utf-8"?>
<Properties xmlns="http://schemas.openxmlformats.org/officeDocument/2006/custom-properties" xmlns:vt="http://schemas.openxmlformats.org/officeDocument/2006/docPropsVTypes"/>
</file>