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8"/>
    <w:p>
      <w:pPr>
        <w:pStyle w:val="Heading1"/>
      </w:pPr>
      <w:r>
        <w:t xml:space="preserve">CHAPTER 28</w:t>
      </w:r>
    </w:p>
    <w:bookmarkEnd w:id="20"/>
    <w:bookmarkStart w:id="22" w:name="X89c0704eefdbb5680e572c859fc9820897752df"/>
    <w:p>
      <w:pPr>
        <w:pStyle w:val="Heading1"/>
      </w:pPr>
      <w:r>
        <w:t xml:space="preserve">NATIONAL OFFLINE SYNCHRONIZATION ENGINE (NOSE)</w:t>
      </w:r>
    </w:p>
    <w:bookmarkStart w:id="21" w:name="introduction"/>
    <w:p>
      <w:pPr>
        <w:pStyle w:val="Heading2"/>
      </w:pPr>
      <w:r>
        <w:t xml:space="preserve">28.1 Introduction</w:t>
      </w:r>
    </w:p>
    <w:p>
      <w:pPr>
        <w:pStyle w:val="FirstParagraph"/>
      </w:pPr>
      <w:r>
        <w:t xml:space="preserve">The National Offline Synchronization Engine (NOSE) is the core technology that enables the National Education Digital Operating System (EduOS Cameroon) to function reliably in environments with intermittent or no internet connectivity.</w:t>
      </w:r>
    </w:p>
    <w:p>
      <w:pPr>
        <w:pStyle w:val="BodyText"/>
      </w:pPr>
      <w:r>
        <w:t xml:space="preserve">Rather than requiring a permanent connection to centralized servers, the platform allows schools, regional offices, and field personnel to continue their daily operations using locally stored data. When connectivity becomes available, validated transactions are synchronized securely with the national platform.</w:t>
      </w:r>
    </w:p>
    <w:p>
      <w:pPr>
        <w:pStyle w:val="BodyText"/>
      </w:pPr>
      <w:r>
        <w:t xml:space="preserve">This architecture ensures continuity of operations while maintaining data integrity, security, and auditability.</w:t>
      </w:r>
    </w:p>
    <w:p>
      <w:r>
        <w:pict>
          <v:rect style="width:0;height:1.5pt" o:hralign="center" o:hrstd="t" o:hr="t"/>
        </w:pict>
      </w:r>
    </w:p>
    <w:bookmarkEnd w:id="21"/>
    <w:bookmarkEnd w:id="22"/>
    <w:bookmarkStart w:id="23" w:name="strategic-objectives"/>
    <w:p>
      <w:pPr>
        <w:pStyle w:val="Heading1"/>
      </w:pPr>
      <w:r>
        <w:t xml:space="preserve">28.2 Strategic Objectives</w:t>
      </w:r>
    </w:p>
    <w:p>
      <w:pPr>
        <w:pStyle w:val="FirstParagraph"/>
      </w:pPr>
      <w:r>
        <w:t xml:space="preserve">The Synchronization Engine seeks to:</w:t>
      </w:r>
    </w:p>
    <w:p>
      <w:pPr>
        <w:pStyle w:val="Compact"/>
        <w:numPr>
          <w:ilvl w:val="0"/>
          <w:numId w:val="1001"/>
        </w:numPr>
      </w:pPr>
      <w:r>
        <w:t xml:space="preserve">Support uninterrupted school operations.</w:t>
      </w:r>
    </w:p>
    <w:p>
      <w:pPr>
        <w:pStyle w:val="Compact"/>
        <w:numPr>
          <w:ilvl w:val="0"/>
          <w:numId w:val="1001"/>
        </w:numPr>
      </w:pPr>
      <w:r>
        <w:t xml:space="preserve">Minimize dependence on continuous internet connectivity.</w:t>
      </w:r>
    </w:p>
    <w:p>
      <w:pPr>
        <w:pStyle w:val="Compact"/>
        <w:numPr>
          <w:ilvl w:val="0"/>
          <w:numId w:val="1001"/>
        </w:numPr>
      </w:pPr>
      <w:r>
        <w:t xml:space="preserve">Preserve data integrity.</w:t>
      </w:r>
    </w:p>
    <w:p>
      <w:pPr>
        <w:pStyle w:val="Compact"/>
        <w:numPr>
          <w:ilvl w:val="0"/>
          <w:numId w:val="1001"/>
        </w:numPr>
      </w:pPr>
      <w:r>
        <w:t xml:space="preserve">Maintain audit trails.</w:t>
      </w:r>
    </w:p>
    <w:p>
      <w:pPr>
        <w:pStyle w:val="Compact"/>
        <w:numPr>
          <w:ilvl w:val="0"/>
          <w:numId w:val="1001"/>
        </w:numPr>
      </w:pPr>
      <w:r>
        <w:t xml:space="preserve">Reduce synchronization conflicts.</w:t>
      </w:r>
    </w:p>
    <w:p>
      <w:pPr>
        <w:pStyle w:val="Compact"/>
        <w:numPr>
          <w:ilvl w:val="0"/>
          <w:numId w:val="1001"/>
        </w:numPr>
      </w:pPr>
      <w:r>
        <w:t xml:space="preserve">Optimize low-bandwidth communications.</w:t>
      </w:r>
    </w:p>
    <w:p>
      <w:pPr>
        <w:pStyle w:val="Compact"/>
        <w:numPr>
          <w:ilvl w:val="0"/>
          <w:numId w:val="1001"/>
        </w:numPr>
      </w:pPr>
      <w:r>
        <w:t xml:space="preserve">Support nationwide deployment.</w:t>
      </w:r>
    </w:p>
    <w:p>
      <w:pPr>
        <w:pStyle w:val="Compact"/>
        <w:numPr>
          <w:ilvl w:val="0"/>
          <w:numId w:val="1001"/>
        </w:numPr>
      </w:pPr>
      <w:r>
        <w:t xml:space="preserve">Improve operational resilience.</w:t>
      </w:r>
    </w:p>
    <w:p>
      <w:r>
        <w:pict>
          <v:rect style="width:0;height:1.5pt" o:hralign="center" o:hrstd="t" o:hr="t"/>
        </w:pict>
      </w:r>
    </w:p>
    <w:bookmarkEnd w:id="23"/>
    <w:bookmarkStart w:id="24" w:name="architectural-overview"/>
    <w:p>
      <w:pPr>
        <w:pStyle w:val="Heading1"/>
      </w:pPr>
      <w:r>
        <w:t xml:space="preserve">28.3 Architectural Overview</w:t>
      </w:r>
    </w:p>
    <w:p>
      <w:pPr>
        <w:pStyle w:val="FirstParagraph"/>
      </w:pPr>
      <w:r>
        <w:rPr>
          <w:rStyle w:val="VerbatimChar"/>
        </w:rPr>
        <w:t xml:space="preserve">text id="sync001" School Device (Local Database)         │         ▼ Transaction Queue         │         ▼ Local Validation         │         ▼ Encrypted Sync Package         │         ▼ Synchronization Gateway         │         ▼ National Integration Hub         │         ▼ Central Database</w:t>
      </w:r>
    </w:p>
    <w:p>
      <w:pPr>
        <w:pStyle w:val="BodyText"/>
      </w:pPr>
      <w:r>
        <w:t xml:space="preserve">Every transaction follows the same lifecycle, regardless of network availability.</w:t>
      </w:r>
    </w:p>
    <w:p>
      <w:r>
        <w:pict>
          <v:rect style="width:0;height:1.5pt" o:hralign="center" o:hrstd="t" o:hr="t"/>
        </w:pict>
      </w:r>
    </w:p>
    <w:bookmarkEnd w:id="24"/>
    <w:bookmarkStart w:id="25" w:name="offline-operating-model"/>
    <w:p>
      <w:pPr>
        <w:pStyle w:val="Heading1"/>
      </w:pPr>
      <w:r>
        <w:t xml:space="preserve">28.4 Offline Operating Model</w:t>
      </w:r>
    </w:p>
    <w:p>
      <w:pPr>
        <w:pStyle w:val="FirstParagraph"/>
      </w:pPr>
      <w:r>
        <w:t xml:space="preserve">While offline, schools shall be able to:</w:t>
      </w:r>
    </w:p>
    <w:p>
      <w:pPr>
        <w:pStyle w:val="Compact"/>
        <w:numPr>
          <w:ilvl w:val="0"/>
          <w:numId w:val="1002"/>
        </w:numPr>
      </w:pPr>
      <w:r>
        <w:t xml:space="preserve">Register students.</w:t>
      </w:r>
    </w:p>
    <w:p>
      <w:pPr>
        <w:pStyle w:val="Compact"/>
        <w:numPr>
          <w:ilvl w:val="0"/>
          <w:numId w:val="1002"/>
        </w:numPr>
      </w:pPr>
      <w:r>
        <w:t xml:space="preserve">Receive textbooks.</w:t>
      </w:r>
    </w:p>
    <w:p>
      <w:pPr>
        <w:pStyle w:val="Compact"/>
        <w:numPr>
          <w:ilvl w:val="0"/>
          <w:numId w:val="1002"/>
        </w:numPr>
      </w:pPr>
      <w:r>
        <w:t xml:space="preserve">Allocate textbooks.</w:t>
      </w:r>
    </w:p>
    <w:p>
      <w:pPr>
        <w:pStyle w:val="Compact"/>
        <w:numPr>
          <w:ilvl w:val="0"/>
          <w:numId w:val="1002"/>
        </w:numPr>
      </w:pPr>
      <w:r>
        <w:t xml:space="preserve">Record returns.</w:t>
      </w:r>
    </w:p>
    <w:p>
      <w:pPr>
        <w:pStyle w:val="Compact"/>
        <w:numPr>
          <w:ilvl w:val="0"/>
          <w:numId w:val="1002"/>
        </w:numPr>
      </w:pPr>
      <w:r>
        <w:t xml:space="preserve">Update inventory.</w:t>
      </w:r>
    </w:p>
    <w:p>
      <w:pPr>
        <w:pStyle w:val="Compact"/>
        <w:numPr>
          <w:ilvl w:val="0"/>
          <w:numId w:val="1002"/>
        </w:numPr>
      </w:pPr>
      <w:r>
        <w:t xml:space="preserve">Conduct inspections.</w:t>
      </w:r>
    </w:p>
    <w:p>
      <w:pPr>
        <w:pStyle w:val="Compact"/>
        <w:numPr>
          <w:ilvl w:val="0"/>
          <w:numId w:val="1002"/>
        </w:numPr>
      </w:pPr>
      <w:r>
        <w:t xml:space="preserve">Record maintenance.</w:t>
      </w:r>
    </w:p>
    <w:p>
      <w:pPr>
        <w:pStyle w:val="Compact"/>
        <w:numPr>
          <w:ilvl w:val="0"/>
          <w:numId w:val="1002"/>
        </w:numPr>
      </w:pPr>
      <w:r>
        <w:t xml:space="preserve">Generate operational reports.</w:t>
      </w:r>
    </w:p>
    <w:p>
      <w:pPr>
        <w:pStyle w:val="Compact"/>
        <w:numPr>
          <w:ilvl w:val="0"/>
          <w:numId w:val="1002"/>
        </w:numPr>
      </w:pPr>
      <w:r>
        <w:t xml:space="preserve">Manage local users (within assigned permissions).</w:t>
      </w:r>
    </w:p>
    <w:p>
      <w:pPr>
        <w:pStyle w:val="FirstParagraph"/>
      </w:pPr>
      <w:r>
        <w:t xml:space="preserve">No operational activities should be suspended solely because internet connectivity is unavailable.</w:t>
      </w:r>
    </w:p>
    <w:p>
      <w:r>
        <w:pict>
          <v:rect style="width:0;height:1.5pt" o:hralign="center" o:hrstd="t" o:hr="t"/>
        </w:pict>
      </w:r>
    </w:p>
    <w:bookmarkEnd w:id="25"/>
    <w:bookmarkStart w:id="26" w:name="local-data-store"/>
    <w:p>
      <w:pPr>
        <w:pStyle w:val="Heading1"/>
      </w:pPr>
      <w:r>
        <w:t xml:space="preserve">28.5 Local Data Store</w:t>
      </w:r>
    </w:p>
    <w:p>
      <w:pPr>
        <w:pStyle w:val="FirstParagraph"/>
      </w:pPr>
      <w:r>
        <w:t xml:space="preserve">Each participating school maintains an encrypted local operational database containing only the information necessary for its authorized functions.</w:t>
      </w:r>
    </w:p>
    <w:p>
      <w:pPr>
        <w:pStyle w:val="BodyText"/>
      </w:pPr>
      <w:r>
        <w:t xml:space="preserve">The local database supports:</w:t>
      </w:r>
    </w:p>
    <w:p>
      <w:pPr>
        <w:pStyle w:val="Compact"/>
        <w:numPr>
          <w:ilvl w:val="0"/>
          <w:numId w:val="1003"/>
        </w:numPr>
      </w:pPr>
      <w:r>
        <w:t xml:space="preserve">Transaction processing.</w:t>
      </w:r>
    </w:p>
    <w:p>
      <w:pPr>
        <w:pStyle w:val="Compact"/>
        <w:numPr>
          <w:ilvl w:val="0"/>
          <w:numId w:val="1003"/>
        </w:numPr>
      </w:pPr>
      <w:r>
        <w:t xml:space="preserve">Cached reference data.</w:t>
      </w:r>
    </w:p>
    <w:p>
      <w:pPr>
        <w:pStyle w:val="Compact"/>
        <w:numPr>
          <w:ilvl w:val="0"/>
          <w:numId w:val="1003"/>
        </w:numPr>
      </w:pPr>
      <w:r>
        <w:t xml:space="preserve">User authentication (where permitted).</w:t>
      </w:r>
    </w:p>
    <w:p>
      <w:pPr>
        <w:pStyle w:val="Compact"/>
        <w:numPr>
          <w:ilvl w:val="0"/>
          <w:numId w:val="1003"/>
        </w:numPr>
      </w:pPr>
      <w:r>
        <w:t xml:space="preserve">Inventory management.</w:t>
      </w:r>
    </w:p>
    <w:p>
      <w:pPr>
        <w:pStyle w:val="Compact"/>
        <w:numPr>
          <w:ilvl w:val="0"/>
          <w:numId w:val="1003"/>
        </w:numPr>
      </w:pPr>
      <w:r>
        <w:t xml:space="preserve">Student allocations.</w:t>
      </w:r>
    </w:p>
    <w:p>
      <w:pPr>
        <w:pStyle w:val="Compact"/>
        <w:numPr>
          <w:ilvl w:val="0"/>
          <w:numId w:val="1003"/>
        </w:numPr>
      </w:pPr>
      <w:r>
        <w:t xml:space="preserve">Pending synchronization queues.</w:t>
      </w:r>
    </w:p>
    <w:p>
      <w:r>
        <w:pict>
          <v:rect style="width:0;height:1.5pt" o:hralign="center" o:hrstd="t" o:hr="t"/>
        </w:pict>
      </w:r>
    </w:p>
    <w:bookmarkEnd w:id="26"/>
    <w:bookmarkStart w:id="27" w:name="transaction-queue"/>
    <w:p>
      <w:pPr>
        <w:pStyle w:val="Heading1"/>
      </w:pPr>
      <w:r>
        <w:t xml:space="preserve">28.6 Transaction Queue</w:t>
      </w:r>
    </w:p>
    <w:p>
      <w:pPr>
        <w:pStyle w:val="FirstParagraph"/>
      </w:pPr>
      <w:r>
        <w:t xml:space="preserve">Every completed operation generates a transaction that is added to a secure synchronization queue.</w:t>
      </w:r>
    </w:p>
    <w:p>
      <w:pPr>
        <w:pStyle w:val="BodyText"/>
      </w:pPr>
      <w:r>
        <w:t xml:space="preserve">Illustrative queued transactions include:</w:t>
      </w:r>
    </w:p>
    <w:p>
      <w:pPr>
        <w:pStyle w:val="Compact"/>
        <w:numPr>
          <w:ilvl w:val="0"/>
          <w:numId w:val="1004"/>
        </w:numPr>
      </w:pPr>
      <w:r>
        <w:t xml:space="preserve">Student registered.</w:t>
      </w:r>
    </w:p>
    <w:p>
      <w:pPr>
        <w:pStyle w:val="Compact"/>
        <w:numPr>
          <w:ilvl w:val="0"/>
          <w:numId w:val="1004"/>
        </w:numPr>
      </w:pPr>
      <w:r>
        <w:t xml:space="preserve">Textbook received.</w:t>
      </w:r>
    </w:p>
    <w:p>
      <w:pPr>
        <w:pStyle w:val="Compact"/>
        <w:numPr>
          <w:ilvl w:val="0"/>
          <w:numId w:val="1004"/>
        </w:numPr>
      </w:pPr>
      <w:r>
        <w:t xml:space="preserve">Textbook issued.</w:t>
      </w:r>
    </w:p>
    <w:p>
      <w:pPr>
        <w:pStyle w:val="Compact"/>
        <w:numPr>
          <w:ilvl w:val="0"/>
          <w:numId w:val="1004"/>
        </w:numPr>
      </w:pPr>
      <w:r>
        <w:t xml:space="preserve">Textbook returned.</w:t>
      </w:r>
    </w:p>
    <w:p>
      <w:pPr>
        <w:pStyle w:val="Compact"/>
        <w:numPr>
          <w:ilvl w:val="0"/>
          <w:numId w:val="1004"/>
        </w:numPr>
      </w:pPr>
      <w:r>
        <w:t xml:space="preserve">Inventory updated.</w:t>
      </w:r>
    </w:p>
    <w:p>
      <w:pPr>
        <w:pStyle w:val="Compact"/>
        <w:numPr>
          <w:ilvl w:val="0"/>
          <w:numId w:val="1004"/>
        </w:numPr>
      </w:pPr>
      <w:r>
        <w:t xml:space="preserve">Inspection completed.</w:t>
      </w:r>
    </w:p>
    <w:p>
      <w:pPr>
        <w:pStyle w:val="Compact"/>
        <w:numPr>
          <w:ilvl w:val="0"/>
          <w:numId w:val="1004"/>
        </w:numPr>
      </w:pPr>
      <w:r>
        <w:t xml:space="preserve">Shipment received.</w:t>
      </w:r>
    </w:p>
    <w:p>
      <w:pPr>
        <w:pStyle w:val="Compact"/>
        <w:numPr>
          <w:ilvl w:val="0"/>
          <w:numId w:val="1004"/>
        </w:numPr>
      </w:pPr>
      <w:r>
        <w:t xml:space="preserve">Maintenance recorded.</w:t>
      </w:r>
    </w:p>
    <w:p>
      <w:pPr>
        <w:pStyle w:val="FirstParagraph"/>
      </w:pPr>
      <w:r>
        <w:t xml:space="preserve">Transactions remain in the queue until confirmation of successful synchronization.</w:t>
      </w:r>
    </w:p>
    <w:p>
      <w:r>
        <w:pict>
          <v:rect style="width:0;height:1.5pt" o:hralign="center" o:hrstd="t" o:hr="t"/>
        </w:pict>
      </w:r>
    </w:p>
    <w:bookmarkEnd w:id="27"/>
    <w:bookmarkStart w:id="28" w:name="synchronization-process"/>
    <w:p>
      <w:pPr>
        <w:pStyle w:val="Heading1"/>
      </w:pPr>
      <w:r>
        <w:t xml:space="preserve">28.7 Synchronization Process</w:t>
      </w:r>
    </w:p>
    <w:p>
      <w:pPr>
        <w:pStyle w:val="FirstParagraph"/>
      </w:pPr>
      <w:r>
        <w:rPr>
          <w:rStyle w:val="VerbatimChar"/>
        </w:rPr>
        <w:t xml:space="preserve">text id="sync002" Create Transaction         │         ▼ Validate         │         ▼ Queue         │         ▼ Encrypt         │         ▼ Transmit         │         ▼ Verify         │         ▼ Commit         │         ▼ Acknowledgement</w:t>
      </w:r>
    </w:p>
    <w:p>
      <w:pPr>
        <w:pStyle w:val="BodyText"/>
      </w:pPr>
      <w:r>
        <w:t xml:space="preserve">Only after successful acknowledgement is the queued transaction marked as synchronized.</w:t>
      </w:r>
    </w:p>
    <w:p>
      <w:r>
        <w:pict>
          <v:rect style="width:0;height:1.5pt" o:hralign="center" o:hrstd="t" o:hr="t"/>
        </w:pict>
      </w:r>
    </w:p>
    <w:bookmarkEnd w:id="28"/>
    <w:bookmarkStart w:id="29" w:name="conflict-detection"/>
    <w:p>
      <w:pPr>
        <w:pStyle w:val="Heading1"/>
      </w:pPr>
      <w:r>
        <w:t xml:space="preserve">28.8 Conflict Detection</w:t>
      </w:r>
    </w:p>
    <w:p>
      <w:pPr>
        <w:pStyle w:val="FirstParagraph"/>
      </w:pPr>
      <w:r>
        <w:t xml:space="preserve">Situations may arise where multiple users modify related information before synchronization.</w:t>
      </w:r>
    </w:p>
    <w:p>
      <w:pPr>
        <w:pStyle w:val="BodyText"/>
      </w:pPr>
      <w:r>
        <w:t xml:space="preserve">Examples include:</w:t>
      </w:r>
    </w:p>
    <w:p>
      <w:pPr>
        <w:pStyle w:val="Compact"/>
        <w:numPr>
          <w:ilvl w:val="0"/>
          <w:numId w:val="1005"/>
        </w:numPr>
      </w:pPr>
      <w:r>
        <w:t xml:space="preserve">Inventory updated by different authorized users.</w:t>
      </w:r>
    </w:p>
    <w:p>
      <w:pPr>
        <w:pStyle w:val="Compact"/>
        <w:numPr>
          <w:ilvl w:val="0"/>
          <w:numId w:val="1005"/>
        </w:numPr>
      </w:pPr>
      <w:r>
        <w:t xml:space="preserve">Student transfer initiated from separate locations.</w:t>
      </w:r>
    </w:p>
    <w:p>
      <w:pPr>
        <w:pStyle w:val="Compact"/>
        <w:numPr>
          <w:ilvl w:val="0"/>
          <w:numId w:val="1005"/>
        </w:numPr>
      </w:pPr>
      <w:r>
        <w:t xml:space="preserve">Textbook condition modified during inspection while another update is pending.</w:t>
      </w:r>
    </w:p>
    <w:p>
      <w:pPr>
        <w:pStyle w:val="FirstParagraph"/>
      </w:pPr>
      <w:r>
        <w:t xml:space="preserve">The Synchronization Engine detects potential conflicts and applies ministry-approved resolution policies or routes exceptions for human review where necessary.</w:t>
      </w:r>
    </w:p>
    <w:p>
      <w:r>
        <w:pict>
          <v:rect style="width:0;height:1.5pt" o:hralign="center" o:hrstd="t" o:hr="t"/>
        </w:pict>
      </w:r>
    </w:p>
    <w:bookmarkEnd w:id="29"/>
    <w:bookmarkStart w:id="30" w:name="data-integrity"/>
    <w:p>
      <w:pPr>
        <w:pStyle w:val="Heading1"/>
      </w:pPr>
      <w:r>
        <w:t xml:space="preserve">28.9 Data Integrity</w:t>
      </w:r>
    </w:p>
    <w:p>
      <w:pPr>
        <w:pStyle w:val="FirstParagraph"/>
      </w:pPr>
      <w:r>
        <w:t xml:space="preserve">To protect information during synchronization, the Engine shall:</w:t>
      </w:r>
    </w:p>
    <w:p>
      <w:pPr>
        <w:pStyle w:val="Compact"/>
        <w:numPr>
          <w:ilvl w:val="0"/>
          <w:numId w:val="1006"/>
        </w:numPr>
      </w:pPr>
      <w:r>
        <w:t xml:space="preserve">Validate transaction structure.</w:t>
      </w:r>
    </w:p>
    <w:p>
      <w:pPr>
        <w:pStyle w:val="Compact"/>
        <w:numPr>
          <w:ilvl w:val="0"/>
          <w:numId w:val="1006"/>
        </w:numPr>
      </w:pPr>
      <w:r>
        <w:t xml:space="preserve">Verify mandatory fields.</w:t>
      </w:r>
    </w:p>
    <w:p>
      <w:pPr>
        <w:pStyle w:val="Compact"/>
        <w:numPr>
          <w:ilvl w:val="0"/>
          <w:numId w:val="1006"/>
        </w:numPr>
      </w:pPr>
      <w:r>
        <w:t xml:space="preserve">Preserve transaction order where required.</w:t>
      </w:r>
    </w:p>
    <w:p>
      <w:pPr>
        <w:pStyle w:val="Compact"/>
        <w:numPr>
          <w:ilvl w:val="0"/>
          <w:numId w:val="1006"/>
        </w:numPr>
      </w:pPr>
      <w:r>
        <w:t xml:space="preserve">Detect duplicate submissions.</w:t>
      </w:r>
    </w:p>
    <w:p>
      <w:pPr>
        <w:pStyle w:val="Compact"/>
        <w:numPr>
          <w:ilvl w:val="0"/>
          <w:numId w:val="1006"/>
        </w:numPr>
      </w:pPr>
      <w:r>
        <w:t xml:space="preserve">Confirm successful processing before queue removal.</w:t>
      </w:r>
    </w:p>
    <w:p>
      <w:pPr>
        <w:pStyle w:val="FirstParagraph"/>
      </w:pPr>
      <w:r>
        <w:t xml:space="preserve">Every synchronized transaction receives a unique synchronization reference for audit purposes.</w:t>
      </w:r>
    </w:p>
    <w:p>
      <w:r>
        <w:pict>
          <v:rect style="width:0;height:1.5pt" o:hralign="center" o:hrstd="t" o:hr="t"/>
        </w:pict>
      </w:r>
    </w:p>
    <w:bookmarkEnd w:id="30"/>
    <w:bookmarkStart w:id="31" w:name="bandwidth-optimization"/>
    <w:p>
      <w:pPr>
        <w:pStyle w:val="Heading1"/>
      </w:pPr>
      <w:r>
        <w:t xml:space="preserve">28.10 Bandwidth Optimization</w:t>
      </w:r>
    </w:p>
    <w:p>
      <w:pPr>
        <w:pStyle w:val="FirstParagraph"/>
      </w:pPr>
      <w:r>
        <w:t xml:space="preserve">The Engine minimizes communication costs by:</w:t>
      </w:r>
    </w:p>
    <w:p>
      <w:pPr>
        <w:pStyle w:val="Compact"/>
        <w:numPr>
          <w:ilvl w:val="0"/>
          <w:numId w:val="1007"/>
        </w:numPr>
      </w:pPr>
      <w:r>
        <w:t xml:space="preserve">Synchronizing only changed information rather than full datasets.</w:t>
      </w:r>
    </w:p>
    <w:p>
      <w:pPr>
        <w:pStyle w:val="Compact"/>
        <w:numPr>
          <w:ilvl w:val="0"/>
          <w:numId w:val="1007"/>
        </w:numPr>
      </w:pPr>
      <w:r>
        <w:t xml:space="preserve">Compressing synchronization packages.</w:t>
      </w:r>
    </w:p>
    <w:p>
      <w:pPr>
        <w:pStyle w:val="Compact"/>
        <w:numPr>
          <w:ilvl w:val="0"/>
          <w:numId w:val="1007"/>
        </w:numPr>
      </w:pPr>
      <w:r>
        <w:t xml:space="preserve">Grouping related transactions.</w:t>
      </w:r>
    </w:p>
    <w:p>
      <w:pPr>
        <w:pStyle w:val="Compact"/>
        <w:numPr>
          <w:ilvl w:val="0"/>
          <w:numId w:val="1007"/>
        </w:numPr>
      </w:pPr>
      <w:r>
        <w:t xml:space="preserve">Scheduling background synchronization when connectivity is available.</w:t>
      </w:r>
    </w:p>
    <w:p>
      <w:pPr>
        <w:pStyle w:val="Compact"/>
        <w:numPr>
          <w:ilvl w:val="0"/>
          <w:numId w:val="1007"/>
        </w:numPr>
      </w:pPr>
      <w:r>
        <w:t xml:space="preserve">Supporting resumable transfers after interruptions.</w:t>
      </w:r>
    </w:p>
    <w:p>
      <w:r>
        <w:pict>
          <v:rect style="width:0;height:1.5pt" o:hralign="center" o:hrstd="t" o:hr="t"/>
        </w:pict>
      </w:r>
    </w:p>
    <w:bookmarkEnd w:id="31"/>
    <w:bookmarkStart w:id="32" w:name="security"/>
    <w:p>
      <w:pPr>
        <w:pStyle w:val="Heading1"/>
      </w:pPr>
      <w:r>
        <w:t xml:space="preserve">28.11 Security</w:t>
      </w:r>
    </w:p>
    <w:p>
      <w:pPr>
        <w:pStyle w:val="FirstParagraph"/>
      </w:pPr>
      <w:r>
        <w:t xml:space="preserve">Synchronization packages are protected through:</w:t>
      </w:r>
    </w:p>
    <w:p>
      <w:pPr>
        <w:pStyle w:val="Compact"/>
        <w:numPr>
          <w:ilvl w:val="0"/>
          <w:numId w:val="1008"/>
        </w:numPr>
      </w:pPr>
      <w:r>
        <w:t xml:space="preserve">Encryption in transit.</w:t>
      </w:r>
    </w:p>
    <w:p>
      <w:pPr>
        <w:pStyle w:val="Compact"/>
        <w:numPr>
          <w:ilvl w:val="0"/>
          <w:numId w:val="1008"/>
        </w:numPr>
      </w:pPr>
      <w:r>
        <w:t xml:space="preserve">Message integrity verification.</w:t>
      </w:r>
    </w:p>
    <w:p>
      <w:pPr>
        <w:pStyle w:val="Compact"/>
        <w:numPr>
          <w:ilvl w:val="0"/>
          <w:numId w:val="1008"/>
        </w:numPr>
      </w:pPr>
      <w:r>
        <w:t xml:space="preserve">Device authentication.</w:t>
      </w:r>
    </w:p>
    <w:p>
      <w:pPr>
        <w:pStyle w:val="Compact"/>
        <w:numPr>
          <w:ilvl w:val="0"/>
          <w:numId w:val="1008"/>
        </w:numPr>
      </w:pPr>
      <w:r>
        <w:t xml:space="preserve">User authorization checks.</w:t>
      </w:r>
    </w:p>
    <w:p>
      <w:pPr>
        <w:pStyle w:val="Compact"/>
        <w:numPr>
          <w:ilvl w:val="0"/>
          <w:numId w:val="1008"/>
        </w:numPr>
      </w:pPr>
      <w:r>
        <w:t xml:space="preserve">Audit logging.</w:t>
      </w:r>
    </w:p>
    <w:p>
      <w:pPr>
        <w:pStyle w:val="Compact"/>
        <w:numPr>
          <w:ilvl w:val="0"/>
          <w:numId w:val="1008"/>
        </w:numPr>
      </w:pPr>
      <w:r>
        <w:t xml:space="preserve">Replay attack prevention.</w:t>
      </w:r>
    </w:p>
    <w:p>
      <w:pPr>
        <w:pStyle w:val="Compact"/>
        <w:numPr>
          <w:ilvl w:val="0"/>
          <w:numId w:val="1008"/>
        </w:numPr>
      </w:pPr>
      <w:r>
        <w:t xml:space="preserve">Secure acknowledgment procedures.</w:t>
      </w:r>
    </w:p>
    <w:p>
      <w:r>
        <w:pict>
          <v:rect style="width:0;height:1.5pt" o:hralign="center" o:hrstd="t" o:hr="t"/>
        </w:pict>
      </w:r>
    </w:p>
    <w:bookmarkEnd w:id="32"/>
    <w:bookmarkStart w:id="33" w:name="synchronization-monitoring"/>
    <w:p>
      <w:pPr>
        <w:pStyle w:val="Heading1"/>
      </w:pPr>
      <w:r>
        <w:t xml:space="preserve">28.12 Synchronization Monitoring</w:t>
      </w:r>
    </w:p>
    <w:p>
      <w:pPr>
        <w:pStyle w:val="FirstParagraph"/>
      </w:pPr>
      <w:r>
        <w:t xml:space="preserve">Technical administrators monitor:</w:t>
      </w:r>
    </w:p>
    <w:p>
      <w:pPr>
        <w:pStyle w:val="Compact"/>
        <w:numPr>
          <w:ilvl w:val="0"/>
          <w:numId w:val="1009"/>
        </w:numPr>
      </w:pPr>
      <w:r>
        <w:t xml:space="preserve">Pending queues.</w:t>
      </w:r>
    </w:p>
    <w:p>
      <w:pPr>
        <w:pStyle w:val="Compact"/>
        <w:numPr>
          <w:ilvl w:val="0"/>
          <w:numId w:val="1009"/>
        </w:numPr>
      </w:pPr>
      <w:r>
        <w:t xml:space="preserve">Synchronization success rates.</w:t>
      </w:r>
    </w:p>
    <w:p>
      <w:pPr>
        <w:pStyle w:val="Compact"/>
        <w:numPr>
          <w:ilvl w:val="0"/>
          <w:numId w:val="1009"/>
        </w:numPr>
      </w:pPr>
      <w:r>
        <w:t xml:space="preserve">Failed synchronizations.</w:t>
      </w:r>
    </w:p>
    <w:p>
      <w:pPr>
        <w:pStyle w:val="Compact"/>
        <w:numPr>
          <w:ilvl w:val="0"/>
          <w:numId w:val="1009"/>
        </w:numPr>
      </w:pPr>
      <w:r>
        <w:t xml:space="preserve">Average synchronization time.</w:t>
      </w:r>
    </w:p>
    <w:p>
      <w:pPr>
        <w:pStyle w:val="Compact"/>
        <w:numPr>
          <w:ilvl w:val="0"/>
          <w:numId w:val="1009"/>
        </w:numPr>
      </w:pPr>
      <w:r>
        <w:t xml:space="preserve">Device connectivity status.</w:t>
      </w:r>
    </w:p>
    <w:p>
      <w:pPr>
        <w:pStyle w:val="Compact"/>
        <w:numPr>
          <w:ilvl w:val="0"/>
          <w:numId w:val="1009"/>
        </w:numPr>
      </w:pPr>
      <w:r>
        <w:t xml:space="preserve">Queue growth.</w:t>
      </w:r>
    </w:p>
    <w:p>
      <w:pPr>
        <w:pStyle w:val="Compact"/>
        <w:numPr>
          <w:ilvl w:val="0"/>
          <w:numId w:val="1009"/>
        </w:numPr>
      </w:pPr>
      <w:r>
        <w:t xml:space="preserve">Retry attempts.</w:t>
      </w:r>
    </w:p>
    <w:p>
      <w:r>
        <w:pict>
          <v:rect style="width:0;height:1.5pt" o:hralign="center" o:hrstd="t" o:hr="t"/>
        </w:pict>
      </w:r>
    </w:p>
    <w:bookmarkEnd w:id="33"/>
    <w:bookmarkStart w:id="34" w:name="failure-recovery"/>
    <w:p>
      <w:pPr>
        <w:pStyle w:val="Heading1"/>
      </w:pPr>
      <w:r>
        <w:t xml:space="preserve">28.13 Failure Recovery</w:t>
      </w:r>
    </w:p>
    <w:p>
      <w:pPr>
        <w:pStyle w:val="FirstParagraph"/>
      </w:pPr>
      <w:r>
        <w:t xml:space="preserve">If synchronization fails due to connectivity or infrastructure interruptions:</w:t>
      </w:r>
    </w:p>
    <w:p>
      <w:pPr>
        <w:pStyle w:val="Compact"/>
        <w:numPr>
          <w:ilvl w:val="0"/>
          <w:numId w:val="1010"/>
        </w:numPr>
      </w:pPr>
      <w:r>
        <w:t xml:space="preserve">Transactions remain safely stored locally.</w:t>
      </w:r>
    </w:p>
    <w:p>
      <w:pPr>
        <w:pStyle w:val="Compact"/>
        <w:numPr>
          <w:ilvl w:val="0"/>
          <w:numId w:val="1010"/>
        </w:numPr>
      </w:pPr>
      <w:r>
        <w:t xml:space="preserve">Automatic retry policies are applied.</w:t>
      </w:r>
    </w:p>
    <w:p>
      <w:pPr>
        <w:pStyle w:val="Compact"/>
        <w:numPr>
          <w:ilvl w:val="0"/>
          <w:numId w:val="1010"/>
        </w:numPr>
      </w:pPr>
      <w:r>
        <w:t xml:space="preserve">Failed transactions are logged.</w:t>
      </w:r>
    </w:p>
    <w:p>
      <w:pPr>
        <w:pStyle w:val="Compact"/>
        <w:numPr>
          <w:ilvl w:val="0"/>
          <w:numId w:val="1010"/>
        </w:numPr>
      </w:pPr>
      <w:r>
        <w:t xml:space="preserve">Users are informed when intervention is required.</w:t>
      </w:r>
    </w:p>
    <w:p>
      <w:pPr>
        <w:pStyle w:val="Compact"/>
        <w:numPr>
          <w:ilvl w:val="0"/>
          <w:numId w:val="1010"/>
        </w:numPr>
      </w:pPr>
      <w:r>
        <w:t xml:space="preserve">Data already confirmed by the national platform is not retransmitted unnecessarily.</w:t>
      </w:r>
    </w:p>
    <w:p>
      <w:r>
        <w:pict>
          <v:rect style="width:0;height:1.5pt" o:hralign="center" o:hrstd="t" o:hr="t"/>
        </w:pict>
      </w:r>
    </w:p>
    <w:bookmarkEnd w:id="34"/>
    <w:bookmarkStart w:id="41" w:name="functional-requirements"/>
    <w:p>
      <w:pPr>
        <w:pStyle w:val="Heading1"/>
      </w:pPr>
      <w:r>
        <w:t xml:space="preserve">28.14 Functional Requirements</w:t>
      </w:r>
    </w:p>
    <w:bookmarkStart w:id="35" w:name="fr-sync-001"/>
    <w:p>
      <w:pPr>
        <w:pStyle w:val="Heading3"/>
      </w:pPr>
      <w:r>
        <w:t xml:space="preserve">FR-SYNC-001</w:t>
      </w:r>
    </w:p>
    <w:p>
      <w:pPr>
        <w:pStyle w:val="FirstParagraph"/>
      </w:pPr>
      <w:r>
        <w:t xml:space="preserve">Maintain secure local transaction queues.</w:t>
      </w:r>
    </w:p>
    <w:p>
      <w:r>
        <w:pict>
          <v:rect style="width:0;height:1.5pt" o:hralign="center" o:hrstd="t" o:hr="t"/>
        </w:pict>
      </w:r>
    </w:p>
    <w:bookmarkEnd w:id="35"/>
    <w:bookmarkStart w:id="36" w:name="fr-sync-002"/>
    <w:p>
      <w:pPr>
        <w:pStyle w:val="Heading3"/>
      </w:pPr>
      <w:r>
        <w:t xml:space="preserve">FR-SYNC-002</w:t>
      </w:r>
    </w:p>
    <w:p>
      <w:pPr>
        <w:pStyle w:val="FirstParagraph"/>
      </w:pPr>
      <w:r>
        <w:t xml:space="preserve">Synchronize validated transactions automatically when connectivity becomes available.</w:t>
      </w:r>
    </w:p>
    <w:p>
      <w:r>
        <w:pict>
          <v:rect style="width:0;height:1.5pt" o:hralign="center" o:hrstd="t" o:hr="t"/>
        </w:pict>
      </w:r>
    </w:p>
    <w:bookmarkEnd w:id="36"/>
    <w:bookmarkStart w:id="37" w:name="fr-sync-003"/>
    <w:p>
      <w:pPr>
        <w:pStyle w:val="Heading3"/>
      </w:pPr>
      <w:r>
        <w:t xml:space="preserve">FR-SYNC-003</w:t>
      </w:r>
    </w:p>
    <w:p>
      <w:pPr>
        <w:pStyle w:val="FirstParagraph"/>
      </w:pPr>
      <w:r>
        <w:t xml:space="preserve">Detect duplicate transactions before processing.</w:t>
      </w:r>
    </w:p>
    <w:p>
      <w:r>
        <w:pict>
          <v:rect style="width:0;height:1.5pt" o:hralign="center" o:hrstd="t" o:hr="t"/>
        </w:pict>
      </w:r>
    </w:p>
    <w:bookmarkEnd w:id="37"/>
    <w:bookmarkStart w:id="38" w:name="fr-sync-004"/>
    <w:p>
      <w:pPr>
        <w:pStyle w:val="Heading3"/>
      </w:pPr>
      <w:r>
        <w:t xml:space="preserve">FR-SYNC-004</w:t>
      </w:r>
    </w:p>
    <w:p>
      <w:pPr>
        <w:pStyle w:val="FirstParagraph"/>
      </w:pPr>
      <w:r>
        <w:t xml:space="preserve">Maintain synchronization audit logs.</w:t>
      </w:r>
    </w:p>
    <w:p>
      <w:r>
        <w:pict>
          <v:rect style="width:0;height:1.5pt" o:hralign="center" o:hrstd="t" o:hr="t"/>
        </w:pict>
      </w:r>
    </w:p>
    <w:bookmarkEnd w:id="38"/>
    <w:bookmarkStart w:id="39" w:name="fr-sync-005"/>
    <w:p>
      <w:pPr>
        <w:pStyle w:val="Heading3"/>
      </w:pPr>
      <w:r>
        <w:t xml:space="preserve">FR-SYNC-005</w:t>
      </w:r>
    </w:p>
    <w:p>
      <w:pPr>
        <w:pStyle w:val="FirstParagraph"/>
      </w:pPr>
      <w:r>
        <w:t xml:space="preserve">Support configurable retry strategies for failed synchronization attempts.</w:t>
      </w:r>
    </w:p>
    <w:p>
      <w:r>
        <w:pict>
          <v:rect style="width:0;height:1.5pt" o:hralign="center" o:hrstd="t" o:hr="t"/>
        </w:pict>
      </w:r>
    </w:p>
    <w:bookmarkEnd w:id="39"/>
    <w:bookmarkStart w:id="40" w:name="fr-sync-006"/>
    <w:p>
      <w:pPr>
        <w:pStyle w:val="Heading3"/>
      </w:pPr>
      <w:r>
        <w:t xml:space="preserve">FR-SYNC-006</w:t>
      </w:r>
    </w:p>
    <w:p>
      <w:pPr>
        <w:pStyle w:val="FirstParagraph"/>
      </w:pPr>
      <w:r>
        <w:t xml:space="preserve">Provide synchronization status to authorized users.</w:t>
      </w:r>
    </w:p>
    <w:p>
      <w:r>
        <w:pict>
          <v:rect style="width:0;height:1.5pt" o:hralign="center" o:hrstd="t" o:hr="t"/>
        </w:pict>
      </w:r>
    </w:p>
    <w:bookmarkEnd w:id="40"/>
    <w:bookmarkEnd w:id="41"/>
    <w:bookmarkStart w:id="42" w:name="reports"/>
    <w:p>
      <w:pPr>
        <w:pStyle w:val="Heading1"/>
      </w:pPr>
      <w:r>
        <w:t xml:space="preserve">28.15 Reports</w:t>
      </w:r>
    </w:p>
    <w:p>
      <w:pPr>
        <w:pStyle w:val="FirstParagraph"/>
      </w:pPr>
      <w:r>
        <w:t xml:space="preserve">Illustrative reports include:</w:t>
      </w:r>
    </w:p>
    <w:p>
      <w:pPr>
        <w:pStyle w:val="Compact"/>
        <w:numPr>
          <w:ilvl w:val="0"/>
          <w:numId w:val="1011"/>
        </w:numPr>
      </w:pPr>
      <w:r>
        <w:t xml:space="preserve">Synchronization history.</w:t>
      </w:r>
    </w:p>
    <w:p>
      <w:pPr>
        <w:pStyle w:val="Compact"/>
        <w:numPr>
          <w:ilvl w:val="0"/>
          <w:numId w:val="1011"/>
        </w:numPr>
      </w:pPr>
      <w:r>
        <w:t xml:space="preserve">Failed transactions.</w:t>
      </w:r>
    </w:p>
    <w:p>
      <w:pPr>
        <w:pStyle w:val="Compact"/>
        <w:numPr>
          <w:ilvl w:val="0"/>
          <w:numId w:val="1011"/>
        </w:numPr>
      </w:pPr>
      <w:r>
        <w:t xml:space="preserve">Queue statistics.</w:t>
      </w:r>
    </w:p>
    <w:p>
      <w:pPr>
        <w:pStyle w:val="Compact"/>
        <w:numPr>
          <w:ilvl w:val="0"/>
          <w:numId w:val="1011"/>
        </w:numPr>
      </w:pPr>
      <w:r>
        <w:t xml:space="preserve">Device synchronization status.</w:t>
      </w:r>
    </w:p>
    <w:p>
      <w:pPr>
        <w:pStyle w:val="Compact"/>
        <w:numPr>
          <w:ilvl w:val="0"/>
          <w:numId w:val="1011"/>
        </w:numPr>
      </w:pPr>
      <w:r>
        <w:t xml:space="preserve">Connectivity trends.</w:t>
      </w:r>
    </w:p>
    <w:p>
      <w:pPr>
        <w:pStyle w:val="Compact"/>
        <w:numPr>
          <w:ilvl w:val="0"/>
          <w:numId w:val="1011"/>
        </w:numPr>
      </w:pPr>
      <w:r>
        <w:t xml:space="preserve">Regional synchronization performance.</w:t>
      </w:r>
    </w:p>
    <w:p>
      <w:r>
        <w:pict>
          <v:rect style="width:0;height:1.5pt" o:hralign="center" o:hrstd="t" o:hr="t"/>
        </w:pict>
      </w:r>
    </w:p>
    <w:bookmarkEnd w:id="42"/>
    <w:bookmarkStart w:id="45" w:name="dashboards"/>
    <w:p>
      <w:pPr>
        <w:pStyle w:val="Heading1"/>
      </w:pPr>
      <w:r>
        <w:t xml:space="preserve">28.16 Dashboards</w:t>
      </w:r>
    </w:p>
    <w:bookmarkStart w:id="43" w:name="national-dashboard"/>
    <w:p>
      <w:pPr>
        <w:pStyle w:val="Heading3"/>
      </w:pPr>
      <w:r>
        <w:t xml:space="preserve">National Dashboard</w:t>
      </w:r>
    </w:p>
    <w:p>
      <w:pPr>
        <w:pStyle w:val="Compact"/>
        <w:numPr>
          <w:ilvl w:val="0"/>
          <w:numId w:val="1012"/>
        </w:numPr>
      </w:pPr>
      <w:r>
        <w:t xml:space="preserve">Schools currently synchronized.</w:t>
      </w:r>
    </w:p>
    <w:p>
      <w:pPr>
        <w:pStyle w:val="Compact"/>
        <w:numPr>
          <w:ilvl w:val="0"/>
          <w:numId w:val="1012"/>
        </w:numPr>
      </w:pPr>
      <w:r>
        <w:t xml:space="preserve">Pending synchronization queues.</w:t>
      </w:r>
    </w:p>
    <w:p>
      <w:pPr>
        <w:pStyle w:val="Compact"/>
        <w:numPr>
          <w:ilvl w:val="0"/>
          <w:numId w:val="1012"/>
        </w:numPr>
      </w:pPr>
      <w:r>
        <w:t xml:space="preserve">Regions experiencing connectivity issues.</w:t>
      </w:r>
    </w:p>
    <w:p>
      <w:pPr>
        <w:pStyle w:val="Compact"/>
        <w:numPr>
          <w:ilvl w:val="0"/>
          <w:numId w:val="1012"/>
        </w:numPr>
      </w:pPr>
      <w:r>
        <w:t xml:space="preserve">Transaction volumes.</w:t>
      </w:r>
    </w:p>
    <w:p>
      <w:pPr>
        <w:pStyle w:val="Compact"/>
        <w:numPr>
          <w:ilvl w:val="0"/>
          <w:numId w:val="1012"/>
        </w:numPr>
      </w:pPr>
      <w:r>
        <w:t xml:space="preserve">Synchronization success rates.</w:t>
      </w:r>
    </w:p>
    <w:bookmarkEnd w:id="43"/>
    <w:bookmarkStart w:id="44" w:name="school-dashboard"/>
    <w:p>
      <w:pPr>
        <w:pStyle w:val="Heading3"/>
      </w:pPr>
      <w:r>
        <w:t xml:space="preserve">School Dashboard</w:t>
      </w:r>
    </w:p>
    <w:p>
      <w:pPr>
        <w:pStyle w:val="Compact"/>
        <w:numPr>
          <w:ilvl w:val="0"/>
          <w:numId w:val="1013"/>
        </w:numPr>
      </w:pPr>
      <w:r>
        <w:t xml:space="preserve">Last successful synchronization.</w:t>
      </w:r>
    </w:p>
    <w:p>
      <w:pPr>
        <w:pStyle w:val="Compact"/>
        <w:numPr>
          <w:ilvl w:val="0"/>
          <w:numId w:val="1013"/>
        </w:numPr>
      </w:pPr>
      <w:r>
        <w:t xml:space="preserve">Pending transactions.</w:t>
      </w:r>
    </w:p>
    <w:p>
      <w:pPr>
        <w:pStyle w:val="Compact"/>
        <w:numPr>
          <w:ilvl w:val="0"/>
          <w:numId w:val="1013"/>
        </w:numPr>
      </w:pPr>
      <w:r>
        <w:t xml:space="preserve">Queue size.</w:t>
      </w:r>
    </w:p>
    <w:p>
      <w:pPr>
        <w:pStyle w:val="Compact"/>
        <w:numPr>
          <w:ilvl w:val="0"/>
          <w:numId w:val="1013"/>
        </w:numPr>
      </w:pPr>
      <w:r>
        <w:t xml:space="preserve">Connectivity status.</w:t>
      </w:r>
    </w:p>
    <w:p>
      <w:pPr>
        <w:pStyle w:val="Compact"/>
        <w:numPr>
          <w:ilvl w:val="0"/>
          <w:numId w:val="1013"/>
        </w:numPr>
      </w:pPr>
      <w:r>
        <w:t xml:space="preserve">Synchronization history.</w:t>
      </w:r>
    </w:p>
    <w:p>
      <w:r>
        <w:pict>
          <v:rect style="width:0;height:1.5pt" o:hralign="center" o:hrstd="t" o:hr="t"/>
        </w:pict>
      </w:r>
    </w:p>
    <w:bookmarkEnd w:id="44"/>
    <w:bookmarkEnd w:id="45"/>
    <w:bookmarkStart w:id="46" w:name="success-indicators"/>
    <w:p>
      <w:pPr>
        <w:pStyle w:val="Heading1"/>
      </w:pPr>
      <w:r>
        <w:t xml:space="preserve">28.17 Success Indicators</w:t>
      </w:r>
    </w:p>
    <w:p>
      <w:pPr>
        <w:pStyle w:val="FirstParagraph"/>
      </w:pPr>
      <w:r>
        <w:t xml:space="preserve">Examples include:</w:t>
      </w:r>
    </w:p>
    <w:p>
      <w:pPr>
        <w:pStyle w:val="Compact"/>
        <w:numPr>
          <w:ilvl w:val="0"/>
          <w:numId w:val="1014"/>
        </w:numPr>
      </w:pPr>
      <w:r>
        <w:t xml:space="preserve">Synchronization success rate.</w:t>
      </w:r>
    </w:p>
    <w:p>
      <w:pPr>
        <w:pStyle w:val="Compact"/>
        <w:numPr>
          <w:ilvl w:val="0"/>
          <w:numId w:val="1014"/>
        </w:numPr>
      </w:pPr>
      <w:r>
        <w:t xml:space="preserve">Average synchronization delay.</w:t>
      </w:r>
    </w:p>
    <w:p>
      <w:pPr>
        <w:pStyle w:val="Compact"/>
        <w:numPr>
          <w:ilvl w:val="0"/>
          <w:numId w:val="1014"/>
        </w:numPr>
      </w:pPr>
      <w:r>
        <w:t xml:space="preserve">Percentage of offline transactions successfully synchronized.</w:t>
      </w:r>
    </w:p>
    <w:p>
      <w:pPr>
        <w:pStyle w:val="Compact"/>
        <w:numPr>
          <w:ilvl w:val="0"/>
          <w:numId w:val="1014"/>
        </w:numPr>
      </w:pPr>
      <w:r>
        <w:t xml:space="preserve">Duplicate transaction rate.</w:t>
      </w:r>
    </w:p>
    <w:p>
      <w:pPr>
        <w:pStyle w:val="Compact"/>
        <w:numPr>
          <w:ilvl w:val="0"/>
          <w:numId w:val="1014"/>
        </w:numPr>
      </w:pPr>
      <w:r>
        <w:t xml:space="preserve">Conflict resolution rate.</w:t>
      </w:r>
    </w:p>
    <w:p>
      <w:pPr>
        <w:pStyle w:val="Compact"/>
        <w:numPr>
          <w:ilvl w:val="0"/>
          <w:numId w:val="1014"/>
        </w:numPr>
      </w:pPr>
      <w:r>
        <w:t xml:space="preserve">Data integrity verification success.</w:t>
      </w:r>
    </w:p>
    <w:p>
      <w:pPr>
        <w:pStyle w:val="Compact"/>
        <w:numPr>
          <w:ilvl w:val="0"/>
          <w:numId w:val="1014"/>
        </w:numPr>
      </w:pPr>
      <w:r>
        <w:t xml:space="preserve">Average queue processing time.</w:t>
      </w:r>
    </w:p>
    <w:p>
      <w:r>
        <w:pict>
          <v:rect style="width:0;height:1.5pt" o:hralign="center" o:hrstd="t" o:hr="t"/>
        </w:pict>
      </w:r>
    </w:p>
    <w:bookmarkEnd w:id="46"/>
    <w:bookmarkStart w:id="47" w:name="conclusion"/>
    <w:p>
      <w:pPr>
        <w:pStyle w:val="Heading1"/>
      </w:pPr>
      <w:r>
        <w:t xml:space="preserve">28.18 Conclusion</w:t>
      </w:r>
    </w:p>
    <w:p>
      <w:pPr>
        <w:pStyle w:val="FirstParagraph"/>
      </w:pPr>
      <w:r>
        <w:t xml:space="preserve">The National Offline Synchronization Engine enables EduOS Cameroon to operate reliably across diverse connectivity environments while maintaining secure, auditable, and consistent information.</w:t>
      </w:r>
    </w:p>
    <w:p>
      <w:pPr>
        <w:pStyle w:val="BodyText"/>
      </w:pPr>
      <w:r>
        <w:t xml:space="preserve">By supporting local processing, resilient synchronization, conflict management, and bandwidth optimization, the Engine provides the technological foundation required for sustainable nationwide deployment, particularly in schools located in remote or underserved areas.</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2026-07-10T13:21:44Z</dcterms:created>
  <dcterms:modified xsi:type="dcterms:W3CDTF">2026-07-10T13:21:44Z</dcterms:modified>
</cp:coreProperties>
</file>

<file path=docProps/custom.xml><?xml version="1.0" encoding="utf-8"?>
<Properties xmlns="http://schemas.openxmlformats.org/officeDocument/2006/custom-properties" xmlns:vt="http://schemas.openxmlformats.org/officeDocument/2006/docPropsVTypes"/>
</file>