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9"/>
    <w:p>
      <w:pPr>
        <w:pStyle w:val="Heading1"/>
      </w:pPr>
      <w:r>
        <w:t xml:space="preserve">CHAPTER 29</w:t>
      </w:r>
    </w:p>
    <w:bookmarkEnd w:id="20"/>
    <w:bookmarkStart w:id="22" w:name="Xa50ce0202eede12f951ee7fcc9c6cdcb3b0b908"/>
    <w:p>
      <w:pPr>
        <w:pStyle w:val="Heading1"/>
      </w:pPr>
      <w:r>
        <w:t xml:space="preserve">NATIONAL SECURITY, IDENTITY AND ACCESS MANAGEMENT FRAMEWORK</w:t>
      </w:r>
    </w:p>
    <w:bookmarkStart w:id="21" w:name="introduction"/>
    <w:p>
      <w:pPr>
        <w:pStyle w:val="Heading2"/>
      </w:pPr>
      <w:r>
        <w:t xml:space="preserve">29.1 Introduction</w:t>
      </w:r>
    </w:p>
    <w:p>
      <w:pPr>
        <w:pStyle w:val="FirstParagraph"/>
      </w:pPr>
      <w:r>
        <w:t xml:space="preserve">The National Security, Identity and Access Management Framework (NSIAM) establishes the cybersecurity and access control foundation for the National Education Digital Operating System (EduOS Cameroon).</w:t>
      </w:r>
    </w:p>
    <w:p>
      <w:pPr>
        <w:pStyle w:val="BodyText"/>
      </w:pPr>
      <w:r>
        <w:t xml:space="preserve">The framework ensures that only authorized users can access information and perform actions appropriate to their responsibilities. It also provides comprehensive audit capabilities to support accountability, oversight, and compliance.</w:t>
      </w:r>
    </w:p>
    <w:p>
      <w:pPr>
        <w:pStyle w:val="BodyText"/>
      </w:pPr>
      <w:r>
        <w:t xml:space="preserve">Security is implemented as a continuous, platform-wide capability rather than as an isolated component.</w:t>
      </w:r>
    </w:p>
    <w:p>
      <w:r>
        <w:pict>
          <v:rect style="width:0;height:1.5pt" o:hralign="center" o:hrstd="t" o:hr="t"/>
        </w:pict>
      </w:r>
    </w:p>
    <w:bookmarkEnd w:id="21"/>
    <w:bookmarkEnd w:id="22"/>
    <w:bookmarkStart w:id="23" w:name="security-objectives"/>
    <w:p>
      <w:pPr>
        <w:pStyle w:val="Heading1"/>
      </w:pPr>
      <w:r>
        <w:t xml:space="preserve">29.2 Security Objectives</w:t>
      </w:r>
    </w:p>
    <w:p>
      <w:pPr>
        <w:pStyle w:val="FirstParagraph"/>
      </w:pPr>
      <w:r>
        <w:t xml:space="preserve">The framework seeks to:</w:t>
      </w:r>
    </w:p>
    <w:p>
      <w:pPr>
        <w:pStyle w:val="Compact"/>
        <w:numPr>
          <w:ilvl w:val="0"/>
          <w:numId w:val="1001"/>
        </w:numPr>
      </w:pPr>
      <w:r>
        <w:t xml:space="preserve">Protect educational information.</w:t>
      </w:r>
    </w:p>
    <w:p>
      <w:pPr>
        <w:pStyle w:val="Compact"/>
        <w:numPr>
          <w:ilvl w:val="0"/>
          <w:numId w:val="1001"/>
        </w:numPr>
      </w:pPr>
      <w:r>
        <w:t xml:space="preserve">Ensure confidentiality.</w:t>
      </w:r>
    </w:p>
    <w:p>
      <w:pPr>
        <w:pStyle w:val="Compact"/>
        <w:numPr>
          <w:ilvl w:val="0"/>
          <w:numId w:val="1001"/>
        </w:numPr>
      </w:pPr>
      <w:r>
        <w:t xml:space="preserve">Preserve data integrity.</w:t>
      </w:r>
    </w:p>
    <w:p>
      <w:pPr>
        <w:pStyle w:val="Compact"/>
        <w:numPr>
          <w:ilvl w:val="0"/>
          <w:numId w:val="1001"/>
        </w:numPr>
      </w:pPr>
      <w:r>
        <w:t xml:space="preserve">Maintain service availability.</w:t>
      </w:r>
    </w:p>
    <w:p>
      <w:pPr>
        <w:pStyle w:val="Compact"/>
        <w:numPr>
          <w:ilvl w:val="0"/>
          <w:numId w:val="1001"/>
        </w:numPr>
      </w:pPr>
      <w:r>
        <w:t xml:space="preserve">Strengthen accountability.</w:t>
      </w:r>
    </w:p>
    <w:p>
      <w:pPr>
        <w:pStyle w:val="Compact"/>
        <w:numPr>
          <w:ilvl w:val="0"/>
          <w:numId w:val="1001"/>
        </w:numPr>
      </w:pPr>
      <w:r>
        <w:t xml:space="preserve">Support secure interoperability.</w:t>
      </w:r>
    </w:p>
    <w:p>
      <w:pPr>
        <w:pStyle w:val="Compact"/>
        <w:numPr>
          <w:ilvl w:val="0"/>
          <w:numId w:val="1001"/>
        </w:numPr>
      </w:pPr>
      <w:r>
        <w:t xml:space="preserve">Detect unauthorized activities.</w:t>
      </w:r>
    </w:p>
    <w:p>
      <w:pPr>
        <w:pStyle w:val="Compact"/>
        <w:numPr>
          <w:ilvl w:val="0"/>
          <w:numId w:val="1001"/>
        </w:numPr>
      </w:pPr>
      <w:r>
        <w:t xml:space="preserve">Enable secure nationwide deployment.</w:t>
      </w:r>
    </w:p>
    <w:p>
      <w:r>
        <w:pict>
          <v:rect style="width:0;height:1.5pt" o:hralign="center" o:hrstd="t" o:hr="t"/>
        </w:pict>
      </w:r>
    </w:p>
    <w:bookmarkEnd w:id="23"/>
    <w:bookmarkStart w:id="24" w:name="security-principles"/>
    <w:p>
      <w:pPr>
        <w:pStyle w:val="Heading1"/>
      </w:pPr>
      <w:r>
        <w:t xml:space="preserve">29.3 Security Principles</w:t>
      </w:r>
    </w:p>
    <w:p>
      <w:pPr>
        <w:pStyle w:val="FirstParagraph"/>
      </w:pPr>
      <w:r>
        <w:t xml:space="preserve">The platform follows these principles:</w:t>
      </w:r>
    </w:p>
    <w:p>
      <w:pPr>
        <w:pStyle w:val="Compact"/>
        <w:numPr>
          <w:ilvl w:val="0"/>
          <w:numId w:val="1002"/>
        </w:numPr>
      </w:pPr>
      <w:r>
        <w:t xml:space="preserve">Zero Trust architecture.</w:t>
      </w:r>
    </w:p>
    <w:p>
      <w:pPr>
        <w:pStyle w:val="Compact"/>
        <w:numPr>
          <w:ilvl w:val="0"/>
          <w:numId w:val="1002"/>
        </w:numPr>
      </w:pPr>
      <w:r>
        <w:t xml:space="preserve">Least privilege access.</w:t>
      </w:r>
    </w:p>
    <w:p>
      <w:pPr>
        <w:pStyle w:val="Compact"/>
        <w:numPr>
          <w:ilvl w:val="0"/>
          <w:numId w:val="1002"/>
        </w:numPr>
      </w:pPr>
      <w:r>
        <w:t xml:space="preserve">Role-based authorization.</w:t>
      </w:r>
    </w:p>
    <w:p>
      <w:pPr>
        <w:pStyle w:val="Compact"/>
        <w:numPr>
          <w:ilvl w:val="0"/>
          <w:numId w:val="1002"/>
        </w:numPr>
      </w:pPr>
      <w:r>
        <w:t xml:space="preserve">Defense in depth.</w:t>
      </w:r>
    </w:p>
    <w:p>
      <w:pPr>
        <w:pStyle w:val="Compact"/>
        <w:numPr>
          <w:ilvl w:val="0"/>
          <w:numId w:val="1002"/>
        </w:numPr>
      </w:pPr>
      <w:r>
        <w:t xml:space="preserve">Secure-by-design development.</w:t>
      </w:r>
    </w:p>
    <w:p>
      <w:pPr>
        <w:pStyle w:val="Compact"/>
        <w:numPr>
          <w:ilvl w:val="0"/>
          <w:numId w:val="1002"/>
        </w:numPr>
      </w:pPr>
      <w:r>
        <w:t xml:space="preserve">Continuous monitoring.</w:t>
      </w:r>
    </w:p>
    <w:p>
      <w:pPr>
        <w:pStyle w:val="Compact"/>
        <w:numPr>
          <w:ilvl w:val="0"/>
          <w:numId w:val="1002"/>
        </w:numPr>
      </w:pPr>
      <w:r>
        <w:t xml:space="preserve">Comprehensive audit logging.</w:t>
      </w:r>
    </w:p>
    <w:p>
      <w:pPr>
        <w:pStyle w:val="Compact"/>
        <w:numPr>
          <w:ilvl w:val="0"/>
          <w:numId w:val="1002"/>
        </w:numPr>
      </w:pPr>
      <w:r>
        <w:t xml:space="preserve">Privacy by design.</w:t>
      </w:r>
    </w:p>
    <w:p>
      <w:r>
        <w:pict>
          <v:rect style="width:0;height:1.5pt" o:hralign="center" o:hrstd="t" o:hr="t"/>
        </w:pict>
      </w:r>
    </w:p>
    <w:bookmarkEnd w:id="24"/>
    <w:bookmarkStart w:id="29" w:name="identity-management"/>
    <w:p>
      <w:pPr>
        <w:pStyle w:val="Heading1"/>
      </w:pPr>
      <w:r>
        <w:t xml:space="preserve">29.4 Identity Management</w:t>
      </w:r>
    </w:p>
    <w:p>
      <w:pPr>
        <w:pStyle w:val="FirstParagraph"/>
      </w:pPr>
      <w:r>
        <w:t xml:space="preserve">Every user shall possess a unique digital identity within the platform.</w:t>
      </w:r>
    </w:p>
    <w:p>
      <w:pPr>
        <w:pStyle w:val="BodyText"/>
      </w:pPr>
      <w:r>
        <w:t xml:space="preserve">Illustrative user categories include:</w:t>
      </w:r>
    </w:p>
    <w:bookmarkStart w:id="25" w:name="national-officials"/>
    <w:p>
      <w:pPr>
        <w:pStyle w:val="Heading3"/>
      </w:pPr>
      <w:r>
        <w:t xml:space="preserve">National Officials</w:t>
      </w:r>
    </w:p>
    <w:p>
      <w:pPr>
        <w:pStyle w:val="Compact"/>
        <w:numPr>
          <w:ilvl w:val="0"/>
          <w:numId w:val="1003"/>
        </w:numPr>
      </w:pPr>
      <w:r>
        <w:t xml:space="preserve">Minister.</w:t>
      </w:r>
    </w:p>
    <w:p>
      <w:pPr>
        <w:pStyle w:val="Compact"/>
        <w:numPr>
          <w:ilvl w:val="0"/>
          <w:numId w:val="1003"/>
        </w:numPr>
      </w:pPr>
      <w:r>
        <w:t xml:space="preserve">Secretary General.</w:t>
      </w:r>
    </w:p>
    <w:p>
      <w:pPr>
        <w:pStyle w:val="Compact"/>
        <w:numPr>
          <w:ilvl w:val="0"/>
          <w:numId w:val="1003"/>
        </w:numPr>
      </w:pPr>
      <w:r>
        <w:t xml:space="preserve">Directors.</w:t>
      </w:r>
    </w:p>
    <w:p>
      <w:pPr>
        <w:pStyle w:val="Compact"/>
        <w:numPr>
          <w:ilvl w:val="0"/>
          <w:numId w:val="1003"/>
        </w:numPr>
      </w:pPr>
      <w:r>
        <w:t xml:space="preserve">Programme Managers.</w:t>
      </w:r>
    </w:p>
    <w:p>
      <w:pPr>
        <w:pStyle w:val="Compact"/>
        <w:numPr>
          <w:ilvl w:val="0"/>
          <w:numId w:val="1003"/>
        </w:numPr>
      </w:pPr>
      <w:r>
        <w:t xml:space="preserve">Procurement Officers.</w:t>
      </w:r>
    </w:p>
    <w:p>
      <w:r>
        <w:pict>
          <v:rect style="width:0;height:1.5pt" o:hralign="center" o:hrstd="t" o:hr="t"/>
        </w:pict>
      </w:r>
    </w:p>
    <w:bookmarkEnd w:id="25"/>
    <w:bookmarkStart w:id="26" w:name="regional-officials"/>
    <w:p>
      <w:pPr>
        <w:pStyle w:val="Heading3"/>
      </w:pPr>
      <w:r>
        <w:t xml:space="preserve">Regional Officials</w:t>
      </w:r>
    </w:p>
    <w:p>
      <w:pPr>
        <w:pStyle w:val="Compact"/>
        <w:numPr>
          <w:ilvl w:val="0"/>
          <w:numId w:val="1004"/>
        </w:numPr>
      </w:pPr>
      <w:r>
        <w:t xml:space="preserve">Regional Delegates.</w:t>
      </w:r>
    </w:p>
    <w:p>
      <w:pPr>
        <w:pStyle w:val="Compact"/>
        <w:numPr>
          <w:ilvl w:val="0"/>
          <w:numId w:val="1004"/>
        </w:numPr>
      </w:pPr>
      <w:r>
        <w:t xml:space="preserve">Warehouse Managers.</w:t>
      </w:r>
    </w:p>
    <w:p>
      <w:pPr>
        <w:pStyle w:val="Compact"/>
        <w:numPr>
          <w:ilvl w:val="0"/>
          <w:numId w:val="1004"/>
        </w:numPr>
      </w:pPr>
      <w:r>
        <w:t xml:space="preserve">Inspectors.</w:t>
      </w:r>
    </w:p>
    <w:p>
      <w:pPr>
        <w:pStyle w:val="Compact"/>
        <w:numPr>
          <w:ilvl w:val="0"/>
          <w:numId w:val="1004"/>
        </w:numPr>
      </w:pPr>
      <w:r>
        <w:t xml:space="preserve">ICT Officers.</w:t>
      </w:r>
    </w:p>
    <w:p>
      <w:r>
        <w:pict>
          <v:rect style="width:0;height:1.5pt" o:hralign="center" o:hrstd="t" o:hr="t"/>
        </w:pict>
      </w:r>
    </w:p>
    <w:bookmarkEnd w:id="26"/>
    <w:bookmarkStart w:id="27" w:name="school-users"/>
    <w:p>
      <w:pPr>
        <w:pStyle w:val="Heading3"/>
      </w:pPr>
      <w:r>
        <w:t xml:space="preserve">School Users</w:t>
      </w:r>
    </w:p>
    <w:p>
      <w:pPr>
        <w:pStyle w:val="Compact"/>
        <w:numPr>
          <w:ilvl w:val="0"/>
          <w:numId w:val="1005"/>
        </w:numPr>
      </w:pPr>
      <w:r>
        <w:t xml:space="preserve">Principals.</w:t>
      </w:r>
    </w:p>
    <w:p>
      <w:pPr>
        <w:pStyle w:val="Compact"/>
        <w:numPr>
          <w:ilvl w:val="0"/>
          <w:numId w:val="1005"/>
        </w:numPr>
      </w:pPr>
      <w:r>
        <w:t xml:space="preserve">Vice Principals.</w:t>
      </w:r>
    </w:p>
    <w:p>
      <w:pPr>
        <w:pStyle w:val="Compact"/>
        <w:numPr>
          <w:ilvl w:val="0"/>
          <w:numId w:val="1005"/>
        </w:numPr>
      </w:pPr>
      <w:r>
        <w:t xml:space="preserve">Bursars.</w:t>
      </w:r>
    </w:p>
    <w:p>
      <w:pPr>
        <w:pStyle w:val="Compact"/>
        <w:numPr>
          <w:ilvl w:val="0"/>
          <w:numId w:val="1005"/>
        </w:numPr>
      </w:pPr>
      <w:r>
        <w:t xml:space="preserve">Storekeepers.</w:t>
      </w:r>
    </w:p>
    <w:p>
      <w:pPr>
        <w:pStyle w:val="Compact"/>
        <w:numPr>
          <w:ilvl w:val="0"/>
          <w:numId w:val="1005"/>
        </w:numPr>
      </w:pPr>
      <w:r>
        <w:t xml:space="preserve">Librarians.</w:t>
      </w:r>
    </w:p>
    <w:p>
      <w:pPr>
        <w:pStyle w:val="Compact"/>
        <w:numPr>
          <w:ilvl w:val="0"/>
          <w:numId w:val="1005"/>
        </w:numPr>
      </w:pPr>
      <w:r>
        <w:t xml:space="preserve">Teachers.</w:t>
      </w:r>
    </w:p>
    <w:p>
      <w:pPr>
        <w:pStyle w:val="Compact"/>
        <w:numPr>
          <w:ilvl w:val="0"/>
          <w:numId w:val="1005"/>
        </w:numPr>
      </w:pPr>
      <w:r>
        <w:t xml:space="preserve">ICT Coordinators.</w:t>
      </w:r>
    </w:p>
    <w:p>
      <w:r>
        <w:pict>
          <v:rect style="width:0;height:1.5pt" o:hralign="center" o:hrstd="t" o:hr="t"/>
        </w:pict>
      </w:r>
    </w:p>
    <w:bookmarkEnd w:id="27"/>
    <w:bookmarkStart w:id="28" w:name="external-users"/>
    <w:p>
      <w:pPr>
        <w:pStyle w:val="Heading3"/>
      </w:pPr>
      <w:r>
        <w:t xml:space="preserve">External Users</w:t>
      </w:r>
    </w:p>
    <w:p>
      <w:pPr>
        <w:pStyle w:val="FirstParagraph"/>
      </w:pPr>
      <w:r>
        <w:t xml:space="preserve">Where approved:</w:t>
      </w:r>
    </w:p>
    <w:p>
      <w:pPr>
        <w:pStyle w:val="Compact"/>
        <w:numPr>
          <w:ilvl w:val="0"/>
          <w:numId w:val="1006"/>
        </w:numPr>
      </w:pPr>
      <w:r>
        <w:t xml:space="preserve">Suppliers.</w:t>
      </w:r>
    </w:p>
    <w:p>
      <w:pPr>
        <w:pStyle w:val="Compact"/>
        <w:numPr>
          <w:ilvl w:val="0"/>
          <w:numId w:val="1006"/>
        </w:numPr>
      </w:pPr>
      <w:r>
        <w:t xml:space="preserve">Publishers.</w:t>
      </w:r>
    </w:p>
    <w:p>
      <w:pPr>
        <w:pStyle w:val="Compact"/>
        <w:numPr>
          <w:ilvl w:val="0"/>
          <w:numId w:val="1006"/>
        </w:numPr>
      </w:pPr>
      <w:r>
        <w:t xml:space="preserve">Logistics providers.</w:t>
      </w:r>
    </w:p>
    <w:p>
      <w:pPr>
        <w:pStyle w:val="Compact"/>
        <w:numPr>
          <w:ilvl w:val="0"/>
          <w:numId w:val="1006"/>
        </w:numPr>
      </w:pPr>
      <w:r>
        <w:t xml:space="preserve">Auditors.</w:t>
      </w:r>
    </w:p>
    <w:p>
      <w:pPr>
        <w:pStyle w:val="Compact"/>
        <w:numPr>
          <w:ilvl w:val="0"/>
          <w:numId w:val="1006"/>
        </w:numPr>
      </w:pPr>
      <w:r>
        <w:t xml:space="preserve">Development partners (limited reporting access).</w:t>
      </w:r>
    </w:p>
    <w:p>
      <w:r>
        <w:pict>
          <v:rect style="width:0;height:1.5pt" o:hralign="center" o:hrstd="t" o:hr="t"/>
        </w:pict>
      </w:r>
    </w:p>
    <w:bookmarkEnd w:id="28"/>
    <w:bookmarkEnd w:id="29"/>
    <w:bookmarkStart w:id="30" w:name="authentication"/>
    <w:p>
      <w:pPr>
        <w:pStyle w:val="Heading1"/>
      </w:pPr>
      <w:r>
        <w:t xml:space="preserve">29.5 Authentication</w:t>
      </w:r>
    </w:p>
    <w:p>
      <w:pPr>
        <w:pStyle w:val="FirstParagraph"/>
      </w:pPr>
      <w:r>
        <w:t xml:space="preserve">The platform supports configurable authentication mechanisms, including:</w:t>
      </w:r>
    </w:p>
    <w:p>
      <w:pPr>
        <w:pStyle w:val="Compact"/>
        <w:numPr>
          <w:ilvl w:val="0"/>
          <w:numId w:val="1007"/>
        </w:numPr>
      </w:pPr>
      <w:r>
        <w:t xml:space="preserve">Username and password.</w:t>
      </w:r>
    </w:p>
    <w:p>
      <w:pPr>
        <w:pStyle w:val="Compact"/>
        <w:numPr>
          <w:ilvl w:val="0"/>
          <w:numId w:val="1007"/>
        </w:numPr>
      </w:pPr>
      <w:r>
        <w:t xml:space="preserve">Multi-factor authentication for privileged accounts.</w:t>
      </w:r>
    </w:p>
    <w:p>
      <w:pPr>
        <w:pStyle w:val="Compact"/>
        <w:numPr>
          <w:ilvl w:val="0"/>
          <w:numId w:val="1007"/>
        </w:numPr>
      </w:pPr>
      <w:r>
        <w:t xml:space="preserve">Single Sign-On (where supported by government identity services).</w:t>
      </w:r>
    </w:p>
    <w:p>
      <w:pPr>
        <w:pStyle w:val="Compact"/>
        <w:numPr>
          <w:ilvl w:val="0"/>
          <w:numId w:val="1007"/>
        </w:numPr>
      </w:pPr>
      <w:r>
        <w:t xml:space="preserve">Password recovery through approved verification processes.</w:t>
      </w:r>
    </w:p>
    <w:p>
      <w:pPr>
        <w:pStyle w:val="FirstParagraph"/>
      </w:pPr>
      <w:r>
        <w:t xml:space="preserve">Authentication policies should be configurable to align with ministry requirements.</w:t>
      </w:r>
    </w:p>
    <w:p>
      <w:r>
        <w:pict>
          <v:rect style="width:0;height:1.5pt" o:hralign="center" o:hrstd="t" o:hr="t"/>
        </w:pict>
      </w:r>
    </w:p>
    <w:bookmarkEnd w:id="30"/>
    <w:bookmarkStart w:id="34" w:name="authorization"/>
    <w:p>
      <w:pPr>
        <w:pStyle w:val="Heading1"/>
      </w:pPr>
      <w:r>
        <w:t xml:space="preserve">29.6 Authorization</w:t>
      </w:r>
    </w:p>
    <w:p>
      <w:pPr>
        <w:pStyle w:val="FirstParagraph"/>
      </w:pPr>
      <w:r>
        <w:t xml:space="preserve">Access is controlled through Role-Based Access Control (RBAC).</w:t>
      </w:r>
    </w:p>
    <w:p>
      <w:pPr>
        <w:pStyle w:val="BodyText"/>
      </w:pPr>
      <w:r>
        <w:t xml:space="preserve">Permissions are assigned according to responsibilities rather than individual users.</w:t>
      </w:r>
    </w:p>
    <w:p>
      <w:pPr>
        <w:pStyle w:val="BodyText"/>
      </w:pPr>
      <w:r>
        <w:t xml:space="preserve">Examples:</w:t>
      </w:r>
    </w:p>
    <w:bookmarkStart w:id="31" w:name="principal"/>
    <w:p>
      <w:pPr>
        <w:pStyle w:val="Heading3"/>
      </w:pPr>
      <w:r>
        <w:t xml:space="preserve">Principal</w:t>
      </w:r>
    </w:p>
    <w:p>
      <w:pPr>
        <w:pStyle w:val="FirstParagraph"/>
      </w:pPr>
      <w:r>
        <w:t xml:space="preserve">May:</w:t>
      </w:r>
    </w:p>
    <w:p>
      <w:pPr>
        <w:pStyle w:val="Compact"/>
        <w:numPr>
          <w:ilvl w:val="0"/>
          <w:numId w:val="1008"/>
        </w:numPr>
      </w:pPr>
      <w:r>
        <w:t xml:space="preserve">Manage school inventory.</w:t>
      </w:r>
    </w:p>
    <w:p>
      <w:pPr>
        <w:pStyle w:val="Compact"/>
        <w:numPr>
          <w:ilvl w:val="0"/>
          <w:numId w:val="1008"/>
        </w:numPr>
      </w:pPr>
      <w:r>
        <w:t xml:space="preserve">Allocate textbooks.</w:t>
      </w:r>
    </w:p>
    <w:p>
      <w:pPr>
        <w:pStyle w:val="Compact"/>
        <w:numPr>
          <w:ilvl w:val="0"/>
          <w:numId w:val="1008"/>
        </w:numPr>
      </w:pPr>
      <w:r>
        <w:t xml:space="preserve">View school reports.</w:t>
      </w:r>
    </w:p>
    <w:p>
      <w:pPr>
        <w:pStyle w:val="Compact"/>
        <w:numPr>
          <w:ilvl w:val="0"/>
          <w:numId w:val="1008"/>
        </w:numPr>
      </w:pPr>
      <w:r>
        <w:t xml:space="preserve">Submit requests.</w:t>
      </w:r>
    </w:p>
    <w:p>
      <w:pPr>
        <w:pStyle w:val="FirstParagraph"/>
      </w:pPr>
      <w:r>
        <w:t xml:space="preserve">May not:</w:t>
      </w:r>
    </w:p>
    <w:p>
      <w:pPr>
        <w:pStyle w:val="Compact"/>
        <w:numPr>
          <w:ilvl w:val="0"/>
          <w:numId w:val="1009"/>
        </w:numPr>
      </w:pPr>
      <w:r>
        <w:t xml:space="preserve">Modify national reference data.</w:t>
      </w:r>
    </w:p>
    <w:p>
      <w:pPr>
        <w:pStyle w:val="Compact"/>
        <w:numPr>
          <w:ilvl w:val="0"/>
          <w:numId w:val="1009"/>
        </w:numPr>
      </w:pPr>
      <w:r>
        <w:t xml:space="preserve">Manage procurement contracts.</w:t>
      </w:r>
    </w:p>
    <w:p>
      <w:pPr>
        <w:pStyle w:val="Compact"/>
        <w:numPr>
          <w:ilvl w:val="0"/>
          <w:numId w:val="1009"/>
        </w:numPr>
      </w:pPr>
      <w:r>
        <w:t xml:space="preserve">Access other schools’ operational data.</w:t>
      </w:r>
    </w:p>
    <w:p>
      <w:r>
        <w:pict>
          <v:rect style="width:0;height:1.5pt" o:hralign="center" o:hrstd="t" o:hr="t"/>
        </w:pict>
      </w:r>
    </w:p>
    <w:bookmarkEnd w:id="31"/>
    <w:bookmarkStart w:id="32" w:name="regional-warehouse-manager"/>
    <w:p>
      <w:pPr>
        <w:pStyle w:val="Heading3"/>
      </w:pPr>
      <w:r>
        <w:t xml:space="preserve">Regional Warehouse Manager</w:t>
      </w:r>
    </w:p>
    <w:p>
      <w:pPr>
        <w:pStyle w:val="FirstParagraph"/>
      </w:pPr>
      <w:r>
        <w:t xml:space="preserve">May:</w:t>
      </w:r>
    </w:p>
    <w:p>
      <w:pPr>
        <w:pStyle w:val="Compact"/>
        <w:numPr>
          <w:ilvl w:val="0"/>
          <w:numId w:val="1010"/>
        </w:numPr>
      </w:pPr>
      <w:r>
        <w:t xml:space="preserve">Receive inventory.</w:t>
      </w:r>
    </w:p>
    <w:p>
      <w:pPr>
        <w:pStyle w:val="Compact"/>
        <w:numPr>
          <w:ilvl w:val="0"/>
          <w:numId w:val="1010"/>
        </w:numPr>
      </w:pPr>
      <w:r>
        <w:t xml:space="preserve">Manage regional warehouse operations.</w:t>
      </w:r>
    </w:p>
    <w:p>
      <w:pPr>
        <w:pStyle w:val="Compact"/>
        <w:numPr>
          <w:ilvl w:val="0"/>
          <w:numId w:val="1010"/>
        </w:numPr>
      </w:pPr>
      <w:r>
        <w:t xml:space="preserve">Monitor regional shipments.</w:t>
      </w:r>
    </w:p>
    <w:p>
      <w:pPr>
        <w:pStyle w:val="FirstParagraph"/>
      </w:pPr>
      <w:r>
        <w:t xml:space="preserve">May not:</w:t>
      </w:r>
    </w:p>
    <w:p>
      <w:pPr>
        <w:pStyle w:val="Compact"/>
        <w:numPr>
          <w:ilvl w:val="0"/>
          <w:numId w:val="1011"/>
        </w:numPr>
      </w:pPr>
      <w:r>
        <w:t xml:space="preserve">Approve national procurement plans.</w:t>
      </w:r>
    </w:p>
    <w:p>
      <w:pPr>
        <w:pStyle w:val="Compact"/>
        <w:numPr>
          <w:ilvl w:val="0"/>
          <w:numId w:val="1011"/>
        </w:numPr>
      </w:pPr>
      <w:r>
        <w:t xml:space="preserve">Modify curriculum information.</w:t>
      </w:r>
    </w:p>
    <w:p>
      <w:r>
        <w:pict>
          <v:rect style="width:0;height:1.5pt" o:hralign="center" o:hrstd="t" o:hr="t"/>
        </w:pict>
      </w:r>
    </w:p>
    <w:bookmarkEnd w:id="32"/>
    <w:bookmarkStart w:id="33" w:name="national-administrator"/>
    <w:p>
      <w:pPr>
        <w:pStyle w:val="Heading3"/>
      </w:pPr>
      <w:r>
        <w:t xml:space="preserve">National Administrator</w:t>
      </w:r>
    </w:p>
    <w:p>
      <w:pPr>
        <w:pStyle w:val="FirstParagraph"/>
      </w:pPr>
      <w:r>
        <w:t xml:space="preserve">May:</w:t>
      </w:r>
    </w:p>
    <w:p>
      <w:pPr>
        <w:pStyle w:val="Compact"/>
        <w:numPr>
          <w:ilvl w:val="0"/>
          <w:numId w:val="1012"/>
        </w:numPr>
      </w:pPr>
      <w:r>
        <w:t xml:space="preserve">Configure platform settings.</w:t>
      </w:r>
    </w:p>
    <w:p>
      <w:pPr>
        <w:pStyle w:val="Compact"/>
        <w:numPr>
          <w:ilvl w:val="0"/>
          <w:numId w:val="1012"/>
        </w:numPr>
      </w:pPr>
      <w:r>
        <w:t xml:space="preserve">Manage master data.</w:t>
      </w:r>
    </w:p>
    <w:p>
      <w:pPr>
        <w:pStyle w:val="Compact"/>
        <w:numPr>
          <w:ilvl w:val="0"/>
          <w:numId w:val="1012"/>
        </w:numPr>
      </w:pPr>
      <w:r>
        <w:t xml:space="preserve">Define workflows.</w:t>
      </w:r>
    </w:p>
    <w:p>
      <w:pPr>
        <w:pStyle w:val="Compact"/>
        <w:numPr>
          <w:ilvl w:val="0"/>
          <w:numId w:val="1012"/>
        </w:numPr>
      </w:pPr>
      <w:r>
        <w:t xml:space="preserve">Approve system-wide configuration changes.</w:t>
      </w:r>
    </w:p>
    <w:p>
      <w:r>
        <w:pict>
          <v:rect style="width:0;height:1.5pt" o:hralign="center" o:hrstd="t" o:hr="t"/>
        </w:pict>
      </w:r>
    </w:p>
    <w:bookmarkEnd w:id="33"/>
    <w:bookmarkEnd w:id="34"/>
    <w:bookmarkStart w:id="39" w:name="data-classification"/>
    <w:p>
      <w:pPr>
        <w:pStyle w:val="Heading1"/>
      </w:pPr>
      <w:r>
        <w:t xml:space="preserve">29.7 Data Classification</w:t>
      </w:r>
    </w:p>
    <w:p>
      <w:pPr>
        <w:pStyle w:val="FirstParagraph"/>
      </w:pPr>
      <w:r>
        <w:t xml:space="preserve">Information is classified according to its sensitivity.</w:t>
      </w:r>
    </w:p>
    <w:bookmarkStart w:id="35" w:name="public"/>
    <w:p>
      <w:pPr>
        <w:pStyle w:val="Heading3"/>
      </w:pPr>
      <w:r>
        <w:t xml:space="preserve">Public</w:t>
      </w:r>
    </w:p>
    <w:p>
      <w:pPr>
        <w:pStyle w:val="FirstParagraph"/>
      </w:pPr>
      <w:r>
        <w:t xml:space="preserve">Information approved for public dissemination.</w:t>
      </w:r>
    </w:p>
    <w:bookmarkEnd w:id="35"/>
    <w:bookmarkStart w:id="36" w:name="internal"/>
    <w:p>
      <w:pPr>
        <w:pStyle w:val="Heading3"/>
      </w:pPr>
      <w:r>
        <w:t xml:space="preserve">Internal</w:t>
      </w:r>
    </w:p>
    <w:p>
      <w:pPr>
        <w:pStyle w:val="FirstParagraph"/>
      </w:pPr>
      <w:r>
        <w:t xml:space="preserve">Routine operational information for authorized ministry users.</w:t>
      </w:r>
    </w:p>
    <w:bookmarkEnd w:id="36"/>
    <w:bookmarkStart w:id="37" w:name="confidential"/>
    <w:p>
      <w:pPr>
        <w:pStyle w:val="Heading3"/>
      </w:pPr>
      <w:r>
        <w:t xml:space="preserve">Confidential</w:t>
      </w:r>
    </w:p>
    <w:p>
      <w:pPr>
        <w:pStyle w:val="FirstParagraph"/>
      </w:pPr>
      <w:r>
        <w:t xml:space="preserve">Information requiring restricted access, such as operational planning documents and detailed inventory investigations.</w:t>
      </w:r>
    </w:p>
    <w:bookmarkEnd w:id="37"/>
    <w:bookmarkStart w:id="38" w:name="restricted"/>
    <w:p>
      <w:pPr>
        <w:pStyle w:val="Heading3"/>
      </w:pPr>
      <w:r>
        <w:t xml:space="preserve">Restricted</w:t>
      </w:r>
    </w:p>
    <w:p>
      <w:pPr>
        <w:pStyle w:val="FirstParagraph"/>
      </w:pPr>
      <w:r>
        <w:t xml:space="preserve">Highly sensitive information, including privileged administrative records and security-related data.</w:t>
      </w:r>
    </w:p>
    <w:p>
      <w:pPr>
        <w:pStyle w:val="BodyText"/>
      </w:pPr>
      <w:r>
        <w:t xml:space="preserve">Each classification level has defined handling and access requirements.</w:t>
      </w:r>
    </w:p>
    <w:p>
      <w:r>
        <w:pict>
          <v:rect style="width:0;height:1.5pt" o:hralign="center" o:hrstd="t" o:hr="t"/>
        </w:pict>
      </w:r>
    </w:p>
    <w:bookmarkEnd w:id="38"/>
    <w:bookmarkEnd w:id="39"/>
    <w:bookmarkStart w:id="40" w:name="audit-logging"/>
    <w:p>
      <w:pPr>
        <w:pStyle w:val="Heading1"/>
      </w:pPr>
      <w:r>
        <w:t xml:space="preserve">29.8 Audit Logging</w:t>
      </w:r>
    </w:p>
    <w:p>
      <w:pPr>
        <w:pStyle w:val="FirstParagraph"/>
      </w:pPr>
      <w:r>
        <w:t xml:space="preserve">The platform records significant events, including:</w:t>
      </w:r>
    </w:p>
    <w:p>
      <w:pPr>
        <w:pStyle w:val="Compact"/>
        <w:numPr>
          <w:ilvl w:val="0"/>
          <w:numId w:val="1013"/>
        </w:numPr>
      </w:pPr>
      <w:r>
        <w:t xml:space="preserve">User login.</w:t>
      </w:r>
    </w:p>
    <w:p>
      <w:pPr>
        <w:pStyle w:val="Compact"/>
        <w:numPr>
          <w:ilvl w:val="0"/>
          <w:numId w:val="1013"/>
        </w:numPr>
      </w:pPr>
      <w:r>
        <w:t xml:space="preserve">User logout.</w:t>
      </w:r>
    </w:p>
    <w:p>
      <w:pPr>
        <w:pStyle w:val="Compact"/>
        <w:numPr>
          <w:ilvl w:val="0"/>
          <w:numId w:val="1013"/>
        </w:numPr>
      </w:pPr>
      <w:r>
        <w:t xml:space="preserve">Data creation.</w:t>
      </w:r>
    </w:p>
    <w:p>
      <w:pPr>
        <w:pStyle w:val="Compact"/>
        <w:numPr>
          <w:ilvl w:val="0"/>
          <w:numId w:val="1013"/>
        </w:numPr>
      </w:pPr>
      <w:r>
        <w:t xml:space="preserve">Data modification.</w:t>
      </w:r>
    </w:p>
    <w:p>
      <w:pPr>
        <w:pStyle w:val="Compact"/>
        <w:numPr>
          <w:ilvl w:val="0"/>
          <w:numId w:val="1013"/>
        </w:numPr>
      </w:pPr>
      <w:r>
        <w:t xml:space="preserve">Data deletion (where permitted).</w:t>
      </w:r>
    </w:p>
    <w:p>
      <w:pPr>
        <w:pStyle w:val="Compact"/>
        <w:numPr>
          <w:ilvl w:val="0"/>
          <w:numId w:val="1013"/>
        </w:numPr>
      </w:pPr>
      <w:r>
        <w:t xml:space="preserve">Approvals.</w:t>
      </w:r>
    </w:p>
    <w:p>
      <w:pPr>
        <w:pStyle w:val="Compact"/>
        <w:numPr>
          <w:ilvl w:val="0"/>
          <w:numId w:val="1013"/>
        </w:numPr>
      </w:pPr>
      <w:r>
        <w:t xml:space="preserve">Inventory adjustments.</w:t>
      </w:r>
    </w:p>
    <w:p>
      <w:pPr>
        <w:pStyle w:val="Compact"/>
        <w:numPr>
          <w:ilvl w:val="0"/>
          <w:numId w:val="1013"/>
        </w:numPr>
      </w:pPr>
      <w:r>
        <w:t xml:space="preserve">Synchronization events.</w:t>
      </w:r>
    </w:p>
    <w:p>
      <w:pPr>
        <w:pStyle w:val="Compact"/>
        <w:numPr>
          <w:ilvl w:val="0"/>
          <w:numId w:val="1013"/>
        </w:numPr>
      </w:pPr>
      <w:r>
        <w:t xml:space="preserve">Security events.</w:t>
      </w:r>
    </w:p>
    <w:p>
      <w:pPr>
        <w:pStyle w:val="FirstParagraph"/>
      </w:pPr>
      <w:r>
        <w:t xml:space="preserve">Audit records are protected from unauthorized modification.</w:t>
      </w:r>
    </w:p>
    <w:p>
      <w:r>
        <w:pict>
          <v:rect style="width:0;height:1.5pt" o:hralign="center" o:hrstd="t" o:hr="t"/>
        </w:pict>
      </w:r>
    </w:p>
    <w:bookmarkEnd w:id="40"/>
    <w:bookmarkStart w:id="41" w:name="security-monitoring"/>
    <w:p>
      <w:pPr>
        <w:pStyle w:val="Heading1"/>
      </w:pPr>
      <w:r>
        <w:t xml:space="preserve">29.9 Security Monitoring</w:t>
      </w:r>
    </w:p>
    <w:p>
      <w:pPr>
        <w:pStyle w:val="FirstParagraph"/>
      </w:pPr>
      <w:r>
        <w:t xml:space="preserve">Continuous monitoring includes:</w:t>
      </w:r>
    </w:p>
    <w:p>
      <w:pPr>
        <w:pStyle w:val="Compact"/>
        <w:numPr>
          <w:ilvl w:val="0"/>
          <w:numId w:val="1014"/>
        </w:numPr>
      </w:pPr>
      <w:r>
        <w:t xml:space="preserve">Failed login attempts.</w:t>
      </w:r>
    </w:p>
    <w:p>
      <w:pPr>
        <w:pStyle w:val="Compact"/>
        <w:numPr>
          <w:ilvl w:val="0"/>
          <w:numId w:val="1014"/>
        </w:numPr>
      </w:pPr>
      <w:r>
        <w:t xml:space="preserve">Privilege escalation attempts.</w:t>
      </w:r>
    </w:p>
    <w:p>
      <w:pPr>
        <w:pStyle w:val="Compact"/>
        <w:numPr>
          <w:ilvl w:val="0"/>
          <w:numId w:val="1014"/>
        </w:numPr>
      </w:pPr>
      <w:r>
        <w:t xml:space="preserve">Unusual access patterns.</w:t>
      </w:r>
    </w:p>
    <w:p>
      <w:pPr>
        <w:pStyle w:val="Compact"/>
        <w:numPr>
          <w:ilvl w:val="0"/>
          <w:numId w:val="1014"/>
        </w:numPr>
      </w:pPr>
      <w:r>
        <w:t xml:space="preserve">API misuse.</w:t>
      </w:r>
    </w:p>
    <w:p>
      <w:pPr>
        <w:pStyle w:val="Compact"/>
        <w:numPr>
          <w:ilvl w:val="0"/>
          <w:numId w:val="1014"/>
        </w:numPr>
      </w:pPr>
      <w:r>
        <w:t xml:space="preserve">Synchronization anomalies.</w:t>
      </w:r>
    </w:p>
    <w:p>
      <w:pPr>
        <w:pStyle w:val="Compact"/>
        <w:numPr>
          <w:ilvl w:val="0"/>
          <w:numId w:val="1014"/>
        </w:numPr>
      </w:pPr>
      <w:r>
        <w:t xml:space="preserve">Configuration changes.</w:t>
      </w:r>
    </w:p>
    <w:p>
      <w:pPr>
        <w:pStyle w:val="Compact"/>
        <w:numPr>
          <w:ilvl w:val="0"/>
          <w:numId w:val="1014"/>
        </w:numPr>
      </w:pPr>
      <w:r>
        <w:t xml:space="preserve">System health indicators.</w:t>
      </w:r>
    </w:p>
    <w:p>
      <w:pPr>
        <w:pStyle w:val="FirstParagraph"/>
      </w:pPr>
      <w:r>
        <w:t xml:space="preserve">Critical events are escalated according to ministry-defined procedures.</w:t>
      </w:r>
    </w:p>
    <w:p>
      <w:r>
        <w:pict>
          <v:rect style="width:0;height:1.5pt" o:hralign="center" o:hrstd="t" o:hr="t"/>
        </w:pict>
      </w:r>
    </w:p>
    <w:bookmarkEnd w:id="41"/>
    <w:bookmarkStart w:id="42" w:name="incident-management"/>
    <w:p>
      <w:pPr>
        <w:pStyle w:val="Heading1"/>
      </w:pPr>
      <w:r>
        <w:t xml:space="preserve">29.10 Incident Management</w:t>
      </w:r>
    </w:p>
    <w:p>
      <w:pPr>
        <w:pStyle w:val="FirstParagraph"/>
      </w:pPr>
      <w:r>
        <w:t xml:space="preserve">The framework supports structured handling of security incidents.</w:t>
      </w:r>
    </w:p>
    <w:p>
      <w:pPr>
        <w:pStyle w:val="BodyText"/>
      </w:pPr>
      <w:r>
        <w:t xml:space="preserve">Typical stages include:</w:t>
      </w:r>
    </w:p>
    <w:p>
      <w:pPr>
        <w:pStyle w:val="Compact"/>
        <w:numPr>
          <w:ilvl w:val="0"/>
          <w:numId w:val="1015"/>
        </w:numPr>
      </w:pPr>
      <w:r>
        <w:t xml:space="preserve">Detection.</w:t>
      </w:r>
    </w:p>
    <w:p>
      <w:pPr>
        <w:pStyle w:val="Compact"/>
        <w:numPr>
          <w:ilvl w:val="0"/>
          <w:numId w:val="1015"/>
        </w:numPr>
      </w:pPr>
      <w:r>
        <w:t xml:space="preserve">Validation.</w:t>
      </w:r>
    </w:p>
    <w:p>
      <w:pPr>
        <w:pStyle w:val="Compact"/>
        <w:numPr>
          <w:ilvl w:val="0"/>
          <w:numId w:val="1015"/>
        </w:numPr>
      </w:pPr>
      <w:r>
        <w:t xml:space="preserve">Classification.</w:t>
      </w:r>
    </w:p>
    <w:p>
      <w:pPr>
        <w:pStyle w:val="Compact"/>
        <w:numPr>
          <w:ilvl w:val="0"/>
          <w:numId w:val="1015"/>
        </w:numPr>
      </w:pPr>
      <w:r>
        <w:t xml:space="preserve">Containment.</w:t>
      </w:r>
    </w:p>
    <w:p>
      <w:pPr>
        <w:pStyle w:val="Compact"/>
        <w:numPr>
          <w:ilvl w:val="0"/>
          <w:numId w:val="1015"/>
        </w:numPr>
      </w:pPr>
      <w:r>
        <w:t xml:space="preserve">Investigation.</w:t>
      </w:r>
    </w:p>
    <w:p>
      <w:pPr>
        <w:pStyle w:val="Compact"/>
        <w:numPr>
          <w:ilvl w:val="0"/>
          <w:numId w:val="1015"/>
        </w:numPr>
      </w:pPr>
      <w:r>
        <w:t xml:space="preserve">Recovery.</w:t>
      </w:r>
    </w:p>
    <w:p>
      <w:pPr>
        <w:pStyle w:val="Compact"/>
        <w:numPr>
          <w:ilvl w:val="0"/>
          <w:numId w:val="1015"/>
        </w:numPr>
      </w:pPr>
      <w:r>
        <w:t xml:space="preserve">Lessons learned.</w:t>
      </w:r>
    </w:p>
    <w:p>
      <w:pPr>
        <w:pStyle w:val="Compact"/>
        <w:numPr>
          <w:ilvl w:val="0"/>
          <w:numId w:val="1015"/>
        </w:numPr>
      </w:pPr>
      <w:r>
        <w:t xml:space="preserve">Closure.</w:t>
      </w:r>
    </w:p>
    <w:p>
      <w:pPr>
        <w:pStyle w:val="FirstParagraph"/>
      </w:pPr>
      <w:r>
        <w:t xml:space="preserve">All incidents are documented for future review and improvement.</w:t>
      </w:r>
    </w:p>
    <w:p>
      <w:r>
        <w:pict>
          <v:rect style="width:0;height:1.5pt" o:hralign="center" o:hrstd="t" o:hr="t"/>
        </w:pict>
      </w:r>
    </w:p>
    <w:bookmarkEnd w:id="42"/>
    <w:bookmarkStart w:id="49" w:name="functional-requirements"/>
    <w:p>
      <w:pPr>
        <w:pStyle w:val="Heading1"/>
      </w:pPr>
      <w:r>
        <w:t xml:space="preserve">29.11 Functional Requirements</w:t>
      </w:r>
    </w:p>
    <w:bookmarkStart w:id="43" w:name="fr-sec-001"/>
    <w:p>
      <w:pPr>
        <w:pStyle w:val="Heading3"/>
      </w:pPr>
      <w:r>
        <w:t xml:space="preserve">FR-SEC-001</w:t>
      </w:r>
    </w:p>
    <w:p>
      <w:pPr>
        <w:pStyle w:val="FirstParagraph"/>
      </w:pPr>
      <w:r>
        <w:t xml:space="preserve">Authenticate users before granting access.</w:t>
      </w:r>
    </w:p>
    <w:p>
      <w:r>
        <w:pict>
          <v:rect style="width:0;height:1.5pt" o:hralign="center" o:hrstd="t" o:hr="t"/>
        </w:pict>
      </w:r>
    </w:p>
    <w:bookmarkEnd w:id="43"/>
    <w:bookmarkStart w:id="44" w:name="fr-sec-002"/>
    <w:p>
      <w:pPr>
        <w:pStyle w:val="Heading3"/>
      </w:pPr>
      <w:r>
        <w:t xml:space="preserve">FR-SEC-002</w:t>
      </w:r>
    </w:p>
    <w:p>
      <w:pPr>
        <w:pStyle w:val="FirstParagraph"/>
      </w:pPr>
      <w:r>
        <w:t xml:space="preserve">Enforce role-based authorization.</w:t>
      </w:r>
    </w:p>
    <w:p>
      <w:r>
        <w:pict>
          <v:rect style="width:0;height:1.5pt" o:hralign="center" o:hrstd="t" o:hr="t"/>
        </w:pict>
      </w:r>
    </w:p>
    <w:bookmarkEnd w:id="44"/>
    <w:bookmarkStart w:id="45" w:name="fr-sec-003"/>
    <w:p>
      <w:pPr>
        <w:pStyle w:val="Heading3"/>
      </w:pPr>
      <w:r>
        <w:t xml:space="preserve">FR-SEC-003</w:t>
      </w:r>
    </w:p>
    <w:p>
      <w:pPr>
        <w:pStyle w:val="FirstParagraph"/>
      </w:pPr>
      <w:r>
        <w:t xml:space="preserve">Record comprehensive audit logs.</w:t>
      </w:r>
    </w:p>
    <w:p>
      <w:r>
        <w:pict>
          <v:rect style="width:0;height:1.5pt" o:hralign="center" o:hrstd="t" o:hr="t"/>
        </w:pict>
      </w:r>
    </w:p>
    <w:bookmarkEnd w:id="45"/>
    <w:bookmarkStart w:id="46" w:name="fr-sec-004"/>
    <w:p>
      <w:pPr>
        <w:pStyle w:val="Heading3"/>
      </w:pPr>
      <w:r>
        <w:t xml:space="preserve">FR-SEC-004</w:t>
      </w:r>
    </w:p>
    <w:p>
      <w:pPr>
        <w:pStyle w:val="FirstParagraph"/>
      </w:pPr>
      <w:r>
        <w:t xml:space="preserve">Monitor security events.</w:t>
      </w:r>
    </w:p>
    <w:p>
      <w:r>
        <w:pict>
          <v:rect style="width:0;height:1.5pt" o:hralign="center" o:hrstd="t" o:hr="t"/>
        </w:pict>
      </w:r>
    </w:p>
    <w:bookmarkEnd w:id="46"/>
    <w:bookmarkStart w:id="47" w:name="fr-sec-005"/>
    <w:p>
      <w:pPr>
        <w:pStyle w:val="Heading3"/>
      </w:pPr>
      <w:r>
        <w:t xml:space="preserve">FR-SEC-005</w:t>
      </w:r>
    </w:p>
    <w:p>
      <w:pPr>
        <w:pStyle w:val="FirstParagraph"/>
      </w:pPr>
      <w:r>
        <w:t xml:space="preserve">Support secure password management and account recovery.</w:t>
      </w:r>
    </w:p>
    <w:p>
      <w:r>
        <w:pict>
          <v:rect style="width:0;height:1.5pt" o:hralign="center" o:hrstd="t" o:hr="t"/>
        </w:pict>
      </w:r>
    </w:p>
    <w:bookmarkEnd w:id="47"/>
    <w:bookmarkStart w:id="48" w:name="fr-sec-006"/>
    <w:p>
      <w:pPr>
        <w:pStyle w:val="Heading3"/>
      </w:pPr>
      <w:r>
        <w:t xml:space="preserve">FR-SEC-006</w:t>
      </w:r>
    </w:p>
    <w:p>
      <w:pPr>
        <w:pStyle w:val="FirstParagraph"/>
      </w:pPr>
      <w:r>
        <w:t xml:space="preserve">Protect sensitive information according to data classification policies.</w:t>
      </w:r>
    </w:p>
    <w:p>
      <w:r>
        <w:pict>
          <v:rect style="width:0;height:1.5pt" o:hralign="center" o:hrstd="t" o:hr="t"/>
        </w:pict>
      </w:r>
    </w:p>
    <w:bookmarkEnd w:id="48"/>
    <w:bookmarkEnd w:id="49"/>
    <w:bookmarkStart w:id="50" w:name="reports"/>
    <w:p>
      <w:pPr>
        <w:pStyle w:val="Heading1"/>
      </w:pPr>
      <w:r>
        <w:t xml:space="preserve">29.12 Reports</w:t>
      </w:r>
    </w:p>
    <w:p>
      <w:pPr>
        <w:pStyle w:val="FirstParagraph"/>
      </w:pPr>
      <w:r>
        <w:t xml:space="preserve">Illustrative reports include:</w:t>
      </w:r>
    </w:p>
    <w:p>
      <w:pPr>
        <w:pStyle w:val="Compact"/>
        <w:numPr>
          <w:ilvl w:val="0"/>
          <w:numId w:val="1016"/>
        </w:numPr>
      </w:pPr>
      <w:r>
        <w:t xml:space="preserve">User access report.</w:t>
      </w:r>
    </w:p>
    <w:p>
      <w:pPr>
        <w:pStyle w:val="Compact"/>
        <w:numPr>
          <w:ilvl w:val="0"/>
          <w:numId w:val="1016"/>
        </w:numPr>
      </w:pPr>
      <w:r>
        <w:t xml:space="preserve">Login activity.</w:t>
      </w:r>
    </w:p>
    <w:p>
      <w:pPr>
        <w:pStyle w:val="Compact"/>
        <w:numPr>
          <w:ilvl w:val="0"/>
          <w:numId w:val="1016"/>
        </w:numPr>
      </w:pPr>
      <w:r>
        <w:t xml:space="preserve">Privileged account activity.</w:t>
      </w:r>
    </w:p>
    <w:p>
      <w:pPr>
        <w:pStyle w:val="Compact"/>
        <w:numPr>
          <w:ilvl w:val="0"/>
          <w:numId w:val="1016"/>
        </w:numPr>
      </w:pPr>
      <w:r>
        <w:t xml:space="preserve">Security incident summary.</w:t>
      </w:r>
    </w:p>
    <w:p>
      <w:pPr>
        <w:pStyle w:val="Compact"/>
        <w:numPr>
          <w:ilvl w:val="0"/>
          <w:numId w:val="1016"/>
        </w:numPr>
      </w:pPr>
      <w:r>
        <w:t xml:space="preserve">Audit trail report.</w:t>
      </w:r>
    </w:p>
    <w:p>
      <w:pPr>
        <w:pStyle w:val="Compact"/>
        <w:numPr>
          <w:ilvl w:val="0"/>
          <w:numId w:val="1016"/>
        </w:numPr>
      </w:pPr>
      <w:r>
        <w:t xml:space="preserve">Permission review report.</w:t>
      </w:r>
    </w:p>
    <w:p>
      <w:r>
        <w:pict>
          <v:rect style="width:0;height:1.5pt" o:hralign="center" o:hrstd="t" o:hr="t"/>
        </w:pict>
      </w:r>
    </w:p>
    <w:bookmarkEnd w:id="50"/>
    <w:bookmarkStart w:id="53" w:name="dashboards"/>
    <w:p>
      <w:pPr>
        <w:pStyle w:val="Heading1"/>
      </w:pPr>
      <w:r>
        <w:t xml:space="preserve">29.13 Dashboards</w:t>
      </w:r>
    </w:p>
    <w:bookmarkStart w:id="51" w:name="executive-security-dashboard"/>
    <w:p>
      <w:pPr>
        <w:pStyle w:val="Heading3"/>
      </w:pPr>
      <w:r>
        <w:t xml:space="preserve">Executive Security Dashboard</w:t>
      </w:r>
    </w:p>
    <w:p>
      <w:pPr>
        <w:pStyle w:val="Compact"/>
        <w:numPr>
          <w:ilvl w:val="0"/>
          <w:numId w:val="1017"/>
        </w:numPr>
      </w:pPr>
      <w:r>
        <w:t xml:space="preserve">Platform availability.</w:t>
      </w:r>
    </w:p>
    <w:p>
      <w:pPr>
        <w:pStyle w:val="Compact"/>
        <w:numPr>
          <w:ilvl w:val="0"/>
          <w:numId w:val="1017"/>
        </w:numPr>
      </w:pPr>
      <w:r>
        <w:t xml:space="preserve">Active users.</w:t>
      </w:r>
    </w:p>
    <w:p>
      <w:pPr>
        <w:pStyle w:val="Compact"/>
        <w:numPr>
          <w:ilvl w:val="0"/>
          <w:numId w:val="1017"/>
        </w:numPr>
      </w:pPr>
      <w:r>
        <w:t xml:space="preserve">Security alerts.</w:t>
      </w:r>
    </w:p>
    <w:p>
      <w:pPr>
        <w:pStyle w:val="Compact"/>
        <w:numPr>
          <w:ilvl w:val="0"/>
          <w:numId w:val="1017"/>
        </w:numPr>
      </w:pPr>
      <w:r>
        <w:t xml:space="preserve">Incident status.</w:t>
      </w:r>
    </w:p>
    <w:p>
      <w:pPr>
        <w:pStyle w:val="Compact"/>
        <w:numPr>
          <w:ilvl w:val="0"/>
          <w:numId w:val="1017"/>
        </w:numPr>
      </w:pPr>
      <w:r>
        <w:t xml:space="preserve">Audit summary.</w:t>
      </w:r>
    </w:p>
    <w:bookmarkEnd w:id="51"/>
    <w:bookmarkStart w:id="52" w:name="technical-security-dashboard"/>
    <w:p>
      <w:pPr>
        <w:pStyle w:val="Heading3"/>
      </w:pPr>
      <w:r>
        <w:t xml:space="preserve">Technical Security Dashboard</w:t>
      </w:r>
    </w:p>
    <w:p>
      <w:pPr>
        <w:pStyle w:val="Compact"/>
        <w:numPr>
          <w:ilvl w:val="0"/>
          <w:numId w:val="1018"/>
        </w:numPr>
      </w:pPr>
      <w:r>
        <w:t xml:space="preserve">Authentication trends.</w:t>
      </w:r>
    </w:p>
    <w:p>
      <w:pPr>
        <w:pStyle w:val="Compact"/>
        <w:numPr>
          <w:ilvl w:val="0"/>
          <w:numId w:val="1018"/>
        </w:numPr>
      </w:pPr>
      <w:r>
        <w:t xml:space="preserve">Failed logins.</w:t>
      </w:r>
    </w:p>
    <w:p>
      <w:pPr>
        <w:pStyle w:val="Compact"/>
        <w:numPr>
          <w:ilvl w:val="0"/>
          <w:numId w:val="1018"/>
        </w:numPr>
      </w:pPr>
      <w:r>
        <w:t xml:space="preserve">API security events.</w:t>
      </w:r>
    </w:p>
    <w:p>
      <w:pPr>
        <w:pStyle w:val="Compact"/>
        <w:numPr>
          <w:ilvl w:val="0"/>
          <w:numId w:val="1018"/>
        </w:numPr>
      </w:pPr>
      <w:r>
        <w:t xml:space="preserve">Synchronization security.</w:t>
      </w:r>
    </w:p>
    <w:p>
      <w:pPr>
        <w:pStyle w:val="Compact"/>
        <w:numPr>
          <w:ilvl w:val="0"/>
          <w:numId w:val="1018"/>
        </w:numPr>
      </w:pPr>
      <w:r>
        <w:t xml:space="preserve">System health.</w:t>
      </w:r>
    </w:p>
    <w:p>
      <w:r>
        <w:pict>
          <v:rect style="width:0;height:1.5pt" o:hralign="center" o:hrstd="t" o:hr="t"/>
        </w:pict>
      </w:r>
    </w:p>
    <w:bookmarkEnd w:id="52"/>
    <w:bookmarkEnd w:id="53"/>
    <w:bookmarkStart w:id="54" w:name="integration-points"/>
    <w:p>
      <w:pPr>
        <w:pStyle w:val="Heading1"/>
      </w:pPr>
      <w:r>
        <w:t xml:space="preserve">29.14 Integration Points</w:t>
      </w:r>
    </w:p>
    <w:p>
      <w:pPr>
        <w:pStyle w:val="FirstParagraph"/>
      </w:pPr>
      <w:r>
        <w:t xml:space="preserve">The Security Framework supports and protects every platform module, including:</w:t>
      </w:r>
    </w:p>
    <w:p>
      <w:pPr>
        <w:pStyle w:val="Compact"/>
        <w:numPr>
          <w:ilvl w:val="0"/>
          <w:numId w:val="1019"/>
        </w:numPr>
      </w:pPr>
      <w:r>
        <w:t xml:space="preserve">Identity Services.</w:t>
      </w:r>
    </w:p>
    <w:p>
      <w:pPr>
        <w:pStyle w:val="Compact"/>
        <w:numPr>
          <w:ilvl w:val="0"/>
          <w:numId w:val="1019"/>
        </w:numPr>
      </w:pPr>
      <w:r>
        <w:t xml:space="preserve">Interoperability Hub.</w:t>
      </w:r>
    </w:p>
    <w:p>
      <w:pPr>
        <w:pStyle w:val="Compact"/>
        <w:numPr>
          <w:ilvl w:val="0"/>
          <w:numId w:val="1019"/>
        </w:numPr>
      </w:pPr>
      <w:r>
        <w:t xml:space="preserve">Offline Synchronization Engine.</w:t>
      </w:r>
    </w:p>
    <w:p>
      <w:pPr>
        <w:pStyle w:val="Compact"/>
        <w:numPr>
          <w:ilvl w:val="0"/>
          <w:numId w:val="1019"/>
        </w:numPr>
      </w:pPr>
      <w:r>
        <w:t xml:space="preserve">Command Centre.</w:t>
      </w:r>
    </w:p>
    <w:p>
      <w:pPr>
        <w:pStyle w:val="Compact"/>
        <w:numPr>
          <w:ilvl w:val="0"/>
          <w:numId w:val="1019"/>
        </w:numPr>
      </w:pPr>
      <w:r>
        <w:t xml:space="preserve">Analytics.</w:t>
      </w:r>
    </w:p>
    <w:p>
      <w:pPr>
        <w:pStyle w:val="Compact"/>
        <w:numPr>
          <w:ilvl w:val="0"/>
          <w:numId w:val="1019"/>
        </w:numPr>
      </w:pPr>
      <w:r>
        <w:t xml:space="preserve">Procurement.</w:t>
      </w:r>
    </w:p>
    <w:p>
      <w:pPr>
        <w:pStyle w:val="Compact"/>
        <w:numPr>
          <w:ilvl w:val="0"/>
          <w:numId w:val="1019"/>
        </w:numPr>
      </w:pPr>
      <w:r>
        <w:t xml:space="preserve">Warehouse Management.</w:t>
      </w:r>
    </w:p>
    <w:p>
      <w:pPr>
        <w:pStyle w:val="Compact"/>
        <w:numPr>
          <w:ilvl w:val="0"/>
          <w:numId w:val="1019"/>
        </w:numPr>
      </w:pPr>
      <w:r>
        <w:t xml:space="preserve">School Operations.</w:t>
      </w:r>
    </w:p>
    <w:p>
      <w:pPr>
        <w:pStyle w:val="Compact"/>
        <w:numPr>
          <w:ilvl w:val="0"/>
          <w:numId w:val="1019"/>
        </w:numPr>
      </w:pPr>
      <w:r>
        <w:t xml:space="preserve">Reporting.</w:t>
      </w:r>
    </w:p>
    <w:p>
      <w:r>
        <w:pict>
          <v:rect style="width:0;height:1.5pt" o:hralign="center" o:hrstd="t" o:hr="t"/>
        </w:pict>
      </w:r>
    </w:p>
    <w:bookmarkEnd w:id="54"/>
    <w:bookmarkStart w:id="55" w:name="success-indicators"/>
    <w:p>
      <w:pPr>
        <w:pStyle w:val="Heading1"/>
      </w:pPr>
      <w:r>
        <w:t xml:space="preserve">29.15 Success Indicators</w:t>
      </w:r>
    </w:p>
    <w:p>
      <w:pPr>
        <w:pStyle w:val="FirstParagraph"/>
      </w:pPr>
      <w:r>
        <w:t xml:space="preserve">Examples include:</w:t>
      </w:r>
    </w:p>
    <w:p>
      <w:pPr>
        <w:pStyle w:val="Compact"/>
        <w:numPr>
          <w:ilvl w:val="0"/>
          <w:numId w:val="1020"/>
        </w:numPr>
      </w:pPr>
      <w:r>
        <w:t xml:space="preserve">Successful authentication rate.</w:t>
      </w:r>
    </w:p>
    <w:p>
      <w:pPr>
        <w:pStyle w:val="Compact"/>
        <w:numPr>
          <w:ilvl w:val="0"/>
          <w:numId w:val="1020"/>
        </w:numPr>
      </w:pPr>
      <w:r>
        <w:t xml:space="preserve">Unauthorized access attempts blocked.</w:t>
      </w:r>
    </w:p>
    <w:p>
      <w:pPr>
        <w:pStyle w:val="Compact"/>
        <w:numPr>
          <w:ilvl w:val="0"/>
          <w:numId w:val="1020"/>
        </w:numPr>
      </w:pPr>
      <w:r>
        <w:t xml:space="preserve">Audit log completeness.</w:t>
      </w:r>
    </w:p>
    <w:p>
      <w:pPr>
        <w:pStyle w:val="Compact"/>
        <w:numPr>
          <w:ilvl w:val="0"/>
          <w:numId w:val="1020"/>
        </w:numPr>
      </w:pPr>
      <w:r>
        <w:t xml:space="preserve">Time to detect security incidents.</w:t>
      </w:r>
    </w:p>
    <w:p>
      <w:pPr>
        <w:pStyle w:val="Compact"/>
        <w:numPr>
          <w:ilvl w:val="0"/>
          <w:numId w:val="1020"/>
        </w:numPr>
      </w:pPr>
      <w:r>
        <w:t xml:space="preserve">Time to resolve security incidents.</w:t>
      </w:r>
    </w:p>
    <w:p>
      <w:pPr>
        <w:pStyle w:val="Compact"/>
        <w:numPr>
          <w:ilvl w:val="0"/>
          <w:numId w:val="1020"/>
        </w:numPr>
      </w:pPr>
      <w:r>
        <w:t xml:space="preserve">Completion of periodic access reviews.</w:t>
      </w:r>
    </w:p>
    <w:p>
      <w:pPr>
        <w:pStyle w:val="Compact"/>
        <w:numPr>
          <w:ilvl w:val="0"/>
          <w:numId w:val="1020"/>
        </w:numPr>
      </w:pPr>
      <w:r>
        <w:t xml:space="preserve">Platform availability.</w:t>
      </w:r>
    </w:p>
    <w:p>
      <w:r>
        <w:pict>
          <v:rect style="width:0;height:1.5pt" o:hralign="center" o:hrstd="t" o:hr="t"/>
        </w:pict>
      </w:r>
    </w:p>
    <w:bookmarkEnd w:id="55"/>
    <w:bookmarkStart w:id="56" w:name="conclusion"/>
    <w:p>
      <w:pPr>
        <w:pStyle w:val="Heading1"/>
      </w:pPr>
      <w:r>
        <w:t xml:space="preserve">29.16 Conclusion</w:t>
      </w:r>
    </w:p>
    <w:p>
      <w:pPr>
        <w:pStyle w:val="FirstParagraph"/>
      </w:pPr>
      <w:r>
        <w:t xml:space="preserve">The National Security, Identity and Access Management Framework provides the trust foundation for EduOS Cameroon.</w:t>
      </w:r>
    </w:p>
    <w:p>
      <w:pPr>
        <w:pStyle w:val="BodyText"/>
      </w:pPr>
      <w:r>
        <w:t xml:space="preserve">By combining robust identity management, role-based authorization, auditability, continuous monitoring, and layered security controls, the framework enables secure operation across all administrative levels while supporting transparency, accountability, and responsible stewardship of educational information and public resources.</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2026-07-10T13:22:19Z</dcterms:created>
  <dcterms:modified xsi:type="dcterms:W3CDTF">2026-07-10T13:22:19Z</dcterms:modified>
</cp:coreProperties>
</file>

<file path=docProps/custom.xml><?xml version="1.0" encoding="utf-8"?>
<Properties xmlns="http://schemas.openxmlformats.org/officeDocument/2006/custom-properties" xmlns:vt="http://schemas.openxmlformats.org/officeDocument/2006/docPropsVTypes"/>
</file>