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7"/>
    <w:p>
      <w:pPr>
        <w:pStyle w:val="Heading1"/>
      </w:pPr>
      <w:r>
        <w:t xml:space="preserve">CHAPTER 37</w:t>
      </w:r>
    </w:p>
    <w:bookmarkEnd w:id="20"/>
    <w:bookmarkStart w:id="22" w:name="Xab8b9928f3d4a913e43e97080249ec38b9c386a"/>
    <w:p>
      <w:pPr>
        <w:pStyle w:val="Heading1"/>
      </w:pPr>
      <w:r>
        <w:t xml:space="preserve">VISION 2035 — CAMEROON NATIONAL EDUCATION DIGITAL ECOSYSTEM</w:t>
      </w:r>
    </w:p>
    <w:bookmarkStart w:id="21" w:name="a-new-vision-for-education-governance"/>
    <w:p>
      <w:pPr>
        <w:pStyle w:val="Heading2"/>
      </w:pPr>
      <w:r>
        <w:t xml:space="preserve">37.1 A New Vision for Education Governance</w:t>
      </w:r>
    </w:p>
    <w:p>
      <w:pPr>
        <w:pStyle w:val="FirstParagraph"/>
      </w:pPr>
      <w:r>
        <w:t xml:space="preserve">Cameroon is entering an era in which educational resources, institutional knowledge, operational processes, and strategic decisions can be supported by an integrated national digital ecosystem.</w:t>
      </w:r>
    </w:p>
    <w:p>
      <w:pPr>
        <w:pStyle w:val="BodyText"/>
      </w:pPr>
      <w:r>
        <w:t xml:space="preserve">EduOS Cameroon is envisioned not simply as a software application, but as a foundational digital public infrastructure that strengthens educational governance, promotes transparency, improves operational efficiency, and supports equitable access to quality education across the nation.</w:t>
      </w:r>
    </w:p>
    <w:p>
      <w:pPr>
        <w:pStyle w:val="BodyText"/>
      </w:pPr>
      <w:r>
        <w:t xml:space="preserve">The platform’s long-term purpose is to ensure that every educational resource entrusted to the State can be planned, managed, monitored, and continuously improved through reliable information and responsible digital innovation.</w:t>
      </w:r>
    </w:p>
    <w:p>
      <w:r>
        <w:pict>
          <v:rect style="width:0;height:1.5pt" o:hralign="center" o:hrstd="t" o:hr="t"/>
        </w:pict>
      </w:r>
    </w:p>
    <w:bookmarkEnd w:id="21"/>
    <w:bookmarkEnd w:id="22"/>
    <w:bookmarkStart w:id="23" w:name="vision-statement"/>
    <w:p>
      <w:pPr>
        <w:pStyle w:val="Heading1"/>
      </w:pPr>
      <w:r>
        <w:t xml:space="preserve">37.2 Vision Statement</w:t>
      </w:r>
    </w:p>
    <w:p>
      <w:pPr>
        <w:pStyle w:val="FirstParagraph"/>
      </w:pPr>
      <w:r>
        <w:rPr>
          <w:b/>
          <w:bCs/>
        </w:rPr>
        <w:t xml:space="preserve">To establish a resilient, secure, interoperable, and data-driven national education digital ecosystem that empowers every school, supports every learner, strengthens every teacher, and enables evidence-based decision-making across the Republic of Cameroon.</w:t>
      </w:r>
    </w:p>
    <w:p>
      <w:r>
        <w:pict>
          <v:rect style="width:0;height:1.5pt" o:hralign="center" o:hrstd="t" o:hr="t"/>
        </w:pict>
      </w:r>
    </w:p>
    <w:bookmarkEnd w:id="23"/>
    <w:bookmarkStart w:id="24" w:name="mission"/>
    <w:p>
      <w:pPr>
        <w:pStyle w:val="Heading1"/>
      </w:pPr>
      <w:r>
        <w:t xml:space="preserve">37.3 Mission</w:t>
      </w:r>
    </w:p>
    <w:p>
      <w:pPr>
        <w:pStyle w:val="FirstParagraph"/>
      </w:pPr>
      <w:r>
        <w:t xml:space="preserve">EduOS Cameroon seeks to:</w:t>
      </w:r>
    </w:p>
    <w:p>
      <w:pPr>
        <w:pStyle w:val="Compact"/>
        <w:numPr>
          <w:ilvl w:val="0"/>
          <w:numId w:val="1001"/>
        </w:numPr>
      </w:pPr>
      <w:r>
        <w:t xml:space="preserve">Modernize education administration.</w:t>
      </w:r>
    </w:p>
    <w:p>
      <w:pPr>
        <w:pStyle w:val="Compact"/>
        <w:numPr>
          <w:ilvl w:val="0"/>
          <w:numId w:val="1001"/>
        </w:numPr>
      </w:pPr>
      <w:r>
        <w:t xml:space="preserve">Improve accountability.</w:t>
      </w:r>
    </w:p>
    <w:p>
      <w:pPr>
        <w:pStyle w:val="Compact"/>
        <w:numPr>
          <w:ilvl w:val="0"/>
          <w:numId w:val="1001"/>
        </w:numPr>
      </w:pPr>
      <w:r>
        <w:t xml:space="preserve">Strengthen institutional capacity.</w:t>
      </w:r>
    </w:p>
    <w:p>
      <w:pPr>
        <w:pStyle w:val="Compact"/>
        <w:numPr>
          <w:ilvl w:val="0"/>
          <w:numId w:val="1001"/>
        </w:numPr>
      </w:pPr>
      <w:r>
        <w:t xml:space="preserve">Promote efficient resource management.</w:t>
      </w:r>
    </w:p>
    <w:p>
      <w:pPr>
        <w:pStyle w:val="Compact"/>
        <w:numPr>
          <w:ilvl w:val="0"/>
          <w:numId w:val="1001"/>
        </w:numPr>
      </w:pPr>
      <w:r>
        <w:t xml:space="preserve">Enable evidence-based planning.</w:t>
      </w:r>
    </w:p>
    <w:p>
      <w:pPr>
        <w:pStyle w:val="Compact"/>
        <w:numPr>
          <w:ilvl w:val="0"/>
          <w:numId w:val="1001"/>
        </w:numPr>
      </w:pPr>
      <w:r>
        <w:t xml:space="preserve">Foster digital innovation.</w:t>
      </w:r>
    </w:p>
    <w:p>
      <w:pPr>
        <w:pStyle w:val="Compact"/>
        <w:numPr>
          <w:ilvl w:val="0"/>
          <w:numId w:val="1001"/>
        </w:numPr>
      </w:pPr>
      <w:r>
        <w:t xml:space="preserve">Build sustainable public institutions.</w:t>
      </w:r>
    </w:p>
    <w:p>
      <w:pPr>
        <w:pStyle w:val="Compact"/>
        <w:numPr>
          <w:ilvl w:val="0"/>
          <w:numId w:val="1001"/>
        </w:numPr>
      </w:pPr>
      <w:r>
        <w:t xml:space="preserve">Support improved educational outcomes.</w:t>
      </w:r>
    </w:p>
    <w:p>
      <w:r>
        <w:pict>
          <v:rect style="width:0;height:1.5pt" o:hralign="center" o:hrstd="t" o:hr="t"/>
        </w:pict>
      </w:r>
    </w:p>
    <w:bookmarkEnd w:id="24"/>
    <w:bookmarkStart w:id="30" w:name="strategic-pillars"/>
    <w:p>
      <w:pPr>
        <w:pStyle w:val="Heading1"/>
      </w:pPr>
      <w:r>
        <w:t xml:space="preserve">37.4 Strategic Pillars</w:t>
      </w:r>
    </w:p>
    <w:bookmarkStart w:id="25" w:name="pillar-1-digital-governance"/>
    <w:p>
      <w:pPr>
        <w:pStyle w:val="Heading2"/>
      </w:pPr>
      <w:r>
        <w:t xml:space="preserve">Pillar 1 — Digital Governance</w:t>
      </w:r>
    </w:p>
    <w:p>
      <w:pPr>
        <w:pStyle w:val="FirstParagraph"/>
      </w:pPr>
      <w:r>
        <w:t xml:space="preserve">A unified platform supporting transparent and accountable management of educational resources.</w:t>
      </w:r>
    </w:p>
    <w:p>
      <w:r>
        <w:pict>
          <v:rect style="width:0;height:1.5pt" o:hralign="center" o:hrstd="t" o:hr="t"/>
        </w:pict>
      </w:r>
    </w:p>
    <w:bookmarkEnd w:id="25"/>
    <w:bookmarkStart w:id="26" w:name="pillar-2-connected-schools"/>
    <w:p>
      <w:pPr>
        <w:pStyle w:val="Heading2"/>
      </w:pPr>
      <w:r>
        <w:t xml:space="preserve">Pillar 2 — Connected Schools</w:t>
      </w:r>
    </w:p>
    <w:p>
      <w:pPr>
        <w:pStyle w:val="FirstParagraph"/>
      </w:pPr>
      <w:r>
        <w:t xml:space="preserve">Every participating school becomes an active node within the national education ecosystem, capable of operating both online and offline.</w:t>
      </w:r>
    </w:p>
    <w:p>
      <w:r>
        <w:pict>
          <v:rect style="width:0;height:1.5pt" o:hralign="center" o:hrstd="t" o:hr="t"/>
        </w:pict>
      </w:r>
    </w:p>
    <w:bookmarkEnd w:id="26"/>
    <w:bookmarkStart w:id="27" w:name="pillar-3-evidence-based-decision-making"/>
    <w:p>
      <w:pPr>
        <w:pStyle w:val="Heading2"/>
      </w:pPr>
      <w:r>
        <w:t xml:space="preserve">Pillar 3 — Evidence-Based Decision Making</w:t>
      </w:r>
    </w:p>
    <w:p>
      <w:pPr>
        <w:pStyle w:val="FirstParagraph"/>
      </w:pPr>
      <w:r>
        <w:t xml:space="preserve">Operational information is transformed into timely insights that support planning, budgeting, monitoring, and policy development.</w:t>
      </w:r>
    </w:p>
    <w:p>
      <w:r>
        <w:pict>
          <v:rect style="width:0;height:1.5pt" o:hralign="center" o:hrstd="t" o:hr="t"/>
        </w:pict>
      </w:r>
    </w:p>
    <w:bookmarkEnd w:id="27"/>
    <w:bookmarkStart w:id="28" w:name="pillar-4-interoperability"/>
    <w:p>
      <w:pPr>
        <w:pStyle w:val="Heading2"/>
      </w:pPr>
      <w:r>
        <w:t xml:space="preserve">Pillar 4 — Interoperability</w:t>
      </w:r>
    </w:p>
    <w:p>
      <w:pPr>
        <w:pStyle w:val="FirstParagraph"/>
      </w:pPr>
      <w:r>
        <w:t xml:space="preserve">Education information systems exchange data securely through standardized interfaces, reducing duplication and strengthening institutional collaboration.</w:t>
      </w:r>
    </w:p>
    <w:p>
      <w:r>
        <w:pict>
          <v:rect style="width:0;height:1.5pt" o:hralign="center" o:hrstd="t" o:hr="t"/>
        </w:pict>
      </w:r>
    </w:p>
    <w:bookmarkEnd w:id="28"/>
    <w:bookmarkStart w:id="29" w:name="pillar-5-responsible-innovation"/>
    <w:p>
      <w:pPr>
        <w:pStyle w:val="Heading2"/>
      </w:pPr>
      <w:r>
        <w:t xml:space="preserve">Pillar 5 — Responsible Innovation</w:t>
      </w:r>
    </w:p>
    <w:p>
      <w:pPr>
        <w:pStyle w:val="FirstParagraph"/>
      </w:pPr>
      <w:r>
        <w:t xml:space="preserve">Emerging technologies, including analytics and artificial intelligence, are adopted in ways that enhance human decision-making while respecting transparency, accountability, and public trust.</w:t>
      </w:r>
    </w:p>
    <w:p>
      <w:r>
        <w:pict>
          <v:rect style="width:0;height:1.5pt" o:hralign="center" o:hrstd="t" o:hr="t"/>
        </w:pict>
      </w:r>
    </w:p>
    <w:bookmarkEnd w:id="29"/>
    <w:bookmarkEnd w:id="30"/>
    <w:bookmarkStart w:id="35" w:name="the-digital-education-ecosystem"/>
    <w:p>
      <w:pPr>
        <w:pStyle w:val="Heading1"/>
      </w:pPr>
      <w:r>
        <w:t xml:space="preserve">37.5 The Digital Education Ecosystem</w:t>
      </w:r>
    </w:p>
    <w:p>
      <w:pPr>
        <w:pStyle w:val="FirstParagraph"/>
      </w:pPr>
      <w:r>
        <w:t xml:space="preserve">By 2035, EduOS Cameroon can support a comprehensive ecosystem that includes:</w:t>
      </w:r>
    </w:p>
    <w:bookmarkStart w:id="31" w:name="core-education-administration"/>
    <w:p>
      <w:pPr>
        <w:pStyle w:val="Heading3"/>
      </w:pPr>
      <w:r>
        <w:t xml:space="preserve">Core Education Administration</w:t>
      </w:r>
    </w:p>
    <w:p>
      <w:pPr>
        <w:pStyle w:val="Compact"/>
        <w:numPr>
          <w:ilvl w:val="0"/>
          <w:numId w:val="1002"/>
        </w:numPr>
      </w:pPr>
      <w:r>
        <w:t xml:space="preserve">School management.</w:t>
      </w:r>
    </w:p>
    <w:p>
      <w:pPr>
        <w:pStyle w:val="Compact"/>
        <w:numPr>
          <w:ilvl w:val="0"/>
          <w:numId w:val="1002"/>
        </w:numPr>
      </w:pPr>
      <w:r>
        <w:t xml:space="preserve">Student registry.</w:t>
      </w:r>
    </w:p>
    <w:p>
      <w:pPr>
        <w:pStyle w:val="Compact"/>
        <w:numPr>
          <w:ilvl w:val="0"/>
          <w:numId w:val="1002"/>
        </w:numPr>
      </w:pPr>
      <w:r>
        <w:t xml:space="preserve">Teacher registry.</w:t>
      </w:r>
    </w:p>
    <w:p>
      <w:pPr>
        <w:pStyle w:val="Compact"/>
        <w:numPr>
          <w:ilvl w:val="0"/>
          <w:numId w:val="1002"/>
        </w:numPr>
      </w:pPr>
      <w:r>
        <w:t xml:space="preserve">Educational resource management.</w:t>
      </w:r>
    </w:p>
    <w:p>
      <w:pPr>
        <w:pStyle w:val="Compact"/>
        <w:numPr>
          <w:ilvl w:val="0"/>
          <w:numId w:val="1002"/>
        </w:numPr>
      </w:pPr>
      <w:r>
        <w:t xml:space="preserve">Procurement.</w:t>
      </w:r>
    </w:p>
    <w:p>
      <w:pPr>
        <w:pStyle w:val="Compact"/>
        <w:numPr>
          <w:ilvl w:val="0"/>
          <w:numId w:val="1002"/>
        </w:numPr>
      </w:pPr>
      <w:r>
        <w:t xml:space="preserve">Warehousing.</w:t>
      </w:r>
    </w:p>
    <w:p>
      <w:pPr>
        <w:pStyle w:val="Compact"/>
        <w:numPr>
          <w:ilvl w:val="0"/>
          <w:numId w:val="1002"/>
        </w:numPr>
      </w:pPr>
      <w:r>
        <w:t xml:space="preserve">Logistics.</w:t>
      </w:r>
    </w:p>
    <w:p>
      <w:pPr>
        <w:pStyle w:val="Compact"/>
        <w:numPr>
          <w:ilvl w:val="0"/>
          <w:numId w:val="1002"/>
        </w:numPr>
      </w:pPr>
      <w:r>
        <w:t xml:space="preserve">Inventory.</w:t>
      </w:r>
    </w:p>
    <w:p>
      <w:r>
        <w:pict>
          <v:rect style="width:0;height:1.5pt" o:hralign="center" o:hrstd="t" o:hr="t"/>
        </w:pict>
      </w:r>
    </w:p>
    <w:bookmarkEnd w:id="31"/>
    <w:bookmarkStart w:id="32" w:name="planning-and-governance"/>
    <w:p>
      <w:pPr>
        <w:pStyle w:val="Heading3"/>
      </w:pPr>
      <w:r>
        <w:t xml:space="preserve">Planning and Governance</w:t>
      </w:r>
    </w:p>
    <w:p>
      <w:pPr>
        <w:pStyle w:val="Compact"/>
        <w:numPr>
          <w:ilvl w:val="0"/>
          <w:numId w:val="1003"/>
        </w:numPr>
      </w:pPr>
      <w:r>
        <w:t xml:space="preserve">Strategic planning.</w:t>
      </w:r>
    </w:p>
    <w:p>
      <w:pPr>
        <w:pStyle w:val="Compact"/>
        <w:numPr>
          <w:ilvl w:val="0"/>
          <w:numId w:val="1003"/>
        </w:numPr>
      </w:pPr>
      <w:r>
        <w:t xml:space="preserve">Budget support.</w:t>
      </w:r>
    </w:p>
    <w:p>
      <w:pPr>
        <w:pStyle w:val="Compact"/>
        <w:numPr>
          <w:ilvl w:val="0"/>
          <w:numId w:val="1003"/>
        </w:numPr>
      </w:pPr>
      <w:r>
        <w:t xml:space="preserve">Monitoring and evaluation.</w:t>
      </w:r>
    </w:p>
    <w:p>
      <w:pPr>
        <w:pStyle w:val="Compact"/>
        <w:numPr>
          <w:ilvl w:val="0"/>
          <w:numId w:val="1003"/>
        </w:numPr>
      </w:pPr>
      <w:r>
        <w:t xml:space="preserve">Compliance.</w:t>
      </w:r>
    </w:p>
    <w:p>
      <w:pPr>
        <w:pStyle w:val="Compact"/>
        <w:numPr>
          <w:ilvl w:val="0"/>
          <w:numId w:val="1003"/>
        </w:numPr>
      </w:pPr>
      <w:r>
        <w:t xml:space="preserve">Audit.</w:t>
      </w:r>
    </w:p>
    <w:p>
      <w:pPr>
        <w:pStyle w:val="Compact"/>
        <w:numPr>
          <w:ilvl w:val="0"/>
          <w:numId w:val="1003"/>
        </w:numPr>
      </w:pPr>
      <w:r>
        <w:t xml:space="preserve">Performance management.</w:t>
      </w:r>
    </w:p>
    <w:p>
      <w:pPr>
        <w:pStyle w:val="Compact"/>
        <w:numPr>
          <w:ilvl w:val="0"/>
          <w:numId w:val="1003"/>
        </w:numPr>
      </w:pPr>
      <w:r>
        <w:t xml:space="preserve">Risk management.</w:t>
      </w:r>
    </w:p>
    <w:p>
      <w:r>
        <w:pict>
          <v:rect style="width:0;height:1.5pt" o:hralign="center" o:hrstd="t" o:hr="t"/>
        </w:pict>
      </w:r>
    </w:p>
    <w:bookmarkEnd w:id="32"/>
    <w:bookmarkStart w:id="33" w:name="digital-services"/>
    <w:p>
      <w:pPr>
        <w:pStyle w:val="Heading3"/>
      </w:pPr>
      <w:r>
        <w:t xml:space="preserve">Digital Services</w:t>
      </w:r>
    </w:p>
    <w:p>
      <w:pPr>
        <w:pStyle w:val="Compact"/>
        <w:numPr>
          <w:ilvl w:val="0"/>
          <w:numId w:val="1004"/>
        </w:numPr>
      </w:pPr>
      <w:r>
        <w:t xml:space="preserve">Identity management.</w:t>
      </w:r>
    </w:p>
    <w:p>
      <w:pPr>
        <w:pStyle w:val="Compact"/>
        <w:numPr>
          <w:ilvl w:val="0"/>
          <w:numId w:val="1004"/>
        </w:numPr>
      </w:pPr>
      <w:r>
        <w:t xml:space="preserve">Workflow automation.</w:t>
      </w:r>
    </w:p>
    <w:p>
      <w:pPr>
        <w:pStyle w:val="Compact"/>
        <w:numPr>
          <w:ilvl w:val="0"/>
          <w:numId w:val="1004"/>
        </w:numPr>
      </w:pPr>
      <w:r>
        <w:t xml:space="preserve">Document management.</w:t>
      </w:r>
    </w:p>
    <w:p>
      <w:pPr>
        <w:pStyle w:val="Compact"/>
        <w:numPr>
          <w:ilvl w:val="0"/>
          <w:numId w:val="1004"/>
        </w:numPr>
      </w:pPr>
      <w:r>
        <w:t xml:space="preserve">Knowledge repository.</w:t>
      </w:r>
    </w:p>
    <w:p>
      <w:pPr>
        <w:pStyle w:val="Compact"/>
        <w:numPr>
          <w:ilvl w:val="0"/>
          <w:numId w:val="1004"/>
        </w:numPr>
      </w:pPr>
      <w:r>
        <w:t xml:space="preserve">Notification services.</w:t>
      </w:r>
    </w:p>
    <w:p>
      <w:pPr>
        <w:pStyle w:val="Compact"/>
        <w:numPr>
          <w:ilvl w:val="0"/>
          <w:numId w:val="1004"/>
        </w:numPr>
      </w:pPr>
      <w:r>
        <w:t xml:space="preserve">Analytics.</w:t>
      </w:r>
    </w:p>
    <w:p>
      <w:pPr>
        <w:pStyle w:val="Compact"/>
        <w:numPr>
          <w:ilvl w:val="0"/>
          <w:numId w:val="1004"/>
        </w:numPr>
      </w:pPr>
      <w:r>
        <w:t xml:space="preserve">Artificial intelligence.</w:t>
      </w:r>
    </w:p>
    <w:p>
      <w:r>
        <w:pict>
          <v:rect style="width:0;height:1.5pt" o:hralign="center" o:hrstd="t" o:hr="t"/>
        </w:pict>
      </w:r>
    </w:p>
    <w:bookmarkEnd w:id="33"/>
    <w:bookmarkStart w:id="34" w:name="future-expansion-opportunities"/>
    <w:p>
      <w:pPr>
        <w:pStyle w:val="Heading3"/>
      </w:pPr>
      <w:r>
        <w:t xml:space="preserve">Future Expansion Opportunities</w:t>
      </w:r>
    </w:p>
    <w:p>
      <w:pPr>
        <w:pStyle w:val="FirstParagraph"/>
      </w:pPr>
      <w:r>
        <w:t xml:space="preserve">Subject to policy priorities and available resources, the platform architecture can support additional capabilities such as:</w:t>
      </w:r>
    </w:p>
    <w:p>
      <w:pPr>
        <w:pStyle w:val="Compact"/>
        <w:numPr>
          <w:ilvl w:val="0"/>
          <w:numId w:val="1005"/>
        </w:numPr>
      </w:pPr>
      <w:r>
        <w:t xml:space="preserve">School infrastructure management.</w:t>
      </w:r>
    </w:p>
    <w:p>
      <w:pPr>
        <w:pStyle w:val="Compact"/>
        <w:numPr>
          <w:ilvl w:val="0"/>
          <w:numId w:val="1005"/>
        </w:numPr>
      </w:pPr>
      <w:r>
        <w:t xml:space="preserve">School health and safety monitoring.</w:t>
      </w:r>
    </w:p>
    <w:p>
      <w:pPr>
        <w:pStyle w:val="Compact"/>
        <w:numPr>
          <w:ilvl w:val="0"/>
          <w:numId w:val="1005"/>
        </w:numPr>
      </w:pPr>
      <w:r>
        <w:t xml:space="preserve">Library and laboratory management.</w:t>
      </w:r>
    </w:p>
    <w:p>
      <w:pPr>
        <w:pStyle w:val="Compact"/>
        <w:numPr>
          <w:ilvl w:val="0"/>
          <w:numId w:val="1005"/>
        </w:numPr>
      </w:pPr>
      <w:r>
        <w:t xml:space="preserve">Education project monitoring.</w:t>
      </w:r>
    </w:p>
    <w:p>
      <w:pPr>
        <w:pStyle w:val="Compact"/>
        <w:numPr>
          <w:ilvl w:val="0"/>
          <w:numId w:val="1005"/>
        </w:numPr>
      </w:pPr>
      <w:r>
        <w:t xml:space="preserve">Teacher professional development.</w:t>
      </w:r>
    </w:p>
    <w:p>
      <w:pPr>
        <w:pStyle w:val="Compact"/>
        <w:numPr>
          <w:ilvl w:val="0"/>
          <w:numId w:val="1005"/>
        </w:numPr>
      </w:pPr>
      <w:r>
        <w:t xml:space="preserve">Grants and scholarship administration.</w:t>
      </w:r>
    </w:p>
    <w:p>
      <w:pPr>
        <w:pStyle w:val="Compact"/>
        <w:numPr>
          <w:ilvl w:val="0"/>
          <w:numId w:val="1005"/>
        </w:numPr>
      </w:pPr>
      <w:r>
        <w:t xml:space="preserve">Digital learning resource management.</w:t>
      </w:r>
    </w:p>
    <w:p>
      <w:pPr>
        <w:pStyle w:val="Compact"/>
        <w:numPr>
          <w:ilvl w:val="0"/>
          <w:numId w:val="1005"/>
        </w:numPr>
      </w:pPr>
      <w:r>
        <w:t xml:space="preserve">Community engagement services.</w:t>
      </w:r>
    </w:p>
    <w:p>
      <w:r>
        <w:pict>
          <v:rect style="width:0;height:1.5pt" o:hralign="center" o:hrstd="t" o:hr="t"/>
        </w:pict>
      </w:r>
    </w:p>
    <w:bookmarkEnd w:id="34"/>
    <w:bookmarkEnd w:id="35"/>
    <w:bookmarkStart w:id="41" w:name="national-benefits"/>
    <w:p>
      <w:pPr>
        <w:pStyle w:val="Heading1"/>
      </w:pPr>
      <w:r>
        <w:t xml:space="preserve">37.6 National Benefits</w:t>
      </w:r>
    </w:p>
    <w:p>
      <w:pPr>
        <w:pStyle w:val="FirstParagraph"/>
      </w:pPr>
      <w:r>
        <w:t xml:space="preserve">The long-term vision delivers benefits across multiple dimensions.</w:t>
      </w:r>
    </w:p>
    <w:bookmarkStart w:id="36" w:name="learners"/>
    <w:p>
      <w:pPr>
        <w:pStyle w:val="Heading3"/>
      </w:pPr>
      <w:r>
        <w:t xml:space="preserve">Learners</w:t>
      </w:r>
    </w:p>
    <w:p>
      <w:pPr>
        <w:pStyle w:val="Compact"/>
        <w:numPr>
          <w:ilvl w:val="0"/>
          <w:numId w:val="1006"/>
        </w:numPr>
      </w:pPr>
      <w:r>
        <w:t xml:space="preserve">Improved access to educational resources.</w:t>
      </w:r>
    </w:p>
    <w:p>
      <w:pPr>
        <w:pStyle w:val="Compact"/>
        <w:numPr>
          <w:ilvl w:val="0"/>
          <w:numId w:val="1006"/>
        </w:numPr>
      </w:pPr>
      <w:r>
        <w:t xml:space="preserve">More equitable textbook distribution.</w:t>
      </w:r>
    </w:p>
    <w:p>
      <w:pPr>
        <w:pStyle w:val="Compact"/>
        <w:numPr>
          <w:ilvl w:val="0"/>
          <w:numId w:val="1006"/>
        </w:numPr>
      </w:pPr>
      <w:r>
        <w:t xml:space="preserve">Better learning environments.</w:t>
      </w:r>
    </w:p>
    <w:p>
      <w:r>
        <w:pict>
          <v:rect style="width:0;height:1.5pt" o:hralign="center" o:hrstd="t" o:hr="t"/>
        </w:pict>
      </w:r>
    </w:p>
    <w:bookmarkEnd w:id="36"/>
    <w:bookmarkStart w:id="37" w:name="teachers"/>
    <w:p>
      <w:pPr>
        <w:pStyle w:val="Heading3"/>
      </w:pPr>
      <w:r>
        <w:t xml:space="preserve">Teachers</w:t>
      </w:r>
    </w:p>
    <w:p>
      <w:pPr>
        <w:pStyle w:val="Compact"/>
        <w:numPr>
          <w:ilvl w:val="0"/>
          <w:numId w:val="1007"/>
        </w:numPr>
      </w:pPr>
      <w:r>
        <w:t xml:space="preserve">Simplified administrative processes.</w:t>
      </w:r>
    </w:p>
    <w:p>
      <w:pPr>
        <w:pStyle w:val="Compact"/>
        <w:numPr>
          <w:ilvl w:val="0"/>
          <w:numId w:val="1007"/>
        </w:numPr>
      </w:pPr>
      <w:r>
        <w:t xml:space="preserve">Better access to classroom resources.</w:t>
      </w:r>
    </w:p>
    <w:p>
      <w:pPr>
        <w:pStyle w:val="Compact"/>
        <w:numPr>
          <w:ilvl w:val="0"/>
          <w:numId w:val="1007"/>
        </w:numPr>
      </w:pPr>
      <w:r>
        <w:t xml:space="preserve">Improved operational support.</w:t>
      </w:r>
    </w:p>
    <w:p>
      <w:r>
        <w:pict>
          <v:rect style="width:0;height:1.5pt" o:hralign="center" o:hrstd="t" o:hr="t"/>
        </w:pict>
      </w:r>
    </w:p>
    <w:bookmarkEnd w:id="37"/>
    <w:bookmarkStart w:id="38" w:name="school-leaders"/>
    <w:p>
      <w:pPr>
        <w:pStyle w:val="Heading3"/>
      </w:pPr>
      <w:r>
        <w:t xml:space="preserve">School Leaders</w:t>
      </w:r>
    </w:p>
    <w:p>
      <w:pPr>
        <w:pStyle w:val="Compact"/>
        <w:numPr>
          <w:ilvl w:val="0"/>
          <w:numId w:val="1008"/>
        </w:numPr>
      </w:pPr>
      <w:r>
        <w:t xml:space="preserve">Better operational visibility.</w:t>
      </w:r>
    </w:p>
    <w:p>
      <w:pPr>
        <w:pStyle w:val="Compact"/>
        <w:numPr>
          <w:ilvl w:val="0"/>
          <w:numId w:val="1008"/>
        </w:numPr>
      </w:pPr>
      <w:r>
        <w:t xml:space="preserve">Improved inventory management.</w:t>
      </w:r>
    </w:p>
    <w:p>
      <w:pPr>
        <w:pStyle w:val="Compact"/>
        <w:numPr>
          <w:ilvl w:val="0"/>
          <w:numId w:val="1008"/>
        </w:numPr>
      </w:pPr>
      <w:r>
        <w:t xml:space="preserve">Stronger planning capabilities.</w:t>
      </w:r>
    </w:p>
    <w:p>
      <w:r>
        <w:pict>
          <v:rect style="width:0;height:1.5pt" o:hralign="center" o:hrstd="t" o:hr="t"/>
        </w:pict>
      </w:r>
    </w:p>
    <w:bookmarkEnd w:id="38"/>
    <w:bookmarkStart w:id="39" w:name="ministry-leadership"/>
    <w:p>
      <w:pPr>
        <w:pStyle w:val="Heading3"/>
      </w:pPr>
      <w:r>
        <w:t xml:space="preserve">Ministry Leadership</w:t>
      </w:r>
    </w:p>
    <w:p>
      <w:pPr>
        <w:pStyle w:val="Compact"/>
        <w:numPr>
          <w:ilvl w:val="0"/>
          <w:numId w:val="1009"/>
        </w:numPr>
      </w:pPr>
      <w:r>
        <w:t xml:space="preserve">Reliable national information.</w:t>
      </w:r>
    </w:p>
    <w:p>
      <w:pPr>
        <w:pStyle w:val="Compact"/>
        <w:numPr>
          <w:ilvl w:val="0"/>
          <w:numId w:val="1009"/>
        </w:numPr>
      </w:pPr>
      <w:r>
        <w:t xml:space="preserve">Improved programme oversight.</w:t>
      </w:r>
    </w:p>
    <w:p>
      <w:pPr>
        <w:pStyle w:val="Compact"/>
        <w:numPr>
          <w:ilvl w:val="0"/>
          <w:numId w:val="1009"/>
        </w:numPr>
      </w:pPr>
      <w:r>
        <w:t xml:space="preserve">Better policy evaluation.</w:t>
      </w:r>
    </w:p>
    <w:p>
      <w:pPr>
        <w:pStyle w:val="Compact"/>
        <w:numPr>
          <w:ilvl w:val="0"/>
          <w:numId w:val="1009"/>
        </w:numPr>
      </w:pPr>
      <w:r>
        <w:t xml:space="preserve">Enhanced accountability.</w:t>
      </w:r>
    </w:p>
    <w:p>
      <w:r>
        <w:pict>
          <v:rect style="width:0;height:1.5pt" o:hralign="center" o:hrstd="t" o:hr="t"/>
        </w:pict>
      </w:r>
    </w:p>
    <w:bookmarkEnd w:id="39"/>
    <w:bookmarkStart w:id="40" w:name="development-partners"/>
    <w:p>
      <w:pPr>
        <w:pStyle w:val="Heading3"/>
      </w:pPr>
      <w:r>
        <w:t xml:space="preserve">Development Partners</w:t>
      </w:r>
    </w:p>
    <w:p>
      <w:pPr>
        <w:pStyle w:val="Compact"/>
        <w:numPr>
          <w:ilvl w:val="0"/>
          <w:numId w:val="1010"/>
        </w:numPr>
      </w:pPr>
      <w:r>
        <w:t xml:space="preserve">Transparent implementation monitoring.</w:t>
      </w:r>
    </w:p>
    <w:p>
      <w:pPr>
        <w:pStyle w:val="Compact"/>
        <w:numPr>
          <w:ilvl w:val="0"/>
          <w:numId w:val="1010"/>
        </w:numPr>
      </w:pPr>
      <w:r>
        <w:t xml:space="preserve">Reliable programme reporting.</w:t>
      </w:r>
    </w:p>
    <w:p>
      <w:pPr>
        <w:pStyle w:val="Compact"/>
        <w:numPr>
          <w:ilvl w:val="0"/>
          <w:numId w:val="1010"/>
        </w:numPr>
      </w:pPr>
      <w:r>
        <w:t xml:space="preserve">Stronger evidence for investment decisions.</w:t>
      </w:r>
    </w:p>
    <w:p>
      <w:r>
        <w:pict>
          <v:rect style="width:0;height:1.5pt" o:hralign="center" o:hrstd="t" o:hr="t"/>
        </w:pict>
      </w:r>
    </w:p>
    <w:bookmarkEnd w:id="40"/>
    <w:bookmarkEnd w:id="41"/>
    <w:bookmarkStart w:id="42" w:name="guiding-values"/>
    <w:p>
      <w:pPr>
        <w:pStyle w:val="Heading1"/>
      </w:pPr>
      <w:r>
        <w:t xml:space="preserve">37.7 Guiding Values</w:t>
      </w:r>
    </w:p>
    <w:p>
      <w:pPr>
        <w:pStyle w:val="FirstParagraph"/>
      </w:pPr>
      <w:r>
        <w:t xml:space="preserve">The ecosystem is founded upon the following values:</w:t>
      </w:r>
    </w:p>
    <w:p>
      <w:pPr>
        <w:pStyle w:val="Compact"/>
        <w:numPr>
          <w:ilvl w:val="0"/>
          <w:numId w:val="1011"/>
        </w:numPr>
      </w:pPr>
      <w:r>
        <w:t xml:space="preserve">Integrity.</w:t>
      </w:r>
    </w:p>
    <w:p>
      <w:pPr>
        <w:pStyle w:val="Compact"/>
        <w:numPr>
          <w:ilvl w:val="0"/>
          <w:numId w:val="1011"/>
        </w:numPr>
      </w:pPr>
      <w:r>
        <w:t xml:space="preserve">Accountability.</w:t>
      </w:r>
    </w:p>
    <w:p>
      <w:pPr>
        <w:pStyle w:val="Compact"/>
        <w:numPr>
          <w:ilvl w:val="0"/>
          <w:numId w:val="1011"/>
        </w:numPr>
      </w:pPr>
      <w:r>
        <w:t xml:space="preserve">Service.</w:t>
      </w:r>
    </w:p>
    <w:p>
      <w:pPr>
        <w:pStyle w:val="Compact"/>
        <w:numPr>
          <w:ilvl w:val="0"/>
          <w:numId w:val="1011"/>
        </w:numPr>
      </w:pPr>
      <w:r>
        <w:t xml:space="preserve">Collaboration.</w:t>
      </w:r>
    </w:p>
    <w:p>
      <w:pPr>
        <w:pStyle w:val="Compact"/>
        <w:numPr>
          <w:ilvl w:val="0"/>
          <w:numId w:val="1011"/>
        </w:numPr>
      </w:pPr>
      <w:r>
        <w:t xml:space="preserve">Innovation.</w:t>
      </w:r>
    </w:p>
    <w:p>
      <w:pPr>
        <w:pStyle w:val="Compact"/>
        <w:numPr>
          <w:ilvl w:val="0"/>
          <w:numId w:val="1011"/>
        </w:numPr>
      </w:pPr>
      <w:r>
        <w:t xml:space="preserve">Inclusion.</w:t>
      </w:r>
    </w:p>
    <w:p>
      <w:pPr>
        <w:pStyle w:val="Compact"/>
        <w:numPr>
          <w:ilvl w:val="0"/>
          <w:numId w:val="1011"/>
        </w:numPr>
      </w:pPr>
      <w:r>
        <w:t xml:space="preserve">Transparency.</w:t>
      </w:r>
    </w:p>
    <w:p>
      <w:pPr>
        <w:pStyle w:val="Compact"/>
        <w:numPr>
          <w:ilvl w:val="0"/>
          <w:numId w:val="1011"/>
        </w:numPr>
      </w:pPr>
      <w:r>
        <w:t xml:space="preserve">Sustainability.</w:t>
      </w:r>
    </w:p>
    <w:p>
      <w:pPr>
        <w:pStyle w:val="FirstParagraph"/>
      </w:pPr>
      <w:r>
        <w:t xml:space="preserve">These values guide both technology development and institutional implementation.</w:t>
      </w:r>
    </w:p>
    <w:p>
      <w:r>
        <w:pict>
          <v:rect style="width:0;height:1.5pt" o:hralign="center" o:hrstd="t" o:hr="t"/>
        </w:pict>
      </w:r>
    </w:p>
    <w:bookmarkEnd w:id="42"/>
    <w:bookmarkStart w:id="43" w:name="measuring-success"/>
    <w:p>
      <w:pPr>
        <w:pStyle w:val="Heading1"/>
      </w:pPr>
      <w:r>
        <w:t xml:space="preserve">37.8 Measuring Success</w:t>
      </w:r>
    </w:p>
    <w:p>
      <w:pPr>
        <w:pStyle w:val="FirstParagraph"/>
      </w:pPr>
      <w:r>
        <w:t xml:space="preserve">Progress toward the Vision 2035 objectives may be assessed through indicators such as:</w:t>
      </w:r>
    </w:p>
    <w:p>
      <w:pPr>
        <w:pStyle w:val="Compact"/>
        <w:numPr>
          <w:ilvl w:val="0"/>
          <w:numId w:val="1012"/>
        </w:numPr>
      </w:pPr>
      <w:r>
        <w:t xml:space="preserve">National platform adoption.</w:t>
      </w:r>
    </w:p>
    <w:p>
      <w:pPr>
        <w:pStyle w:val="Compact"/>
        <w:numPr>
          <w:ilvl w:val="0"/>
          <w:numId w:val="1012"/>
        </w:numPr>
      </w:pPr>
      <w:r>
        <w:t xml:space="preserve">Reporting timeliness.</w:t>
      </w:r>
    </w:p>
    <w:p>
      <w:pPr>
        <w:pStyle w:val="Compact"/>
        <w:numPr>
          <w:ilvl w:val="0"/>
          <w:numId w:val="1012"/>
        </w:numPr>
      </w:pPr>
      <w:r>
        <w:t xml:space="preserve">Reduction in inventory losses.</w:t>
      </w:r>
    </w:p>
    <w:p>
      <w:pPr>
        <w:pStyle w:val="Compact"/>
        <w:numPr>
          <w:ilvl w:val="0"/>
          <w:numId w:val="1012"/>
        </w:numPr>
      </w:pPr>
      <w:r>
        <w:t xml:space="preserve">Improvement in textbook availability.</w:t>
      </w:r>
    </w:p>
    <w:p>
      <w:pPr>
        <w:pStyle w:val="Compact"/>
        <w:numPr>
          <w:ilvl w:val="0"/>
          <w:numId w:val="1012"/>
        </w:numPr>
      </w:pPr>
      <w:r>
        <w:t xml:space="preserve">Operational efficiency.</w:t>
      </w:r>
    </w:p>
    <w:p>
      <w:pPr>
        <w:pStyle w:val="Compact"/>
        <w:numPr>
          <w:ilvl w:val="0"/>
          <w:numId w:val="1012"/>
        </w:numPr>
      </w:pPr>
      <w:r>
        <w:t xml:space="preserve">User satisfaction.</w:t>
      </w:r>
    </w:p>
    <w:p>
      <w:pPr>
        <w:pStyle w:val="Compact"/>
        <w:numPr>
          <w:ilvl w:val="0"/>
          <w:numId w:val="1012"/>
        </w:numPr>
      </w:pPr>
      <w:r>
        <w:t xml:space="preserve">Institutional capacity development.</w:t>
      </w:r>
    </w:p>
    <w:p>
      <w:pPr>
        <w:pStyle w:val="Compact"/>
        <w:numPr>
          <w:ilvl w:val="0"/>
          <w:numId w:val="1012"/>
        </w:numPr>
      </w:pPr>
      <w:r>
        <w:t xml:space="preserve">Continuous platform evolution.</w:t>
      </w:r>
    </w:p>
    <w:p>
      <w:pPr>
        <w:pStyle w:val="FirstParagraph"/>
      </w:pPr>
      <w:r>
        <w:t xml:space="preserve">These indicators should be reviewed periodically as part of the Ministry’s strategic planning and performance management processes.</w:t>
      </w:r>
    </w:p>
    <w:p>
      <w:r>
        <w:pict>
          <v:rect style="width:0;height:1.5pt" o:hralign="center" o:hrstd="t" o:hr="t"/>
        </w:pict>
      </w:r>
    </w:p>
    <w:bookmarkEnd w:id="43"/>
    <w:bookmarkStart w:id="44" w:name="sustainability-beyond-technology"/>
    <w:p>
      <w:pPr>
        <w:pStyle w:val="Heading1"/>
      </w:pPr>
      <w:r>
        <w:t xml:space="preserve">37.9 Sustainability Beyond Technology</w:t>
      </w:r>
    </w:p>
    <w:p>
      <w:pPr>
        <w:pStyle w:val="FirstParagraph"/>
      </w:pPr>
      <w:r>
        <w:t xml:space="preserve">The success of EduOS Cameroon depends not only on software, but also on:</w:t>
      </w:r>
    </w:p>
    <w:p>
      <w:pPr>
        <w:pStyle w:val="Compact"/>
        <w:numPr>
          <w:ilvl w:val="0"/>
          <w:numId w:val="1013"/>
        </w:numPr>
      </w:pPr>
      <w:r>
        <w:t xml:space="preserve">Strong institutional leadership.</w:t>
      </w:r>
    </w:p>
    <w:p>
      <w:pPr>
        <w:pStyle w:val="Compact"/>
        <w:numPr>
          <w:ilvl w:val="0"/>
          <w:numId w:val="1013"/>
        </w:numPr>
      </w:pPr>
      <w:r>
        <w:t xml:space="preserve">Skilled public servants.</w:t>
      </w:r>
    </w:p>
    <w:p>
      <w:pPr>
        <w:pStyle w:val="Compact"/>
        <w:numPr>
          <w:ilvl w:val="0"/>
          <w:numId w:val="1013"/>
        </w:numPr>
      </w:pPr>
      <w:r>
        <w:t xml:space="preserve">Continuous professional development.</w:t>
      </w:r>
    </w:p>
    <w:p>
      <w:pPr>
        <w:pStyle w:val="Compact"/>
        <w:numPr>
          <w:ilvl w:val="0"/>
          <w:numId w:val="1013"/>
        </w:numPr>
      </w:pPr>
      <w:r>
        <w:t xml:space="preserve">Stable governance.</w:t>
      </w:r>
    </w:p>
    <w:p>
      <w:pPr>
        <w:pStyle w:val="Compact"/>
        <w:numPr>
          <w:ilvl w:val="0"/>
          <w:numId w:val="1013"/>
        </w:numPr>
      </w:pPr>
      <w:r>
        <w:t xml:space="preserve">Responsible financial planning.</w:t>
      </w:r>
    </w:p>
    <w:p>
      <w:pPr>
        <w:pStyle w:val="Compact"/>
        <w:numPr>
          <w:ilvl w:val="0"/>
          <w:numId w:val="1013"/>
        </w:numPr>
      </w:pPr>
      <w:r>
        <w:t xml:space="preserve">Active stakeholder engagement.</w:t>
      </w:r>
    </w:p>
    <w:p>
      <w:pPr>
        <w:pStyle w:val="Compact"/>
        <w:numPr>
          <w:ilvl w:val="0"/>
          <w:numId w:val="1013"/>
        </w:numPr>
      </w:pPr>
      <w:r>
        <w:t xml:space="preserve">Ongoing innovation.</w:t>
      </w:r>
    </w:p>
    <w:p>
      <w:pPr>
        <w:pStyle w:val="FirstParagraph"/>
      </w:pPr>
      <w:r>
        <w:t xml:space="preserve">Technology serves as an enabler of institutional excellence rather than an end in itself.</w:t>
      </w:r>
    </w:p>
    <w:p>
      <w:r>
        <w:pict>
          <v:rect style="width:0;height:1.5pt" o:hralign="center" o:hrstd="t" o:hr="t"/>
        </w:pict>
      </w:r>
    </w:p>
    <w:bookmarkEnd w:id="44"/>
    <w:bookmarkStart w:id="45" w:name="regional-and-continental-perspective"/>
    <w:p>
      <w:pPr>
        <w:pStyle w:val="Heading1"/>
      </w:pPr>
      <w:r>
        <w:t xml:space="preserve">37.10 Regional and Continental Perspective</w:t>
      </w:r>
    </w:p>
    <w:p>
      <w:pPr>
        <w:pStyle w:val="FirstParagraph"/>
      </w:pPr>
      <w:r>
        <w:t xml:space="preserve">The architecture and governance model of EduOS Cameroon are designed with adaptability in mind.</w:t>
      </w:r>
    </w:p>
    <w:p>
      <w:pPr>
        <w:pStyle w:val="BodyText"/>
      </w:pPr>
      <w:r>
        <w:t xml:space="preserve">As experience is gained through national implementation, the underlying principles may inform future collaboration and knowledge sharing with other education systems across the Central African and broader African region, while respecting the unique legal, institutional, and policy contexts of each country.</w:t>
      </w:r>
    </w:p>
    <w:p>
      <w:r>
        <w:pict>
          <v:rect style="width:0;height:1.5pt" o:hralign="center" o:hrstd="t" o:hr="t"/>
        </w:pict>
      </w:r>
    </w:p>
    <w:bookmarkEnd w:id="45"/>
    <w:bookmarkStart w:id="46" w:name="closing-statement"/>
    <w:p>
      <w:pPr>
        <w:pStyle w:val="Heading1"/>
      </w:pPr>
      <w:r>
        <w:t xml:space="preserve">37.11 Closing Statement</w:t>
      </w:r>
    </w:p>
    <w:p>
      <w:pPr>
        <w:pStyle w:val="FirstParagraph"/>
      </w:pPr>
      <w:r>
        <w:t xml:space="preserve">EduOS Cameroon represents a long-term commitment to strengthening educational governance through responsible digital transformation.</w:t>
      </w:r>
    </w:p>
    <w:p>
      <w:pPr>
        <w:pStyle w:val="BodyText"/>
      </w:pPr>
      <w:r>
        <w:t xml:space="preserve">It combines operational excellence, institutional accountability, secure information management, interoperability, and data-informed decision support into a unified platform capable of evolving with the nation’s educational priorities.</w:t>
      </w:r>
    </w:p>
    <w:p>
      <w:pPr>
        <w:pStyle w:val="BodyText"/>
      </w:pPr>
      <w:r>
        <w:t xml:space="preserve">The platform is not merely intended to digitize existing processes. It is designed to support a future in which educational resources are managed more transparently, public investments are better protected, decision-makers have timely and reliable information, and schools are equipped with practical digital tools that improve day-to-day operations.</w:t>
      </w:r>
    </w:p>
    <w:p>
      <w:pPr>
        <w:pStyle w:val="BodyText"/>
      </w:pPr>
      <w:r>
        <w:t xml:space="preserve">Through phased implementation, strong governance, sustained capacity development, and continuous improvement, EduOS Cameroon provides a foundation upon which future generations of educational innovation can be built.</w:t>
      </w:r>
    </w:p>
    <w:p>
      <w:r>
        <w:pict>
          <v:rect style="width:0;height:1.5pt" o:hralign="center" o:hrstd="t" o:hr="t"/>
        </w:pict>
      </w:r>
    </w:p>
    <w:bookmarkEnd w:id="46"/>
    <w:bookmarkStart w:id="47" w:name="conclusion"/>
    <w:p>
      <w:pPr>
        <w:pStyle w:val="Heading1"/>
      </w:pPr>
      <w:r>
        <w:t xml:space="preserve">CONCLUSION</w:t>
      </w:r>
    </w:p>
    <w:p>
      <w:pPr>
        <w:pStyle w:val="FirstParagraph"/>
      </w:pPr>
      <w:r>
        <w:t xml:space="preserve">This blueprint has progressed from identifying practical challenges in textbook procurement, distribution, inventory management, and school operations to defining a comprehensive National Education Digital Operating System.</w:t>
      </w:r>
    </w:p>
    <w:p>
      <w:pPr>
        <w:pStyle w:val="BodyText"/>
      </w:pPr>
      <w:r>
        <w:t xml:space="preserve">Across thirty-seven chapters, it has presented:</w:t>
      </w:r>
    </w:p>
    <w:p>
      <w:pPr>
        <w:pStyle w:val="Compact"/>
        <w:numPr>
          <w:ilvl w:val="0"/>
          <w:numId w:val="1014"/>
        </w:numPr>
      </w:pPr>
      <w:r>
        <w:t xml:space="preserve">A strategic vision for modern education governance.</w:t>
      </w:r>
    </w:p>
    <w:p>
      <w:pPr>
        <w:pStyle w:val="Compact"/>
        <w:numPr>
          <w:ilvl w:val="0"/>
          <w:numId w:val="1014"/>
        </w:numPr>
      </w:pPr>
      <w:r>
        <w:t xml:space="preserve">An enterprise architecture for nationwide deployment.</w:t>
      </w:r>
    </w:p>
    <w:p>
      <w:pPr>
        <w:pStyle w:val="Compact"/>
        <w:numPr>
          <w:ilvl w:val="0"/>
          <w:numId w:val="1014"/>
        </w:numPr>
      </w:pPr>
      <w:r>
        <w:t xml:space="preserve">Operational modules covering the complete educational resource lifecycle.</w:t>
      </w:r>
    </w:p>
    <w:p>
      <w:pPr>
        <w:pStyle w:val="Compact"/>
        <w:numPr>
          <w:ilvl w:val="0"/>
          <w:numId w:val="1014"/>
        </w:numPr>
      </w:pPr>
      <w:r>
        <w:t xml:space="preserve">Secure interoperability and offline-first capabilities.</w:t>
      </w:r>
    </w:p>
    <w:p>
      <w:pPr>
        <w:pStyle w:val="Compact"/>
        <w:numPr>
          <w:ilvl w:val="0"/>
          <w:numId w:val="1014"/>
        </w:numPr>
      </w:pPr>
      <w:r>
        <w:t xml:space="preserve">Analytics, monitoring, and decision-support functions.</w:t>
      </w:r>
    </w:p>
    <w:p>
      <w:pPr>
        <w:pStyle w:val="Compact"/>
        <w:numPr>
          <w:ilvl w:val="0"/>
          <w:numId w:val="1014"/>
        </w:numPr>
      </w:pPr>
      <w:r>
        <w:t xml:space="preserve">Governance, financing, implementation, and sustainability frameworks.</w:t>
      </w:r>
    </w:p>
    <w:p>
      <w:pPr>
        <w:pStyle w:val="FirstParagraph"/>
      </w:pPr>
      <w:r>
        <w:t xml:space="preserve">Taken together, these elements provide a coherent roadmap for strengthening education administration, improving accountability, and supporting long-term digital transformation in Cameroon.</w:t>
      </w:r>
    </w:p>
    <w:p>
      <w:pPr>
        <w:pStyle w:val="BodyText"/>
      </w:pPr>
      <w:r>
        <w:t xml:space="preserve">EduOS Cameroon is therefore proposed not as a single software application, but as a scalable national digital public infrastructure capable of supporting the Ministry’s evolving mission while delivering measurable value to schools, educators, learners, and the nation.</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2026-07-10T13:55:46Z</dcterms:created>
  <dcterms:modified xsi:type="dcterms:W3CDTF">2026-07-10T13:55:46Z</dcterms:modified>
</cp:coreProperties>
</file>

<file path=docProps/custom.xml><?xml version="1.0" encoding="utf-8"?>
<Properties xmlns="http://schemas.openxmlformats.org/officeDocument/2006/custom-properties" xmlns:vt="http://schemas.openxmlformats.org/officeDocument/2006/docPropsVTypes"/>
</file>