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8"/>
    <w:p>
      <w:pPr>
        <w:pStyle w:val="Heading1"/>
      </w:pPr>
      <w:r>
        <w:t xml:space="preserve">CHAPTER 18</w:t>
      </w:r>
    </w:p>
    <w:bookmarkEnd w:id="20"/>
    <w:bookmarkStart w:id="22" w:name="module-2-national-student-registry"/>
    <w:p>
      <w:pPr>
        <w:pStyle w:val="Heading1"/>
      </w:pPr>
      <w:r>
        <w:t xml:space="preserve">MODULE 2 — NATIONAL STUDENT REGISTRY</w:t>
      </w:r>
    </w:p>
    <w:bookmarkStart w:id="21" w:name="overview"/>
    <w:p>
      <w:pPr>
        <w:pStyle w:val="Heading2"/>
      </w:pPr>
      <w:r>
        <w:t xml:space="preserve">18.1 Overview</w:t>
      </w:r>
    </w:p>
    <w:p>
      <w:pPr>
        <w:pStyle w:val="FirstParagraph"/>
      </w:pPr>
      <w:r>
        <w:t xml:space="preserve">The National Student Registry (NSR-Student) is the authoritative repository of learner information within the National Education Resource Intelligence Platform (NERIP).</w:t>
      </w:r>
    </w:p>
    <w:p>
      <w:pPr>
        <w:pStyle w:val="BodyText"/>
      </w:pPr>
      <w:r>
        <w:t xml:space="preserve">Its purpose extends beyond maintaining student records. It establishes a verified identity framework that enables every educational resource—including textbooks, laboratory equipment, library materials, digital learning devices, scholarships, uniforms, and future student services—to be linked to the appropriate learner throughout their educational journey.</w:t>
      </w:r>
    </w:p>
    <w:p>
      <w:pPr>
        <w:pStyle w:val="BodyText"/>
      </w:pPr>
      <w:r>
        <w:t xml:space="preserve">Each student is assigned a persistent National Education Identifier (NEID) that remains constant throughout their progression within the education system, regardless of transfers between schools.</w:t>
      </w:r>
    </w:p>
    <w:p>
      <w:r>
        <w:pict>
          <v:rect style="width:0;height:1.5pt" o:hralign="center" o:hrstd="t" o:hr="t"/>
        </w:pict>
      </w:r>
    </w:p>
    <w:bookmarkEnd w:id="21"/>
    <w:bookmarkEnd w:id="22"/>
    <w:bookmarkStart w:id="23" w:name="strategic-objectives"/>
    <w:p>
      <w:pPr>
        <w:pStyle w:val="Heading1"/>
      </w:pPr>
      <w:r>
        <w:t xml:space="preserve">18.2 Strategic Objectives</w:t>
      </w:r>
    </w:p>
    <w:p>
      <w:pPr>
        <w:pStyle w:val="FirstParagraph"/>
      </w:pPr>
      <w:r>
        <w:t xml:space="preserve">The National Student Registry seeks to:</w:t>
      </w:r>
    </w:p>
    <w:p>
      <w:pPr>
        <w:pStyle w:val="Compact"/>
        <w:numPr>
          <w:ilvl w:val="0"/>
          <w:numId w:val="1001"/>
        </w:numPr>
      </w:pPr>
      <w:r>
        <w:t xml:space="preserve">Establish a single verified learner record.</w:t>
      </w:r>
    </w:p>
    <w:p>
      <w:pPr>
        <w:pStyle w:val="Compact"/>
        <w:numPr>
          <w:ilvl w:val="0"/>
          <w:numId w:val="1001"/>
        </w:numPr>
      </w:pPr>
      <w:r>
        <w:t xml:space="preserve">Eliminate duplicate student registrations.</w:t>
      </w:r>
    </w:p>
    <w:p>
      <w:pPr>
        <w:pStyle w:val="Compact"/>
        <w:numPr>
          <w:ilvl w:val="0"/>
          <w:numId w:val="1001"/>
        </w:numPr>
      </w:pPr>
      <w:r>
        <w:t xml:space="preserve">Support equitable resource allocation.</w:t>
      </w:r>
    </w:p>
    <w:p>
      <w:pPr>
        <w:pStyle w:val="Compact"/>
        <w:numPr>
          <w:ilvl w:val="0"/>
          <w:numId w:val="1001"/>
        </w:numPr>
      </w:pPr>
      <w:r>
        <w:t xml:space="preserve">Improve enrolment planning.</w:t>
      </w:r>
    </w:p>
    <w:p>
      <w:pPr>
        <w:pStyle w:val="Compact"/>
        <w:numPr>
          <w:ilvl w:val="0"/>
          <w:numId w:val="1001"/>
        </w:numPr>
      </w:pPr>
      <w:r>
        <w:t xml:space="preserve">Strengthen learner mobility.</w:t>
      </w:r>
    </w:p>
    <w:p>
      <w:pPr>
        <w:pStyle w:val="Compact"/>
        <w:numPr>
          <w:ilvl w:val="0"/>
          <w:numId w:val="1001"/>
        </w:numPr>
      </w:pPr>
      <w:r>
        <w:t xml:space="preserve">Support monitoring of textbook distribution.</w:t>
      </w:r>
    </w:p>
    <w:p>
      <w:pPr>
        <w:pStyle w:val="Compact"/>
        <w:numPr>
          <w:ilvl w:val="0"/>
          <w:numId w:val="1001"/>
        </w:numPr>
      </w:pPr>
      <w:r>
        <w:t xml:space="preserve">Improve reporting accuracy.</w:t>
      </w:r>
    </w:p>
    <w:p>
      <w:pPr>
        <w:pStyle w:val="Compact"/>
        <w:numPr>
          <w:ilvl w:val="0"/>
          <w:numId w:val="1001"/>
        </w:numPr>
      </w:pPr>
      <w:r>
        <w:t xml:space="preserve">Support future digital education initiatives.</w:t>
      </w:r>
    </w:p>
    <w:p>
      <w:r>
        <w:pict>
          <v:rect style="width:0;height:1.5pt" o:hralign="center" o:hrstd="t" o:hr="t"/>
        </w:pict>
      </w:r>
    </w:p>
    <w:bookmarkEnd w:id="23"/>
    <w:bookmarkStart w:id="24" w:name="student-lifecycle"/>
    <w:p>
      <w:pPr>
        <w:pStyle w:val="Heading1"/>
      </w:pPr>
      <w:r>
        <w:t xml:space="preserve">18.3 Student Lifecycle</w:t>
      </w:r>
    </w:p>
    <w:p>
      <w:pPr>
        <w:pStyle w:val="FirstParagraph"/>
      </w:pPr>
      <w:r>
        <w:rPr>
          <w:rStyle w:val="VerbatimChar"/>
        </w:rPr>
        <w:t xml:space="preserve">text id="stulife01" Student Registration         │         ▼ Identity Verification         │         ▼ National Education ID Assignment         │         ▼ School Enrollment         │         ▼ Textbook Allocation         │         ▼ Academic Progression         │         ▼ Transfer (if applicable)         │         ▼ Graduation / Exit         │         ▼ Historical Archive</w:t>
      </w:r>
    </w:p>
    <w:p>
      <w:r>
        <w:pict>
          <v:rect style="width:0;height:1.5pt" o:hralign="center" o:hrstd="t" o:hr="t"/>
        </w:pict>
      </w:r>
    </w:p>
    <w:bookmarkEnd w:id="24"/>
    <w:bookmarkStart w:id="35" w:name="operational-challenges"/>
    <w:p>
      <w:pPr>
        <w:pStyle w:val="Heading1"/>
      </w:pPr>
      <w:r>
        <w:t xml:space="preserve">18.4 Operational Challenges</w:t>
      </w:r>
    </w:p>
    <w:bookmarkStart w:id="26" w:name="problem-96"/>
    <w:p>
      <w:pPr>
        <w:pStyle w:val="Heading2"/>
      </w:pPr>
      <w:r>
        <w:t xml:space="preserve">Problem 96</w:t>
      </w:r>
    </w:p>
    <w:bookmarkStart w:id="25" w:name="duplicate-student-records"/>
    <w:p>
      <w:pPr>
        <w:pStyle w:val="Heading3"/>
      </w:pPr>
      <w:r>
        <w:t xml:space="preserve">Duplicate Student Records</w:t>
      </w:r>
    </w:p>
    <w:p>
      <w:pPr>
        <w:pStyle w:val="FirstParagraph"/>
      </w:pPr>
      <w:r>
        <w:t xml:space="preserve">A learner may be registered multiple times due to transfers, spelling variations, or manual processes.</w:t>
      </w:r>
    </w:p>
    <w:p>
      <w:pPr>
        <w:pStyle w:val="BodyText"/>
      </w:pPr>
      <w:r>
        <w:rPr>
          <w:b/>
          <w:bCs/>
        </w:rPr>
        <w:t xml:space="preserve">Solution</w:t>
      </w:r>
    </w:p>
    <w:p>
      <w:pPr>
        <w:pStyle w:val="BodyText"/>
      </w:pPr>
      <w:r>
        <w:t xml:space="preserve">Assign each learner a persistent National Education Identifier with duplicate detection based on approved matching rules.</w:t>
      </w:r>
    </w:p>
    <w:p>
      <w:r>
        <w:pict>
          <v:rect style="width:0;height:1.5pt" o:hralign="center" o:hrstd="t" o:hr="t"/>
        </w:pict>
      </w:r>
    </w:p>
    <w:bookmarkEnd w:id="25"/>
    <w:bookmarkEnd w:id="26"/>
    <w:bookmarkStart w:id="28" w:name="problem-97"/>
    <w:p>
      <w:pPr>
        <w:pStyle w:val="Heading2"/>
      </w:pPr>
      <w:r>
        <w:t xml:space="preserve">Problem 97</w:t>
      </w:r>
    </w:p>
    <w:bookmarkStart w:id="27" w:name="difficult-tracking-during-transfers"/>
    <w:p>
      <w:pPr>
        <w:pStyle w:val="Heading3"/>
      </w:pPr>
      <w:r>
        <w:t xml:space="preserve">Difficult Tracking During Transfers</w:t>
      </w:r>
    </w:p>
    <w:p>
      <w:pPr>
        <w:pStyle w:val="FirstParagraph"/>
      </w:pPr>
      <w:r>
        <w:t xml:space="preserve">Student transfers can disrupt inventory accountability.</w:t>
      </w:r>
    </w:p>
    <w:p>
      <w:pPr>
        <w:pStyle w:val="BodyText"/>
      </w:pPr>
      <w:r>
        <w:rPr>
          <w:b/>
          <w:bCs/>
        </w:rPr>
        <w:t xml:space="preserve">Solution</w:t>
      </w:r>
    </w:p>
    <w:p>
      <w:pPr>
        <w:pStyle w:val="BodyText"/>
      </w:pPr>
      <w:r>
        <w:t xml:space="preserve">A standardized digital transfer workflow records textbooks and other allocated resources before transfer approval.</w:t>
      </w:r>
    </w:p>
    <w:p>
      <w:r>
        <w:pict>
          <v:rect style="width:0;height:1.5pt" o:hralign="center" o:hrstd="t" o:hr="t"/>
        </w:pict>
      </w:r>
    </w:p>
    <w:bookmarkEnd w:id="27"/>
    <w:bookmarkEnd w:id="28"/>
    <w:bookmarkStart w:id="30" w:name="problem-98"/>
    <w:p>
      <w:pPr>
        <w:pStyle w:val="Heading2"/>
      </w:pPr>
      <w:r>
        <w:t xml:space="preserve">Problem 98</w:t>
      </w:r>
    </w:p>
    <w:bookmarkStart w:id="29" w:name="weak-link-between-students-and-resources"/>
    <w:p>
      <w:pPr>
        <w:pStyle w:val="Heading3"/>
      </w:pPr>
      <w:r>
        <w:t xml:space="preserve">Weak Link Between Students and Resources</w:t>
      </w:r>
    </w:p>
    <w:p>
      <w:pPr>
        <w:pStyle w:val="FirstParagraph"/>
      </w:pPr>
      <w:r>
        <w:t xml:space="preserve">Schools may know how many books they distributed but not which learner received each one.</w:t>
      </w:r>
    </w:p>
    <w:p>
      <w:pPr>
        <w:pStyle w:val="BodyText"/>
      </w:pPr>
      <w:r>
        <w:rPr>
          <w:b/>
          <w:bCs/>
        </w:rPr>
        <w:t xml:space="preserve">Solution</w:t>
      </w:r>
    </w:p>
    <w:p>
      <w:pPr>
        <w:pStyle w:val="BodyText"/>
      </w:pPr>
      <w:r>
        <w:t xml:space="preserve">Link every issued textbook and learning resource to the student’s National Education Identifier.</w:t>
      </w:r>
    </w:p>
    <w:p>
      <w:r>
        <w:pict>
          <v:rect style="width:0;height:1.5pt" o:hralign="center" o:hrstd="t" o:hr="t"/>
        </w:pict>
      </w:r>
    </w:p>
    <w:bookmarkEnd w:id="29"/>
    <w:bookmarkEnd w:id="30"/>
    <w:bookmarkStart w:id="32" w:name="problem-99"/>
    <w:p>
      <w:pPr>
        <w:pStyle w:val="Heading2"/>
      </w:pPr>
      <w:r>
        <w:t xml:space="preserve">Problem 99</w:t>
      </w:r>
    </w:p>
    <w:bookmarkStart w:id="31" w:name="inaccurate-enrolment-statistics"/>
    <w:p>
      <w:pPr>
        <w:pStyle w:val="Heading3"/>
      </w:pPr>
      <w:r>
        <w:t xml:space="preserve">Inaccurate Enrolment Statistics</w:t>
      </w:r>
    </w:p>
    <w:p>
      <w:pPr>
        <w:pStyle w:val="FirstParagraph"/>
      </w:pPr>
      <w:r>
        <w:t xml:space="preserve">Delayed or inconsistent enrolment updates reduce planning accuracy.</w:t>
      </w:r>
    </w:p>
    <w:p>
      <w:pPr>
        <w:pStyle w:val="BodyText"/>
      </w:pPr>
      <w:r>
        <w:rPr>
          <w:b/>
          <w:bCs/>
        </w:rPr>
        <w:t xml:space="preserve">Solution</w:t>
      </w:r>
    </w:p>
    <w:p>
      <w:pPr>
        <w:pStyle w:val="BodyText"/>
      </w:pPr>
      <w:r>
        <w:t xml:space="preserve">Maintain near real-time enrolment records through synchronized school updates.</w:t>
      </w:r>
    </w:p>
    <w:p>
      <w:r>
        <w:pict>
          <v:rect style="width:0;height:1.5pt" o:hralign="center" o:hrstd="t" o:hr="t"/>
        </w:pict>
      </w:r>
    </w:p>
    <w:bookmarkEnd w:id="31"/>
    <w:bookmarkEnd w:id="32"/>
    <w:bookmarkStart w:id="34" w:name="problem-100"/>
    <w:p>
      <w:pPr>
        <w:pStyle w:val="Heading2"/>
      </w:pPr>
      <w:r>
        <w:t xml:space="preserve">Problem 100</w:t>
      </w:r>
    </w:p>
    <w:bookmarkStart w:id="33" w:name="limited-historical-records"/>
    <w:p>
      <w:pPr>
        <w:pStyle w:val="Heading3"/>
      </w:pPr>
      <w:r>
        <w:t xml:space="preserve">Limited Historical Records</w:t>
      </w:r>
    </w:p>
    <w:p>
      <w:pPr>
        <w:pStyle w:val="FirstParagraph"/>
      </w:pPr>
      <w:r>
        <w:t xml:space="preserve">Longitudinal learner information may be difficult to retrieve.</w:t>
      </w:r>
    </w:p>
    <w:p>
      <w:pPr>
        <w:pStyle w:val="BodyText"/>
      </w:pPr>
      <w:r>
        <w:rPr>
          <w:b/>
          <w:bCs/>
        </w:rPr>
        <w:t xml:space="preserve">Solution</w:t>
      </w:r>
    </w:p>
    <w:p>
      <w:pPr>
        <w:pStyle w:val="BodyText"/>
      </w:pPr>
      <w:r>
        <w:t xml:space="preserve">Maintain a historical record of enrolment, transfers, resource allocations, and academic years while respecting ministry data retention policies.</w:t>
      </w:r>
    </w:p>
    <w:p>
      <w:r>
        <w:pict>
          <v:rect style="width:0;height:1.5pt" o:hralign="center" o:hrstd="t" o:hr="t"/>
        </w:pict>
      </w:r>
    </w:p>
    <w:bookmarkEnd w:id="33"/>
    <w:bookmarkEnd w:id="34"/>
    <w:bookmarkEnd w:id="35"/>
    <w:bookmarkStart w:id="43" w:name="functional-requirements"/>
    <w:p>
      <w:pPr>
        <w:pStyle w:val="Heading1"/>
      </w:pPr>
      <w:r>
        <w:t xml:space="preserve">18.5 Functional Requirements</w:t>
      </w:r>
    </w:p>
    <w:bookmarkStart w:id="36" w:name="fr-std-001"/>
    <w:p>
      <w:pPr>
        <w:pStyle w:val="Heading3"/>
      </w:pPr>
      <w:r>
        <w:t xml:space="preserve">FR-STD-001</w:t>
      </w:r>
    </w:p>
    <w:p>
      <w:pPr>
        <w:pStyle w:val="FirstParagraph"/>
      </w:pPr>
      <w:r>
        <w:t xml:space="preserve">Register New Student</w:t>
      </w:r>
    </w:p>
    <w:p>
      <w:pPr>
        <w:pStyle w:val="BodyText"/>
      </w:pPr>
      <w:r>
        <w:t xml:space="preserve">Create a learner record after completing required validation steps.</w:t>
      </w:r>
    </w:p>
    <w:p>
      <w:r>
        <w:pict>
          <v:rect style="width:0;height:1.5pt" o:hralign="center" o:hrstd="t" o:hr="t"/>
        </w:pict>
      </w:r>
    </w:p>
    <w:bookmarkEnd w:id="36"/>
    <w:bookmarkStart w:id="37" w:name="fr-std-002"/>
    <w:p>
      <w:pPr>
        <w:pStyle w:val="Heading3"/>
      </w:pPr>
      <w:r>
        <w:t xml:space="preserve">FR-STD-002</w:t>
      </w:r>
    </w:p>
    <w:p>
      <w:pPr>
        <w:pStyle w:val="FirstParagraph"/>
      </w:pPr>
      <w:r>
        <w:t xml:space="preserve">Assign National Education Identifier</w:t>
      </w:r>
    </w:p>
    <w:p>
      <w:pPr>
        <w:pStyle w:val="BodyText"/>
      </w:pPr>
      <w:r>
        <w:t xml:space="preserve">Generate or associate a persistent identifier according to ministry-approved policies.</w:t>
      </w:r>
    </w:p>
    <w:p>
      <w:r>
        <w:pict>
          <v:rect style="width:0;height:1.5pt" o:hralign="center" o:hrstd="t" o:hr="t"/>
        </w:pict>
      </w:r>
    </w:p>
    <w:bookmarkEnd w:id="37"/>
    <w:bookmarkStart w:id="38" w:name="fr-std-003"/>
    <w:p>
      <w:pPr>
        <w:pStyle w:val="Heading3"/>
      </w:pPr>
      <w:r>
        <w:t xml:space="preserve">FR-STD-003</w:t>
      </w:r>
    </w:p>
    <w:p>
      <w:pPr>
        <w:pStyle w:val="FirstParagraph"/>
      </w:pPr>
      <w:r>
        <w:t xml:space="preserve">Manage Student Profile</w:t>
      </w:r>
    </w:p>
    <w:p>
      <w:pPr>
        <w:pStyle w:val="BodyText"/>
      </w:pPr>
      <w:r>
        <w:t xml:space="preserve">Maintain demographic and administrative information required for educational resource management.</w:t>
      </w:r>
    </w:p>
    <w:p>
      <w:r>
        <w:pict>
          <v:rect style="width:0;height:1.5pt" o:hralign="center" o:hrstd="t" o:hr="t"/>
        </w:pict>
      </w:r>
    </w:p>
    <w:bookmarkEnd w:id="38"/>
    <w:bookmarkStart w:id="39" w:name="fr-std-004"/>
    <w:p>
      <w:pPr>
        <w:pStyle w:val="Heading3"/>
      </w:pPr>
      <w:r>
        <w:t xml:space="preserve">FR-STD-004</w:t>
      </w:r>
    </w:p>
    <w:p>
      <w:pPr>
        <w:pStyle w:val="FirstParagraph"/>
      </w:pPr>
      <w:r>
        <w:t xml:space="preserve">Manage School Enrolment</w:t>
      </w:r>
    </w:p>
    <w:p>
      <w:pPr>
        <w:pStyle w:val="BodyText"/>
      </w:pPr>
      <w:r>
        <w:t xml:space="preserve">Record enrolment history, school assignments, and academic progression.</w:t>
      </w:r>
    </w:p>
    <w:p>
      <w:r>
        <w:pict>
          <v:rect style="width:0;height:1.5pt" o:hralign="center" o:hrstd="t" o:hr="t"/>
        </w:pict>
      </w:r>
    </w:p>
    <w:bookmarkEnd w:id="39"/>
    <w:bookmarkStart w:id="40" w:name="fr-std-005"/>
    <w:p>
      <w:pPr>
        <w:pStyle w:val="Heading3"/>
      </w:pPr>
      <w:r>
        <w:t xml:space="preserve">FR-STD-005</w:t>
      </w:r>
    </w:p>
    <w:p>
      <w:pPr>
        <w:pStyle w:val="FirstParagraph"/>
      </w:pPr>
      <w:r>
        <w:t xml:space="preserve">Transfer Management</w:t>
      </w:r>
    </w:p>
    <w:p>
      <w:pPr>
        <w:pStyle w:val="BodyText"/>
      </w:pPr>
      <w:r>
        <w:t xml:space="preserve">Support inter-school transfers with automated checks for outstanding educational resources.</w:t>
      </w:r>
    </w:p>
    <w:p>
      <w:r>
        <w:pict>
          <v:rect style="width:0;height:1.5pt" o:hralign="center" o:hrstd="t" o:hr="t"/>
        </w:pict>
      </w:r>
    </w:p>
    <w:bookmarkEnd w:id="40"/>
    <w:bookmarkStart w:id="41" w:name="fr-std-006"/>
    <w:p>
      <w:pPr>
        <w:pStyle w:val="Heading3"/>
      </w:pPr>
      <w:r>
        <w:t xml:space="preserve">FR-STD-006</w:t>
      </w:r>
    </w:p>
    <w:p>
      <w:pPr>
        <w:pStyle w:val="FirstParagraph"/>
      </w:pPr>
      <w:r>
        <w:t xml:space="preserve">Student Resource Assignment</w:t>
      </w:r>
    </w:p>
    <w:p>
      <w:pPr>
        <w:pStyle w:val="BodyText"/>
      </w:pPr>
      <w:r>
        <w:t xml:space="preserve">Record the issue, return, replacement, and condition history of textbooks and other assigned resources.</w:t>
      </w:r>
    </w:p>
    <w:p>
      <w:r>
        <w:pict>
          <v:rect style="width:0;height:1.5pt" o:hralign="center" o:hrstd="t" o:hr="t"/>
        </w:pict>
      </w:r>
    </w:p>
    <w:bookmarkEnd w:id="41"/>
    <w:bookmarkStart w:id="42" w:name="fr-std-007"/>
    <w:p>
      <w:pPr>
        <w:pStyle w:val="Heading3"/>
      </w:pPr>
      <w:r>
        <w:t xml:space="preserve">FR-STD-007</w:t>
      </w:r>
    </w:p>
    <w:p>
      <w:pPr>
        <w:pStyle w:val="FirstParagraph"/>
      </w:pPr>
      <w:r>
        <w:t xml:space="preserve">Student Status Management</w:t>
      </w:r>
    </w:p>
    <w:p>
      <w:pPr>
        <w:pStyle w:val="BodyText"/>
      </w:pPr>
      <w:r>
        <w:t xml:space="preserve">Track learner status such as:</w:t>
      </w:r>
    </w:p>
    <w:p>
      <w:pPr>
        <w:pStyle w:val="Compact"/>
        <w:numPr>
          <w:ilvl w:val="0"/>
          <w:numId w:val="1002"/>
        </w:numPr>
      </w:pPr>
      <w:r>
        <w:t xml:space="preserve">Active</w:t>
      </w:r>
    </w:p>
    <w:p>
      <w:pPr>
        <w:pStyle w:val="Compact"/>
        <w:numPr>
          <w:ilvl w:val="0"/>
          <w:numId w:val="1002"/>
        </w:numPr>
      </w:pPr>
      <w:r>
        <w:t xml:space="preserve">Transferred</w:t>
      </w:r>
    </w:p>
    <w:p>
      <w:pPr>
        <w:pStyle w:val="Compact"/>
        <w:numPr>
          <w:ilvl w:val="0"/>
          <w:numId w:val="1002"/>
        </w:numPr>
      </w:pPr>
      <w:r>
        <w:t xml:space="preserve">Graduated</w:t>
      </w:r>
    </w:p>
    <w:p>
      <w:pPr>
        <w:pStyle w:val="Compact"/>
        <w:numPr>
          <w:ilvl w:val="0"/>
          <w:numId w:val="1002"/>
        </w:numPr>
      </w:pPr>
      <w:r>
        <w:t xml:space="preserve">Withdrawn</w:t>
      </w:r>
    </w:p>
    <w:p>
      <w:pPr>
        <w:pStyle w:val="Compact"/>
        <w:numPr>
          <w:ilvl w:val="0"/>
          <w:numId w:val="1002"/>
        </w:numPr>
      </w:pPr>
      <w:r>
        <w:t xml:space="preserve">Temporarily inactive</w:t>
      </w:r>
    </w:p>
    <w:p>
      <w:r>
        <w:pict>
          <v:rect style="width:0;height:1.5pt" o:hralign="center" o:hrstd="t" o:hr="t"/>
        </w:pict>
      </w:r>
    </w:p>
    <w:bookmarkEnd w:id="42"/>
    <w:bookmarkEnd w:id="43"/>
    <w:bookmarkStart w:id="49" w:name="student-profile"/>
    <w:p>
      <w:pPr>
        <w:pStyle w:val="Heading1"/>
      </w:pPr>
      <w:r>
        <w:t xml:space="preserve">18.6 Student Profile</w:t>
      </w:r>
    </w:p>
    <w:p>
      <w:pPr>
        <w:pStyle w:val="FirstParagraph"/>
      </w:pPr>
      <w:r>
        <w:t xml:space="preserve">Each learner record may include:</w:t>
      </w:r>
    </w:p>
    <w:bookmarkStart w:id="44" w:name="identity"/>
    <w:p>
      <w:pPr>
        <w:pStyle w:val="Heading2"/>
      </w:pPr>
      <w:r>
        <w:t xml:space="preserve">Identity</w:t>
      </w:r>
    </w:p>
    <w:p>
      <w:pPr>
        <w:pStyle w:val="Compact"/>
        <w:numPr>
          <w:ilvl w:val="0"/>
          <w:numId w:val="1003"/>
        </w:numPr>
      </w:pPr>
      <w:r>
        <w:t xml:space="preserve">National Education Identifier</w:t>
      </w:r>
    </w:p>
    <w:p>
      <w:pPr>
        <w:pStyle w:val="Compact"/>
        <w:numPr>
          <w:ilvl w:val="0"/>
          <w:numId w:val="1003"/>
        </w:numPr>
      </w:pPr>
      <w:r>
        <w:t xml:space="preserve">Full name</w:t>
      </w:r>
    </w:p>
    <w:p>
      <w:pPr>
        <w:pStyle w:val="Compact"/>
        <w:numPr>
          <w:ilvl w:val="0"/>
          <w:numId w:val="1003"/>
        </w:numPr>
      </w:pPr>
      <w:r>
        <w:t xml:space="preserve">Date of birth</w:t>
      </w:r>
    </w:p>
    <w:p>
      <w:pPr>
        <w:pStyle w:val="Compact"/>
        <w:numPr>
          <w:ilvl w:val="0"/>
          <w:numId w:val="1003"/>
        </w:numPr>
      </w:pPr>
      <w:r>
        <w:t xml:space="preserve">Sex</w:t>
      </w:r>
    </w:p>
    <w:p>
      <w:pPr>
        <w:pStyle w:val="Compact"/>
        <w:numPr>
          <w:ilvl w:val="0"/>
          <w:numId w:val="1003"/>
        </w:numPr>
      </w:pPr>
      <w:r>
        <w:t xml:space="preserve">Photograph (where adopted)</w:t>
      </w:r>
    </w:p>
    <w:p>
      <w:pPr>
        <w:pStyle w:val="Compact"/>
        <w:numPr>
          <w:ilvl w:val="0"/>
          <w:numId w:val="1003"/>
        </w:numPr>
      </w:pPr>
      <w:r>
        <w:t xml:space="preserve">School admission number</w:t>
      </w:r>
    </w:p>
    <w:p>
      <w:r>
        <w:pict>
          <v:rect style="width:0;height:1.5pt" o:hralign="center" o:hrstd="t" o:hr="t"/>
        </w:pict>
      </w:r>
    </w:p>
    <w:bookmarkEnd w:id="44"/>
    <w:bookmarkStart w:id="45" w:name="administrative-information"/>
    <w:p>
      <w:pPr>
        <w:pStyle w:val="Heading2"/>
      </w:pPr>
      <w:r>
        <w:t xml:space="preserve">Administrative Information</w:t>
      </w:r>
    </w:p>
    <w:p>
      <w:pPr>
        <w:pStyle w:val="Compact"/>
        <w:numPr>
          <w:ilvl w:val="0"/>
          <w:numId w:val="1004"/>
        </w:numPr>
      </w:pPr>
      <w:r>
        <w:t xml:space="preserve">Region</w:t>
      </w:r>
    </w:p>
    <w:p>
      <w:pPr>
        <w:pStyle w:val="Compact"/>
        <w:numPr>
          <w:ilvl w:val="0"/>
          <w:numId w:val="1004"/>
        </w:numPr>
      </w:pPr>
      <w:r>
        <w:t xml:space="preserve">Division</w:t>
      </w:r>
    </w:p>
    <w:p>
      <w:pPr>
        <w:pStyle w:val="Compact"/>
        <w:numPr>
          <w:ilvl w:val="0"/>
          <w:numId w:val="1004"/>
        </w:numPr>
      </w:pPr>
      <w:r>
        <w:t xml:space="preserve">School</w:t>
      </w:r>
    </w:p>
    <w:p>
      <w:pPr>
        <w:pStyle w:val="Compact"/>
        <w:numPr>
          <w:ilvl w:val="0"/>
          <w:numId w:val="1004"/>
        </w:numPr>
      </w:pPr>
      <w:r>
        <w:t xml:space="preserve">Grade</w:t>
      </w:r>
    </w:p>
    <w:p>
      <w:pPr>
        <w:pStyle w:val="Compact"/>
        <w:numPr>
          <w:ilvl w:val="0"/>
          <w:numId w:val="1004"/>
        </w:numPr>
      </w:pPr>
      <w:r>
        <w:t xml:space="preserve">Class</w:t>
      </w:r>
    </w:p>
    <w:p>
      <w:pPr>
        <w:pStyle w:val="Compact"/>
        <w:numPr>
          <w:ilvl w:val="0"/>
          <w:numId w:val="1004"/>
        </w:numPr>
      </w:pPr>
      <w:r>
        <w:t xml:space="preserve">Academic year</w:t>
      </w:r>
    </w:p>
    <w:p>
      <w:r>
        <w:pict>
          <v:rect style="width:0;height:1.5pt" o:hralign="center" o:hrstd="t" o:hr="t"/>
        </w:pict>
      </w:r>
    </w:p>
    <w:bookmarkEnd w:id="45"/>
    <w:bookmarkStart w:id="46" w:name="educational-information"/>
    <w:p>
      <w:pPr>
        <w:pStyle w:val="Heading2"/>
      </w:pPr>
      <w:r>
        <w:t xml:space="preserve">Educational Information</w:t>
      </w:r>
    </w:p>
    <w:p>
      <w:pPr>
        <w:pStyle w:val="Compact"/>
        <w:numPr>
          <w:ilvl w:val="0"/>
          <w:numId w:val="1005"/>
        </w:numPr>
      </w:pPr>
      <w:r>
        <w:t xml:space="preserve">Current subjects</w:t>
      </w:r>
    </w:p>
    <w:p>
      <w:pPr>
        <w:pStyle w:val="Compact"/>
        <w:numPr>
          <w:ilvl w:val="0"/>
          <w:numId w:val="1005"/>
        </w:numPr>
      </w:pPr>
      <w:r>
        <w:t xml:space="preserve">Programme</w:t>
      </w:r>
    </w:p>
    <w:p>
      <w:pPr>
        <w:pStyle w:val="Compact"/>
        <w:numPr>
          <w:ilvl w:val="0"/>
          <w:numId w:val="1005"/>
        </w:numPr>
      </w:pPr>
      <w:r>
        <w:t xml:space="preserve">Enrolment history</w:t>
      </w:r>
    </w:p>
    <w:p>
      <w:pPr>
        <w:pStyle w:val="Compact"/>
        <w:numPr>
          <w:ilvl w:val="0"/>
          <w:numId w:val="1005"/>
        </w:numPr>
      </w:pPr>
      <w:r>
        <w:t xml:space="preserve">Promotion history</w:t>
      </w:r>
    </w:p>
    <w:p>
      <w:r>
        <w:pict>
          <v:rect style="width:0;height:1.5pt" o:hralign="center" o:hrstd="t" o:hr="t"/>
        </w:pict>
      </w:r>
    </w:p>
    <w:bookmarkEnd w:id="46"/>
    <w:bookmarkStart w:id="47" w:name="resource-allocation"/>
    <w:p>
      <w:pPr>
        <w:pStyle w:val="Heading2"/>
      </w:pPr>
      <w:r>
        <w:t xml:space="preserve">Resource Allocation</w:t>
      </w:r>
    </w:p>
    <w:p>
      <w:pPr>
        <w:pStyle w:val="Compact"/>
        <w:numPr>
          <w:ilvl w:val="0"/>
          <w:numId w:val="1006"/>
        </w:numPr>
      </w:pPr>
      <w:r>
        <w:t xml:space="preserve">Textbooks issued</w:t>
      </w:r>
    </w:p>
    <w:p>
      <w:pPr>
        <w:pStyle w:val="Compact"/>
        <w:numPr>
          <w:ilvl w:val="0"/>
          <w:numId w:val="1006"/>
        </w:numPr>
      </w:pPr>
      <w:r>
        <w:t xml:space="preserve">Library materials</w:t>
      </w:r>
    </w:p>
    <w:p>
      <w:pPr>
        <w:pStyle w:val="Compact"/>
        <w:numPr>
          <w:ilvl w:val="0"/>
          <w:numId w:val="1006"/>
        </w:numPr>
      </w:pPr>
      <w:r>
        <w:t xml:space="preserve">Laboratory resources</w:t>
      </w:r>
    </w:p>
    <w:p>
      <w:pPr>
        <w:pStyle w:val="Compact"/>
        <w:numPr>
          <w:ilvl w:val="0"/>
          <w:numId w:val="1006"/>
        </w:numPr>
      </w:pPr>
      <w:r>
        <w:t xml:space="preserve">ICT devices (where applicable)</w:t>
      </w:r>
    </w:p>
    <w:p>
      <w:r>
        <w:pict>
          <v:rect style="width:0;height:1.5pt" o:hralign="center" o:hrstd="t" o:hr="t"/>
        </w:pict>
      </w:r>
    </w:p>
    <w:bookmarkEnd w:id="47"/>
    <w:bookmarkStart w:id="48" w:name="contact-information"/>
    <w:p>
      <w:pPr>
        <w:pStyle w:val="Heading2"/>
      </w:pPr>
      <w:r>
        <w:t xml:space="preserve">Contact Information</w:t>
      </w:r>
    </w:p>
    <w:p>
      <w:pPr>
        <w:pStyle w:val="Compact"/>
        <w:numPr>
          <w:ilvl w:val="0"/>
          <w:numId w:val="1007"/>
        </w:numPr>
      </w:pPr>
      <w:r>
        <w:t xml:space="preserve">Parent or guardian</w:t>
      </w:r>
    </w:p>
    <w:p>
      <w:pPr>
        <w:pStyle w:val="Compact"/>
        <w:numPr>
          <w:ilvl w:val="0"/>
          <w:numId w:val="1007"/>
        </w:numPr>
      </w:pPr>
      <w:r>
        <w:t xml:space="preserve">Emergency contact</w:t>
      </w:r>
    </w:p>
    <w:p>
      <w:pPr>
        <w:pStyle w:val="Compact"/>
        <w:numPr>
          <w:ilvl w:val="0"/>
          <w:numId w:val="1007"/>
        </w:numPr>
      </w:pPr>
      <w:r>
        <w:t xml:space="preserve">Residential locality (where required by ministry policy)</w:t>
      </w:r>
    </w:p>
    <w:p>
      <w:r>
        <w:pict>
          <v:rect style="width:0;height:1.5pt" o:hralign="center" o:hrstd="t" o:hr="t"/>
        </w:pict>
      </w:r>
    </w:p>
    <w:bookmarkEnd w:id="48"/>
    <w:bookmarkEnd w:id="49"/>
    <w:bookmarkStart w:id="54" w:name="user-roles"/>
    <w:p>
      <w:pPr>
        <w:pStyle w:val="Heading1"/>
      </w:pPr>
      <w:r>
        <w:t xml:space="preserve">18.7 User Roles</w:t>
      </w:r>
    </w:p>
    <w:bookmarkStart w:id="50" w:name="national-administrators"/>
    <w:p>
      <w:pPr>
        <w:pStyle w:val="Heading3"/>
      </w:pPr>
      <w:r>
        <w:t xml:space="preserve">National Administrators</w:t>
      </w:r>
    </w:p>
    <w:p>
      <w:pPr>
        <w:pStyle w:val="Compact"/>
        <w:numPr>
          <w:ilvl w:val="0"/>
          <w:numId w:val="1008"/>
        </w:numPr>
      </w:pPr>
      <w:r>
        <w:t xml:space="preserve">Define registry standards.</w:t>
      </w:r>
    </w:p>
    <w:p>
      <w:pPr>
        <w:pStyle w:val="Compact"/>
        <w:numPr>
          <w:ilvl w:val="0"/>
          <w:numId w:val="1008"/>
        </w:numPr>
      </w:pPr>
      <w:r>
        <w:t xml:space="preserve">Resolve duplicate records.</w:t>
      </w:r>
    </w:p>
    <w:p>
      <w:pPr>
        <w:pStyle w:val="Compact"/>
        <w:numPr>
          <w:ilvl w:val="0"/>
          <w:numId w:val="1008"/>
        </w:numPr>
      </w:pPr>
      <w:r>
        <w:t xml:space="preserve">Produce national reports.</w:t>
      </w:r>
    </w:p>
    <w:p>
      <w:r>
        <w:pict>
          <v:rect style="width:0;height:1.5pt" o:hralign="center" o:hrstd="t" o:hr="t"/>
        </w:pict>
      </w:r>
    </w:p>
    <w:bookmarkEnd w:id="50"/>
    <w:bookmarkStart w:id="51" w:name="regional-officers"/>
    <w:p>
      <w:pPr>
        <w:pStyle w:val="Heading3"/>
      </w:pPr>
      <w:r>
        <w:t xml:space="preserve">Regional Officers</w:t>
      </w:r>
    </w:p>
    <w:p>
      <w:pPr>
        <w:pStyle w:val="Compact"/>
        <w:numPr>
          <w:ilvl w:val="0"/>
          <w:numId w:val="1009"/>
        </w:numPr>
      </w:pPr>
      <w:r>
        <w:t xml:space="preserve">Review enrolment trends.</w:t>
      </w:r>
    </w:p>
    <w:p>
      <w:pPr>
        <w:pStyle w:val="Compact"/>
        <w:numPr>
          <w:ilvl w:val="0"/>
          <w:numId w:val="1009"/>
        </w:numPr>
      </w:pPr>
      <w:r>
        <w:t xml:space="preserve">Support data quality.</w:t>
      </w:r>
    </w:p>
    <w:p>
      <w:r>
        <w:pict>
          <v:rect style="width:0;height:1.5pt" o:hralign="center" o:hrstd="t" o:hr="t"/>
        </w:pict>
      </w:r>
    </w:p>
    <w:bookmarkEnd w:id="51"/>
    <w:bookmarkStart w:id="52" w:name="school-administrators"/>
    <w:p>
      <w:pPr>
        <w:pStyle w:val="Heading3"/>
      </w:pPr>
      <w:r>
        <w:t xml:space="preserve">School Administrators</w:t>
      </w:r>
    </w:p>
    <w:p>
      <w:pPr>
        <w:pStyle w:val="Compact"/>
        <w:numPr>
          <w:ilvl w:val="0"/>
          <w:numId w:val="1010"/>
        </w:numPr>
      </w:pPr>
      <w:r>
        <w:t xml:space="preserve">Register learners.</w:t>
      </w:r>
    </w:p>
    <w:p>
      <w:pPr>
        <w:pStyle w:val="Compact"/>
        <w:numPr>
          <w:ilvl w:val="0"/>
          <w:numId w:val="1010"/>
        </w:numPr>
      </w:pPr>
      <w:r>
        <w:t xml:space="preserve">Update enrolment.</w:t>
      </w:r>
    </w:p>
    <w:p>
      <w:pPr>
        <w:pStyle w:val="Compact"/>
        <w:numPr>
          <w:ilvl w:val="0"/>
          <w:numId w:val="1010"/>
        </w:numPr>
      </w:pPr>
      <w:r>
        <w:t xml:space="preserve">Process transfers.</w:t>
      </w:r>
    </w:p>
    <w:p>
      <w:pPr>
        <w:pStyle w:val="Compact"/>
        <w:numPr>
          <w:ilvl w:val="0"/>
          <w:numId w:val="1010"/>
        </w:numPr>
      </w:pPr>
      <w:r>
        <w:t xml:space="preserve">Allocate educational resources.</w:t>
      </w:r>
    </w:p>
    <w:p>
      <w:r>
        <w:pict>
          <v:rect style="width:0;height:1.5pt" o:hralign="center" o:hrstd="t" o:hr="t"/>
        </w:pict>
      </w:r>
    </w:p>
    <w:bookmarkEnd w:id="52"/>
    <w:bookmarkStart w:id="53" w:name="teachers"/>
    <w:p>
      <w:pPr>
        <w:pStyle w:val="Heading3"/>
      </w:pPr>
      <w:r>
        <w:t xml:space="preserve">Teachers</w:t>
      </w:r>
    </w:p>
    <w:p>
      <w:pPr>
        <w:pStyle w:val="FirstParagraph"/>
      </w:pPr>
      <w:r>
        <w:t xml:space="preserve">Subject to ministry policy, teachers may view learner information relevant to their classes and resource assignments.</w:t>
      </w:r>
    </w:p>
    <w:p>
      <w:r>
        <w:pict>
          <v:rect style="width:0;height:1.5pt" o:hralign="center" o:hrstd="t" o:hr="t"/>
        </w:pict>
      </w:r>
    </w:p>
    <w:bookmarkEnd w:id="53"/>
    <w:bookmarkEnd w:id="54"/>
    <w:bookmarkStart w:id="55" w:name="business-rules"/>
    <w:p>
      <w:pPr>
        <w:pStyle w:val="Heading1"/>
      </w:pPr>
      <w:r>
        <w:t xml:space="preserve">18.8 Business Rules</w:t>
      </w:r>
    </w:p>
    <w:p>
      <w:pPr>
        <w:pStyle w:val="FirstParagraph"/>
      </w:pPr>
      <w:r>
        <w:t xml:space="preserve">Examples include:</w:t>
      </w:r>
    </w:p>
    <w:p>
      <w:pPr>
        <w:pStyle w:val="Compact"/>
        <w:numPr>
          <w:ilvl w:val="0"/>
          <w:numId w:val="1011"/>
        </w:numPr>
      </w:pPr>
      <w:r>
        <w:t xml:space="preserve">Each learner shall have one active National Education Identifier.</w:t>
      </w:r>
    </w:p>
    <w:p>
      <w:pPr>
        <w:pStyle w:val="Compact"/>
        <w:numPr>
          <w:ilvl w:val="0"/>
          <w:numId w:val="1011"/>
        </w:numPr>
      </w:pPr>
      <w:r>
        <w:t xml:space="preserve">Transfers require completion of defined administrative steps.</w:t>
      </w:r>
    </w:p>
    <w:p>
      <w:pPr>
        <w:pStyle w:val="Compact"/>
        <w:numPr>
          <w:ilvl w:val="0"/>
          <w:numId w:val="1011"/>
        </w:numPr>
      </w:pPr>
      <w:r>
        <w:t xml:space="preserve">Resource assignments must reference an active learner record.</w:t>
      </w:r>
    </w:p>
    <w:p>
      <w:pPr>
        <w:pStyle w:val="Compact"/>
        <w:numPr>
          <w:ilvl w:val="0"/>
          <w:numId w:val="1011"/>
        </w:numPr>
      </w:pPr>
      <w:r>
        <w:t xml:space="preserve">Historical enrolment records shall not be deleted.</w:t>
      </w:r>
    </w:p>
    <w:p>
      <w:pPr>
        <w:pStyle w:val="Compact"/>
        <w:numPr>
          <w:ilvl w:val="0"/>
          <w:numId w:val="1011"/>
        </w:numPr>
      </w:pPr>
      <w:r>
        <w:t xml:space="preserve">Changes to critical identity fields shall be logged for audit purposes.</w:t>
      </w:r>
    </w:p>
    <w:p>
      <w:r>
        <w:pict>
          <v:rect style="width:0;height:1.5pt" o:hralign="center" o:hrstd="t" o:hr="t"/>
        </w:pict>
      </w:r>
    </w:p>
    <w:bookmarkEnd w:id="55"/>
    <w:bookmarkStart w:id="56" w:name="reports"/>
    <w:p>
      <w:pPr>
        <w:pStyle w:val="Heading1"/>
      </w:pPr>
      <w:r>
        <w:t xml:space="preserve">18.9 Reports</w:t>
      </w:r>
    </w:p>
    <w:p>
      <w:pPr>
        <w:pStyle w:val="FirstParagraph"/>
      </w:pPr>
      <w:r>
        <w:t xml:space="preserve">Illustrative reports include:</w:t>
      </w:r>
    </w:p>
    <w:p>
      <w:pPr>
        <w:pStyle w:val="Compact"/>
        <w:numPr>
          <w:ilvl w:val="0"/>
          <w:numId w:val="1012"/>
        </w:numPr>
      </w:pPr>
      <w:r>
        <w:t xml:space="preserve">Student enrolment by school.</w:t>
      </w:r>
    </w:p>
    <w:p>
      <w:pPr>
        <w:pStyle w:val="Compact"/>
        <w:numPr>
          <w:ilvl w:val="0"/>
          <w:numId w:val="1012"/>
        </w:numPr>
      </w:pPr>
      <w:r>
        <w:t xml:space="preserve">Enrolment by region.</w:t>
      </w:r>
    </w:p>
    <w:p>
      <w:pPr>
        <w:pStyle w:val="Compact"/>
        <w:numPr>
          <w:ilvl w:val="0"/>
          <w:numId w:val="1012"/>
        </w:numPr>
      </w:pPr>
      <w:r>
        <w:t xml:space="preserve">Textbook allocation by learner.</w:t>
      </w:r>
    </w:p>
    <w:p>
      <w:pPr>
        <w:pStyle w:val="Compact"/>
        <w:numPr>
          <w:ilvl w:val="0"/>
          <w:numId w:val="1012"/>
        </w:numPr>
      </w:pPr>
      <w:r>
        <w:t xml:space="preserve">Outstanding textbook returns.</w:t>
      </w:r>
    </w:p>
    <w:p>
      <w:pPr>
        <w:pStyle w:val="Compact"/>
        <w:numPr>
          <w:ilvl w:val="0"/>
          <w:numId w:val="1012"/>
        </w:numPr>
      </w:pPr>
      <w:r>
        <w:t xml:space="preserve">Transfer summary.</w:t>
      </w:r>
    </w:p>
    <w:p>
      <w:pPr>
        <w:pStyle w:val="Compact"/>
        <w:numPr>
          <w:ilvl w:val="0"/>
          <w:numId w:val="1012"/>
        </w:numPr>
      </w:pPr>
      <w:r>
        <w:t xml:space="preserve">Resource allocation history.</w:t>
      </w:r>
    </w:p>
    <w:p>
      <w:pPr>
        <w:pStyle w:val="Compact"/>
        <w:numPr>
          <w:ilvl w:val="0"/>
          <w:numId w:val="1012"/>
        </w:numPr>
      </w:pPr>
      <w:r>
        <w:t xml:space="preserve">Annual enrolment statistics.</w:t>
      </w:r>
    </w:p>
    <w:p>
      <w:r>
        <w:pict>
          <v:rect style="width:0;height:1.5pt" o:hralign="center" o:hrstd="t" o:hr="t"/>
        </w:pict>
      </w:r>
    </w:p>
    <w:bookmarkEnd w:id="56"/>
    <w:bookmarkStart w:id="59" w:name="dashboards"/>
    <w:p>
      <w:pPr>
        <w:pStyle w:val="Heading1"/>
      </w:pPr>
      <w:r>
        <w:t xml:space="preserve">18.10 Dashboards</w:t>
      </w:r>
    </w:p>
    <w:bookmarkStart w:id="57" w:name="national-dashboard"/>
    <w:p>
      <w:pPr>
        <w:pStyle w:val="Heading3"/>
      </w:pPr>
      <w:r>
        <w:t xml:space="preserve">National Dashboard</w:t>
      </w:r>
    </w:p>
    <w:p>
      <w:pPr>
        <w:pStyle w:val="Compact"/>
        <w:numPr>
          <w:ilvl w:val="0"/>
          <w:numId w:val="1013"/>
        </w:numPr>
      </w:pPr>
      <w:r>
        <w:t xml:space="preserve">Total active learners.</w:t>
      </w:r>
    </w:p>
    <w:p>
      <w:pPr>
        <w:pStyle w:val="Compact"/>
        <w:numPr>
          <w:ilvl w:val="0"/>
          <w:numId w:val="1013"/>
        </w:numPr>
      </w:pPr>
      <w:r>
        <w:t xml:space="preserve">Enrolment trends.</w:t>
      </w:r>
    </w:p>
    <w:p>
      <w:pPr>
        <w:pStyle w:val="Compact"/>
        <w:numPr>
          <w:ilvl w:val="0"/>
          <w:numId w:val="1013"/>
        </w:numPr>
      </w:pPr>
      <w:r>
        <w:t xml:space="preserve">Resource allocation coverage.</w:t>
      </w:r>
    </w:p>
    <w:p>
      <w:pPr>
        <w:pStyle w:val="Compact"/>
        <w:numPr>
          <w:ilvl w:val="0"/>
          <w:numId w:val="1013"/>
        </w:numPr>
      </w:pPr>
      <w:r>
        <w:t xml:space="preserve">Transfer activity.</w:t>
      </w:r>
    </w:p>
    <w:p>
      <w:pPr>
        <w:pStyle w:val="Compact"/>
        <w:numPr>
          <w:ilvl w:val="0"/>
          <w:numId w:val="1013"/>
        </w:numPr>
      </w:pPr>
      <w:r>
        <w:t xml:space="preserve">Schools with incomplete learner records.</w:t>
      </w:r>
    </w:p>
    <w:bookmarkEnd w:id="57"/>
    <w:bookmarkStart w:id="58" w:name="school-dashboard"/>
    <w:p>
      <w:pPr>
        <w:pStyle w:val="Heading3"/>
      </w:pPr>
      <w:r>
        <w:t xml:space="preserve">School Dashboard</w:t>
      </w:r>
    </w:p>
    <w:p>
      <w:pPr>
        <w:pStyle w:val="Compact"/>
        <w:numPr>
          <w:ilvl w:val="0"/>
          <w:numId w:val="1014"/>
        </w:numPr>
      </w:pPr>
      <w:r>
        <w:t xml:space="preserve">Current enrolment.</w:t>
      </w:r>
    </w:p>
    <w:p>
      <w:pPr>
        <w:pStyle w:val="Compact"/>
        <w:numPr>
          <w:ilvl w:val="0"/>
          <w:numId w:val="1014"/>
        </w:numPr>
      </w:pPr>
      <w:r>
        <w:t xml:space="preserve">New admissions.</w:t>
      </w:r>
    </w:p>
    <w:p>
      <w:pPr>
        <w:pStyle w:val="Compact"/>
        <w:numPr>
          <w:ilvl w:val="0"/>
          <w:numId w:val="1014"/>
        </w:numPr>
      </w:pPr>
      <w:r>
        <w:t xml:space="preserve">Transfers.</w:t>
      </w:r>
    </w:p>
    <w:p>
      <w:pPr>
        <w:pStyle w:val="Compact"/>
        <w:numPr>
          <w:ilvl w:val="0"/>
          <w:numId w:val="1014"/>
        </w:numPr>
      </w:pPr>
      <w:r>
        <w:t xml:space="preserve">Textbook allocation status.</w:t>
      </w:r>
    </w:p>
    <w:p>
      <w:pPr>
        <w:pStyle w:val="Compact"/>
        <w:numPr>
          <w:ilvl w:val="0"/>
          <w:numId w:val="1014"/>
        </w:numPr>
      </w:pPr>
      <w:r>
        <w:t xml:space="preserve">Outstanding returns.</w:t>
      </w:r>
    </w:p>
    <w:p>
      <w:r>
        <w:pict>
          <v:rect style="width:0;height:1.5pt" o:hralign="center" o:hrstd="t" o:hr="t"/>
        </w:pict>
      </w:r>
    </w:p>
    <w:bookmarkEnd w:id="58"/>
    <w:bookmarkEnd w:id="59"/>
    <w:bookmarkStart w:id="60" w:name="notifications"/>
    <w:p>
      <w:pPr>
        <w:pStyle w:val="Heading1"/>
      </w:pPr>
      <w:r>
        <w:t xml:space="preserve">18.11 Notifications</w:t>
      </w:r>
    </w:p>
    <w:p>
      <w:pPr>
        <w:pStyle w:val="FirstParagraph"/>
      </w:pPr>
      <w:r>
        <w:t xml:space="preserve">The platform may notify authorized users when:</w:t>
      </w:r>
    </w:p>
    <w:p>
      <w:pPr>
        <w:pStyle w:val="Compact"/>
        <w:numPr>
          <w:ilvl w:val="0"/>
          <w:numId w:val="1015"/>
        </w:numPr>
      </w:pPr>
      <w:r>
        <w:t xml:space="preserve">Student registration requires verification.</w:t>
      </w:r>
    </w:p>
    <w:p>
      <w:pPr>
        <w:pStyle w:val="Compact"/>
        <w:numPr>
          <w:ilvl w:val="0"/>
          <w:numId w:val="1015"/>
        </w:numPr>
      </w:pPr>
      <w:r>
        <w:t xml:space="preserve">Transfer requests are pending.</w:t>
      </w:r>
    </w:p>
    <w:p>
      <w:pPr>
        <w:pStyle w:val="Compact"/>
        <w:numPr>
          <w:ilvl w:val="0"/>
          <w:numId w:val="1015"/>
        </w:numPr>
      </w:pPr>
      <w:r>
        <w:t xml:space="preserve">Textbooks remain outstanding before transfer or graduation.</w:t>
      </w:r>
    </w:p>
    <w:p>
      <w:pPr>
        <w:pStyle w:val="Compact"/>
        <w:numPr>
          <w:ilvl w:val="0"/>
          <w:numId w:val="1015"/>
        </w:numPr>
      </w:pPr>
      <w:r>
        <w:t xml:space="preserve">Annual enrolment confirmation is due.</w:t>
      </w:r>
    </w:p>
    <w:p>
      <w:r>
        <w:pict>
          <v:rect style="width:0;height:1.5pt" o:hralign="center" o:hrstd="t" o:hr="t"/>
        </w:pict>
      </w:r>
    </w:p>
    <w:bookmarkEnd w:id="60"/>
    <w:bookmarkStart w:id="61" w:name="offline-operation"/>
    <w:p>
      <w:pPr>
        <w:pStyle w:val="Heading1"/>
      </w:pPr>
      <w:r>
        <w:t xml:space="preserve">18.12 Offline Operation</w:t>
      </w:r>
    </w:p>
    <w:p>
      <w:pPr>
        <w:pStyle w:val="FirstParagraph"/>
      </w:pPr>
      <w:r>
        <w:t xml:space="preserve">Schools shall be able to:</w:t>
      </w:r>
    </w:p>
    <w:p>
      <w:pPr>
        <w:pStyle w:val="Compact"/>
        <w:numPr>
          <w:ilvl w:val="0"/>
          <w:numId w:val="1016"/>
        </w:numPr>
      </w:pPr>
      <w:r>
        <w:t xml:space="preserve">Register learners.</w:t>
      </w:r>
    </w:p>
    <w:p>
      <w:pPr>
        <w:pStyle w:val="Compact"/>
        <w:numPr>
          <w:ilvl w:val="0"/>
          <w:numId w:val="1016"/>
        </w:numPr>
      </w:pPr>
      <w:r>
        <w:t xml:space="preserve">Update enrolment.</w:t>
      </w:r>
    </w:p>
    <w:p>
      <w:pPr>
        <w:pStyle w:val="Compact"/>
        <w:numPr>
          <w:ilvl w:val="0"/>
          <w:numId w:val="1016"/>
        </w:numPr>
      </w:pPr>
      <w:r>
        <w:t xml:space="preserve">Record textbook assignments.</w:t>
      </w:r>
    </w:p>
    <w:p>
      <w:pPr>
        <w:pStyle w:val="Compact"/>
        <w:numPr>
          <w:ilvl w:val="0"/>
          <w:numId w:val="1016"/>
        </w:numPr>
      </w:pPr>
      <w:r>
        <w:t xml:space="preserve">Process local transactions while offline.</w:t>
      </w:r>
    </w:p>
    <w:p>
      <w:pPr>
        <w:pStyle w:val="FirstParagraph"/>
      </w:pPr>
      <w:r>
        <w:t xml:space="preserve">Synchronization occurs automatically when approved connectivity is available.</w:t>
      </w:r>
    </w:p>
    <w:p>
      <w:r>
        <w:pict>
          <v:rect style="width:0;height:1.5pt" o:hralign="center" o:hrstd="t" o:hr="t"/>
        </w:pict>
      </w:r>
    </w:p>
    <w:bookmarkEnd w:id="61"/>
    <w:bookmarkStart w:id="62" w:name="integration-points"/>
    <w:p>
      <w:pPr>
        <w:pStyle w:val="Heading1"/>
      </w:pPr>
      <w:r>
        <w:t xml:space="preserve">18.13 Integration Points</w:t>
      </w:r>
    </w:p>
    <w:p>
      <w:pPr>
        <w:pStyle w:val="FirstParagraph"/>
      </w:pPr>
      <w:r>
        <w:t xml:space="preserve">The National Student Registry integrates with:</w:t>
      </w:r>
    </w:p>
    <w:p>
      <w:pPr>
        <w:pStyle w:val="Compact"/>
        <w:numPr>
          <w:ilvl w:val="0"/>
          <w:numId w:val="1017"/>
        </w:numPr>
      </w:pPr>
      <w:r>
        <w:t xml:space="preserve">School Registry.</w:t>
      </w:r>
    </w:p>
    <w:p>
      <w:pPr>
        <w:pStyle w:val="Compact"/>
        <w:numPr>
          <w:ilvl w:val="0"/>
          <w:numId w:val="1017"/>
        </w:numPr>
      </w:pPr>
      <w:r>
        <w:t xml:space="preserve">Teacher Registry.</w:t>
      </w:r>
    </w:p>
    <w:p>
      <w:pPr>
        <w:pStyle w:val="Compact"/>
        <w:numPr>
          <w:ilvl w:val="0"/>
          <w:numId w:val="1017"/>
        </w:numPr>
      </w:pPr>
      <w:r>
        <w:t xml:space="preserve">Textbook Registry.</w:t>
      </w:r>
    </w:p>
    <w:p>
      <w:pPr>
        <w:pStyle w:val="Compact"/>
        <w:numPr>
          <w:ilvl w:val="0"/>
          <w:numId w:val="1017"/>
        </w:numPr>
      </w:pPr>
      <w:r>
        <w:t xml:space="preserve">Inventory Management.</w:t>
      </w:r>
    </w:p>
    <w:p>
      <w:pPr>
        <w:pStyle w:val="Compact"/>
        <w:numPr>
          <w:ilvl w:val="0"/>
          <w:numId w:val="1017"/>
        </w:numPr>
      </w:pPr>
      <w:r>
        <w:t xml:space="preserve">Distribution.</w:t>
      </w:r>
    </w:p>
    <w:p>
      <w:pPr>
        <w:pStyle w:val="Compact"/>
        <w:numPr>
          <w:ilvl w:val="0"/>
          <w:numId w:val="1017"/>
        </w:numPr>
      </w:pPr>
      <w:r>
        <w:t xml:space="preserve">Library Management.</w:t>
      </w:r>
    </w:p>
    <w:p>
      <w:pPr>
        <w:pStyle w:val="Compact"/>
        <w:numPr>
          <w:ilvl w:val="0"/>
          <w:numId w:val="1017"/>
        </w:numPr>
      </w:pPr>
      <w:r>
        <w:t xml:space="preserve">Laboratory Management.</w:t>
      </w:r>
    </w:p>
    <w:p>
      <w:pPr>
        <w:pStyle w:val="Compact"/>
        <w:numPr>
          <w:ilvl w:val="0"/>
          <w:numId w:val="1017"/>
        </w:numPr>
      </w:pPr>
      <w:r>
        <w:t xml:space="preserve">Reporting and Analytics.</w:t>
      </w:r>
    </w:p>
    <w:p>
      <w:r>
        <w:pict>
          <v:rect style="width:0;height:1.5pt" o:hralign="center" o:hrstd="t" o:hr="t"/>
        </w:pict>
      </w:r>
    </w:p>
    <w:bookmarkEnd w:id="62"/>
    <w:bookmarkStart w:id="63" w:name="success-indicators"/>
    <w:p>
      <w:pPr>
        <w:pStyle w:val="Heading1"/>
      </w:pPr>
      <w:r>
        <w:t xml:space="preserve">18.14 Success Indicators</w:t>
      </w:r>
    </w:p>
    <w:p>
      <w:pPr>
        <w:pStyle w:val="FirstParagraph"/>
      </w:pPr>
      <w:r>
        <w:t xml:space="preserve">Examples include:</w:t>
      </w:r>
    </w:p>
    <w:p>
      <w:pPr>
        <w:pStyle w:val="Compact"/>
        <w:numPr>
          <w:ilvl w:val="0"/>
          <w:numId w:val="1018"/>
        </w:numPr>
      </w:pPr>
      <w:r>
        <w:t xml:space="preserve">Percentage of learners with verified records.</w:t>
      </w:r>
    </w:p>
    <w:p>
      <w:pPr>
        <w:pStyle w:val="Compact"/>
        <w:numPr>
          <w:ilvl w:val="0"/>
          <w:numId w:val="1018"/>
        </w:numPr>
      </w:pPr>
      <w:r>
        <w:t xml:space="preserve">Duplicate record rate.</w:t>
      </w:r>
    </w:p>
    <w:p>
      <w:pPr>
        <w:pStyle w:val="Compact"/>
        <w:numPr>
          <w:ilvl w:val="0"/>
          <w:numId w:val="1018"/>
        </w:numPr>
      </w:pPr>
      <w:r>
        <w:t xml:space="preserve">Transfer processing time.</w:t>
      </w:r>
    </w:p>
    <w:p>
      <w:pPr>
        <w:pStyle w:val="Compact"/>
        <w:numPr>
          <w:ilvl w:val="0"/>
          <w:numId w:val="1018"/>
        </w:numPr>
      </w:pPr>
      <w:r>
        <w:t xml:space="preserve">Percentage of learners assigned required textbooks.</w:t>
      </w:r>
    </w:p>
    <w:p>
      <w:pPr>
        <w:pStyle w:val="Compact"/>
        <w:numPr>
          <w:ilvl w:val="0"/>
          <w:numId w:val="1018"/>
        </w:numPr>
      </w:pPr>
      <w:r>
        <w:t xml:space="preserve">Accuracy of enrolment statistics.</w:t>
      </w:r>
    </w:p>
    <w:p>
      <w:pPr>
        <w:pStyle w:val="Compact"/>
        <w:numPr>
          <w:ilvl w:val="0"/>
          <w:numId w:val="1018"/>
        </w:numPr>
      </w:pPr>
      <w:r>
        <w:t xml:space="preserve">Resource return rate before transfers.</w:t>
      </w:r>
    </w:p>
    <w:p>
      <w:r>
        <w:pict>
          <v:rect style="width:0;height:1.5pt" o:hralign="center" o:hrstd="t" o:hr="t"/>
        </w:pict>
      </w:r>
    </w:p>
    <w:bookmarkEnd w:id="63"/>
    <w:bookmarkStart w:id="64" w:name="conclusion"/>
    <w:p>
      <w:pPr>
        <w:pStyle w:val="Heading1"/>
      </w:pPr>
      <w:r>
        <w:t xml:space="preserve">18.15 Conclusion</w:t>
      </w:r>
    </w:p>
    <w:p>
      <w:pPr>
        <w:pStyle w:val="FirstParagraph"/>
      </w:pPr>
      <w:r>
        <w:t xml:space="preserve">The National Student Registry forms the identity foundation of the National Education Resource Intelligence Platform.</w:t>
      </w:r>
    </w:p>
    <w:p>
      <w:pPr>
        <w:pStyle w:val="BodyText"/>
      </w:pPr>
      <w:r>
        <w:t xml:space="preserve">By providing a persistent learner identity linked to educational resources, the registry enables transparent allocation, improved planning, stronger accountability, and more reliable national education statistics. It also establishes a scalable framework that can support future education services while remaining aligned with ministry governance and implementation policies.</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2026-07-10T13:10:32Z</dcterms:created>
  <dcterms:modified xsi:type="dcterms:W3CDTF">2026-07-10T13:10:32Z</dcterms:modified>
</cp:coreProperties>
</file>

<file path=docProps/custom.xml><?xml version="1.0" encoding="utf-8"?>
<Properties xmlns="http://schemas.openxmlformats.org/officeDocument/2006/custom-properties" xmlns:vt="http://schemas.openxmlformats.org/officeDocument/2006/docPropsVTypes"/>
</file>