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23"/>
    <w:p>
      <w:pPr>
        <w:pStyle w:val="Heading1"/>
      </w:pPr>
      <w:r>
        <w:t xml:space="preserve">CHAPTER 23</w:t>
      </w:r>
    </w:p>
    <w:bookmarkEnd w:id="20"/>
    <w:bookmarkStart w:id="22" w:name="X20b466afcee3882bed49ebd85d7224b099f0047"/>
    <w:p>
      <w:pPr>
        <w:pStyle w:val="Heading1"/>
      </w:pPr>
      <w:r>
        <w:t xml:space="preserve">MODULE 7 — NATIONAL EDUCATION RESOURCE COMMAND CENTRE (NERCC)</w:t>
      </w:r>
    </w:p>
    <w:bookmarkStart w:id="21" w:name="overview"/>
    <w:p>
      <w:pPr>
        <w:pStyle w:val="Heading2"/>
      </w:pPr>
      <w:r>
        <w:t xml:space="preserve">23.1 Overview</w:t>
      </w:r>
    </w:p>
    <w:p>
      <w:pPr>
        <w:pStyle w:val="FirstParagraph"/>
      </w:pPr>
      <w:r>
        <w:t xml:space="preserve">The National Education Resource Command Centre (NERCC) is the strategic intelligence and operational monitoring component of the National Education Resource Intelligence Platform (NERIP).</w:t>
      </w:r>
    </w:p>
    <w:p>
      <w:pPr>
        <w:pStyle w:val="BodyText"/>
      </w:pPr>
      <w:r>
        <w:t xml:space="preserve">It provides a unified operational picture of educational resources across Cameroon by integrating information from procurement, warehousing, logistics, schools, inspections, maintenance, and analytics into a single executive environment.</w:t>
      </w:r>
    </w:p>
    <w:p>
      <w:pPr>
        <w:pStyle w:val="BodyText"/>
      </w:pPr>
      <w:r>
        <w:t xml:space="preserve">The Command Centre enables senior decision-makers to move from reactive management to proactive operational oversight through dashboards, alerts, forecasting, risk monitoring, and performance analytics.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strategic-objectives"/>
    <w:p>
      <w:pPr>
        <w:pStyle w:val="Heading1"/>
      </w:pPr>
      <w:r>
        <w:t xml:space="preserve">23.2 Strategic Objectives</w:t>
      </w:r>
    </w:p>
    <w:p>
      <w:pPr>
        <w:pStyle w:val="FirstParagraph"/>
      </w:pPr>
      <w:r>
        <w:t xml:space="preserve">The Command Centre seeks to:</w:t>
      </w:r>
    </w:p>
    <w:p>
      <w:pPr>
        <w:pStyle w:val="Compact"/>
        <w:numPr>
          <w:ilvl w:val="0"/>
          <w:numId w:val="1001"/>
        </w:numPr>
      </w:pPr>
      <w:r>
        <w:t xml:space="preserve">Provide nationwide operational visibility.</w:t>
      </w:r>
    </w:p>
    <w:p>
      <w:pPr>
        <w:pStyle w:val="Compact"/>
        <w:numPr>
          <w:ilvl w:val="0"/>
          <w:numId w:val="1001"/>
        </w:numPr>
      </w:pPr>
      <w:r>
        <w:t xml:space="preserve">Support evidence-based decision-making.</w:t>
      </w:r>
    </w:p>
    <w:p>
      <w:pPr>
        <w:pStyle w:val="Compact"/>
        <w:numPr>
          <w:ilvl w:val="0"/>
          <w:numId w:val="1001"/>
        </w:numPr>
      </w:pPr>
      <w:r>
        <w:t xml:space="preserve">Detect operational risks early.</w:t>
      </w:r>
    </w:p>
    <w:p>
      <w:pPr>
        <w:pStyle w:val="Compact"/>
        <w:numPr>
          <w:ilvl w:val="0"/>
          <w:numId w:val="1001"/>
        </w:numPr>
      </w:pPr>
      <w:r>
        <w:t xml:space="preserve">Improve coordination.</w:t>
      </w:r>
    </w:p>
    <w:p>
      <w:pPr>
        <w:pStyle w:val="Compact"/>
        <w:numPr>
          <w:ilvl w:val="0"/>
          <w:numId w:val="1001"/>
        </w:numPr>
      </w:pPr>
      <w:r>
        <w:t xml:space="preserve">Monitor programme performance.</w:t>
      </w:r>
    </w:p>
    <w:p>
      <w:pPr>
        <w:pStyle w:val="Compact"/>
        <w:numPr>
          <w:ilvl w:val="0"/>
          <w:numId w:val="1001"/>
        </w:numPr>
      </w:pPr>
      <w:r>
        <w:t xml:space="preserve">Strengthen accountability.</w:t>
      </w:r>
    </w:p>
    <w:p>
      <w:pPr>
        <w:pStyle w:val="Compact"/>
        <w:numPr>
          <w:ilvl w:val="0"/>
          <w:numId w:val="1001"/>
        </w:numPr>
      </w:pPr>
      <w:r>
        <w:t xml:space="preserve">Support emergency response.</w:t>
      </w:r>
    </w:p>
    <w:p>
      <w:pPr>
        <w:pStyle w:val="Compact"/>
        <w:numPr>
          <w:ilvl w:val="0"/>
          <w:numId w:val="1001"/>
        </w:numPr>
      </w:pPr>
      <w:r>
        <w:t xml:space="preserve">Improve strategic planning.</w:t>
      </w:r>
    </w:p>
    <w:p>
      <w:r>
        <w:pict>
          <v:rect style="width:0;height:1.5pt" o:hralign="center" o:hrstd="t" o:hr="t"/>
        </w:pict>
      </w:r>
    </w:p>
    <w:bookmarkEnd w:id="23"/>
    <w:bookmarkStart w:id="24" w:name="national-operational-picture"/>
    <w:p>
      <w:pPr>
        <w:pStyle w:val="Heading1"/>
      </w:pPr>
      <w:r>
        <w:t xml:space="preserve">23.3 National Operational Picture</w:t>
      </w:r>
    </w:p>
    <w:p>
      <w:pPr>
        <w:pStyle w:val="FirstParagraph"/>
      </w:pPr>
      <w:r>
        <w:rPr>
          <w:rStyle w:val="VerbatimChar"/>
        </w:rPr>
        <w:t xml:space="preserve">text id="nercc001" Procurement       │ Warehouses       │ Distribution       │ Schools       │ Inspections       │ Maintenance       │ Analytics Engine       │ ─────────────── National Command Centre ─────────────── Executive Dashboards Operational Alerts Forecasts Performance Indicators Decision Support</w:t>
      </w:r>
    </w:p>
    <w:p>
      <w:r>
        <w:pict>
          <v:rect style="width:0;height:1.5pt" o:hralign="center" o:hrstd="t" o:hr="t"/>
        </w:pict>
      </w:r>
    </w:p>
    <w:bookmarkEnd w:id="24"/>
    <w:bookmarkStart w:id="35" w:name="operational-challenges"/>
    <w:p>
      <w:pPr>
        <w:pStyle w:val="Heading1"/>
      </w:pPr>
      <w:r>
        <w:t xml:space="preserve">23.4 Operational Challenges</w:t>
      </w:r>
    </w:p>
    <w:bookmarkStart w:id="26" w:name="problem-136"/>
    <w:p>
      <w:pPr>
        <w:pStyle w:val="Heading2"/>
      </w:pPr>
      <w:r>
        <w:t xml:space="preserve">Problem 136</w:t>
      </w:r>
    </w:p>
    <w:bookmarkStart w:id="25" w:name="fragmented-information"/>
    <w:p>
      <w:pPr>
        <w:pStyle w:val="Heading3"/>
      </w:pPr>
      <w:r>
        <w:t xml:space="preserve">Fragmented Information</w:t>
      </w:r>
    </w:p>
    <w:p>
      <w:pPr>
        <w:pStyle w:val="FirstParagraph"/>
      </w:pPr>
      <w:r>
        <w:t xml:space="preserve">Operational information is often distributed across multiple departments.</w:t>
      </w:r>
    </w:p>
    <w:p>
      <w:pPr>
        <w:pStyle w:val="BodyText"/>
      </w:pPr>
      <w:r>
        <w:rPr>
          <w:b/>
          <w:bCs/>
        </w:rPr>
        <w:t xml:space="preserve">Solution</w:t>
      </w:r>
    </w:p>
    <w:p>
      <w:pPr>
        <w:pStyle w:val="BodyText"/>
      </w:pPr>
      <w:r>
        <w:t xml:space="preserve">Unified executive dashboards presenting integrated information from all platform modules.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problem-137"/>
    <w:p>
      <w:pPr>
        <w:pStyle w:val="Heading2"/>
      </w:pPr>
      <w:r>
        <w:t xml:space="preserve">Problem 137</w:t>
      </w:r>
    </w:p>
    <w:bookmarkStart w:id="27" w:name="delayed-decision-making"/>
    <w:p>
      <w:pPr>
        <w:pStyle w:val="Heading3"/>
      </w:pPr>
      <w:r>
        <w:t xml:space="preserve">Delayed Decision-Making</w:t>
      </w:r>
    </w:p>
    <w:p>
      <w:pPr>
        <w:pStyle w:val="FirstParagraph"/>
      </w:pPr>
      <w:r>
        <w:t xml:space="preserve">Important operational issues may only become visible after reports are compiled.</w:t>
      </w:r>
    </w:p>
    <w:p>
      <w:pPr>
        <w:pStyle w:val="BodyText"/>
      </w:pPr>
      <w:r>
        <w:rPr>
          <w:b/>
          <w:bCs/>
        </w:rPr>
        <w:t xml:space="preserve">Solution</w:t>
      </w:r>
    </w:p>
    <w:p>
      <w:pPr>
        <w:pStyle w:val="BodyText"/>
      </w:pPr>
      <w:r>
        <w:t xml:space="preserve">Near real-time dashboards with configurable alerts and exception monitoring.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problem-138"/>
    <w:p>
      <w:pPr>
        <w:pStyle w:val="Heading2"/>
      </w:pPr>
      <w:r>
        <w:t xml:space="preserve">Problem 138</w:t>
      </w:r>
    </w:p>
    <w:bookmarkStart w:id="29" w:name="difficult-national-prioritization"/>
    <w:p>
      <w:pPr>
        <w:pStyle w:val="Heading3"/>
      </w:pPr>
      <w:r>
        <w:t xml:space="preserve">Difficult National Prioritization</w:t>
      </w:r>
    </w:p>
    <w:p>
      <w:pPr>
        <w:pStyle w:val="FirstParagraph"/>
      </w:pPr>
      <w:r>
        <w:t xml:space="preserve">Senior officials may struggle to identify where intervention is most urgently required.</w:t>
      </w:r>
    </w:p>
    <w:p>
      <w:pPr>
        <w:pStyle w:val="BodyText"/>
      </w:pPr>
      <w:r>
        <w:rPr>
          <w:b/>
          <w:bCs/>
        </w:rPr>
        <w:t xml:space="preserve">Solution</w:t>
      </w:r>
    </w:p>
    <w:p>
      <w:pPr>
        <w:pStyle w:val="BodyText"/>
      </w:pPr>
      <w:r>
        <w:t xml:space="preserve">National priority index ranking schools, divisions, and regions using predefined operational indicators.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problem-139"/>
    <w:p>
      <w:pPr>
        <w:pStyle w:val="Heading2"/>
      </w:pPr>
      <w:r>
        <w:t xml:space="preserve">Problem 139</w:t>
      </w:r>
    </w:p>
    <w:bookmarkStart w:id="31" w:name="weak-cross-department-coordination"/>
    <w:p>
      <w:pPr>
        <w:pStyle w:val="Heading3"/>
      </w:pPr>
      <w:r>
        <w:t xml:space="preserve">Weak Cross-Department Coordination</w:t>
      </w:r>
    </w:p>
    <w:p>
      <w:pPr>
        <w:pStyle w:val="FirstParagraph"/>
      </w:pPr>
      <w:r>
        <w:t xml:space="preserve">Planning, procurement, logistics, and inspections may operate using separate information sources.</w:t>
      </w:r>
    </w:p>
    <w:p>
      <w:pPr>
        <w:pStyle w:val="BodyText"/>
      </w:pPr>
      <w:r>
        <w:rPr>
          <w:b/>
          <w:bCs/>
        </w:rPr>
        <w:t xml:space="preserve">Solution</w:t>
      </w:r>
    </w:p>
    <w:p>
      <w:pPr>
        <w:pStyle w:val="BodyText"/>
      </w:pPr>
      <w:r>
        <w:t xml:space="preserve">Cross-functional operational dashboards supporting coordinated decision-making.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problem-140"/>
    <w:p>
      <w:pPr>
        <w:pStyle w:val="Heading2"/>
      </w:pPr>
      <w:r>
        <w:t xml:space="preserve">Problem 140</w:t>
      </w:r>
    </w:p>
    <w:bookmarkStart w:id="33" w:name="limited-predictive-planning"/>
    <w:p>
      <w:pPr>
        <w:pStyle w:val="Heading3"/>
      </w:pPr>
      <w:r>
        <w:t xml:space="preserve">Limited Predictive Planning</w:t>
      </w:r>
    </w:p>
    <w:p>
      <w:pPr>
        <w:pStyle w:val="FirstParagraph"/>
      </w:pPr>
      <w:r>
        <w:t xml:space="preserve">Planning frequently focuses on current conditions rather than future operational requirements.</w:t>
      </w:r>
    </w:p>
    <w:p>
      <w:pPr>
        <w:pStyle w:val="BodyText"/>
      </w:pPr>
      <w:r>
        <w:rPr>
          <w:b/>
          <w:bCs/>
        </w:rPr>
        <w:t xml:space="preserve">Solution</w:t>
      </w:r>
    </w:p>
    <w:p>
      <w:pPr>
        <w:pStyle w:val="BodyText"/>
      </w:pPr>
      <w:r>
        <w:t xml:space="preserve">Decision-support models projecting replacement demand, procurement needs, warehouse capacity, and distribution requirements based on historical trends and approved planning assumptions.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41" w:name="executive-dashboards"/>
    <w:p>
      <w:pPr>
        <w:pStyle w:val="Heading1"/>
      </w:pPr>
      <w:r>
        <w:t xml:space="preserve">23.5 Executive Dashboards</w:t>
      </w:r>
    </w:p>
    <w:bookmarkStart w:id="36" w:name="ministers-dashboard"/>
    <w:p>
      <w:pPr>
        <w:pStyle w:val="Heading2"/>
      </w:pPr>
      <w:r>
        <w:t xml:space="preserve">Minister’s Dashboard</w:t>
      </w:r>
    </w:p>
    <w:p>
      <w:pPr>
        <w:pStyle w:val="FirstParagraph"/>
      </w:pPr>
      <w:r>
        <w:t xml:space="preserve">Provides a national overview including:</w:t>
      </w:r>
    </w:p>
    <w:p>
      <w:pPr>
        <w:pStyle w:val="Compact"/>
        <w:numPr>
          <w:ilvl w:val="0"/>
          <w:numId w:val="1002"/>
        </w:numPr>
      </w:pPr>
      <w:r>
        <w:t xml:space="preserve">Schools reporting.</w:t>
      </w:r>
    </w:p>
    <w:p>
      <w:pPr>
        <w:pStyle w:val="Compact"/>
        <w:numPr>
          <w:ilvl w:val="0"/>
          <w:numId w:val="1002"/>
        </w:numPr>
      </w:pPr>
      <w:r>
        <w:t xml:space="preserve">Textbook coverage.</w:t>
      </w:r>
    </w:p>
    <w:p>
      <w:pPr>
        <w:pStyle w:val="Compact"/>
        <w:numPr>
          <w:ilvl w:val="0"/>
          <w:numId w:val="1002"/>
        </w:numPr>
      </w:pPr>
      <w:r>
        <w:t xml:space="preserve">Distribution progress.</w:t>
      </w:r>
    </w:p>
    <w:p>
      <w:pPr>
        <w:pStyle w:val="Compact"/>
        <w:numPr>
          <w:ilvl w:val="0"/>
          <w:numId w:val="1002"/>
        </w:numPr>
      </w:pPr>
      <w:r>
        <w:t xml:space="preserve">Procurement status.</w:t>
      </w:r>
    </w:p>
    <w:p>
      <w:pPr>
        <w:pStyle w:val="Compact"/>
        <w:numPr>
          <w:ilvl w:val="0"/>
          <w:numId w:val="1002"/>
        </w:numPr>
      </w:pPr>
      <w:r>
        <w:t xml:space="preserve">High-risk regions.</w:t>
      </w:r>
    </w:p>
    <w:p>
      <w:pPr>
        <w:pStyle w:val="Compact"/>
        <w:numPr>
          <w:ilvl w:val="0"/>
          <w:numId w:val="1002"/>
        </w:numPr>
      </w:pPr>
      <w:r>
        <w:t xml:space="preserve">Critical shortages.</w:t>
      </w:r>
    </w:p>
    <w:p>
      <w:pPr>
        <w:pStyle w:val="Compact"/>
        <w:numPr>
          <w:ilvl w:val="0"/>
          <w:numId w:val="1002"/>
        </w:numPr>
      </w:pPr>
      <w:r>
        <w:t xml:space="preserve">Programme implementation progress.</w:t>
      </w:r>
    </w:p>
    <w:p>
      <w:r>
        <w:pict>
          <v:rect style="width:0;height:1.5pt" o:hralign="center" o:hrstd="t" o:hr="t"/>
        </w:pict>
      </w:r>
    </w:p>
    <w:bookmarkEnd w:id="36"/>
    <w:bookmarkStart w:id="37" w:name="secretary-general-dashboard"/>
    <w:p>
      <w:pPr>
        <w:pStyle w:val="Heading2"/>
      </w:pPr>
      <w:r>
        <w:t xml:space="preserve">Secretary General Dashboard</w:t>
      </w:r>
    </w:p>
    <w:p>
      <w:pPr>
        <w:pStyle w:val="FirstParagraph"/>
      </w:pPr>
      <w:r>
        <w:t xml:space="preserve">Focuses on institutional performance.</w:t>
      </w:r>
    </w:p>
    <w:p>
      <w:pPr>
        <w:pStyle w:val="BodyText"/>
      </w:pPr>
      <w:r>
        <w:t xml:space="preserve">Includes:</w:t>
      </w:r>
    </w:p>
    <w:p>
      <w:pPr>
        <w:pStyle w:val="Compact"/>
        <w:numPr>
          <w:ilvl w:val="0"/>
          <w:numId w:val="1003"/>
        </w:numPr>
      </w:pPr>
      <w:r>
        <w:t xml:space="preserve">Operational compliance.</w:t>
      </w:r>
    </w:p>
    <w:p>
      <w:pPr>
        <w:pStyle w:val="Compact"/>
        <w:numPr>
          <w:ilvl w:val="0"/>
          <w:numId w:val="1003"/>
        </w:numPr>
      </w:pPr>
      <w:r>
        <w:t xml:space="preserve">Regional performance.</w:t>
      </w:r>
    </w:p>
    <w:p>
      <w:pPr>
        <w:pStyle w:val="Compact"/>
        <w:numPr>
          <w:ilvl w:val="0"/>
          <w:numId w:val="1003"/>
        </w:numPr>
      </w:pPr>
      <w:r>
        <w:t xml:space="preserve">Outstanding actions.</w:t>
      </w:r>
    </w:p>
    <w:p>
      <w:pPr>
        <w:pStyle w:val="Compact"/>
        <w:numPr>
          <w:ilvl w:val="0"/>
          <w:numId w:val="1003"/>
        </w:numPr>
      </w:pPr>
      <w:r>
        <w:t xml:space="preserve">System usage.</w:t>
      </w:r>
    </w:p>
    <w:p>
      <w:pPr>
        <w:pStyle w:val="Compact"/>
        <w:numPr>
          <w:ilvl w:val="0"/>
          <w:numId w:val="1003"/>
        </w:numPr>
      </w:pPr>
      <w:r>
        <w:t xml:space="preserve">Inspection coverage.</w:t>
      </w:r>
    </w:p>
    <w:p>
      <w:r>
        <w:pict>
          <v:rect style="width:0;height:1.5pt" o:hralign="center" o:hrstd="t" o:hr="t"/>
        </w:pict>
      </w:r>
    </w:p>
    <w:bookmarkEnd w:id="37"/>
    <w:bookmarkStart w:id="38" w:name="director-dashboard"/>
    <w:p>
      <w:pPr>
        <w:pStyle w:val="Heading2"/>
      </w:pPr>
      <w:r>
        <w:t xml:space="preserve">Director Dashboard</w:t>
      </w:r>
    </w:p>
    <w:p>
      <w:pPr>
        <w:pStyle w:val="FirstParagraph"/>
      </w:pPr>
      <w:r>
        <w:t xml:space="preserve">Department-specific operational information.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4"/>
        </w:numPr>
      </w:pPr>
      <w:r>
        <w:t xml:space="preserve">Procurement.</w:t>
      </w:r>
    </w:p>
    <w:p>
      <w:pPr>
        <w:pStyle w:val="Compact"/>
        <w:numPr>
          <w:ilvl w:val="0"/>
          <w:numId w:val="1004"/>
        </w:numPr>
      </w:pPr>
      <w:r>
        <w:t xml:space="preserve">Warehousing.</w:t>
      </w:r>
    </w:p>
    <w:p>
      <w:pPr>
        <w:pStyle w:val="Compact"/>
        <w:numPr>
          <w:ilvl w:val="0"/>
          <w:numId w:val="1004"/>
        </w:numPr>
      </w:pPr>
      <w:r>
        <w:t xml:space="preserve">Distribution.</w:t>
      </w:r>
    </w:p>
    <w:p>
      <w:pPr>
        <w:pStyle w:val="Compact"/>
        <w:numPr>
          <w:ilvl w:val="0"/>
          <w:numId w:val="1004"/>
        </w:numPr>
      </w:pPr>
      <w:r>
        <w:t xml:space="preserve">School operations.</w:t>
      </w:r>
    </w:p>
    <w:p>
      <w:pPr>
        <w:pStyle w:val="Compact"/>
        <w:numPr>
          <w:ilvl w:val="0"/>
          <w:numId w:val="1004"/>
        </w:numPr>
      </w:pPr>
      <w:r>
        <w:t xml:space="preserve">Resource utilization.</w:t>
      </w:r>
    </w:p>
    <w:p>
      <w:r>
        <w:pict>
          <v:rect style="width:0;height:1.5pt" o:hralign="center" o:hrstd="t" o:hr="t"/>
        </w:pict>
      </w:r>
    </w:p>
    <w:bookmarkEnd w:id="38"/>
    <w:bookmarkStart w:id="39" w:name="regional-dashboard"/>
    <w:p>
      <w:pPr>
        <w:pStyle w:val="Heading2"/>
      </w:pPr>
      <w:r>
        <w:t xml:space="preserve">Regional Dashboard</w:t>
      </w:r>
    </w:p>
    <w:p>
      <w:pPr>
        <w:pStyle w:val="FirstParagraph"/>
      </w:pPr>
      <w:r>
        <w:t xml:space="preserve">Provides:</w:t>
      </w:r>
    </w:p>
    <w:p>
      <w:pPr>
        <w:pStyle w:val="Compact"/>
        <w:numPr>
          <w:ilvl w:val="0"/>
          <w:numId w:val="1005"/>
        </w:numPr>
      </w:pPr>
      <w:r>
        <w:t xml:space="preserve">Regional inventory.</w:t>
      </w:r>
    </w:p>
    <w:p>
      <w:pPr>
        <w:pStyle w:val="Compact"/>
        <w:numPr>
          <w:ilvl w:val="0"/>
          <w:numId w:val="1005"/>
        </w:numPr>
      </w:pPr>
      <w:r>
        <w:t xml:space="preserve">Distribution status.</w:t>
      </w:r>
    </w:p>
    <w:p>
      <w:pPr>
        <w:pStyle w:val="Compact"/>
        <w:numPr>
          <w:ilvl w:val="0"/>
          <w:numId w:val="1005"/>
        </w:numPr>
      </w:pPr>
      <w:r>
        <w:t xml:space="preserve">School reporting.</w:t>
      </w:r>
    </w:p>
    <w:p>
      <w:pPr>
        <w:pStyle w:val="Compact"/>
        <w:numPr>
          <w:ilvl w:val="0"/>
          <w:numId w:val="1005"/>
        </w:numPr>
      </w:pPr>
      <w:r>
        <w:t xml:space="preserve">Outstanding inspections.</w:t>
      </w:r>
    </w:p>
    <w:p>
      <w:pPr>
        <w:pStyle w:val="Compact"/>
        <w:numPr>
          <w:ilvl w:val="0"/>
          <w:numId w:val="1005"/>
        </w:numPr>
      </w:pPr>
      <w:r>
        <w:t xml:space="preserve">Resource shortages.</w:t>
      </w:r>
    </w:p>
    <w:p>
      <w:r>
        <w:pict>
          <v:rect style="width:0;height:1.5pt" o:hralign="center" o:hrstd="t" o:hr="t"/>
        </w:pict>
      </w:r>
    </w:p>
    <w:bookmarkEnd w:id="39"/>
    <w:bookmarkStart w:id="40" w:name="school-dashboard"/>
    <w:p>
      <w:pPr>
        <w:pStyle w:val="Heading2"/>
      </w:pPr>
      <w:r>
        <w:t xml:space="preserve">School Dashboard</w:t>
      </w:r>
    </w:p>
    <w:p>
      <w:pPr>
        <w:pStyle w:val="FirstParagraph"/>
      </w:pPr>
      <w:r>
        <w:t xml:space="preserve">Provides:</w:t>
      </w:r>
    </w:p>
    <w:p>
      <w:pPr>
        <w:pStyle w:val="Compact"/>
        <w:numPr>
          <w:ilvl w:val="0"/>
          <w:numId w:val="1006"/>
        </w:numPr>
      </w:pPr>
      <w:r>
        <w:t xml:space="preserve">Resource availability.</w:t>
      </w:r>
    </w:p>
    <w:p>
      <w:pPr>
        <w:pStyle w:val="Compact"/>
        <w:numPr>
          <w:ilvl w:val="0"/>
          <w:numId w:val="1006"/>
        </w:numPr>
      </w:pPr>
      <w:r>
        <w:t xml:space="preserve">Inventory.</w:t>
      </w:r>
    </w:p>
    <w:p>
      <w:pPr>
        <w:pStyle w:val="Compact"/>
        <w:numPr>
          <w:ilvl w:val="0"/>
          <w:numId w:val="1006"/>
        </w:numPr>
      </w:pPr>
      <w:r>
        <w:t xml:space="preserve">Outstanding returns.</w:t>
      </w:r>
    </w:p>
    <w:p>
      <w:pPr>
        <w:pStyle w:val="Compact"/>
        <w:numPr>
          <w:ilvl w:val="0"/>
          <w:numId w:val="1006"/>
        </w:numPr>
      </w:pPr>
      <w:r>
        <w:t xml:space="preserve">Maintenance.</w:t>
      </w:r>
    </w:p>
    <w:p>
      <w:pPr>
        <w:pStyle w:val="Compact"/>
        <w:numPr>
          <w:ilvl w:val="0"/>
          <w:numId w:val="1006"/>
        </w:numPr>
      </w:pPr>
      <w:r>
        <w:t xml:space="preserve">Upcoming inspections.</w:t>
      </w:r>
    </w:p>
    <w:p>
      <w:pPr>
        <w:pStyle w:val="Compact"/>
        <w:numPr>
          <w:ilvl w:val="0"/>
          <w:numId w:val="1006"/>
        </w:numPr>
      </w:pPr>
      <w:r>
        <w:t xml:space="preserve">Operational tasks.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national-education-resource-map"/>
    <w:p>
      <w:pPr>
        <w:pStyle w:val="Heading1"/>
      </w:pPr>
      <w:r>
        <w:t xml:space="preserve">23.6 National Education Resource Map</w:t>
      </w:r>
    </w:p>
    <w:p>
      <w:pPr>
        <w:pStyle w:val="FirstParagraph"/>
      </w:pPr>
      <w:r>
        <w:t xml:space="preserve">Interactive geographic visualization displays:</w:t>
      </w:r>
    </w:p>
    <w:p>
      <w:pPr>
        <w:pStyle w:val="Compact"/>
        <w:numPr>
          <w:ilvl w:val="0"/>
          <w:numId w:val="1007"/>
        </w:numPr>
      </w:pPr>
      <w:r>
        <w:t xml:space="preserve">Schools.</w:t>
      </w:r>
    </w:p>
    <w:p>
      <w:pPr>
        <w:pStyle w:val="Compact"/>
        <w:numPr>
          <w:ilvl w:val="0"/>
          <w:numId w:val="1007"/>
        </w:numPr>
      </w:pPr>
      <w:r>
        <w:t xml:space="preserve">Warehouses.</w:t>
      </w:r>
    </w:p>
    <w:p>
      <w:pPr>
        <w:pStyle w:val="Compact"/>
        <w:numPr>
          <w:ilvl w:val="0"/>
          <w:numId w:val="1007"/>
        </w:numPr>
      </w:pPr>
      <w:r>
        <w:t xml:space="preserve">Distribution routes.</w:t>
      </w:r>
    </w:p>
    <w:p>
      <w:pPr>
        <w:pStyle w:val="Compact"/>
        <w:numPr>
          <w:ilvl w:val="0"/>
          <w:numId w:val="1007"/>
        </w:numPr>
      </w:pPr>
      <w:r>
        <w:t xml:space="preserve">Inventory levels.</w:t>
      </w:r>
    </w:p>
    <w:p>
      <w:pPr>
        <w:pStyle w:val="Compact"/>
        <w:numPr>
          <w:ilvl w:val="0"/>
          <w:numId w:val="1007"/>
        </w:numPr>
      </w:pPr>
      <w:r>
        <w:t xml:space="preserve">Resource shortages.</w:t>
      </w:r>
    </w:p>
    <w:p>
      <w:pPr>
        <w:pStyle w:val="Compact"/>
        <w:numPr>
          <w:ilvl w:val="0"/>
          <w:numId w:val="1007"/>
        </w:numPr>
      </w:pPr>
      <w:r>
        <w:t xml:space="preserve">Inspection status.</w:t>
      </w:r>
    </w:p>
    <w:p>
      <w:pPr>
        <w:pStyle w:val="Compact"/>
        <w:numPr>
          <w:ilvl w:val="0"/>
          <w:numId w:val="1007"/>
        </w:numPr>
      </w:pPr>
      <w:r>
        <w:t xml:space="preserve">Active shipments.</w:t>
      </w:r>
    </w:p>
    <w:p>
      <w:pPr>
        <w:pStyle w:val="Compact"/>
        <w:numPr>
          <w:ilvl w:val="0"/>
          <w:numId w:val="1007"/>
        </w:numPr>
      </w:pPr>
      <w:r>
        <w:t xml:space="preserve">Infrastructure indicators.</w:t>
      </w:r>
    </w:p>
    <w:p>
      <w:pPr>
        <w:pStyle w:val="FirstParagraph"/>
      </w:pPr>
      <w:r>
        <w:t xml:space="preserve">Users can filter by:</w:t>
      </w:r>
    </w:p>
    <w:p>
      <w:pPr>
        <w:pStyle w:val="Compact"/>
        <w:numPr>
          <w:ilvl w:val="0"/>
          <w:numId w:val="1008"/>
        </w:numPr>
      </w:pPr>
      <w:r>
        <w:t xml:space="preserve">Region.</w:t>
      </w:r>
    </w:p>
    <w:p>
      <w:pPr>
        <w:pStyle w:val="Compact"/>
        <w:numPr>
          <w:ilvl w:val="0"/>
          <w:numId w:val="1008"/>
        </w:numPr>
      </w:pPr>
      <w:r>
        <w:t xml:space="preserve">Division.</w:t>
      </w:r>
    </w:p>
    <w:p>
      <w:pPr>
        <w:pStyle w:val="Compact"/>
        <w:numPr>
          <w:ilvl w:val="0"/>
          <w:numId w:val="1008"/>
        </w:numPr>
      </w:pPr>
      <w:r>
        <w:t xml:space="preserve">Subject.</w:t>
      </w:r>
    </w:p>
    <w:p>
      <w:pPr>
        <w:pStyle w:val="Compact"/>
        <w:numPr>
          <w:ilvl w:val="0"/>
          <w:numId w:val="1008"/>
        </w:numPr>
      </w:pPr>
      <w:r>
        <w:t xml:space="preserve">Resource category.</w:t>
      </w:r>
    </w:p>
    <w:p>
      <w:pPr>
        <w:pStyle w:val="Compact"/>
        <w:numPr>
          <w:ilvl w:val="0"/>
          <w:numId w:val="1008"/>
        </w:numPr>
      </w:pPr>
      <w:r>
        <w:t xml:space="preserve">Programme.</w:t>
      </w:r>
    </w:p>
    <w:p>
      <w:pPr>
        <w:pStyle w:val="Compact"/>
        <w:numPr>
          <w:ilvl w:val="0"/>
          <w:numId w:val="1008"/>
        </w:numPr>
      </w:pPr>
      <w:r>
        <w:t xml:space="preserve">Academic year.</w:t>
      </w:r>
    </w:p>
    <w:p>
      <w:r>
        <w:pict>
          <v:rect style="width:0;height:1.5pt" o:hralign="center" o:hrstd="t" o:hr="t"/>
        </w:pict>
      </w:r>
    </w:p>
    <w:bookmarkEnd w:id="42"/>
    <w:bookmarkStart w:id="46" w:name="early-warning-system"/>
    <w:p>
      <w:pPr>
        <w:pStyle w:val="Heading1"/>
      </w:pPr>
      <w:r>
        <w:t xml:space="preserve">23.7 Early Warning System</w:t>
      </w:r>
    </w:p>
    <w:p>
      <w:pPr>
        <w:pStyle w:val="FirstParagraph"/>
      </w:pPr>
      <w:r>
        <w:t xml:space="preserve">The Command Centre automatically identifies situations requiring attention.</w:t>
      </w:r>
    </w:p>
    <w:p>
      <w:pPr>
        <w:pStyle w:val="BodyText"/>
      </w:pPr>
      <w:r>
        <w:t xml:space="preserve">Examples include:</w:t>
      </w:r>
    </w:p>
    <w:bookmarkStart w:id="43" w:name="logistics"/>
    <w:p>
      <w:pPr>
        <w:pStyle w:val="Heading3"/>
      </w:pPr>
      <w:r>
        <w:t xml:space="preserve">Logistics</w:t>
      </w:r>
    </w:p>
    <w:p>
      <w:pPr>
        <w:pStyle w:val="Compact"/>
        <w:numPr>
          <w:ilvl w:val="0"/>
          <w:numId w:val="1009"/>
        </w:numPr>
      </w:pPr>
      <w:r>
        <w:t xml:space="preserve">Delayed deliveries.</w:t>
      </w:r>
    </w:p>
    <w:p>
      <w:pPr>
        <w:pStyle w:val="Compact"/>
        <w:numPr>
          <w:ilvl w:val="0"/>
          <w:numId w:val="1009"/>
        </w:numPr>
      </w:pPr>
      <w:r>
        <w:t xml:space="preserve">Warehouse congestion.</w:t>
      </w:r>
    </w:p>
    <w:p>
      <w:pPr>
        <w:pStyle w:val="Compact"/>
        <w:numPr>
          <w:ilvl w:val="0"/>
          <w:numId w:val="1009"/>
        </w:numPr>
      </w:pPr>
      <w:r>
        <w:t xml:space="preserve">Low stock.</w:t>
      </w:r>
    </w:p>
    <w:bookmarkEnd w:id="43"/>
    <w:bookmarkStart w:id="44" w:name="school-operations"/>
    <w:p>
      <w:pPr>
        <w:pStyle w:val="Heading3"/>
      </w:pPr>
      <w:r>
        <w:t xml:space="preserve">School Operations</w:t>
      </w:r>
    </w:p>
    <w:p>
      <w:pPr>
        <w:pStyle w:val="Compact"/>
        <w:numPr>
          <w:ilvl w:val="0"/>
          <w:numId w:val="1010"/>
        </w:numPr>
      </w:pPr>
      <w:r>
        <w:t xml:space="preserve">Critical textbook shortages.</w:t>
      </w:r>
    </w:p>
    <w:p>
      <w:pPr>
        <w:pStyle w:val="Compact"/>
        <w:numPr>
          <w:ilvl w:val="0"/>
          <w:numId w:val="1010"/>
        </w:numPr>
      </w:pPr>
      <w:r>
        <w:t xml:space="preserve">Missing inventory.</w:t>
      </w:r>
    </w:p>
    <w:p>
      <w:pPr>
        <w:pStyle w:val="Compact"/>
        <w:numPr>
          <w:ilvl w:val="0"/>
          <w:numId w:val="1010"/>
        </w:numPr>
      </w:pPr>
      <w:r>
        <w:t xml:space="preserve">Outstanding returns.</w:t>
      </w:r>
    </w:p>
    <w:p>
      <w:pPr>
        <w:pStyle w:val="Compact"/>
        <w:numPr>
          <w:ilvl w:val="0"/>
          <w:numId w:val="1010"/>
        </w:numPr>
      </w:pPr>
      <w:r>
        <w:t xml:space="preserve">High damage rates.</w:t>
      </w:r>
    </w:p>
    <w:bookmarkEnd w:id="44"/>
    <w:bookmarkStart w:id="45" w:name="programme-performance"/>
    <w:p>
      <w:pPr>
        <w:pStyle w:val="Heading3"/>
      </w:pPr>
      <w:r>
        <w:t xml:space="preserve">Programme Performance</w:t>
      </w:r>
    </w:p>
    <w:p>
      <w:pPr>
        <w:pStyle w:val="Compact"/>
        <w:numPr>
          <w:ilvl w:val="0"/>
          <w:numId w:val="1011"/>
        </w:numPr>
      </w:pPr>
      <w:r>
        <w:t xml:space="preserve">Low reporting compliance.</w:t>
      </w:r>
    </w:p>
    <w:p>
      <w:pPr>
        <w:pStyle w:val="Compact"/>
        <w:numPr>
          <w:ilvl w:val="0"/>
          <w:numId w:val="1011"/>
        </w:numPr>
      </w:pPr>
      <w:r>
        <w:t xml:space="preserve">Delayed inspections.</w:t>
      </w:r>
    </w:p>
    <w:p>
      <w:pPr>
        <w:pStyle w:val="Compact"/>
        <w:numPr>
          <w:ilvl w:val="0"/>
          <w:numId w:val="1011"/>
        </w:numPr>
      </w:pPr>
      <w:r>
        <w:t xml:space="preserve">Procurement delays.</w:t>
      </w:r>
    </w:p>
    <w:p>
      <w:pPr>
        <w:pStyle w:val="Compact"/>
        <w:numPr>
          <w:ilvl w:val="0"/>
          <w:numId w:val="1011"/>
        </w:numPr>
      </w:pPr>
      <w:r>
        <w:t xml:space="preserve">Repeated operational incidents.</w:t>
      </w:r>
    </w:p>
    <w:p>
      <w:pPr>
        <w:pStyle w:val="FirstParagraph"/>
      </w:pPr>
      <w:r>
        <w:t xml:space="preserve">Alerts are prioritized by severity to support timely intervention.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decision-support"/>
    <w:p>
      <w:pPr>
        <w:pStyle w:val="Heading1"/>
      </w:pPr>
      <w:r>
        <w:t xml:space="preserve">23.8 Decision Support</w:t>
      </w:r>
    </w:p>
    <w:p>
      <w:pPr>
        <w:pStyle w:val="FirstParagraph"/>
      </w:pPr>
      <w:r>
        <w:t xml:space="preserve">The platform assists planning by providing:</w:t>
      </w:r>
    </w:p>
    <w:p>
      <w:pPr>
        <w:pStyle w:val="Compact"/>
        <w:numPr>
          <w:ilvl w:val="0"/>
          <w:numId w:val="1012"/>
        </w:numPr>
      </w:pPr>
      <w:r>
        <w:t xml:space="preserve">Demand forecasts.</w:t>
      </w:r>
    </w:p>
    <w:p>
      <w:pPr>
        <w:pStyle w:val="Compact"/>
        <w:numPr>
          <w:ilvl w:val="0"/>
          <w:numId w:val="1012"/>
        </w:numPr>
      </w:pPr>
      <w:r>
        <w:t xml:space="preserve">Replacement projections.</w:t>
      </w:r>
    </w:p>
    <w:p>
      <w:pPr>
        <w:pStyle w:val="Compact"/>
        <w:numPr>
          <w:ilvl w:val="0"/>
          <w:numId w:val="1012"/>
        </w:numPr>
      </w:pPr>
      <w:r>
        <w:t xml:space="preserve">Redistribution recommendations.</w:t>
      </w:r>
    </w:p>
    <w:p>
      <w:pPr>
        <w:pStyle w:val="Compact"/>
        <w:numPr>
          <w:ilvl w:val="0"/>
          <w:numId w:val="1012"/>
        </w:numPr>
      </w:pPr>
      <w:r>
        <w:t xml:space="preserve">Capacity analysis.</w:t>
      </w:r>
    </w:p>
    <w:p>
      <w:pPr>
        <w:pStyle w:val="Compact"/>
        <w:numPr>
          <w:ilvl w:val="0"/>
          <w:numId w:val="1012"/>
        </w:numPr>
      </w:pPr>
      <w:r>
        <w:t xml:space="preserve">Performance comparisons.</w:t>
      </w:r>
    </w:p>
    <w:p>
      <w:pPr>
        <w:pStyle w:val="Compact"/>
        <w:numPr>
          <w:ilvl w:val="0"/>
          <w:numId w:val="1012"/>
        </w:numPr>
      </w:pPr>
      <w:r>
        <w:t xml:space="preserve">Historical trends.</w:t>
      </w:r>
    </w:p>
    <w:p>
      <w:pPr>
        <w:pStyle w:val="Compact"/>
        <w:numPr>
          <w:ilvl w:val="0"/>
          <w:numId w:val="1012"/>
        </w:numPr>
      </w:pPr>
      <w:r>
        <w:t xml:space="preserve">Operational scenarios.</w:t>
      </w:r>
    </w:p>
    <w:p>
      <w:pPr>
        <w:pStyle w:val="FirstParagraph"/>
      </w:pPr>
      <w:r>
        <w:t xml:space="preserve">These recommendations support, but do not replace, human decision-making.</w:t>
      </w:r>
    </w:p>
    <w:p>
      <w:r>
        <w:pict>
          <v:rect style="width:0;height:1.5pt" o:hralign="center" o:hrstd="t" o:hr="t"/>
        </w:pict>
      </w:r>
    </w:p>
    <w:bookmarkEnd w:id="47"/>
    <w:bookmarkStart w:id="53" w:name="functional-requirements"/>
    <w:p>
      <w:pPr>
        <w:pStyle w:val="Heading1"/>
      </w:pPr>
      <w:r>
        <w:t xml:space="preserve">23.9 Functional Requirements</w:t>
      </w:r>
    </w:p>
    <w:bookmarkStart w:id="48" w:name="fr-cc-001"/>
    <w:p>
      <w:pPr>
        <w:pStyle w:val="Heading3"/>
      </w:pPr>
      <w:r>
        <w:t xml:space="preserve">FR-CC-001</w:t>
      </w:r>
    </w:p>
    <w:p>
      <w:pPr>
        <w:pStyle w:val="FirstParagraph"/>
      </w:pPr>
      <w:r>
        <w:t xml:space="preserve">Executive Dashboard</w:t>
      </w:r>
    </w:p>
    <w:p>
      <w:pPr>
        <w:pStyle w:val="BodyText"/>
      </w:pPr>
      <w:r>
        <w:t xml:space="preserve">Provide configurable dashboards appropriate to each user role.</w:t>
      </w:r>
    </w:p>
    <w:p>
      <w:r>
        <w:pict>
          <v:rect style="width:0;height:1.5pt" o:hralign="center" o:hrstd="t" o:hr="t"/>
        </w:pict>
      </w:r>
    </w:p>
    <w:bookmarkEnd w:id="48"/>
    <w:bookmarkStart w:id="49" w:name="fr-cc-002"/>
    <w:p>
      <w:pPr>
        <w:pStyle w:val="Heading3"/>
      </w:pPr>
      <w:r>
        <w:t xml:space="preserve">FR-CC-002</w:t>
      </w:r>
    </w:p>
    <w:p>
      <w:pPr>
        <w:pStyle w:val="FirstParagraph"/>
      </w:pPr>
      <w:r>
        <w:t xml:space="preserve">Operational Alerts</w:t>
      </w:r>
    </w:p>
    <w:p>
      <w:pPr>
        <w:pStyle w:val="BodyText"/>
      </w:pPr>
      <w:r>
        <w:t xml:space="preserve">Generate configurable alerts based on predefined business rules.</w:t>
      </w:r>
    </w:p>
    <w:p>
      <w:r>
        <w:pict>
          <v:rect style="width:0;height:1.5pt" o:hralign="center" o:hrstd="t" o:hr="t"/>
        </w:pict>
      </w:r>
    </w:p>
    <w:bookmarkEnd w:id="49"/>
    <w:bookmarkStart w:id="50" w:name="fr-cc-003"/>
    <w:p>
      <w:pPr>
        <w:pStyle w:val="Heading3"/>
      </w:pPr>
      <w:r>
        <w:t xml:space="preserve">FR-CC-003</w:t>
      </w:r>
    </w:p>
    <w:p>
      <w:pPr>
        <w:pStyle w:val="FirstParagraph"/>
      </w:pPr>
      <w:r>
        <w:t xml:space="preserve">Performance Analytics</w:t>
      </w:r>
    </w:p>
    <w:p>
      <w:pPr>
        <w:pStyle w:val="BodyText"/>
      </w:pPr>
      <w:r>
        <w:t xml:space="preserve">Measure operational performance using ministry-approved indicators.</w:t>
      </w:r>
    </w:p>
    <w:p>
      <w:r>
        <w:pict>
          <v:rect style="width:0;height:1.5pt" o:hralign="center" o:hrstd="t" o:hr="t"/>
        </w:pict>
      </w:r>
    </w:p>
    <w:bookmarkEnd w:id="50"/>
    <w:bookmarkStart w:id="51" w:name="fr-cc-004"/>
    <w:p>
      <w:pPr>
        <w:pStyle w:val="Heading3"/>
      </w:pPr>
      <w:r>
        <w:t xml:space="preserve">FR-CC-004</w:t>
      </w:r>
    </w:p>
    <w:p>
      <w:pPr>
        <w:pStyle w:val="FirstParagraph"/>
      </w:pPr>
      <w:r>
        <w:t xml:space="preserve">Geographic Visualization</w:t>
      </w:r>
    </w:p>
    <w:p>
      <w:pPr>
        <w:pStyle w:val="BodyText"/>
      </w:pPr>
      <w:r>
        <w:t xml:space="preserve">Display educational resources using interactive maps.</w:t>
      </w:r>
    </w:p>
    <w:p>
      <w:r>
        <w:pict>
          <v:rect style="width:0;height:1.5pt" o:hralign="center" o:hrstd="t" o:hr="t"/>
        </w:pict>
      </w:r>
    </w:p>
    <w:bookmarkEnd w:id="51"/>
    <w:bookmarkStart w:id="52" w:name="fr-cc-005"/>
    <w:p>
      <w:pPr>
        <w:pStyle w:val="Heading3"/>
      </w:pPr>
      <w:r>
        <w:t xml:space="preserve">FR-CC-005</w:t>
      </w:r>
    </w:p>
    <w:p>
      <w:pPr>
        <w:pStyle w:val="FirstParagraph"/>
      </w:pPr>
      <w:r>
        <w:t xml:space="preserve">Decision Support</w:t>
      </w:r>
    </w:p>
    <w:p>
      <w:pPr>
        <w:pStyle w:val="BodyText"/>
      </w:pPr>
      <w:r>
        <w:t xml:space="preserve">Provide planning recommendations based on operational information and configured analytical models.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business-rules"/>
    <w:p>
      <w:pPr>
        <w:pStyle w:val="Heading1"/>
      </w:pPr>
      <w:r>
        <w:t xml:space="preserve">23.10 Business Rules</w:t>
      </w:r>
    </w:p>
    <w:p>
      <w:pPr>
        <w:pStyle w:val="FirstParagraph"/>
      </w:pPr>
      <w:r>
        <w:t xml:space="preserve">Examples include:</w:t>
      </w:r>
    </w:p>
    <w:p>
      <w:pPr>
        <w:pStyle w:val="Compact"/>
        <w:numPr>
          <w:ilvl w:val="0"/>
          <w:numId w:val="1013"/>
        </w:numPr>
      </w:pPr>
      <w:r>
        <w:t xml:space="preserve">Dashboard access is role-based.</w:t>
      </w:r>
    </w:p>
    <w:p>
      <w:pPr>
        <w:pStyle w:val="Compact"/>
        <w:numPr>
          <w:ilvl w:val="0"/>
          <w:numId w:val="1013"/>
        </w:numPr>
      </w:pPr>
      <w:r>
        <w:t xml:space="preserve">Alerts follow configurable severity levels.</w:t>
      </w:r>
    </w:p>
    <w:p>
      <w:pPr>
        <w:pStyle w:val="Compact"/>
        <w:numPr>
          <w:ilvl w:val="0"/>
          <w:numId w:val="1013"/>
        </w:numPr>
      </w:pPr>
      <w:r>
        <w:t xml:space="preserve">Historical information remains available for trend analysis.</w:t>
      </w:r>
    </w:p>
    <w:p>
      <w:pPr>
        <w:pStyle w:val="Compact"/>
        <w:numPr>
          <w:ilvl w:val="0"/>
          <w:numId w:val="1013"/>
        </w:numPr>
      </w:pPr>
      <w:r>
        <w:t xml:space="preserve">Recommendations do not automatically trigger operational actions without appropriate approval.</w:t>
      </w:r>
    </w:p>
    <w:p>
      <w:pPr>
        <w:pStyle w:val="Compact"/>
        <w:numPr>
          <w:ilvl w:val="0"/>
          <w:numId w:val="1013"/>
        </w:numPr>
      </w:pPr>
      <w:r>
        <w:t xml:space="preserve">Critical alerts remain active until acknowledged or resolved.</w:t>
      </w:r>
    </w:p>
    <w:p>
      <w:r>
        <w:pict>
          <v:rect style="width:0;height:1.5pt" o:hralign="center" o:hrstd="t" o:hr="t"/>
        </w:pict>
      </w:r>
    </w:p>
    <w:bookmarkEnd w:id="54"/>
    <w:bookmarkStart w:id="55" w:name="reports"/>
    <w:p>
      <w:pPr>
        <w:pStyle w:val="Heading1"/>
      </w:pPr>
      <w:r>
        <w:t xml:space="preserve">23.11 Reports</w:t>
      </w:r>
    </w:p>
    <w:p>
      <w:pPr>
        <w:pStyle w:val="FirstParagraph"/>
      </w:pPr>
      <w:r>
        <w:t xml:space="preserve">Illustrative reports include:</w:t>
      </w:r>
    </w:p>
    <w:p>
      <w:pPr>
        <w:pStyle w:val="Compact"/>
        <w:numPr>
          <w:ilvl w:val="0"/>
          <w:numId w:val="1014"/>
        </w:numPr>
      </w:pPr>
      <w:r>
        <w:t xml:space="preserve">National resource status.</w:t>
      </w:r>
    </w:p>
    <w:p>
      <w:pPr>
        <w:pStyle w:val="Compact"/>
        <w:numPr>
          <w:ilvl w:val="0"/>
          <w:numId w:val="1014"/>
        </w:numPr>
      </w:pPr>
      <w:r>
        <w:t xml:space="preserve">Distribution performance.</w:t>
      </w:r>
    </w:p>
    <w:p>
      <w:pPr>
        <w:pStyle w:val="Compact"/>
        <w:numPr>
          <w:ilvl w:val="0"/>
          <w:numId w:val="1014"/>
        </w:numPr>
      </w:pPr>
      <w:r>
        <w:t xml:space="preserve">Procurement performance.</w:t>
      </w:r>
    </w:p>
    <w:p>
      <w:pPr>
        <w:pStyle w:val="Compact"/>
        <w:numPr>
          <w:ilvl w:val="0"/>
          <w:numId w:val="1014"/>
        </w:numPr>
      </w:pPr>
      <w:r>
        <w:t xml:space="preserve">Regional comparisons.</w:t>
      </w:r>
    </w:p>
    <w:p>
      <w:pPr>
        <w:pStyle w:val="Compact"/>
        <w:numPr>
          <w:ilvl w:val="0"/>
          <w:numId w:val="1014"/>
        </w:numPr>
      </w:pPr>
      <w:r>
        <w:t xml:space="preserve">School performance.</w:t>
      </w:r>
    </w:p>
    <w:p>
      <w:pPr>
        <w:pStyle w:val="Compact"/>
        <w:numPr>
          <w:ilvl w:val="0"/>
          <w:numId w:val="1014"/>
        </w:numPr>
      </w:pPr>
      <w:r>
        <w:t xml:space="preserve">Replacement forecasts.</w:t>
      </w:r>
    </w:p>
    <w:p>
      <w:pPr>
        <w:pStyle w:val="Compact"/>
        <w:numPr>
          <w:ilvl w:val="0"/>
          <w:numId w:val="1014"/>
        </w:numPr>
      </w:pPr>
      <w:r>
        <w:t xml:space="preserve">Inventory health.</w:t>
      </w:r>
    </w:p>
    <w:p>
      <w:pPr>
        <w:pStyle w:val="Compact"/>
        <w:numPr>
          <w:ilvl w:val="0"/>
          <w:numId w:val="1014"/>
        </w:numPr>
      </w:pPr>
      <w:r>
        <w:t xml:space="preserve">Executive summaries.</w:t>
      </w:r>
    </w:p>
    <w:p>
      <w:r>
        <w:pict>
          <v:rect style="width:0;height:1.5pt" o:hralign="center" o:hrstd="t" o:hr="t"/>
        </w:pict>
      </w:r>
    </w:p>
    <w:bookmarkEnd w:id="55"/>
    <w:bookmarkStart w:id="56" w:name="notifications"/>
    <w:p>
      <w:pPr>
        <w:pStyle w:val="Heading1"/>
      </w:pPr>
      <w:r>
        <w:t xml:space="preserve">23.12 Notifications</w:t>
      </w:r>
    </w:p>
    <w:p>
      <w:pPr>
        <w:pStyle w:val="FirstParagraph"/>
      </w:pPr>
      <w:r>
        <w:t xml:space="preserve">Authorized users may receive notifications for:</w:t>
      </w:r>
    </w:p>
    <w:p>
      <w:pPr>
        <w:pStyle w:val="Compact"/>
        <w:numPr>
          <w:ilvl w:val="0"/>
          <w:numId w:val="1015"/>
        </w:numPr>
      </w:pPr>
      <w:r>
        <w:t xml:space="preserve">Critical shortages.</w:t>
      </w:r>
    </w:p>
    <w:p>
      <w:pPr>
        <w:pStyle w:val="Compact"/>
        <w:numPr>
          <w:ilvl w:val="0"/>
          <w:numId w:val="1015"/>
        </w:numPr>
      </w:pPr>
      <w:r>
        <w:t xml:space="preserve">Delayed procurements.</w:t>
      </w:r>
    </w:p>
    <w:p>
      <w:pPr>
        <w:pStyle w:val="Compact"/>
        <w:numPr>
          <w:ilvl w:val="0"/>
          <w:numId w:val="1015"/>
        </w:numPr>
      </w:pPr>
      <w:r>
        <w:t xml:space="preserve">Failed synchronization.</w:t>
      </w:r>
    </w:p>
    <w:p>
      <w:pPr>
        <w:pStyle w:val="Compact"/>
        <w:numPr>
          <w:ilvl w:val="0"/>
          <w:numId w:val="1015"/>
        </w:numPr>
      </w:pPr>
      <w:r>
        <w:t xml:space="preserve">Upcoming inspection deadlines.</w:t>
      </w:r>
    </w:p>
    <w:p>
      <w:pPr>
        <w:pStyle w:val="Compact"/>
        <w:numPr>
          <w:ilvl w:val="0"/>
          <w:numId w:val="1015"/>
        </w:numPr>
      </w:pPr>
      <w:r>
        <w:t xml:space="preserve">Significant inventory discrepancies.</w:t>
      </w:r>
    </w:p>
    <w:p>
      <w:pPr>
        <w:pStyle w:val="Compact"/>
        <w:numPr>
          <w:ilvl w:val="0"/>
          <w:numId w:val="1015"/>
        </w:numPr>
      </w:pPr>
      <w:r>
        <w:t xml:space="preserve">Major operational incidents.</w:t>
      </w:r>
    </w:p>
    <w:p>
      <w:r>
        <w:pict>
          <v:rect style="width:0;height:1.5pt" o:hralign="center" o:hrstd="t" o:hr="t"/>
        </w:pict>
      </w:r>
    </w:p>
    <w:bookmarkEnd w:id="56"/>
    <w:bookmarkStart w:id="57" w:name="integration-points"/>
    <w:p>
      <w:pPr>
        <w:pStyle w:val="Heading1"/>
      </w:pPr>
      <w:r>
        <w:t xml:space="preserve">23.13 Integration Points</w:t>
      </w:r>
    </w:p>
    <w:p>
      <w:pPr>
        <w:pStyle w:val="FirstParagraph"/>
      </w:pPr>
      <w:r>
        <w:t xml:space="preserve">The Command Centre integrates with every major platform module, including:</w:t>
      </w:r>
    </w:p>
    <w:p>
      <w:pPr>
        <w:pStyle w:val="Compact"/>
        <w:numPr>
          <w:ilvl w:val="0"/>
          <w:numId w:val="1016"/>
        </w:numPr>
      </w:pPr>
      <w:r>
        <w:t xml:space="preserve">School Registry.</w:t>
      </w:r>
    </w:p>
    <w:p>
      <w:pPr>
        <w:pStyle w:val="Compact"/>
        <w:numPr>
          <w:ilvl w:val="0"/>
          <w:numId w:val="1016"/>
        </w:numPr>
      </w:pPr>
      <w:r>
        <w:t xml:space="preserve">Student Registry.</w:t>
      </w:r>
    </w:p>
    <w:p>
      <w:pPr>
        <w:pStyle w:val="Compact"/>
        <w:numPr>
          <w:ilvl w:val="0"/>
          <w:numId w:val="1016"/>
        </w:numPr>
      </w:pPr>
      <w:r>
        <w:t xml:space="preserve">Textbook Registry.</w:t>
      </w:r>
    </w:p>
    <w:p>
      <w:pPr>
        <w:pStyle w:val="Compact"/>
        <w:numPr>
          <w:ilvl w:val="0"/>
          <w:numId w:val="1016"/>
        </w:numPr>
      </w:pPr>
      <w:r>
        <w:t xml:space="preserve">Procurement.</w:t>
      </w:r>
    </w:p>
    <w:p>
      <w:pPr>
        <w:pStyle w:val="Compact"/>
        <w:numPr>
          <w:ilvl w:val="0"/>
          <w:numId w:val="1016"/>
        </w:numPr>
      </w:pPr>
      <w:r>
        <w:t xml:space="preserve">Warehouse Management.</w:t>
      </w:r>
    </w:p>
    <w:p>
      <w:pPr>
        <w:pStyle w:val="Compact"/>
        <w:numPr>
          <w:ilvl w:val="0"/>
          <w:numId w:val="1016"/>
        </w:numPr>
      </w:pPr>
      <w:r>
        <w:t xml:space="preserve">School Operations.</w:t>
      </w:r>
    </w:p>
    <w:p>
      <w:pPr>
        <w:pStyle w:val="Compact"/>
        <w:numPr>
          <w:ilvl w:val="0"/>
          <w:numId w:val="1016"/>
        </w:numPr>
      </w:pPr>
      <w:r>
        <w:t xml:space="preserve">Inspection.</w:t>
      </w:r>
    </w:p>
    <w:p>
      <w:pPr>
        <w:pStyle w:val="Compact"/>
        <w:numPr>
          <w:ilvl w:val="0"/>
          <w:numId w:val="1016"/>
        </w:numPr>
      </w:pPr>
      <w:r>
        <w:t xml:space="preserve">Analytics.</w:t>
      </w:r>
    </w:p>
    <w:p>
      <w:pPr>
        <w:pStyle w:val="Compact"/>
        <w:numPr>
          <w:ilvl w:val="0"/>
          <w:numId w:val="1016"/>
        </w:numPr>
      </w:pPr>
      <w:r>
        <w:t xml:space="preserve">Security.</w:t>
      </w:r>
    </w:p>
    <w:p>
      <w:pPr>
        <w:pStyle w:val="Compact"/>
        <w:numPr>
          <w:ilvl w:val="0"/>
          <w:numId w:val="1016"/>
        </w:numPr>
      </w:pPr>
      <w:r>
        <w:t xml:space="preserve">Reporting.</w:t>
      </w:r>
    </w:p>
    <w:p>
      <w:r>
        <w:pict>
          <v:rect style="width:0;height:1.5pt" o:hralign="center" o:hrstd="t" o:hr="t"/>
        </w:pict>
      </w:r>
    </w:p>
    <w:bookmarkEnd w:id="57"/>
    <w:bookmarkStart w:id="58" w:name="success-indicators"/>
    <w:p>
      <w:pPr>
        <w:pStyle w:val="Heading1"/>
      </w:pPr>
      <w:r>
        <w:t xml:space="preserve">23.14 Success Indicators</w:t>
      </w:r>
    </w:p>
    <w:p>
      <w:pPr>
        <w:pStyle w:val="FirstParagraph"/>
      </w:pPr>
      <w:r>
        <w:t xml:space="preserve">Examples include:</w:t>
      </w:r>
    </w:p>
    <w:p>
      <w:pPr>
        <w:pStyle w:val="Compact"/>
        <w:numPr>
          <w:ilvl w:val="0"/>
          <w:numId w:val="1017"/>
        </w:numPr>
      </w:pPr>
      <w:r>
        <w:t xml:space="preserve">Dashboard adoption rate.</w:t>
      </w:r>
    </w:p>
    <w:p>
      <w:pPr>
        <w:pStyle w:val="Compact"/>
        <w:numPr>
          <w:ilvl w:val="0"/>
          <w:numId w:val="1017"/>
        </w:numPr>
      </w:pPr>
      <w:r>
        <w:t xml:space="preserve">Average response time to critical alerts.</w:t>
      </w:r>
    </w:p>
    <w:p>
      <w:pPr>
        <w:pStyle w:val="Compact"/>
        <w:numPr>
          <w:ilvl w:val="0"/>
          <w:numId w:val="1017"/>
        </w:numPr>
      </w:pPr>
      <w:r>
        <w:t xml:space="preserve">Reduction in unresolved operational issues.</w:t>
      </w:r>
    </w:p>
    <w:p>
      <w:pPr>
        <w:pStyle w:val="Compact"/>
        <w:numPr>
          <w:ilvl w:val="0"/>
          <w:numId w:val="1017"/>
        </w:numPr>
      </w:pPr>
      <w:r>
        <w:t xml:space="preserve">Forecast accuracy.</w:t>
      </w:r>
    </w:p>
    <w:p>
      <w:pPr>
        <w:pStyle w:val="Compact"/>
        <w:numPr>
          <w:ilvl w:val="0"/>
          <w:numId w:val="1017"/>
        </w:numPr>
      </w:pPr>
      <w:r>
        <w:t xml:space="preserve">Reporting timeliness.</w:t>
      </w:r>
    </w:p>
    <w:p>
      <w:pPr>
        <w:pStyle w:val="Compact"/>
        <w:numPr>
          <w:ilvl w:val="0"/>
          <w:numId w:val="1017"/>
        </w:numPr>
      </w:pPr>
      <w:r>
        <w:t xml:space="preserve">Executive dashboard usage.</w:t>
      </w:r>
    </w:p>
    <w:p>
      <w:pPr>
        <w:pStyle w:val="Compact"/>
        <w:numPr>
          <w:ilvl w:val="0"/>
          <w:numId w:val="1017"/>
        </w:numPr>
      </w:pPr>
      <w:r>
        <w:t xml:space="preserve">Regional performance improvement.</w:t>
      </w:r>
    </w:p>
    <w:p>
      <w:pPr>
        <w:pStyle w:val="Compact"/>
        <w:numPr>
          <w:ilvl w:val="0"/>
          <w:numId w:val="1017"/>
        </w:numPr>
      </w:pPr>
      <w:r>
        <w:t xml:space="preserve">Time required to prepare national reports.</w:t>
      </w:r>
    </w:p>
    <w:p>
      <w:r>
        <w:pict>
          <v:rect style="width:0;height:1.5pt" o:hralign="center" o:hrstd="t" o:hr="t"/>
        </w:pict>
      </w:r>
    </w:p>
    <w:bookmarkEnd w:id="58"/>
    <w:bookmarkStart w:id="59" w:name="conclusion"/>
    <w:p>
      <w:pPr>
        <w:pStyle w:val="Heading1"/>
      </w:pPr>
      <w:r>
        <w:t xml:space="preserve">23.15 Conclusion</w:t>
      </w:r>
    </w:p>
    <w:p>
      <w:pPr>
        <w:pStyle w:val="FirstParagraph"/>
      </w:pPr>
      <w:r>
        <w:t xml:space="preserve">The National Education Resource Command Centre provides a unified operational view of educational resources across Cameroon.</w:t>
      </w:r>
    </w:p>
    <w:p>
      <w:pPr>
        <w:pStyle w:val="BodyText"/>
      </w:pPr>
      <w:r>
        <w:t xml:space="preserve">By combining executive dashboards, geographic visualization, early warning mechanisms, performance analytics, and decision-support capabilities, it enables ministry leaders to monitor implementation, identify emerging risks, coordinate interventions, and strengthen stewardship of public educational resources through timely, evidence-based decisions.</w:t>
      </w:r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2026-07-10T13:13:31Z</dcterms:created>
  <dcterms:modified xsi:type="dcterms:W3CDTF">2026-07-10T13:13:31Z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