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4"/>
    <w:p>
      <w:pPr>
        <w:pStyle w:val="Heading1"/>
      </w:pPr>
      <w:r>
        <w:t xml:space="preserve">CHAPTER 24</w:t>
      </w:r>
    </w:p>
    <w:bookmarkEnd w:id="20"/>
    <w:bookmarkStart w:id="22" w:name="X9bbecca168227b39cbef3d8998874194fb0a2ed"/>
    <w:p>
      <w:pPr>
        <w:pStyle w:val="Heading1"/>
      </w:pPr>
      <w:r>
        <w:t xml:space="preserve">MODULE 8 — NATIONAL EDUCATION DATA EXCHANGE AND INTEROPERABILITY HUB (NEDIH)</w:t>
      </w:r>
    </w:p>
    <w:bookmarkStart w:id="21" w:name="overview"/>
    <w:p>
      <w:pPr>
        <w:pStyle w:val="Heading2"/>
      </w:pPr>
      <w:r>
        <w:t xml:space="preserve">24.1 Overview</w:t>
      </w:r>
    </w:p>
    <w:p>
      <w:pPr>
        <w:pStyle w:val="FirstParagraph"/>
      </w:pPr>
      <w:r>
        <w:t xml:space="preserve">The National Education Data Exchange and Interoperability Hub (NEDIH) is the integration layer of the National Education Resource Intelligence Platform (NERIP).</w:t>
      </w:r>
    </w:p>
    <w:p>
      <w:pPr>
        <w:pStyle w:val="BodyText"/>
      </w:pPr>
      <w:r>
        <w:t xml:space="preserve">Its purpose is to enable secure, controlled, and standardized exchange of information between NERIP and other authorized information systems used by the Ministry of Secondary Education, other government institutions, and approved partners.</w:t>
      </w:r>
    </w:p>
    <w:p>
      <w:pPr>
        <w:pStyle w:val="BodyText"/>
      </w:pPr>
      <w:r>
        <w:t xml:space="preserve">Rather than duplicating information already managed by another authoritative system, the platform is designed to exchange data through well-governed interfaces, reducing duplication and improving consistency.</w:t>
      </w:r>
    </w:p>
    <w:p>
      <w:r>
        <w:pict>
          <v:rect style="width:0;height:1.5pt" o:hralign="center" o:hrstd="t" o:hr="t"/>
        </w:pict>
      </w:r>
    </w:p>
    <w:bookmarkEnd w:id="21"/>
    <w:bookmarkEnd w:id="22"/>
    <w:bookmarkStart w:id="23" w:name="strategic-objectives"/>
    <w:p>
      <w:pPr>
        <w:pStyle w:val="Heading1"/>
      </w:pPr>
      <w:r>
        <w:t xml:space="preserve">24.2 Strategic Objectives</w:t>
      </w:r>
    </w:p>
    <w:p>
      <w:pPr>
        <w:pStyle w:val="FirstParagraph"/>
      </w:pPr>
      <w:r>
        <w:t xml:space="preserve">The Interoperability Hub seeks to:</w:t>
      </w:r>
    </w:p>
    <w:p>
      <w:pPr>
        <w:pStyle w:val="Compact"/>
        <w:numPr>
          <w:ilvl w:val="0"/>
          <w:numId w:val="1001"/>
        </w:numPr>
      </w:pPr>
      <w:r>
        <w:t xml:space="preserve">Eliminate information silos.</w:t>
      </w:r>
    </w:p>
    <w:p>
      <w:pPr>
        <w:pStyle w:val="Compact"/>
        <w:numPr>
          <w:ilvl w:val="0"/>
          <w:numId w:val="1001"/>
        </w:numPr>
      </w:pPr>
      <w:r>
        <w:t xml:space="preserve">Promote data consistency.</w:t>
      </w:r>
    </w:p>
    <w:p>
      <w:pPr>
        <w:pStyle w:val="Compact"/>
        <w:numPr>
          <w:ilvl w:val="0"/>
          <w:numId w:val="1001"/>
        </w:numPr>
      </w:pPr>
      <w:r>
        <w:t xml:space="preserve">Reduce duplicate data entry.</w:t>
      </w:r>
    </w:p>
    <w:p>
      <w:pPr>
        <w:pStyle w:val="Compact"/>
        <w:numPr>
          <w:ilvl w:val="0"/>
          <w:numId w:val="1001"/>
        </w:numPr>
      </w:pPr>
      <w:r>
        <w:t xml:space="preserve">Strengthen digital government integration.</w:t>
      </w:r>
    </w:p>
    <w:p>
      <w:pPr>
        <w:pStyle w:val="Compact"/>
        <w:numPr>
          <w:ilvl w:val="0"/>
          <w:numId w:val="1001"/>
        </w:numPr>
      </w:pPr>
      <w:r>
        <w:t xml:space="preserve">Improve operational efficiency.</w:t>
      </w:r>
    </w:p>
    <w:p>
      <w:pPr>
        <w:pStyle w:val="Compact"/>
        <w:numPr>
          <w:ilvl w:val="0"/>
          <w:numId w:val="1001"/>
        </w:numPr>
      </w:pPr>
      <w:r>
        <w:t xml:space="preserve">Support future system expansion.</w:t>
      </w:r>
    </w:p>
    <w:p>
      <w:pPr>
        <w:pStyle w:val="Compact"/>
        <w:numPr>
          <w:ilvl w:val="0"/>
          <w:numId w:val="1001"/>
        </w:numPr>
      </w:pPr>
      <w:r>
        <w:t xml:space="preserve">Enable secure information exchange.</w:t>
      </w:r>
    </w:p>
    <w:p>
      <w:pPr>
        <w:pStyle w:val="Compact"/>
        <w:numPr>
          <w:ilvl w:val="0"/>
          <w:numId w:val="1001"/>
        </w:numPr>
      </w:pPr>
      <w:r>
        <w:t xml:space="preserve">Preserve data governance.</w:t>
      </w:r>
    </w:p>
    <w:p>
      <w:r>
        <w:pict>
          <v:rect style="width:0;height:1.5pt" o:hralign="center" o:hrstd="t" o:hr="t"/>
        </w:pict>
      </w:r>
    </w:p>
    <w:bookmarkEnd w:id="23"/>
    <w:bookmarkStart w:id="24" w:name="interoperability-architecture"/>
    <w:p>
      <w:pPr>
        <w:pStyle w:val="Heading1"/>
      </w:pPr>
      <w:r>
        <w:t xml:space="preserve">24.3 Interoperability Architecture</w:t>
      </w:r>
    </w:p>
    <w:p>
      <w:pPr>
        <w:pStyle w:val="FirstParagraph"/>
      </w:pPr>
      <w:r>
        <w:rPr>
          <w:rStyle w:val="VerbatimChar"/>
        </w:rPr>
        <w:t xml:space="preserve">text id="interop001"                National Education Resource                  Intelligence Platform                          │                          ▼            National Interoperability Hub                          │  ──────────────────────────────────────────────────  │        │         │         │         │  ▼        ▼         ▼         ▼         ▼ EMIS   Finance   Identity   GIS    Other Approved /SIGE  Systems   Services   Systems  Ministry Systems</w:t>
      </w:r>
    </w:p>
    <w:p>
      <w:pPr>
        <w:pStyle w:val="BodyText"/>
      </w:pPr>
      <w:r>
        <w:t xml:space="preserve">The hub acts as the controlled gateway through which information is exchanged.</w:t>
      </w:r>
    </w:p>
    <w:p>
      <w:r>
        <w:pict>
          <v:rect style="width:0;height:1.5pt" o:hralign="center" o:hrstd="t" o:hr="t"/>
        </w:pict>
      </w:r>
    </w:p>
    <w:bookmarkEnd w:id="24"/>
    <w:bookmarkStart w:id="25" w:name="guiding-principles"/>
    <w:p>
      <w:pPr>
        <w:pStyle w:val="Heading1"/>
      </w:pPr>
      <w:r>
        <w:t xml:space="preserve">24.4 Guiding Principles</w:t>
      </w:r>
    </w:p>
    <w:p>
      <w:pPr>
        <w:pStyle w:val="FirstParagraph"/>
      </w:pPr>
      <w:r>
        <w:t xml:space="preserve">The interoperability framework is based on:</w:t>
      </w:r>
    </w:p>
    <w:p>
      <w:pPr>
        <w:pStyle w:val="Compact"/>
        <w:numPr>
          <w:ilvl w:val="0"/>
          <w:numId w:val="1002"/>
        </w:numPr>
      </w:pPr>
      <w:r>
        <w:t xml:space="preserve">Authoritative data sources.</w:t>
      </w:r>
    </w:p>
    <w:p>
      <w:pPr>
        <w:pStyle w:val="Compact"/>
        <w:numPr>
          <w:ilvl w:val="0"/>
          <w:numId w:val="1002"/>
        </w:numPr>
      </w:pPr>
      <w:r>
        <w:t xml:space="preserve">Secure information exchange.</w:t>
      </w:r>
    </w:p>
    <w:p>
      <w:pPr>
        <w:pStyle w:val="Compact"/>
        <w:numPr>
          <w:ilvl w:val="0"/>
          <w:numId w:val="1002"/>
        </w:numPr>
      </w:pPr>
      <w:r>
        <w:t xml:space="preserve">Standardized interfaces.</w:t>
      </w:r>
    </w:p>
    <w:p>
      <w:pPr>
        <w:pStyle w:val="Compact"/>
        <w:numPr>
          <w:ilvl w:val="0"/>
          <w:numId w:val="1002"/>
        </w:numPr>
      </w:pPr>
      <w:r>
        <w:t xml:space="preserve">Version-controlled APIs.</w:t>
      </w:r>
    </w:p>
    <w:p>
      <w:pPr>
        <w:pStyle w:val="Compact"/>
        <w:numPr>
          <w:ilvl w:val="0"/>
          <w:numId w:val="1002"/>
        </w:numPr>
      </w:pPr>
      <w:r>
        <w:t xml:space="preserve">Data quality.</w:t>
      </w:r>
    </w:p>
    <w:p>
      <w:pPr>
        <w:pStyle w:val="Compact"/>
        <w:numPr>
          <w:ilvl w:val="0"/>
          <w:numId w:val="1002"/>
        </w:numPr>
      </w:pPr>
      <w:r>
        <w:t xml:space="preserve">Auditability.</w:t>
      </w:r>
    </w:p>
    <w:p>
      <w:pPr>
        <w:pStyle w:val="Compact"/>
        <w:numPr>
          <w:ilvl w:val="0"/>
          <w:numId w:val="1002"/>
        </w:numPr>
      </w:pPr>
      <w:r>
        <w:t xml:space="preserve">Least-privilege access.</w:t>
      </w:r>
    </w:p>
    <w:p>
      <w:pPr>
        <w:pStyle w:val="Compact"/>
        <w:numPr>
          <w:ilvl w:val="0"/>
          <w:numId w:val="1002"/>
        </w:numPr>
      </w:pPr>
      <w:r>
        <w:t xml:space="preserve">Scalability.</w:t>
      </w:r>
    </w:p>
    <w:p>
      <w:pPr>
        <w:pStyle w:val="Compact"/>
        <w:numPr>
          <w:ilvl w:val="0"/>
          <w:numId w:val="1002"/>
        </w:numPr>
      </w:pPr>
      <w:r>
        <w:t xml:space="preserve">Backward compatibility where practical.</w:t>
      </w:r>
    </w:p>
    <w:p>
      <w:r>
        <w:pict>
          <v:rect style="width:0;height:1.5pt" o:hralign="center" o:hrstd="t" o:hr="t"/>
        </w:pict>
      </w:r>
    </w:p>
    <w:bookmarkEnd w:id="25"/>
    <w:bookmarkStart w:id="36" w:name="operational-challenges"/>
    <w:p>
      <w:pPr>
        <w:pStyle w:val="Heading1"/>
      </w:pPr>
      <w:r>
        <w:t xml:space="preserve">24.5 Operational Challenges</w:t>
      </w:r>
    </w:p>
    <w:bookmarkStart w:id="27" w:name="problem-141"/>
    <w:p>
      <w:pPr>
        <w:pStyle w:val="Heading2"/>
      </w:pPr>
      <w:r>
        <w:t xml:space="preserve">Problem 141</w:t>
      </w:r>
    </w:p>
    <w:bookmarkStart w:id="26" w:name="duplicate-information-across-systems"/>
    <w:p>
      <w:pPr>
        <w:pStyle w:val="Heading3"/>
      </w:pPr>
      <w:r>
        <w:t xml:space="preserve">Duplicate Information Across Systems</w:t>
      </w:r>
    </w:p>
    <w:p>
      <w:pPr>
        <w:pStyle w:val="FirstParagraph"/>
      </w:pPr>
      <w:r>
        <w:t xml:space="preserve">The same school, textbook, or supplier may be maintained in multiple systems.</w:t>
      </w:r>
    </w:p>
    <w:p>
      <w:pPr>
        <w:pStyle w:val="BodyText"/>
      </w:pPr>
      <w:r>
        <w:rPr>
          <w:b/>
          <w:bCs/>
        </w:rPr>
        <w:t xml:space="preserve">Solution</w:t>
      </w:r>
    </w:p>
    <w:p>
      <w:pPr>
        <w:pStyle w:val="BodyText"/>
      </w:pPr>
      <w:r>
        <w:t xml:space="preserve">Reference authoritative records rather than creating unnecessary duplicates.</w:t>
      </w:r>
    </w:p>
    <w:p>
      <w:r>
        <w:pict>
          <v:rect style="width:0;height:1.5pt" o:hralign="center" o:hrstd="t" o:hr="t"/>
        </w:pict>
      </w:r>
    </w:p>
    <w:bookmarkEnd w:id="26"/>
    <w:bookmarkEnd w:id="27"/>
    <w:bookmarkStart w:id="29" w:name="problem-142"/>
    <w:p>
      <w:pPr>
        <w:pStyle w:val="Heading2"/>
      </w:pPr>
      <w:r>
        <w:t xml:space="preserve">Problem 142</w:t>
      </w:r>
    </w:p>
    <w:bookmarkStart w:id="28" w:name="repeated-manual-data-entry"/>
    <w:p>
      <w:pPr>
        <w:pStyle w:val="Heading3"/>
      </w:pPr>
      <w:r>
        <w:t xml:space="preserve">Repeated Manual Data Entry</w:t>
      </w:r>
    </w:p>
    <w:p>
      <w:pPr>
        <w:pStyle w:val="FirstParagraph"/>
      </w:pPr>
      <w:r>
        <w:t xml:space="preserve">Users may enter identical information into several applications.</w:t>
      </w:r>
    </w:p>
    <w:p>
      <w:pPr>
        <w:pStyle w:val="BodyText"/>
      </w:pPr>
      <w:r>
        <w:rPr>
          <w:b/>
          <w:bCs/>
        </w:rPr>
        <w:t xml:space="preserve">Solution</w:t>
      </w:r>
    </w:p>
    <w:p>
      <w:pPr>
        <w:pStyle w:val="BodyText"/>
      </w:pPr>
      <w:r>
        <w:t xml:space="preserve">Authorized systems exchange approved information through secure APIs.</w:t>
      </w:r>
    </w:p>
    <w:p>
      <w:r>
        <w:pict>
          <v:rect style="width:0;height:1.5pt" o:hralign="center" o:hrstd="t" o:hr="t"/>
        </w:pict>
      </w:r>
    </w:p>
    <w:bookmarkEnd w:id="28"/>
    <w:bookmarkEnd w:id="29"/>
    <w:bookmarkStart w:id="31" w:name="problem-143"/>
    <w:p>
      <w:pPr>
        <w:pStyle w:val="Heading2"/>
      </w:pPr>
      <w:r>
        <w:t xml:space="preserve">Problem 143</w:t>
      </w:r>
    </w:p>
    <w:bookmarkStart w:id="30" w:name="inconsistent-administrative-codes"/>
    <w:p>
      <w:pPr>
        <w:pStyle w:val="Heading3"/>
      </w:pPr>
      <w:r>
        <w:t xml:space="preserve">Inconsistent Administrative Codes</w:t>
      </w:r>
    </w:p>
    <w:p>
      <w:pPr>
        <w:pStyle w:val="FirstParagraph"/>
      </w:pPr>
      <w:r>
        <w:t xml:space="preserve">Different systems may use different identifiers.</w:t>
      </w:r>
    </w:p>
    <w:p>
      <w:pPr>
        <w:pStyle w:val="BodyText"/>
      </w:pPr>
      <w:r>
        <w:rPr>
          <w:b/>
          <w:bCs/>
        </w:rPr>
        <w:t xml:space="preserve">Solution</w:t>
      </w:r>
    </w:p>
    <w:p>
      <w:pPr>
        <w:pStyle w:val="BodyText"/>
      </w:pPr>
      <w:r>
        <w:t xml:space="preserve">Master Data Registry with standardized national reference codes and controlled mappings where necessary.</w:t>
      </w:r>
    </w:p>
    <w:p>
      <w:r>
        <w:pict>
          <v:rect style="width:0;height:1.5pt" o:hralign="center" o:hrstd="t" o:hr="t"/>
        </w:pict>
      </w:r>
    </w:p>
    <w:bookmarkEnd w:id="30"/>
    <w:bookmarkEnd w:id="31"/>
    <w:bookmarkStart w:id="33" w:name="problem-144"/>
    <w:p>
      <w:pPr>
        <w:pStyle w:val="Heading2"/>
      </w:pPr>
      <w:r>
        <w:t xml:space="preserve">Problem 144</w:t>
      </w:r>
    </w:p>
    <w:bookmarkStart w:id="32" w:name="difficult-cross-system-reporting"/>
    <w:p>
      <w:pPr>
        <w:pStyle w:val="Heading3"/>
      </w:pPr>
      <w:r>
        <w:t xml:space="preserve">Difficult Cross-System Reporting</w:t>
      </w:r>
    </w:p>
    <w:p>
      <w:pPr>
        <w:pStyle w:val="FirstParagraph"/>
      </w:pPr>
      <w:r>
        <w:t xml:space="preserve">Preparing consolidated reports may require manual reconciliation.</w:t>
      </w:r>
    </w:p>
    <w:p>
      <w:pPr>
        <w:pStyle w:val="BodyText"/>
      </w:pPr>
      <w:r>
        <w:rPr>
          <w:b/>
          <w:bCs/>
        </w:rPr>
        <w:t xml:space="preserve">Solution</w:t>
      </w:r>
    </w:p>
    <w:p>
      <w:pPr>
        <w:pStyle w:val="BodyText"/>
      </w:pPr>
      <w:r>
        <w:t xml:space="preserve">Interoperability services supporting standardized reporting and controlled data aggregation.</w:t>
      </w:r>
    </w:p>
    <w:p>
      <w:r>
        <w:pict>
          <v:rect style="width:0;height:1.5pt" o:hralign="center" o:hrstd="t" o:hr="t"/>
        </w:pict>
      </w:r>
    </w:p>
    <w:bookmarkEnd w:id="32"/>
    <w:bookmarkEnd w:id="33"/>
    <w:bookmarkStart w:id="35" w:name="problem-145"/>
    <w:p>
      <w:pPr>
        <w:pStyle w:val="Heading2"/>
      </w:pPr>
      <w:r>
        <w:t xml:space="preserve">Problem 145</w:t>
      </w:r>
    </w:p>
    <w:bookmarkStart w:id="34" w:name="limited-future-expandability"/>
    <w:p>
      <w:pPr>
        <w:pStyle w:val="Heading3"/>
      </w:pPr>
      <w:r>
        <w:t xml:space="preserve">Limited Future Expandability</w:t>
      </w:r>
    </w:p>
    <w:p>
      <w:pPr>
        <w:pStyle w:val="FirstParagraph"/>
      </w:pPr>
      <w:r>
        <w:t xml:space="preserve">Standalone systems become increasingly difficult to integrate over time.</w:t>
      </w:r>
    </w:p>
    <w:p>
      <w:pPr>
        <w:pStyle w:val="BodyText"/>
      </w:pPr>
      <w:r>
        <w:rPr>
          <w:b/>
          <w:bCs/>
        </w:rPr>
        <w:t xml:space="preserve">Solution</w:t>
      </w:r>
    </w:p>
    <w:p>
      <w:pPr>
        <w:pStyle w:val="BodyText"/>
      </w:pPr>
      <w:r>
        <w:t xml:space="preserve">Adopt a modular integration architecture capable of supporting future ministry initiatives.</w:t>
      </w:r>
    </w:p>
    <w:p>
      <w:r>
        <w:pict>
          <v:rect style="width:0;height:1.5pt" o:hralign="center" o:hrstd="t" o:hr="t"/>
        </w:pict>
      </w:r>
    </w:p>
    <w:bookmarkEnd w:id="34"/>
    <w:bookmarkEnd w:id="35"/>
    <w:bookmarkEnd w:id="36"/>
    <w:bookmarkStart w:id="42" w:name="functional-requirements"/>
    <w:p>
      <w:pPr>
        <w:pStyle w:val="Heading1"/>
      </w:pPr>
      <w:r>
        <w:t xml:space="preserve">24.6 Functional Requirements</w:t>
      </w:r>
    </w:p>
    <w:bookmarkStart w:id="37" w:name="fr-int-001"/>
    <w:p>
      <w:pPr>
        <w:pStyle w:val="Heading3"/>
      </w:pPr>
      <w:r>
        <w:t xml:space="preserve">FR-INT-001</w:t>
      </w:r>
    </w:p>
    <w:p>
      <w:pPr>
        <w:pStyle w:val="FirstParagraph"/>
      </w:pPr>
      <w:r>
        <w:t xml:space="preserve">API Gateway</w:t>
      </w:r>
    </w:p>
    <w:p>
      <w:pPr>
        <w:pStyle w:val="BodyText"/>
      </w:pPr>
      <w:r>
        <w:t xml:space="preserve">Provide secure, documented interfaces for approved integrations.</w:t>
      </w:r>
    </w:p>
    <w:p>
      <w:r>
        <w:pict>
          <v:rect style="width:0;height:1.5pt" o:hralign="center" o:hrstd="t" o:hr="t"/>
        </w:pict>
      </w:r>
    </w:p>
    <w:bookmarkEnd w:id="37"/>
    <w:bookmarkStart w:id="38" w:name="fr-int-002"/>
    <w:p>
      <w:pPr>
        <w:pStyle w:val="Heading3"/>
      </w:pPr>
      <w:r>
        <w:t xml:space="preserve">FR-INT-002</w:t>
      </w:r>
    </w:p>
    <w:p>
      <w:pPr>
        <w:pStyle w:val="FirstParagraph"/>
      </w:pPr>
      <w:r>
        <w:t xml:space="preserve">Master Data Synchronization</w:t>
      </w:r>
    </w:p>
    <w:p>
      <w:pPr>
        <w:pStyle w:val="BodyText"/>
      </w:pPr>
      <w:r>
        <w:t xml:space="preserve">Synchronize approved reference information such as:</w:t>
      </w:r>
    </w:p>
    <w:p>
      <w:pPr>
        <w:pStyle w:val="Compact"/>
        <w:numPr>
          <w:ilvl w:val="0"/>
          <w:numId w:val="1003"/>
        </w:numPr>
      </w:pPr>
      <w:r>
        <w:t xml:space="preserve">Schools.</w:t>
      </w:r>
    </w:p>
    <w:p>
      <w:pPr>
        <w:pStyle w:val="Compact"/>
        <w:numPr>
          <w:ilvl w:val="0"/>
          <w:numId w:val="1003"/>
        </w:numPr>
      </w:pPr>
      <w:r>
        <w:t xml:space="preserve">Administrative divisions.</w:t>
      </w:r>
    </w:p>
    <w:p>
      <w:pPr>
        <w:pStyle w:val="Compact"/>
        <w:numPr>
          <w:ilvl w:val="0"/>
          <w:numId w:val="1003"/>
        </w:numPr>
      </w:pPr>
      <w:r>
        <w:t xml:space="preserve">Textbook catalogue.</w:t>
      </w:r>
    </w:p>
    <w:p>
      <w:pPr>
        <w:pStyle w:val="Compact"/>
        <w:numPr>
          <w:ilvl w:val="0"/>
          <w:numId w:val="1003"/>
        </w:numPr>
      </w:pPr>
      <w:r>
        <w:t xml:space="preserve">Academic years.</w:t>
      </w:r>
    </w:p>
    <w:p>
      <w:pPr>
        <w:pStyle w:val="Compact"/>
        <w:numPr>
          <w:ilvl w:val="0"/>
          <w:numId w:val="1003"/>
        </w:numPr>
      </w:pPr>
      <w:r>
        <w:t xml:space="preserve">Subjects.</w:t>
      </w:r>
    </w:p>
    <w:p>
      <w:pPr>
        <w:pStyle w:val="Compact"/>
        <w:numPr>
          <w:ilvl w:val="0"/>
          <w:numId w:val="1003"/>
        </w:numPr>
      </w:pPr>
      <w:r>
        <w:t xml:space="preserve">Resource categories.</w:t>
      </w:r>
    </w:p>
    <w:p>
      <w:r>
        <w:pict>
          <v:rect style="width:0;height:1.5pt" o:hralign="center" o:hrstd="t" o:hr="t"/>
        </w:pict>
      </w:r>
    </w:p>
    <w:bookmarkEnd w:id="38"/>
    <w:bookmarkStart w:id="39" w:name="fr-int-003"/>
    <w:p>
      <w:pPr>
        <w:pStyle w:val="Heading3"/>
      </w:pPr>
      <w:r>
        <w:t xml:space="preserve">FR-INT-003</w:t>
      </w:r>
    </w:p>
    <w:p>
      <w:pPr>
        <w:pStyle w:val="FirstParagraph"/>
      </w:pPr>
      <w:r>
        <w:t xml:space="preserve">Reference Data Validation</w:t>
      </w:r>
    </w:p>
    <w:p>
      <w:pPr>
        <w:pStyle w:val="BodyText"/>
      </w:pPr>
      <w:r>
        <w:t xml:space="preserve">Validate exchanged information before processing.</w:t>
      </w:r>
    </w:p>
    <w:p>
      <w:r>
        <w:pict>
          <v:rect style="width:0;height:1.5pt" o:hralign="center" o:hrstd="t" o:hr="t"/>
        </w:pict>
      </w:r>
    </w:p>
    <w:bookmarkEnd w:id="39"/>
    <w:bookmarkStart w:id="40" w:name="fr-int-004"/>
    <w:p>
      <w:pPr>
        <w:pStyle w:val="Heading3"/>
      </w:pPr>
      <w:r>
        <w:t xml:space="preserve">FR-INT-004</w:t>
      </w:r>
    </w:p>
    <w:p>
      <w:pPr>
        <w:pStyle w:val="FirstParagraph"/>
      </w:pPr>
      <w:r>
        <w:t xml:space="preserve">Integration Monitoring</w:t>
      </w:r>
    </w:p>
    <w:p>
      <w:pPr>
        <w:pStyle w:val="BodyText"/>
      </w:pPr>
      <w:r>
        <w:t xml:space="preserve">Monitor interface health, transaction status, synchronization performance, and failures.</w:t>
      </w:r>
    </w:p>
    <w:p>
      <w:r>
        <w:pict>
          <v:rect style="width:0;height:1.5pt" o:hralign="center" o:hrstd="t" o:hr="t"/>
        </w:pict>
      </w:r>
    </w:p>
    <w:bookmarkEnd w:id="40"/>
    <w:bookmarkStart w:id="41" w:name="fr-int-005"/>
    <w:p>
      <w:pPr>
        <w:pStyle w:val="Heading3"/>
      </w:pPr>
      <w:r>
        <w:t xml:space="preserve">FR-INT-005</w:t>
      </w:r>
    </w:p>
    <w:p>
      <w:pPr>
        <w:pStyle w:val="FirstParagraph"/>
      </w:pPr>
      <w:r>
        <w:t xml:space="preserve">Data Exchange Logging</w:t>
      </w:r>
    </w:p>
    <w:p>
      <w:pPr>
        <w:pStyle w:val="BodyText"/>
      </w:pPr>
      <w:r>
        <w:t xml:space="preserve">Maintain comprehensive records of exchanged transactions for audit and troubleshooting.</w:t>
      </w:r>
    </w:p>
    <w:p>
      <w:r>
        <w:pict>
          <v:rect style="width:0;height:1.5pt" o:hralign="center" o:hrstd="t" o:hr="t"/>
        </w:pict>
      </w:r>
    </w:p>
    <w:bookmarkEnd w:id="41"/>
    <w:bookmarkEnd w:id="42"/>
    <w:bookmarkStart w:id="43" w:name="master-data-management"/>
    <w:p>
      <w:pPr>
        <w:pStyle w:val="Heading1"/>
      </w:pPr>
      <w:r>
        <w:t xml:space="preserve">24.7 Master Data Management</w:t>
      </w:r>
    </w:p>
    <w:p>
      <w:pPr>
        <w:pStyle w:val="FirstParagraph"/>
      </w:pPr>
      <w:r>
        <w:t xml:space="preserve">The platform maintains authoritative reference information for:</w:t>
      </w:r>
    </w:p>
    <w:p>
      <w:pPr>
        <w:pStyle w:val="Compact"/>
        <w:numPr>
          <w:ilvl w:val="0"/>
          <w:numId w:val="1004"/>
        </w:numPr>
      </w:pPr>
      <w:r>
        <w:t xml:space="preserve">Schools.</w:t>
      </w:r>
    </w:p>
    <w:p>
      <w:pPr>
        <w:pStyle w:val="Compact"/>
        <w:numPr>
          <w:ilvl w:val="0"/>
          <w:numId w:val="1004"/>
        </w:numPr>
      </w:pPr>
      <w:r>
        <w:t xml:space="preserve">Warehouses.</w:t>
      </w:r>
    </w:p>
    <w:p>
      <w:pPr>
        <w:pStyle w:val="Compact"/>
        <w:numPr>
          <w:ilvl w:val="0"/>
          <w:numId w:val="1004"/>
        </w:numPr>
      </w:pPr>
      <w:r>
        <w:t xml:space="preserve">Textbooks.</w:t>
      </w:r>
    </w:p>
    <w:p>
      <w:pPr>
        <w:pStyle w:val="Compact"/>
        <w:numPr>
          <w:ilvl w:val="0"/>
          <w:numId w:val="1004"/>
        </w:numPr>
      </w:pPr>
      <w:r>
        <w:t xml:space="preserve">Resource categories.</w:t>
      </w:r>
    </w:p>
    <w:p>
      <w:pPr>
        <w:pStyle w:val="Compact"/>
        <w:numPr>
          <w:ilvl w:val="0"/>
          <w:numId w:val="1004"/>
        </w:numPr>
      </w:pPr>
      <w:r>
        <w:t xml:space="preserve">Subjects.</w:t>
      </w:r>
    </w:p>
    <w:p>
      <w:pPr>
        <w:pStyle w:val="Compact"/>
        <w:numPr>
          <w:ilvl w:val="0"/>
          <w:numId w:val="1004"/>
        </w:numPr>
      </w:pPr>
      <w:r>
        <w:t xml:space="preserve">Academic years.</w:t>
      </w:r>
    </w:p>
    <w:p>
      <w:pPr>
        <w:pStyle w:val="Compact"/>
        <w:numPr>
          <w:ilvl w:val="0"/>
          <w:numId w:val="1004"/>
        </w:numPr>
      </w:pPr>
      <w:r>
        <w:t xml:space="preserve">Administrative hierarchy.</w:t>
      </w:r>
    </w:p>
    <w:p>
      <w:pPr>
        <w:pStyle w:val="Compact"/>
        <w:numPr>
          <w:ilvl w:val="0"/>
          <w:numId w:val="1004"/>
        </w:numPr>
      </w:pPr>
      <w:r>
        <w:t xml:space="preserve">Suppliers.</w:t>
      </w:r>
    </w:p>
    <w:p>
      <w:pPr>
        <w:pStyle w:val="Compact"/>
        <w:numPr>
          <w:ilvl w:val="0"/>
          <w:numId w:val="1004"/>
        </w:numPr>
      </w:pPr>
      <w:r>
        <w:t xml:space="preserve">Publishers.</w:t>
      </w:r>
    </w:p>
    <w:p>
      <w:pPr>
        <w:pStyle w:val="FirstParagraph"/>
      </w:pPr>
      <w:r>
        <w:t xml:space="preserve">Where another ministry system is the official source for a dataset, NERIP references or synchronizes that information rather than replacing it.</w:t>
      </w:r>
    </w:p>
    <w:p>
      <w:r>
        <w:pict>
          <v:rect style="width:0;height:1.5pt" o:hralign="center" o:hrstd="t" o:hr="t"/>
        </w:pict>
      </w:r>
    </w:p>
    <w:bookmarkEnd w:id="43"/>
    <w:bookmarkStart w:id="44" w:name="api-management"/>
    <w:p>
      <w:pPr>
        <w:pStyle w:val="Heading1"/>
      </w:pPr>
      <w:r>
        <w:t xml:space="preserve">24.8 API Management</w:t>
      </w:r>
    </w:p>
    <w:p>
      <w:pPr>
        <w:pStyle w:val="FirstParagraph"/>
      </w:pPr>
      <w:r>
        <w:t xml:space="preserve">The platform exposes secure APIs for approved integrations.</w:t>
      </w:r>
    </w:p>
    <w:p>
      <w:pPr>
        <w:pStyle w:val="BodyText"/>
      </w:pPr>
      <w:r>
        <w:t xml:space="preserve">Illustrative API groups include:</w:t>
      </w:r>
    </w:p>
    <w:p>
      <w:pPr>
        <w:pStyle w:val="Compact"/>
        <w:numPr>
          <w:ilvl w:val="0"/>
          <w:numId w:val="1005"/>
        </w:numPr>
      </w:pPr>
      <w:r>
        <w:t xml:space="preserve">School services.</w:t>
      </w:r>
    </w:p>
    <w:p>
      <w:pPr>
        <w:pStyle w:val="Compact"/>
        <w:numPr>
          <w:ilvl w:val="0"/>
          <w:numId w:val="1005"/>
        </w:numPr>
      </w:pPr>
      <w:r>
        <w:t xml:space="preserve">Student services.</w:t>
      </w:r>
    </w:p>
    <w:p>
      <w:pPr>
        <w:pStyle w:val="Compact"/>
        <w:numPr>
          <w:ilvl w:val="0"/>
          <w:numId w:val="1005"/>
        </w:numPr>
      </w:pPr>
      <w:r>
        <w:t xml:space="preserve">Textbook services.</w:t>
      </w:r>
    </w:p>
    <w:p>
      <w:pPr>
        <w:pStyle w:val="Compact"/>
        <w:numPr>
          <w:ilvl w:val="0"/>
          <w:numId w:val="1005"/>
        </w:numPr>
      </w:pPr>
      <w:r>
        <w:t xml:space="preserve">Inventory services.</w:t>
      </w:r>
    </w:p>
    <w:p>
      <w:pPr>
        <w:pStyle w:val="Compact"/>
        <w:numPr>
          <w:ilvl w:val="0"/>
          <w:numId w:val="1005"/>
        </w:numPr>
      </w:pPr>
      <w:r>
        <w:t xml:space="preserve">Distribution services.</w:t>
      </w:r>
    </w:p>
    <w:p>
      <w:pPr>
        <w:pStyle w:val="Compact"/>
        <w:numPr>
          <w:ilvl w:val="0"/>
          <w:numId w:val="1005"/>
        </w:numPr>
      </w:pPr>
      <w:r>
        <w:t xml:space="preserve">Reporting services.</w:t>
      </w:r>
    </w:p>
    <w:p>
      <w:pPr>
        <w:pStyle w:val="Compact"/>
        <w:numPr>
          <w:ilvl w:val="0"/>
          <w:numId w:val="1005"/>
        </w:numPr>
      </w:pPr>
      <w:r>
        <w:t xml:space="preserve">Analytics services.</w:t>
      </w:r>
    </w:p>
    <w:p>
      <w:pPr>
        <w:pStyle w:val="FirstParagraph"/>
      </w:pPr>
      <w:r>
        <w:t xml:space="preserve">API access is governed by ministry-approved security and authorization policies.</w:t>
      </w:r>
    </w:p>
    <w:p>
      <w:r>
        <w:pict>
          <v:rect style="width:0;height:1.5pt" o:hralign="center" o:hrstd="t" o:hr="t"/>
        </w:pict>
      </w:r>
    </w:p>
    <w:bookmarkEnd w:id="44"/>
    <w:bookmarkStart w:id="45" w:name="integration-governance"/>
    <w:p>
      <w:pPr>
        <w:pStyle w:val="Heading1"/>
      </w:pPr>
      <w:r>
        <w:t xml:space="preserve">24.9 Integration Governance</w:t>
      </w:r>
    </w:p>
    <w:p>
      <w:pPr>
        <w:pStyle w:val="FirstParagraph"/>
      </w:pPr>
      <w:r>
        <w:t xml:space="preserve">All integrations should follow a structured governance process including:</w:t>
      </w:r>
    </w:p>
    <w:p>
      <w:pPr>
        <w:pStyle w:val="Compact"/>
        <w:numPr>
          <w:ilvl w:val="0"/>
          <w:numId w:val="1006"/>
        </w:numPr>
      </w:pPr>
      <w:r>
        <w:t xml:space="preserve">Business justification.</w:t>
      </w:r>
    </w:p>
    <w:p>
      <w:pPr>
        <w:pStyle w:val="Compact"/>
        <w:numPr>
          <w:ilvl w:val="0"/>
          <w:numId w:val="1006"/>
        </w:numPr>
      </w:pPr>
      <w:r>
        <w:t xml:space="preserve">Technical review.</w:t>
      </w:r>
    </w:p>
    <w:p>
      <w:pPr>
        <w:pStyle w:val="Compact"/>
        <w:numPr>
          <w:ilvl w:val="0"/>
          <w:numId w:val="1006"/>
        </w:numPr>
      </w:pPr>
      <w:r>
        <w:t xml:space="preserve">Security assessment.</w:t>
      </w:r>
    </w:p>
    <w:p>
      <w:pPr>
        <w:pStyle w:val="Compact"/>
        <w:numPr>
          <w:ilvl w:val="0"/>
          <w:numId w:val="1006"/>
        </w:numPr>
      </w:pPr>
      <w:r>
        <w:t xml:space="preserve">Data protection review.</w:t>
      </w:r>
    </w:p>
    <w:p>
      <w:pPr>
        <w:pStyle w:val="Compact"/>
        <w:numPr>
          <w:ilvl w:val="0"/>
          <w:numId w:val="1006"/>
        </w:numPr>
      </w:pPr>
      <w:r>
        <w:t xml:space="preserve">Testing.</w:t>
      </w:r>
    </w:p>
    <w:p>
      <w:pPr>
        <w:pStyle w:val="Compact"/>
        <w:numPr>
          <w:ilvl w:val="0"/>
          <w:numId w:val="1006"/>
        </w:numPr>
      </w:pPr>
      <w:r>
        <w:t xml:space="preserve">Approval.</w:t>
      </w:r>
    </w:p>
    <w:p>
      <w:pPr>
        <w:pStyle w:val="Compact"/>
        <w:numPr>
          <w:ilvl w:val="0"/>
          <w:numId w:val="1006"/>
        </w:numPr>
      </w:pPr>
      <w:r>
        <w:t xml:space="preserve">Production deployment.</w:t>
      </w:r>
    </w:p>
    <w:p>
      <w:pPr>
        <w:pStyle w:val="Compact"/>
        <w:numPr>
          <w:ilvl w:val="0"/>
          <w:numId w:val="1006"/>
        </w:numPr>
      </w:pPr>
      <w:r>
        <w:t xml:space="preserve">Ongoing monitoring.</w:t>
      </w:r>
    </w:p>
    <w:p>
      <w:r>
        <w:pict>
          <v:rect style="width:0;height:1.5pt" o:hralign="center" o:hrstd="t" o:hr="t"/>
        </w:pict>
      </w:r>
    </w:p>
    <w:bookmarkEnd w:id="45"/>
    <w:bookmarkStart w:id="46" w:name="business-rules"/>
    <w:p>
      <w:pPr>
        <w:pStyle w:val="Heading1"/>
      </w:pPr>
      <w:r>
        <w:t xml:space="preserve">24.10 Business Rules</w:t>
      </w:r>
    </w:p>
    <w:p>
      <w:pPr>
        <w:pStyle w:val="FirstParagraph"/>
      </w:pPr>
      <w:r>
        <w:t xml:space="preserve">Examples include:</w:t>
      </w:r>
    </w:p>
    <w:p>
      <w:pPr>
        <w:pStyle w:val="Compact"/>
        <w:numPr>
          <w:ilvl w:val="0"/>
          <w:numId w:val="1007"/>
        </w:numPr>
      </w:pPr>
      <w:r>
        <w:t xml:space="preserve">Only authorized systems may exchange information.</w:t>
      </w:r>
    </w:p>
    <w:p>
      <w:pPr>
        <w:pStyle w:val="Compact"/>
        <w:numPr>
          <w:ilvl w:val="0"/>
          <w:numId w:val="1007"/>
        </w:numPr>
      </w:pPr>
      <w:r>
        <w:t xml:space="preserve">Every integration must be registered.</w:t>
      </w:r>
    </w:p>
    <w:p>
      <w:pPr>
        <w:pStyle w:val="Compact"/>
        <w:numPr>
          <w:ilvl w:val="0"/>
          <w:numId w:val="1007"/>
        </w:numPr>
      </w:pPr>
      <w:r>
        <w:t xml:space="preserve">Failed transactions are logged and reported.</w:t>
      </w:r>
    </w:p>
    <w:p>
      <w:pPr>
        <w:pStyle w:val="Compact"/>
        <w:numPr>
          <w:ilvl w:val="0"/>
          <w:numId w:val="1007"/>
        </w:numPr>
      </w:pPr>
      <w:r>
        <w:t xml:space="preserve">Sensitive information is exchanged only when approved.</w:t>
      </w:r>
    </w:p>
    <w:p>
      <w:pPr>
        <w:pStyle w:val="Compact"/>
        <w:numPr>
          <w:ilvl w:val="0"/>
          <w:numId w:val="1007"/>
        </w:numPr>
      </w:pPr>
      <w:r>
        <w:t xml:space="preserve">Interface changes follow version control procedures.</w:t>
      </w:r>
    </w:p>
    <w:p>
      <w:r>
        <w:pict>
          <v:rect style="width:0;height:1.5pt" o:hralign="center" o:hrstd="t" o:hr="t"/>
        </w:pict>
      </w:r>
    </w:p>
    <w:bookmarkEnd w:id="46"/>
    <w:bookmarkStart w:id="47" w:name="reports"/>
    <w:p>
      <w:pPr>
        <w:pStyle w:val="Heading1"/>
      </w:pPr>
      <w:r>
        <w:t xml:space="preserve">24.11 Reports</w:t>
      </w:r>
    </w:p>
    <w:p>
      <w:pPr>
        <w:pStyle w:val="FirstParagraph"/>
      </w:pPr>
      <w:r>
        <w:t xml:space="preserve">Illustrative reports include:</w:t>
      </w:r>
    </w:p>
    <w:p>
      <w:pPr>
        <w:pStyle w:val="Compact"/>
        <w:numPr>
          <w:ilvl w:val="0"/>
          <w:numId w:val="1008"/>
        </w:numPr>
      </w:pPr>
      <w:r>
        <w:t xml:space="preserve">Integration status.</w:t>
      </w:r>
    </w:p>
    <w:p>
      <w:pPr>
        <w:pStyle w:val="Compact"/>
        <w:numPr>
          <w:ilvl w:val="0"/>
          <w:numId w:val="1008"/>
        </w:numPr>
      </w:pPr>
      <w:r>
        <w:t xml:space="preserve">Synchronization summary.</w:t>
      </w:r>
    </w:p>
    <w:p>
      <w:pPr>
        <w:pStyle w:val="Compact"/>
        <w:numPr>
          <w:ilvl w:val="0"/>
          <w:numId w:val="1008"/>
        </w:numPr>
      </w:pPr>
      <w:r>
        <w:t xml:space="preserve">Failed transactions.</w:t>
      </w:r>
    </w:p>
    <w:p>
      <w:pPr>
        <w:pStyle w:val="Compact"/>
        <w:numPr>
          <w:ilvl w:val="0"/>
          <w:numId w:val="1008"/>
        </w:numPr>
      </w:pPr>
      <w:r>
        <w:t xml:space="preserve">API utilization.</w:t>
      </w:r>
    </w:p>
    <w:p>
      <w:pPr>
        <w:pStyle w:val="Compact"/>
        <w:numPr>
          <w:ilvl w:val="0"/>
          <w:numId w:val="1008"/>
        </w:numPr>
      </w:pPr>
      <w:r>
        <w:t xml:space="preserve">Master data quality.</w:t>
      </w:r>
    </w:p>
    <w:p>
      <w:pPr>
        <w:pStyle w:val="Compact"/>
        <w:numPr>
          <w:ilvl w:val="0"/>
          <w:numId w:val="1008"/>
        </w:numPr>
      </w:pPr>
      <w:r>
        <w:t xml:space="preserve">Interface performance.</w:t>
      </w:r>
    </w:p>
    <w:p>
      <w:r>
        <w:pict>
          <v:rect style="width:0;height:1.5pt" o:hralign="center" o:hrstd="t" o:hr="t"/>
        </w:pict>
      </w:r>
    </w:p>
    <w:bookmarkEnd w:id="47"/>
    <w:bookmarkStart w:id="50" w:name="dashboards"/>
    <w:p>
      <w:pPr>
        <w:pStyle w:val="Heading1"/>
      </w:pPr>
      <w:r>
        <w:t xml:space="preserve">24.12 Dashboards</w:t>
      </w:r>
    </w:p>
    <w:bookmarkStart w:id="48" w:name="executive-dashboard"/>
    <w:p>
      <w:pPr>
        <w:pStyle w:val="Heading3"/>
      </w:pPr>
      <w:r>
        <w:t xml:space="preserve">Executive Dashboard</w:t>
      </w:r>
    </w:p>
    <w:p>
      <w:pPr>
        <w:pStyle w:val="Compact"/>
        <w:numPr>
          <w:ilvl w:val="0"/>
          <w:numId w:val="1009"/>
        </w:numPr>
      </w:pPr>
      <w:r>
        <w:t xml:space="preserve">Active integrations.</w:t>
      </w:r>
    </w:p>
    <w:p>
      <w:pPr>
        <w:pStyle w:val="Compact"/>
        <w:numPr>
          <w:ilvl w:val="0"/>
          <w:numId w:val="1009"/>
        </w:numPr>
      </w:pPr>
      <w:r>
        <w:t xml:space="preserve">Synchronization status.</w:t>
      </w:r>
    </w:p>
    <w:p>
      <w:pPr>
        <w:pStyle w:val="Compact"/>
        <w:numPr>
          <w:ilvl w:val="0"/>
          <w:numId w:val="1009"/>
        </w:numPr>
      </w:pPr>
      <w:r>
        <w:t xml:space="preserve">Interface availability.</w:t>
      </w:r>
    </w:p>
    <w:p>
      <w:pPr>
        <w:pStyle w:val="Compact"/>
        <w:numPr>
          <w:ilvl w:val="0"/>
          <w:numId w:val="1009"/>
        </w:numPr>
      </w:pPr>
      <w:r>
        <w:t xml:space="preserve">Critical failures.</w:t>
      </w:r>
    </w:p>
    <w:bookmarkEnd w:id="48"/>
    <w:bookmarkStart w:id="49" w:name="technical-dashboard"/>
    <w:p>
      <w:pPr>
        <w:pStyle w:val="Heading3"/>
      </w:pPr>
      <w:r>
        <w:t xml:space="preserve">Technical Dashboard</w:t>
      </w:r>
    </w:p>
    <w:p>
      <w:pPr>
        <w:pStyle w:val="Compact"/>
        <w:numPr>
          <w:ilvl w:val="0"/>
          <w:numId w:val="1010"/>
        </w:numPr>
      </w:pPr>
      <w:r>
        <w:t xml:space="preserve">API response times.</w:t>
      </w:r>
    </w:p>
    <w:p>
      <w:pPr>
        <w:pStyle w:val="Compact"/>
        <w:numPr>
          <w:ilvl w:val="0"/>
          <w:numId w:val="1010"/>
        </w:numPr>
      </w:pPr>
      <w:r>
        <w:t xml:space="preserve">Error rates.</w:t>
      </w:r>
    </w:p>
    <w:p>
      <w:pPr>
        <w:pStyle w:val="Compact"/>
        <w:numPr>
          <w:ilvl w:val="0"/>
          <w:numId w:val="1010"/>
        </w:numPr>
      </w:pPr>
      <w:r>
        <w:t xml:space="preserve">Transaction volumes.</w:t>
      </w:r>
    </w:p>
    <w:p>
      <w:pPr>
        <w:pStyle w:val="Compact"/>
        <w:numPr>
          <w:ilvl w:val="0"/>
          <w:numId w:val="1010"/>
        </w:numPr>
      </w:pPr>
      <w:r>
        <w:t xml:space="preserve">Pending synchronizations.</w:t>
      </w:r>
    </w:p>
    <w:p>
      <w:r>
        <w:pict>
          <v:rect style="width:0;height:1.5pt" o:hralign="center" o:hrstd="t" o:hr="t"/>
        </w:pict>
      </w:r>
    </w:p>
    <w:bookmarkEnd w:id="49"/>
    <w:bookmarkEnd w:id="50"/>
    <w:bookmarkStart w:id="51" w:name="notifications"/>
    <w:p>
      <w:pPr>
        <w:pStyle w:val="Heading1"/>
      </w:pPr>
      <w:r>
        <w:t xml:space="preserve">24.13 Notifications</w:t>
      </w:r>
    </w:p>
    <w:p>
      <w:pPr>
        <w:pStyle w:val="FirstParagraph"/>
      </w:pPr>
      <w:r>
        <w:t xml:space="preserve">Authorized users receive alerts for:</w:t>
      </w:r>
    </w:p>
    <w:p>
      <w:pPr>
        <w:pStyle w:val="Compact"/>
        <w:numPr>
          <w:ilvl w:val="0"/>
          <w:numId w:val="1011"/>
        </w:numPr>
      </w:pPr>
      <w:r>
        <w:t xml:space="preserve">Integration failures.</w:t>
      </w:r>
    </w:p>
    <w:p>
      <w:pPr>
        <w:pStyle w:val="Compact"/>
        <w:numPr>
          <w:ilvl w:val="0"/>
          <w:numId w:val="1011"/>
        </w:numPr>
      </w:pPr>
      <w:r>
        <w:t xml:space="preserve">Failed synchronizations.</w:t>
      </w:r>
    </w:p>
    <w:p>
      <w:pPr>
        <w:pStyle w:val="Compact"/>
        <w:numPr>
          <w:ilvl w:val="0"/>
          <w:numId w:val="1011"/>
        </w:numPr>
      </w:pPr>
      <w:r>
        <w:t xml:space="preserve">Unauthorized access attempts.</w:t>
      </w:r>
    </w:p>
    <w:p>
      <w:pPr>
        <w:pStyle w:val="Compact"/>
        <w:numPr>
          <w:ilvl w:val="0"/>
          <w:numId w:val="1011"/>
        </w:numPr>
      </w:pPr>
      <w:r>
        <w:t xml:space="preserve">Expired interface credentials.</w:t>
      </w:r>
    </w:p>
    <w:p>
      <w:pPr>
        <w:pStyle w:val="Compact"/>
        <w:numPr>
          <w:ilvl w:val="0"/>
          <w:numId w:val="1011"/>
        </w:numPr>
      </w:pPr>
      <w:r>
        <w:t xml:space="preserve">Data validation failures.</w:t>
      </w:r>
    </w:p>
    <w:p>
      <w:r>
        <w:pict>
          <v:rect style="width:0;height:1.5pt" o:hralign="center" o:hrstd="t" o:hr="t"/>
        </w:pict>
      </w:r>
    </w:p>
    <w:bookmarkEnd w:id="51"/>
    <w:bookmarkStart w:id="52" w:name="offline-operation"/>
    <w:p>
      <w:pPr>
        <w:pStyle w:val="Heading1"/>
      </w:pPr>
      <w:r>
        <w:t xml:space="preserve">24.14 Offline Operation</w:t>
      </w:r>
    </w:p>
    <w:p>
      <w:pPr>
        <w:pStyle w:val="FirstParagraph"/>
      </w:pPr>
      <w:r>
        <w:t xml:space="preserve">The platform continues to operate locally during connectivity interruptions.</w:t>
      </w:r>
    </w:p>
    <w:p>
      <w:pPr>
        <w:pStyle w:val="BodyText"/>
      </w:pPr>
      <w:r>
        <w:t xml:space="preserve">Integration transactions are queued securely and transmitted automatically when connectivity returns, preserving transaction order and audit history.</w:t>
      </w:r>
    </w:p>
    <w:p>
      <w:r>
        <w:pict>
          <v:rect style="width:0;height:1.5pt" o:hralign="center" o:hrstd="t" o:hr="t"/>
        </w:pict>
      </w:r>
    </w:p>
    <w:bookmarkEnd w:id="52"/>
    <w:bookmarkStart w:id="53" w:name="success-indicators"/>
    <w:p>
      <w:pPr>
        <w:pStyle w:val="Heading1"/>
      </w:pPr>
      <w:r>
        <w:t xml:space="preserve">24.15 Success Indicators</w:t>
      </w:r>
    </w:p>
    <w:p>
      <w:pPr>
        <w:pStyle w:val="FirstParagraph"/>
      </w:pPr>
      <w:r>
        <w:t xml:space="preserve">Examples include:</w:t>
      </w:r>
    </w:p>
    <w:p>
      <w:pPr>
        <w:pStyle w:val="Compact"/>
        <w:numPr>
          <w:ilvl w:val="0"/>
          <w:numId w:val="1012"/>
        </w:numPr>
      </w:pPr>
      <w:r>
        <w:t xml:space="preserve">Integration availability.</w:t>
      </w:r>
    </w:p>
    <w:p>
      <w:pPr>
        <w:pStyle w:val="Compact"/>
        <w:numPr>
          <w:ilvl w:val="0"/>
          <w:numId w:val="1012"/>
        </w:numPr>
      </w:pPr>
      <w:r>
        <w:t xml:space="preserve">Successful synchronization rate.</w:t>
      </w:r>
    </w:p>
    <w:p>
      <w:pPr>
        <w:pStyle w:val="Compact"/>
        <w:numPr>
          <w:ilvl w:val="0"/>
          <w:numId w:val="1012"/>
        </w:numPr>
      </w:pPr>
      <w:r>
        <w:t xml:space="preserve">API response performance.</w:t>
      </w:r>
    </w:p>
    <w:p>
      <w:pPr>
        <w:pStyle w:val="Compact"/>
        <w:numPr>
          <w:ilvl w:val="0"/>
          <w:numId w:val="1012"/>
        </w:numPr>
      </w:pPr>
      <w:r>
        <w:t xml:space="preserve">Duplicate data reduction.</w:t>
      </w:r>
    </w:p>
    <w:p>
      <w:pPr>
        <w:pStyle w:val="Compact"/>
        <w:numPr>
          <w:ilvl w:val="0"/>
          <w:numId w:val="1012"/>
        </w:numPr>
      </w:pPr>
      <w:r>
        <w:t xml:space="preserve">Master data quality.</w:t>
      </w:r>
    </w:p>
    <w:p>
      <w:pPr>
        <w:pStyle w:val="Compact"/>
        <w:numPr>
          <w:ilvl w:val="0"/>
          <w:numId w:val="1012"/>
        </w:numPr>
      </w:pPr>
      <w:r>
        <w:t xml:space="preserve">Number of approved integrations.</w:t>
      </w:r>
    </w:p>
    <w:p>
      <w:pPr>
        <w:pStyle w:val="Compact"/>
        <w:numPr>
          <w:ilvl w:val="0"/>
          <w:numId w:val="1012"/>
        </w:numPr>
      </w:pPr>
      <w:r>
        <w:t xml:space="preserve">Transaction success rate.</w:t>
      </w:r>
    </w:p>
    <w:p>
      <w:r>
        <w:pict>
          <v:rect style="width:0;height:1.5pt" o:hralign="center" o:hrstd="t" o:hr="t"/>
        </w:pict>
      </w:r>
    </w:p>
    <w:bookmarkEnd w:id="53"/>
    <w:bookmarkStart w:id="54" w:name="conclusion"/>
    <w:p>
      <w:pPr>
        <w:pStyle w:val="Heading1"/>
      </w:pPr>
      <w:r>
        <w:t xml:space="preserve">24.16 Conclusion</w:t>
      </w:r>
    </w:p>
    <w:p>
      <w:pPr>
        <w:pStyle w:val="FirstParagraph"/>
      </w:pPr>
      <w:r>
        <w:t xml:space="preserve">The National Education Data Exchange and Interoperability Hub enables the National Education Resource Intelligence Platform to operate as an integrated component of Cameroon’s evolving digital education ecosystem.</w:t>
      </w:r>
    </w:p>
    <w:p>
      <w:pPr>
        <w:pStyle w:val="BodyText"/>
      </w:pPr>
      <w:r>
        <w:t xml:space="preserve">By promoting standardized information exchange, strengthening data governance, and supporting secure integration with approved government systems, the Hub establishes a sustainable foundation for future digital transformation while reducing duplication and improving operational efficiency.</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2026-07-10T13:15:30Z</dcterms:created>
  <dcterms:modified xsi:type="dcterms:W3CDTF">2026-07-10T13:15:30Z</dcterms:modified>
</cp:coreProperties>
</file>

<file path=docProps/custom.xml><?xml version="1.0" encoding="utf-8"?>
<Properties xmlns="http://schemas.openxmlformats.org/officeDocument/2006/custom-properties" xmlns:vt="http://schemas.openxmlformats.org/officeDocument/2006/docPropsVTypes"/>
</file>